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39616d424b3.htm"/>
        <w:bookmarkStart w:id="1" w:name="ksd139616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424(b)(3)</w:t>
        <w:br/>
        <w:t xml:space="preserve">Registration No. 333-297156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330325" cy="6680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30325" cy="66802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48"/>
        </w:rPr>
      </w:pPr>
      <w:r>
        <w:rPr>
          <w:rFonts w:ascii="Times New Roman" w:hAnsi="Times New Roman"/>
          <w:b/>
          <w:sz w:val="48"/>
        </w:rPr>
        <w:t xml:space="preserve">Fidus Investment Corporation </w:t>
      </w:r>
    </w:p>
    <w:p>
      <w:pPr>
        <w:pStyle w:val="TextBody"/>
        <w:bidi w:val="0"/>
        <w:spacing w:before="0" w:after="0"/>
        <w:jc w:val="center"/>
        <w:rPr>
          <w:rFonts w:ascii="Times New Roman" w:hAnsi="Times New Roman"/>
          <w:b/>
          <w:sz w:val="48"/>
        </w:rPr>
      </w:pPr>
      <w:r>
        <w:rPr>
          <w:rFonts w:ascii="Times New Roman" w:hAnsi="Times New Roman"/>
          <w:b/>
          <w:sz w:val="48"/>
        </w:rPr>
        <w:t xml:space="preserve">Offer to Exchange </w:t>
      </w:r>
    </w:p>
    <w:p>
      <w:pPr>
        <w:pStyle w:val="TextBody"/>
        <w:bidi w:val="0"/>
        <w:spacing w:before="120" w:after="0"/>
        <w:jc w:val="center"/>
        <w:rPr>
          <w:rFonts w:ascii="Times New Roman" w:hAnsi="Times New Roman"/>
          <w:b/>
          <w:sz w:val="28"/>
        </w:rPr>
      </w:pPr>
      <w:r>
        <w:rPr>
          <w:rFonts w:ascii="Times New Roman" w:hAnsi="Times New Roman"/>
          <w:b/>
          <w:sz w:val="28"/>
        </w:rPr>
        <w:t xml:space="preserve">$120,000,000 aggregate principal amount of 6.625% Notes due 2029 </w:t>
      </w:r>
    </w:p>
    <w:p>
      <w:pPr>
        <w:pStyle w:val="TextBody"/>
        <w:bidi w:val="0"/>
        <w:spacing w:before="120" w:after="0"/>
        <w:jc w:val="center"/>
        <w:rPr>
          <w:rFonts w:ascii="Times New Roman" w:hAnsi="Times New Roman"/>
          <w:b/>
          <w:sz w:val="28"/>
        </w:rPr>
      </w:pPr>
      <w:r>
        <w:rPr>
          <w:rFonts w:ascii="Times New Roman" w:hAnsi="Times New Roman"/>
          <w:b/>
          <w:sz w:val="28"/>
        </w:rPr>
        <w:t xml:space="preserve">for </w:t>
      </w:r>
    </w:p>
    <w:p>
      <w:pPr>
        <w:pStyle w:val="TextBody"/>
        <w:bidi w:val="0"/>
        <w:spacing w:before="120" w:after="0"/>
        <w:jc w:val="center"/>
        <w:rPr>
          <w:rFonts w:ascii="Times New Roman" w:hAnsi="Times New Roman"/>
          <w:b/>
          <w:sz w:val="28"/>
        </w:rPr>
      </w:pPr>
      <w:r>
        <w:rPr>
          <w:rFonts w:ascii="Times New Roman" w:hAnsi="Times New Roman"/>
          <w:b/>
          <w:sz w:val="28"/>
        </w:rPr>
        <w:t xml:space="preserve">$120,000,000 aggregate principal amount of 6.625% Notes due 2029 </w:t>
      </w:r>
    </w:p>
    <w:p>
      <w:pPr>
        <w:pStyle w:val="TextBody"/>
        <w:bidi w:val="0"/>
        <w:spacing w:before="120" w:after="0"/>
        <w:jc w:val="center"/>
        <w:rPr>
          <w:rFonts w:ascii="Times New Roman" w:hAnsi="Times New Roman"/>
          <w:b/>
          <w:sz w:val="20"/>
        </w:rPr>
      </w:pPr>
      <w:r>
        <w:rPr>
          <w:rFonts w:ascii="Times New Roman" w:hAnsi="Times New Roman"/>
          <w:b/>
          <w:sz w:val="20"/>
        </w:rPr>
        <w:t xml:space="preserve">Registered under the Securities Act of 1933, as amended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Fidus Investment Corporation (the “Company,” “we,” “us,” or “our”), an externally managed, closed-end management investment company that has elected to be regulated as a business development company (“BDC”) under the Investment Company Act of 1940, as amended (the “1940 Act”), is offering to exchange all of its outstanding 6.625% Notes due 2029 (the “Restricted Notes”) that were issued in a transaction not requiring registration under the Securities Act of 1933, as amended (the “Securities Act”), on May 29, 2026, for an equal aggregate principal amount of its new 6.625% Notes due 2029 (the “Exchange Notes”) that have been registered with the Securities and Exchange Commission (the “SEC”) under the Securities Act. We refer to the Restricted Notes and the Exchange Notes collectively as the “Notes.” </w:t>
      </w:r>
    </w:p>
    <w:p>
      <w:pPr>
        <w:pStyle w:val="TextBody"/>
        <w:bidi w:val="0"/>
        <w:spacing w:before="120" w:after="0"/>
        <w:jc w:val="left"/>
        <w:rPr>
          <w:rFonts w:ascii="Times New Roman" w:hAnsi="Times New Roman"/>
          <w:sz w:val="20"/>
        </w:rPr>
      </w:pPr>
      <w:r>
        <w:rPr>
          <w:rFonts w:ascii="Times New Roman" w:hAnsi="Times New Roman"/>
          <w:sz w:val="20"/>
        </w:rPr>
        <w:t xml:space="preserve">If you participate in the exchange offer, you will receive Exchange Notes for Restricted Notes that you validly tendered. The terms of the Exchange Notes are substantially identical to those of the Restricted Notes, except that the transfer restrictions and registration rights relating to the Restricted Notes will not apply to the Exchange Notes, and the Exchange Notes will not provide for the payment of additional interest in the event of a Registration Default (as defined herein). In addition, the Exchange Notes will bear a different CUSIP number than the Restricted Notes. </w:t>
      </w:r>
    </w:p>
    <w:p>
      <w:pPr>
        <w:pStyle w:val="TextBody"/>
        <w:bidi w:val="0"/>
        <w:spacing w:before="120" w:after="0"/>
        <w:jc w:val="center"/>
        <w:rPr>
          <w:rFonts w:ascii="Times New Roman" w:hAnsi="Times New Roman"/>
          <w:b/>
          <w:sz w:val="20"/>
        </w:rPr>
      </w:pPr>
      <w:r>
        <w:rPr>
          <w:rFonts w:ascii="Times New Roman" w:hAnsi="Times New Roman"/>
          <w:b/>
          <w:sz w:val="20"/>
        </w:rPr>
        <w:t xml:space="preserve">MATERIAL TERMS OF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The exchange offer expires at 5:00 p.m., New York City time, on October 16, 2026, unless extended. </w:t>
      </w:r>
    </w:p>
    <w:p>
      <w:pPr>
        <w:pStyle w:val="TextBody"/>
        <w:bidi w:val="0"/>
        <w:spacing w:before="120" w:after="0"/>
        <w:jc w:val="left"/>
        <w:rPr>
          <w:rFonts w:ascii="Times New Roman" w:hAnsi="Times New Roman"/>
          <w:sz w:val="20"/>
        </w:rPr>
      </w:pPr>
      <w:r>
        <w:rPr>
          <w:rFonts w:ascii="Times New Roman" w:hAnsi="Times New Roman"/>
          <w:sz w:val="20"/>
        </w:rPr>
        <w:t xml:space="preserve">We will exchange all Restricted Notes that are validly tendered and not withdrawn prior to the expiration of the exchange offer for Exchange Notes. You may withdraw tendered Restricted Notes at any time prior to the expiration of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The only conditions to completing the exchange offer are that the exchange offer not violate any applicable law or applicable interpretation of the staff of the SEC and that no injunction, order or decree has been or is issued that would prohibit, prevent or materially impair our ability to complete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We will not receive any cash proceeds from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There is no active trading market for the Restricted Notes, and we do not intend to list the Exchange Notes on any securities exchange or seek approval for quotations through any automated dealer quotation system.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sz w:val="24"/>
        </w:rPr>
        <w:t>Investing in the Exchange Notes involves risks. See “</w:t>
      </w:r>
      <w:hyperlink w:anchor="toc139616_2">
        <w:r>
          <w:rPr>
            <w:rStyle w:val="InternetLink"/>
            <w:rFonts w:ascii="Times New Roman" w:hAnsi="Times New Roman"/>
            <w:b/>
            <w:sz w:val="24"/>
          </w:rPr>
          <w:t>Risk Factors</w:t>
        </w:r>
      </w:hyperlink>
      <w:r>
        <w:rPr>
          <w:rFonts w:ascii="Times New Roman" w:hAnsi="Times New Roman"/>
          <w:b/>
          <w:sz w:val="24"/>
        </w:rPr>
        <w:t xml:space="preserve">” beginning on page 11 of this prospectus. </w:t>
      </w:r>
    </w:p>
    <w:p>
      <w:pPr>
        <w:pStyle w:val="TextBody"/>
        <w:bidi w:val="0"/>
        <w:spacing w:before="120" w:after="0"/>
        <w:jc w:val="left"/>
        <w:rPr>
          <w:rFonts w:ascii="Times New Roman" w:hAnsi="Times New Roman"/>
          <w:b/>
          <w:sz w:val="20"/>
        </w:rPr>
      </w:pPr>
      <w:r>
        <w:rPr>
          <w:rFonts w:ascii="Times New Roman" w:hAnsi="Times New Roman"/>
          <w:b/>
          <w:sz w:val="20"/>
        </w:rPr>
        <w:t xml:space="preserve">This prospectus sets forth concisely the information about the Company that a prospective investor ought to know before investing, and it should be retained for future reference. Additional details about the Company, including our most recent Annual Report on Form 10-K, our most recent Quarterly Report on Form 10-Q, and Current Reports on Form 8-K that have been incorporated by reference herein, have been filed with the SEC and are available on the SEC’s website (www.sec.gov) without charge. </w:t>
      </w:r>
    </w:p>
    <w:p>
      <w:pPr>
        <w:pStyle w:val="TextBody"/>
        <w:bidi w:val="0"/>
        <w:spacing w:before="12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 Exchange Notes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The date of this prospectus is September 16,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1">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2">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3">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4">
              <w:r>
                <w:rPr>
                  <w:rStyle w:val="InternetLink"/>
                  <w:rFonts w:ascii="Times New Roman" w:hAnsi="Times New Roman"/>
                  <w:sz w:val="20"/>
                </w:rPr>
                <w:t>THE EXCHANGE OFFER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5">
              <w:r>
                <w:rPr>
                  <w:rStyle w:val="InternetLink"/>
                  <w:rFonts w:ascii="Times New Roman" w:hAnsi="Times New Roman"/>
                  <w:sz w:val="20"/>
                </w:rPr>
                <w:t>DESCRIPTION OF THE EXCHANGE NOTES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7">
              <w:r>
                <w:rPr>
                  <w:rStyle w:val="InternetLink"/>
                  <w:rFonts w:ascii="Times New Roman" w:hAnsi="Times New Roman"/>
                  <w:sz w:val="20"/>
                </w:rPr>
                <w:t>FINANCIAL HIGHLIGHTS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8">
              <w:r>
                <w:rPr>
                  <w:rStyle w:val="InternetLink"/>
                  <w:rFonts w:ascii="Times New Roman" w:hAnsi="Times New Roman"/>
                  <w:sz w:val="20"/>
                </w:rPr>
                <w:t>MANAGEMENT’S DISCUSSION AND ANALYSIS OF FINANCIAL CONDITION AND RESULTS OF OPERATIONS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9">
              <w:r>
                <w:rPr>
                  <w:rStyle w:val="InternetLink"/>
                  <w:rFonts w:ascii="Times New Roman" w:hAnsi="Times New Roman"/>
                  <w:sz w:val="20"/>
                </w:rPr>
                <w:t>QUANTITATIVE AND QUALITATIVE DISCLOSURES ABOUT MARKET RISK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10">
              <w:r>
                <w:rPr>
                  <w:rStyle w:val="InternetLink"/>
                  <w:rFonts w:ascii="Times New Roman" w:hAnsi="Times New Roman"/>
                  <w:sz w:val="20"/>
                </w:rPr>
                <w:t>BUSINESS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11">
              <w:r>
                <w:rPr>
                  <w:rStyle w:val="InternetLink"/>
                  <w:rFonts w:ascii="Times New Roman" w:hAnsi="Times New Roman"/>
                  <w:sz w:val="20"/>
                </w:rPr>
                <w:t>FINANCIAL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12">
              <w:r>
                <w:rPr>
                  <w:rStyle w:val="InternetLink"/>
                  <w:rFonts w:ascii="Times New Roman" w:hAnsi="Times New Roman"/>
                  <w:sz w:val="20"/>
                </w:rPr>
                <w:t>SENIOR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13">
              <w:r>
                <w:rPr>
                  <w:rStyle w:val="InternetLink"/>
                  <w:rFonts w:ascii="Times New Roman" w:hAnsi="Times New Roman"/>
                  <w:sz w:val="20"/>
                </w:rPr>
                <w:t>PORTFOLIO COMPANIES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14">
              <w:r>
                <w:rPr>
                  <w:rStyle w:val="InternetLink"/>
                  <w:rFonts w:ascii="Times New Roman" w:hAnsi="Times New Roman"/>
                  <w:sz w:val="20"/>
                </w:rPr>
                <w:t>MANAGEMENT OF 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15">
              <w:r>
                <w:rPr>
                  <w:rStyle w:val="InternetLink"/>
                  <w:rFonts w:ascii="Times New Roman" w:hAnsi="Times New Roman"/>
                  <w:sz w:val="20"/>
                </w:rPr>
                <w:t>PORTFOLIO MANAGEMENT</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17">
              <w:r>
                <w:rPr>
                  <w:rStyle w:val="InternetLink"/>
                  <w:rFonts w:ascii="Times New Roman" w:hAnsi="Times New Roman"/>
                  <w:sz w:val="20"/>
                </w:rPr>
                <w:t>CERTAIN RELATIONSHIPS AND RELATED PARTY TRANSACTIONS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18">
              <w:r>
                <w:rPr>
                  <w:rStyle w:val="InternetLink"/>
                  <w:rFonts w:ascii="Times New Roman" w:hAnsi="Times New Roman"/>
                  <w:sz w:val="20"/>
                </w:rPr>
                <w:t>CONTROL PERSONS AND PRINCIPAL SHAREHOLDERS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19">
              <w:r>
                <w:rPr>
                  <w:rStyle w:val="InternetLink"/>
                  <w:rFonts w:ascii="Times New Roman" w:hAnsi="Times New Roman"/>
                  <w:sz w:val="20"/>
                </w:rPr>
                <w:t>DESCRIPTION OF OUR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2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21">
              <w:r>
                <w:rPr>
                  <w:rStyle w:val="InternetLink"/>
                  <w:rFonts w:ascii="Times New Roman" w:hAnsi="Times New Roman"/>
                  <w:sz w:val="20"/>
                </w:rPr>
                <w:t>DISTRIBUTION REINVESTMENT PLAN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22">
              <w:r>
                <w:rPr>
                  <w:rStyle w:val="InternetLink"/>
                  <w:rFonts w:ascii="Times New Roman" w:hAnsi="Times New Roman"/>
                  <w:sz w:val="20"/>
                </w:rPr>
                <w:t>REGULATION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23">
              <w:r>
                <w:rPr>
                  <w:rStyle w:val="InternetLink"/>
                  <w:rFonts w:ascii="Times New Roman" w:hAnsi="Times New Roman"/>
                  <w:sz w:val="20"/>
                </w:rPr>
                <w:t>CUSTODIAN, TRANSFER AND DISTRIBUTION PAYING AGENT AND REGISTRAR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24">
              <w:r>
                <w:rPr>
                  <w:rStyle w:val="InternetLink"/>
                  <w:rFonts w:ascii="Times New Roman" w:hAnsi="Times New Roman"/>
                  <w:sz w:val="20"/>
                </w:rPr>
                <w:t>MATERIAL U.S. FEDERAL INCOME TAX CONSIDERATIONS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25">
              <w:r>
                <w:rPr>
                  <w:rStyle w:val="InternetLink"/>
                  <w:rFonts w:ascii="Times New Roman" w:hAnsi="Times New Roman"/>
                  <w:sz w:val="20"/>
                </w:rPr>
                <w:t>BROKERAGE ALLOCATION AND OTHER PRACTICES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26">
              <w:r>
                <w:rPr>
                  <w:rStyle w:val="InternetLink"/>
                  <w:rFonts w:ascii="Times New Roman" w:hAnsi="Times New Roman"/>
                  <w:sz w:val="20"/>
                </w:rPr>
                <w:t>INDEPENDENT REGISTERED PUBLIC ACCOUNTING FIRM</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27">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28">
              <w:r>
                <w:rPr>
                  <w:rStyle w:val="InternetLink"/>
                  <w:rFonts w:ascii="Times New Roman" w:hAnsi="Times New Roman"/>
                  <w:sz w:val="20"/>
                </w:rPr>
                <w:t>AVAILABLE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29">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prospectus incorporates important business and financial information about us that is not included in or delivered with the document. This information is available without charge to security holders upon written or oral request at: </w:t>
      </w:r>
    </w:p>
    <w:p>
      <w:pPr>
        <w:pStyle w:val="TextBody"/>
        <w:bidi w:val="0"/>
        <w:spacing w:before="24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Fidus Investment Corporation </w:t>
      </w:r>
    </w:p>
    <w:p>
      <w:pPr>
        <w:pStyle w:val="TextBody"/>
        <w:bidi w:val="0"/>
        <w:spacing w:before="0" w:after="0"/>
        <w:jc w:val="center"/>
        <w:rPr>
          <w:rFonts w:ascii="Times New Roman" w:hAnsi="Times New Roman"/>
          <w:sz w:val="20"/>
        </w:rPr>
      </w:pPr>
      <w:r>
        <w:rPr>
          <w:rFonts w:ascii="Times New Roman" w:hAnsi="Times New Roman"/>
          <w:sz w:val="20"/>
        </w:rPr>
        <w:t xml:space="preserve">1603 Orrington Avenue, Suite 1005 </w:t>
      </w:r>
    </w:p>
    <w:p>
      <w:pPr>
        <w:pStyle w:val="TextBody"/>
        <w:bidi w:val="0"/>
        <w:spacing w:before="0" w:after="0"/>
        <w:jc w:val="center"/>
        <w:rPr>
          <w:rFonts w:ascii="Times New Roman" w:hAnsi="Times New Roman"/>
          <w:sz w:val="20"/>
        </w:rPr>
      </w:pPr>
      <w:r>
        <w:rPr>
          <w:rFonts w:ascii="Times New Roman" w:hAnsi="Times New Roman"/>
          <w:sz w:val="20"/>
        </w:rPr>
        <w:t xml:space="preserve">Evanston, Illinois 60201 </w:t>
      </w:r>
    </w:p>
    <w:p>
      <w:pPr>
        <w:pStyle w:val="TextBody"/>
        <w:bidi w:val="0"/>
        <w:spacing w:before="0" w:after="0"/>
        <w:jc w:val="center"/>
        <w:rPr>
          <w:rFonts w:ascii="Times New Roman" w:hAnsi="Times New Roman"/>
          <w:sz w:val="20"/>
        </w:rPr>
      </w:pPr>
      <w:r>
        <w:rPr>
          <w:rFonts w:ascii="Times New Roman" w:hAnsi="Times New Roman"/>
          <w:sz w:val="20"/>
        </w:rPr>
        <w:t xml:space="preserve">(847) 859-3940 </w:t>
      </w:r>
    </w:p>
    <w:p>
      <w:pPr>
        <w:pStyle w:val="TextBody"/>
        <w:bidi w:val="0"/>
        <w:spacing w:before="0" w:after="0"/>
        <w:jc w:val="center"/>
        <w:rPr>
          <w:rFonts w:ascii="Times New Roman" w:hAnsi="Times New Roman"/>
          <w:sz w:val="20"/>
        </w:rPr>
      </w:pPr>
      <w:r>
        <w:rPr>
          <w:rFonts w:ascii="Times New Roman" w:hAnsi="Times New Roman"/>
          <w:sz w:val="20"/>
        </w:rPr>
        <w:t xml:space="preserve">investorrelations@fdus.com </w:t>
      </w:r>
    </w:p>
    <w:p>
      <w:pPr>
        <w:pStyle w:val="TextBody"/>
        <w:bidi w:val="0"/>
        <w:spacing w:before="240" w:after="0"/>
        <w:jc w:val="left"/>
        <w:rPr>
          <w:rFonts w:ascii="Times New Roman" w:hAnsi="Times New Roman"/>
          <w:sz w:val="20"/>
        </w:rPr>
      </w:pPr>
      <w:r>
        <w:rPr>
          <w:rFonts w:ascii="Times New Roman" w:hAnsi="Times New Roman"/>
          <w:sz w:val="20"/>
        </w:rPr>
        <w:t xml:space="preserve">To obtain timely delivery, you must request information no later than five business days prior to the expiration of the exchange offer, which expiration is 5:00 p.m., New York City time, on October 16, 2026.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We have not authorized anyone to provide you with different information. We are not making an offer of the Exchange Notes in any state or other jurisdiction where the offer is not permitted. You should not assume that the information contained in this prospectus is accurate as of any date other than the date on the front of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Any broker-dealer that receives Exchange Notes for its own account in the exchange offer for Restricted Notes that were acquired as a result of market-making or other trading activities must acknowledge that it will comply with the prospectus delivery requirements of the Securities Act in connection with any resale or other transfer of the Exchange Notes received in the exchange offer. The accompanying letter of transmittal relating to the Exchange Offer states that, by so acknowledging and delivering a prospectus, such broker-dealer will not be deemed to admit that it is an “underwriter” of the Exchange Notes within the meaning of the Securities Act. This prospectus, as it may be amended or supplemented from time to time, may be used by such broker-dealer in connection with resales or other transfers of Exchange Notes received in the exchange offer for Restricted Notes that were acquired by the broker-dealer as a result of market-making or other trading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toc139616_1"/>
      <w:bookmarkEnd w:id="3"/>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This summary highlights some of the information contained elsewhere or incorporated by reference in this prospectus. It is not complete and may not contain all of the information that may be important to you. You should read our entire prospectus and the documents incorporated by reference carefully, including the section entitled </w:t>
      </w:r>
      <w:r>
        <w:rPr>
          <w:rFonts w:ascii="Times New Roman" w:hAnsi="Times New Roman"/>
          <w:sz w:val="20"/>
          <w:bdr w:val="single" w:sz="8" w:space="1" w:color="000000"/>
        </w:rPr>
        <w:t>“</w:t>
      </w:r>
      <w:r>
        <w:rPr>
          <w:rFonts w:ascii="Times New Roman" w:hAnsi="Times New Roman"/>
          <w:i/>
          <w:sz w:val="20"/>
          <w:bdr w:val="single" w:sz="8" w:space="1" w:color="000000"/>
        </w:rPr>
        <w:t>Risk Factors.</w:t>
      </w:r>
      <w:r>
        <w:rPr>
          <w:rFonts w:ascii="Times New Roman" w:hAnsi="Times New Roman"/>
          <w:sz w:val="20"/>
          <w:bdr w:val="single" w:sz="8" w:space="1" w:color="000000"/>
        </w:rPr>
        <w:t>”</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Fidus Investment Corporation (</w:t>
      </w:r>
      <w:r>
        <w:rPr>
          <w:rFonts w:ascii="Times New Roman" w:hAnsi="Times New Roman"/>
          <w:sz w:val="20"/>
          <w:bdr w:val="single" w:sz="8" w:space="1" w:color="000000"/>
        </w:rPr>
        <w:t>“</w:t>
      </w:r>
      <w:r>
        <w:rPr>
          <w:rFonts w:ascii="Times New Roman" w:hAnsi="Times New Roman"/>
          <w:i/>
          <w:sz w:val="20"/>
          <w:bdr w:val="single" w:sz="8" w:space="1" w:color="000000"/>
        </w:rPr>
        <w:t>FIC</w:t>
      </w:r>
      <w:r>
        <w:rPr>
          <w:rFonts w:ascii="Times New Roman" w:hAnsi="Times New Roman"/>
          <w:sz w:val="20"/>
          <w:bdr w:val="single" w:sz="8" w:space="1" w:color="000000"/>
        </w:rPr>
        <w:t>”</w:t>
      </w:r>
      <w:r>
        <w:rPr>
          <w:rFonts w:ascii="Times New Roman" w:hAnsi="Times New Roman"/>
          <w:i/>
          <w:sz w:val="20"/>
          <w:bdr w:val="single" w:sz="8" w:space="1" w:color="000000"/>
        </w:rPr>
        <w:t>), a Maryland Corporation, operates as an externally managed business development company (</w:t>
      </w:r>
      <w:r>
        <w:rPr>
          <w:rFonts w:ascii="Times New Roman" w:hAnsi="Times New Roman"/>
          <w:sz w:val="20"/>
          <w:bdr w:val="single" w:sz="8" w:space="1" w:color="000000"/>
        </w:rPr>
        <w:t>“</w:t>
      </w:r>
      <w:r>
        <w:rPr>
          <w:rFonts w:ascii="Times New Roman" w:hAnsi="Times New Roman"/>
          <w:i/>
          <w:sz w:val="20"/>
          <w:bdr w:val="single" w:sz="8" w:space="1" w:color="000000"/>
        </w:rPr>
        <w:t>BDC</w:t>
      </w:r>
      <w:r>
        <w:rPr>
          <w:rFonts w:ascii="Times New Roman" w:hAnsi="Times New Roman"/>
          <w:sz w:val="20"/>
          <w:bdr w:val="single" w:sz="8" w:space="1" w:color="000000"/>
        </w:rPr>
        <w:t>”</w:t>
      </w:r>
      <w:r>
        <w:rPr>
          <w:rFonts w:ascii="Times New Roman" w:hAnsi="Times New Roman"/>
          <w:i/>
          <w:sz w:val="20"/>
          <w:bdr w:val="single" w:sz="8" w:space="1" w:color="000000"/>
        </w:rPr>
        <w:t xml:space="preserve">) under the Investment Company Act of 1940, as amended (the </w:t>
      </w:r>
      <w:r>
        <w:rPr>
          <w:rFonts w:ascii="Times New Roman" w:hAnsi="Times New Roman"/>
          <w:sz w:val="20"/>
          <w:bdr w:val="single" w:sz="8" w:space="1" w:color="000000"/>
        </w:rPr>
        <w:t>“</w:t>
      </w:r>
      <w:r>
        <w:rPr>
          <w:rFonts w:ascii="Times New Roman" w:hAnsi="Times New Roman"/>
          <w:i/>
          <w:sz w:val="20"/>
          <w:bdr w:val="single" w:sz="8" w:space="1" w:color="000000"/>
        </w:rPr>
        <w:t>1940 Act</w:t>
      </w:r>
      <w:r>
        <w:rPr>
          <w:rFonts w:ascii="Times New Roman" w:hAnsi="Times New Roman"/>
          <w:sz w:val="20"/>
          <w:bdr w:val="single" w:sz="8" w:space="1" w:color="000000"/>
        </w:rPr>
        <w:t>”</w:t>
      </w:r>
      <w:r>
        <w:rPr>
          <w:rFonts w:ascii="Times New Roman" w:hAnsi="Times New Roman"/>
          <w:i/>
          <w:sz w:val="20"/>
          <w:bdr w:val="single" w:sz="8" w:space="1" w:color="000000"/>
        </w:rPr>
        <w:t>). FIC completed its initial public offering in June 2011. In addition, FIC has elected to be treated as a regulated investment company (</w:t>
      </w:r>
      <w:r>
        <w:rPr>
          <w:rFonts w:ascii="Times New Roman" w:hAnsi="Times New Roman"/>
          <w:sz w:val="20"/>
          <w:bdr w:val="single" w:sz="8" w:space="1" w:color="000000"/>
        </w:rPr>
        <w:t>“</w:t>
      </w:r>
      <w:r>
        <w:rPr>
          <w:rFonts w:ascii="Times New Roman" w:hAnsi="Times New Roman"/>
          <w:i/>
          <w:sz w:val="20"/>
          <w:bdr w:val="single" w:sz="8" w:space="1" w:color="000000"/>
        </w:rPr>
        <w:t>RIC</w:t>
      </w:r>
      <w:r>
        <w:rPr>
          <w:rFonts w:ascii="Times New Roman" w:hAnsi="Times New Roman"/>
          <w:sz w:val="20"/>
          <w:bdr w:val="single" w:sz="8" w:space="1" w:color="000000"/>
        </w:rPr>
        <w:t>”</w:t>
      </w:r>
      <w:r>
        <w:rPr>
          <w:rFonts w:ascii="Times New Roman" w:hAnsi="Times New Roman"/>
          <w:i/>
          <w:sz w:val="20"/>
          <w:bdr w:val="single" w:sz="8" w:space="1" w:color="000000"/>
        </w:rPr>
        <w:t xml:space="preserve">) under subchapter M of the Internal Revenue Code of 1986, as amended (the </w:t>
      </w:r>
      <w:r>
        <w:rPr>
          <w:rFonts w:ascii="Times New Roman" w:hAnsi="Times New Roman"/>
          <w:sz w:val="20"/>
          <w:bdr w:val="single" w:sz="8" w:space="1" w:color="000000"/>
        </w:rPr>
        <w:t>“</w:t>
      </w:r>
      <w:r>
        <w:rPr>
          <w:rFonts w:ascii="Times New Roman" w:hAnsi="Times New Roman"/>
          <w:i/>
          <w:sz w:val="20"/>
          <w:bdr w:val="single" w:sz="8" w:space="1" w:color="000000"/>
        </w:rPr>
        <w:t>Code</w:t>
      </w:r>
      <w:r>
        <w:rPr>
          <w:rFonts w:ascii="Times New Roman" w:hAnsi="Times New Roman"/>
          <w:sz w:val="20"/>
          <w:bdr w:val="single" w:sz="8" w:space="1" w:color="000000"/>
        </w:rPr>
        <w:t>”</w:t>
      </w:r>
      <w:r>
        <w:rPr>
          <w:rFonts w:ascii="Times New Roman" w:hAnsi="Times New Roman"/>
          <w:i/>
          <w:sz w:val="20"/>
          <w:bdr w:val="single" w:sz="8" w:space="1" w:color="000000"/>
        </w:rPr>
        <w:t xml:space="preserve">). As of the date hereof, our shares were listed on the Nasdaq Global Select Market under the symbol </w:t>
      </w:r>
      <w:r>
        <w:rPr>
          <w:rFonts w:ascii="Times New Roman" w:hAnsi="Times New Roman"/>
          <w:sz w:val="20"/>
          <w:bdr w:val="single" w:sz="8" w:space="1" w:color="000000"/>
        </w:rPr>
        <w:t>“</w:t>
      </w:r>
      <w:r>
        <w:rPr>
          <w:rFonts w:ascii="Times New Roman" w:hAnsi="Times New Roman"/>
          <w:i/>
          <w:sz w:val="20"/>
          <w:bdr w:val="single" w:sz="8" w:space="1" w:color="000000"/>
        </w:rPr>
        <w:t>FDUS.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FIC may make investments directly or through its two wholly owned investment company subsidiaries, Fidus Mezzanine Capital III, L.P. (</w:t>
      </w:r>
      <w:r>
        <w:rPr>
          <w:rFonts w:ascii="Times New Roman" w:hAnsi="Times New Roman"/>
          <w:sz w:val="20"/>
          <w:bdr w:val="single" w:sz="8" w:space="1" w:color="000000"/>
        </w:rPr>
        <w:t>“</w:t>
      </w:r>
      <w:r>
        <w:rPr>
          <w:rFonts w:ascii="Times New Roman" w:hAnsi="Times New Roman"/>
          <w:i/>
          <w:sz w:val="20"/>
          <w:bdr w:val="single" w:sz="8" w:space="1" w:color="000000"/>
        </w:rPr>
        <w:t>Fund III</w:t>
      </w:r>
      <w:r>
        <w:rPr>
          <w:rFonts w:ascii="Times New Roman" w:hAnsi="Times New Roman"/>
          <w:sz w:val="20"/>
          <w:bdr w:val="single" w:sz="8" w:space="1" w:color="000000"/>
        </w:rPr>
        <w:t>”</w:t>
      </w:r>
      <w:r>
        <w:rPr>
          <w:rFonts w:ascii="Times New Roman" w:hAnsi="Times New Roman"/>
          <w:i/>
          <w:sz w:val="20"/>
          <w:bdr w:val="single" w:sz="8" w:space="1" w:color="000000"/>
        </w:rPr>
        <w:t>) and Fidus Mezzanine Capital IV, L.P. (</w:t>
      </w:r>
      <w:r>
        <w:rPr>
          <w:rFonts w:ascii="Times New Roman" w:hAnsi="Times New Roman"/>
          <w:sz w:val="20"/>
          <w:bdr w:val="single" w:sz="8" w:space="1" w:color="000000"/>
        </w:rPr>
        <w:t>“</w:t>
      </w:r>
      <w:r>
        <w:rPr>
          <w:rFonts w:ascii="Times New Roman" w:hAnsi="Times New Roman"/>
          <w:i/>
          <w:sz w:val="20"/>
          <w:bdr w:val="single" w:sz="8" w:space="1" w:color="000000"/>
        </w:rPr>
        <w:t>Fund IV</w:t>
      </w:r>
      <w:r>
        <w:rPr>
          <w:rFonts w:ascii="Times New Roman" w:hAnsi="Times New Roman"/>
          <w:sz w:val="20"/>
          <w:bdr w:val="single" w:sz="8" w:space="1" w:color="000000"/>
        </w:rPr>
        <w:t xml:space="preserve">” </w:t>
      </w:r>
      <w:r>
        <w:rPr>
          <w:rFonts w:ascii="Times New Roman" w:hAnsi="Times New Roman"/>
          <w:i/>
          <w:sz w:val="20"/>
          <w:bdr w:val="single" w:sz="8" w:space="1" w:color="000000"/>
        </w:rPr>
        <w:t xml:space="preserve">and together with Fund III, the </w:t>
      </w:r>
      <w:r>
        <w:rPr>
          <w:rFonts w:ascii="Times New Roman" w:hAnsi="Times New Roman"/>
          <w:sz w:val="20"/>
          <w:bdr w:val="single" w:sz="8" w:space="1" w:color="000000"/>
        </w:rPr>
        <w:t>“</w:t>
      </w:r>
      <w:r>
        <w:rPr>
          <w:rFonts w:ascii="Times New Roman" w:hAnsi="Times New Roman"/>
          <w:i/>
          <w:sz w:val="20"/>
          <w:bdr w:val="single" w:sz="8" w:space="1" w:color="000000"/>
        </w:rPr>
        <w:t>SBIC Funds</w:t>
      </w:r>
      <w:r>
        <w:rPr>
          <w:rFonts w:ascii="Times New Roman" w:hAnsi="Times New Roman"/>
          <w:sz w:val="20"/>
          <w:bdr w:val="single" w:sz="8" w:space="1" w:color="000000"/>
        </w:rPr>
        <w:t>”</w:t>
      </w:r>
      <w:r>
        <w:rPr>
          <w:rFonts w:ascii="Times New Roman" w:hAnsi="Times New Roman"/>
          <w:i/>
          <w:sz w:val="20"/>
          <w:bdr w:val="single" w:sz="8" w:space="1" w:color="000000"/>
        </w:rPr>
        <w:t xml:space="preserve">). Fidus Investment GP, LLC, the general partner of the SBIC Funds, is also a wholly owned subsidiary of FIC. Each SBIC Fund is licensed by the U.S. Small Business Administration (the </w:t>
      </w:r>
      <w:r>
        <w:rPr>
          <w:rFonts w:ascii="Times New Roman" w:hAnsi="Times New Roman"/>
          <w:sz w:val="20"/>
          <w:bdr w:val="single" w:sz="8" w:space="1" w:color="000000"/>
        </w:rPr>
        <w:t>“</w:t>
      </w:r>
      <w:r>
        <w:rPr>
          <w:rFonts w:ascii="Times New Roman" w:hAnsi="Times New Roman"/>
          <w:i/>
          <w:sz w:val="20"/>
          <w:bdr w:val="single" w:sz="8" w:space="1" w:color="000000"/>
        </w:rPr>
        <w:t>SBA</w:t>
      </w:r>
      <w:r>
        <w:rPr>
          <w:rFonts w:ascii="Times New Roman" w:hAnsi="Times New Roman"/>
          <w:sz w:val="20"/>
          <w:bdr w:val="single" w:sz="8" w:space="1" w:color="000000"/>
        </w:rPr>
        <w:t>”</w:t>
      </w:r>
      <w:r>
        <w:rPr>
          <w:rFonts w:ascii="Times New Roman" w:hAnsi="Times New Roman"/>
          <w:i/>
          <w:sz w:val="20"/>
          <w:bdr w:val="single" w:sz="8" w:space="1" w:color="000000"/>
        </w:rPr>
        <w:t>) to operate as a small business investment company (</w:t>
      </w:r>
      <w:r>
        <w:rPr>
          <w:rFonts w:ascii="Times New Roman" w:hAnsi="Times New Roman"/>
          <w:sz w:val="20"/>
          <w:bdr w:val="single" w:sz="8" w:space="1" w:color="000000"/>
        </w:rPr>
        <w:t>“</w:t>
      </w:r>
      <w:r>
        <w:rPr>
          <w:rFonts w:ascii="Times New Roman" w:hAnsi="Times New Roman"/>
          <w:i/>
          <w:sz w:val="20"/>
          <w:bdr w:val="single" w:sz="8" w:space="1" w:color="000000"/>
        </w:rPr>
        <w:t>SBIC</w:t>
      </w:r>
      <w:r>
        <w:rPr>
          <w:rFonts w:ascii="Times New Roman" w:hAnsi="Times New Roman"/>
          <w:sz w:val="20"/>
          <w:bdr w:val="single" w:sz="8" w:space="1" w:color="000000"/>
        </w:rPr>
        <w:t>”</w:t>
      </w:r>
      <w:r>
        <w:rPr>
          <w:rFonts w:ascii="Times New Roman" w:hAnsi="Times New Roman"/>
          <w:i/>
          <w:sz w:val="20"/>
          <w:bdr w:val="single" w:sz="8" w:space="1" w:color="000000"/>
        </w:rPr>
        <w:t>). The SBIC Funds utilize the proceeds of the issuance</w:t>
      </w:r>
      <w:r>
        <w:rPr>
          <w:rFonts w:ascii="Times New Roman" w:hAnsi="Times New Roman"/>
          <w:sz w:val="20"/>
          <w:bdr w:val="single" w:sz="8" w:space="1" w:color="000000"/>
        </w:rPr>
        <w:t> </w:t>
      </w:r>
      <w:r>
        <w:rPr>
          <w:rFonts w:ascii="Times New Roman" w:hAnsi="Times New Roman"/>
          <w:i/>
          <w:sz w:val="20"/>
          <w:bdr w:val="single" w:sz="8" w:space="1" w:color="000000"/>
        </w:rPr>
        <w:t>of</w:t>
      </w:r>
      <w:r>
        <w:rPr>
          <w:rFonts w:ascii="Times New Roman" w:hAnsi="Times New Roman"/>
          <w:sz w:val="20"/>
          <w:bdr w:val="single" w:sz="8" w:space="1" w:color="000000"/>
        </w:rPr>
        <w:t> </w:t>
      </w:r>
      <w:r>
        <w:rPr>
          <w:rFonts w:ascii="Times New Roman" w:hAnsi="Times New Roman"/>
          <w:i/>
          <w:sz w:val="20"/>
          <w:bdr w:val="single" w:sz="8" w:space="1" w:color="000000"/>
        </w:rPr>
        <w:t>SBA-guaranteed</w:t>
      </w:r>
      <w:r>
        <w:rPr>
          <w:rFonts w:ascii="Times New Roman" w:hAnsi="Times New Roman"/>
          <w:sz w:val="20"/>
          <w:bdr w:val="single" w:sz="8" w:space="1" w:color="000000"/>
        </w:rPr>
        <w:t> </w:t>
      </w:r>
      <w:r>
        <w:rPr>
          <w:rFonts w:ascii="Times New Roman" w:hAnsi="Times New Roman"/>
          <w:i/>
          <w:sz w:val="20"/>
          <w:bdr w:val="single" w:sz="8" w:space="1" w:color="000000"/>
        </w:rPr>
        <w:t>debentures (“SBA debentures”)</w:t>
      </w:r>
      <w:r>
        <w:rPr>
          <w:rFonts w:ascii="Times New Roman" w:hAnsi="Times New Roman"/>
          <w:sz w:val="20"/>
          <w:bdr w:val="single" w:sz="8" w:space="1" w:color="000000"/>
        </w:rPr>
        <w:t> </w:t>
      </w:r>
      <w:r>
        <w:rPr>
          <w:rFonts w:ascii="Times New Roman" w:hAnsi="Times New Roman"/>
          <w:i/>
          <w:sz w:val="20"/>
          <w:bdr w:val="single" w:sz="8" w:space="1" w:color="000000"/>
        </w:rPr>
        <w:t>to enhance returns to our stockholders. We believe that utilizing both FIC and the</w:t>
      </w:r>
      <w:r>
        <w:rPr>
          <w:rFonts w:ascii="Times New Roman" w:hAnsi="Times New Roman"/>
          <w:sz w:val="20"/>
          <w:bdr w:val="single" w:sz="8" w:space="1" w:color="000000"/>
        </w:rPr>
        <w:t> </w:t>
      </w:r>
      <w:r>
        <w:rPr>
          <w:rFonts w:ascii="Times New Roman" w:hAnsi="Times New Roman"/>
          <w:i/>
          <w:sz w:val="20"/>
          <w:bdr w:val="single" w:sz="8" w:space="1" w:color="000000"/>
        </w:rPr>
        <w:t>SBIC Funds as investment vehicles provides us with access to a broader array of investment opportunities. Given our access to lower cost capital through the SBA’s SBIC debenture program, we expect that we will continue to make investments through the SBIC Funds during the investment period until the SBIC Funds reach their borrowing limits under the SBA program. For two or more SBICs under common control, the maximum amount of outstanding SBA debentures cannot exceed $475.0</w:t>
      </w:r>
      <w:r>
        <w:rPr>
          <w:rFonts w:ascii="Times New Roman" w:hAnsi="Times New Roman"/>
          <w:sz w:val="20"/>
          <w:bdr w:val="single" w:sz="8" w:space="1" w:color="000000"/>
        </w:rPr>
        <w:t> </w:t>
      </w:r>
      <w:r>
        <w:rPr>
          <w:rFonts w:ascii="Times New Roman" w:hAnsi="Times New Roman"/>
          <w:i/>
          <w:sz w:val="20"/>
          <w:bdr w:val="single" w:sz="8" w:space="1" w:color="000000"/>
        </w:rPr>
        <w:t>million, subject to the SBA’s approval.</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Unless otherwise noted in this prospectus, the terms </w:t>
      </w:r>
      <w:r>
        <w:rPr>
          <w:rFonts w:ascii="Times New Roman" w:hAnsi="Times New Roman"/>
          <w:sz w:val="20"/>
          <w:bdr w:val="single" w:sz="8" w:space="1" w:color="000000"/>
        </w:rPr>
        <w:t>“</w:t>
      </w:r>
      <w:r>
        <w:rPr>
          <w:rFonts w:ascii="Times New Roman" w:hAnsi="Times New Roman"/>
          <w:i/>
          <w:sz w:val="20"/>
          <w:bdr w:val="single" w:sz="8" w:space="1" w:color="000000"/>
        </w:rPr>
        <w:t>we,</w:t>
      </w:r>
      <w:r>
        <w:rPr>
          <w:rFonts w:ascii="Times New Roman" w:hAnsi="Times New Roman"/>
          <w:sz w:val="20"/>
          <w:bdr w:val="single" w:sz="8" w:space="1" w:color="000000"/>
        </w:rPr>
        <w:t>” “</w:t>
      </w:r>
      <w:r>
        <w:rPr>
          <w:rFonts w:ascii="Times New Roman" w:hAnsi="Times New Roman"/>
          <w:i/>
          <w:sz w:val="20"/>
          <w:bdr w:val="single" w:sz="8" w:space="1" w:color="000000"/>
        </w:rPr>
        <w:t>us,</w:t>
      </w:r>
      <w:r>
        <w:rPr>
          <w:rFonts w:ascii="Times New Roman" w:hAnsi="Times New Roman"/>
          <w:sz w:val="20"/>
          <w:bdr w:val="single" w:sz="8" w:space="1" w:color="000000"/>
        </w:rPr>
        <w:t>” “</w:t>
      </w:r>
      <w:r>
        <w:rPr>
          <w:rFonts w:ascii="Times New Roman" w:hAnsi="Times New Roman"/>
          <w:i/>
          <w:sz w:val="20"/>
          <w:bdr w:val="single" w:sz="8" w:space="1" w:color="000000"/>
        </w:rPr>
        <w:t>our,</w:t>
      </w:r>
      <w:r>
        <w:rPr>
          <w:rFonts w:ascii="Times New Roman" w:hAnsi="Times New Roman"/>
          <w:sz w:val="20"/>
          <w:bdr w:val="single" w:sz="8" w:space="1" w:color="000000"/>
        </w:rPr>
        <w:t xml:space="preserve">” </w:t>
      </w:r>
      <w:r>
        <w:rPr>
          <w:rFonts w:ascii="Times New Roman" w:hAnsi="Times New Roman"/>
          <w:i/>
          <w:sz w:val="20"/>
          <w:bdr w:val="single" w:sz="8" w:space="1" w:color="000000"/>
        </w:rPr>
        <w:t xml:space="preserve">the </w:t>
      </w:r>
      <w:r>
        <w:rPr>
          <w:rFonts w:ascii="Times New Roman" w:hAnsi="Times New Roman"/>
          <w:sz w:val="20"/>
          <w:bdr w:val="single" w:sz="8" w:space="1" w:color="000000"/>
        </w:rPr>
        <w:t>“</w:t>
      </w:r>
      <w:r>
        <w:rPr>
          <w:rFonts w:ascii="Times New Roman" w:hAnsi="Times New Roman"/>
          <w:i/>
          <w:sz w:val="20"/>
          <w:bdr w:val="single" w:sz="8" w:space="1" w:color="000000"/>
        </w:rPr>
        <w:t>Company,</w:t>
      </w:r>
      <w:r>
        <w:rPr>
          <w:rFonts w:ascii="Times New Roman" w:hAnsi="Times New Roman"/>
          <w:sz w:val="20"/>
          <w:bdr w:val="single" w:sz="8" w:space="1" w:color="000000"/>
        </w:rPr>
        <w:t>” “</w:t>
      </w:r>
      <w:r>
        <w:rPr>
          <w:rFonts w:ascii="Times New Roman" w:hAnsi="Times New Roman"/>
          <w:i/>
          <w:sz w:val="20"/>
          <w:bdr w:val="single" w:sz="8" w:space="1" w:color="000000"/>
        </w:rPr>
        <w:t>Fidus</w:t>
      </w:r>
      <w:r>
        <w:rPr>
          <w:rFonts w:ascii="Times New Roman" w:hAnsi="Times New Roman"/>
          <w:sz w:val="20"/>
          <w:bdr w:val="single" w:sz="8" w:space="1" w:color="000000"/>
        </w:rPr>
        <w:t xml:space="preserve">” </w:t>
      </w:r>
      <w:r>
        <w:rPr>
          <w:rFonts w:ascii="Times New Roman" w:hAnsi="Times New Roman"/>
          <w:i/>
          <w:sz w:val="20"/>
          <w:bdr w:val="single" w:sz="8" w:space="1" w:color="000000"/>
        </w:rPr>
        <w:t xml:space="preserve">and </w:t>
      </w:r>
      <w:r>
        <w:rPr>
          <w:rFonts w:ascii="Times New Roman" w:hAnsi="Times New Roman"/>
          <w:sz w:val="20"/>
          <w:bdr w:val="single" w:sz="8" w:space="1" w:color="000000"/>
        </w:rPr>
        <w:t>“</w:t>
      </w:r>
      <w:r>
        <w:rPr>
          <w:rFonts w:ascii="Times New Roman" w:hAnsi="Times New Roman"/>
          <w:i/>
          <w:sz w:val="20"/>
          <w:bdr w:val="single" w:sz="8" w:space="1" w:color="000000"/>
        </w:rPr>
        <w:t>FIC</w:t>
      </w:r>
      <w:r>
        <w:rPr>
          <w:rFonts w:ascii="Times New Roman" w:hAnsi="Times New Roman"/>
          <w:sz w:val="20"/>
          <w:bdr w:val="single" w:sz="8" w:space="1" w:color="000000"/>
        </w:rPr>
        <w:t xml:space="preserve">” </w:t>
      </w:r>
      <w:r>
        <w:rPr>
          <w:rFonts w:ascii="Times New Roman" w:hAnsi="Times New Roman"/>
          <w:i/>
          <w:sz w:val="20"/>
          <w:bdr w:val="single" w:sz="8" w:space="1" w:color="000000"/>
        </w:rPr>
        <w:t>refer to Fidus Investment Corporation and its consolidated subsidiaries.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As used in this prospectus, the term </w:t>
      </w:r>
      <w:r>
        <w:rPr>
          <w:rFonts w:ascii="Times New Roman" w:hAnsi="Times New Roman"/>
          <w:sz w:val="20"/>
          <w:bdr w:val="single" w:sz="8" w:space="1" w:color="000000"/>
        </w:rPr>
        <w:t>“</w:t>
      </w:r>
      <w:r>
        <w:rPr>
          <w:rFonts w:ascii="Times New Roman" w:hAnsi="Times New Roman"/>
          <w:i/>
          <w:sz w:val="20"/>
          <w:bdr w:val="single" w:sz="8" w:space="1" w:color="000000"/>
        </w:rPr>
        <w:t>our investment advisor</w:t>
      </w:r>
      <w:r>
        <w:rPr>
          <w:rFonts w:ascii="Times New Roman" w:hAnsi="Times New Roman"/>
          <w:sz w:val="20"/>
          <w:bdr w:val="single" w:sz="8" w:space="1" w:color="000000"/>
        </w:rPr>
        <w:t xml:space="preserve">” </w:t>
      </w:r>
      <w:r>
        <w:rPr>
          <w:rFonts w:ascii="Times New Roman" w:hAnsi="Times New Roman"/>
          <w:i/>
          <w:sz w:val="20"/>
          <w:bdr w:val="single" w:sz="8" w:space="1" w:color="000000"/>
        </w:rPr>
        <w:t>refers to Fidus Investment Advisors, LLC.</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Fidus Investment Corporation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Although we are classified as a non-diversified investment company within the meaning of the 1940 Act, we maintain the flexibility to operate as a diversified investment company and have done so for an extended period of time. We seek to maintain a diversified portfolio of investments in order to help mitigate the potential effects of adverse economic events related to particular companies, regions or industries.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invest in companies that possess some or all of the following attributes: predictable revenues; positive cash flows; defensible and/or leading market positions; diversified customer and supplier bases; and proven management teams with strong operating discipline. We target companies in the lower middle-market with annual earnings, before interest, taxes, depreciation and amortization, or EBITDA, between $5.0 million and $30.0 million; however, we may from time to time opportunistically make investments in larger or smaller companies. Our investments typically range between $5.0 million and $35.0 million per portfolio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As of June 30, 2026, we had active debt and equity investments in 100 portfolio companies and residual investments in eight portfolio companies that have sold their underlying operations with an aggregate fair value of $1.4 billion.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Advisor and Administrator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investment activities are managed by Fidus Investment Advisors, LLC, our investment advisor, and supervised by our board of directors, a majority of whom are not “interested persons” (as defined in Section 2(a)(19) of the 1940 Act) of FIC (the “Independent Directors”). Our investment advisor is a Delaware limited liability company that is registered as an investment advisor under the Investment Advisers Act of 1940, as amended. In addition, Fidus Investment Advisors, LLC serves as our administrator and provides us with office space, equipment and clerical, book-keeping and record-keeping services pursuant to an administration agreement, which we refer to as the Administration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terms of the investment advisory and management agreement between us and our investment advisor (the “Investment Advisory Agreement”), our investment advisor is responsible for determining the composition of our portfolio, including sourcing potential investments, conducting research and diligence on potential investments and equity sponsors, analyzing investment opportunities, structuring our investments and monitoring our investments and portfolio companies on an ongoing basis. Our investment advisor’s investment professionals seek to capitalize on their significant deal origination and sourcing, underwriting, due diligence, investment structuring, execution, portfolio management and monitoring experience. These professionals have developed a broad network of contacts within the investment community, have gained extensive experience investing in assets that constitute our primary focus and have expertise in investing across all levels of the capital structure of lower middle-market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relationship with our investment advisor is governed by and dependent on the Investment Advisory Agreement and may be subject to conflicts of interest. We pay our investment advisor a fee for its services under the Investment Advisory Agreement consisting of two components—a base management fee and an incentive fee. The base management fee is calculated at an annual rate of 1.75% of the average value of our total assets (other than cash or cash equivalents but including assets purchased with borrowed amounts) at the end of the two most recently completed calendar quarters. The incentive fee consists of two parts. The first part is calculated and payable quarterly in arrears and equals 20.0% of our “pre-incentive fee net investment income” for the immediately preceding quarter, subject to a 2.0% preferred return, or “hurdle,” and a “catch up” feature. The second part is determined and payable in arrears as of the end of each fiscal year in an amount equal to 20.0% of our realized capital gains, if any, on a cumulative basis from inception through the end of each fiscal year, computed net of all realized capital losses and unrealized capital depreciation on a cumulative basis, less the aggregate amount of any capital gain incentive fees paid in prior years. We accrue, but do not pay, a capital gains incentive fee in connection with any unrealized capital appreciation, as appropriate.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Among other things, our board of directors is charged with protecting our interests by monitoring how our investment advisor addresses conflicts of interest associated with its management services and compensation.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 Renewal of our Investment Advisory Agreement must be approved each year by our board of directors, including a majority of our Independent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of the Terms of the Exchange Offer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The following summary contains basic information about the exchange offer. It does not contain all the information that may be important to you. For a more complete description of the exchange offer, you should read the discussion under the heading </w:t>
      </w:r>
      <w:r>
        <w:rPr>
          <w:rFonts w:ascii="Times New Roman" w:hAnsi="Times New Roman"/>
          <w:sz w:val="20"/>
          <w:bdr w:val="single" w:sz="8" w:space="1" w:color="000000"/>
        </w:rPr>
        <w:t>“</w:t>
      </w:r>
      <w:r>
        <w:rPr>
          <w:rFonts w:ascii="Times New Roman" w:hAnsi="Times New Roman"/>
          <w:i/>
          <w:sz w:val="20"/>
          <w:bdr w:val="single" w:sz="8" w:space="1" w:color="000000"/>
        </w:rPr>
        <w:t>The Exchange Offer.”</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Exchange Notes</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$120,000,000 aggregate principal amount of 6.625% Notes due 2029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The terms of our Exchange Notes that have been registered with the SEC under the Securities Act of 1933, as amended (the “Securities Act”) are substantially identical to those of our outstanding 6.625% Notes due 2029 (the “Restricted Notes”) that were issued in a transaction not requiring registration under the Securities Act on May 29, 2026, except that the transfer restrictions and registration rights relating to the Restricted Notes will not apply to the Exchange Notes, and the Exchange Notes will not provide for the payment of additional interest in the event of a registration default. In addition, the Exchange Notes will bear a different CUSIP number than the Restricted Notes. See “</w:t>
            </w:r>
            <w:r>
              <w:rPr>
                <w:i/>
              </w:rPr>
              <w:t>Description of the Exchange Notes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We refer to the Restricted Notes and the Exchange Notes collectively as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Restricted Notes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$120,000,000 aggregate principal amount of 6.625% Notes due 2029, which were issued in a private placement on May 29,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The Exchange Offer</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In the exchange offer, we will exchange the Restricted Notes for a like principal amount of the Exchange Notes to satisfy certain of our obligations under the registration rights agreement (the “Registration Rights Agreement”) that we entered into when the Restricted Notes were issued in reliance upon exemptions from registration under the Securities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In order to be exchanged, an outstanding Restricted Note must be validly tendered and accepted. We will accept any and all Restricted Notes validly tendered and not withdrawn prior to 5:00 p.m., New York City time, on October 16, 2026. Holders may tender some or all of their Restricted Notes pursuant to the exchange offer. However, Restricted Notes may be tendered only in denominations of $2,000 integral multiples of $1,000 in excess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We will issue Exchange Notes promptly after the expiration of the exchange offer. See “</w:t>
            </w:r>
            <w:r>
              <w:rPr>
                <w:i/>
              </w:rPr>
              <w:t>The Exchange Offer—Terms of the Exchange Offer.</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Registration Rights Agreement</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In connection with the private placement of the Restricted Notes, we entered into a Registration Rights Agreement with the purchasers listed in Schedule I thereto.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Under the Registration Rights Agreement, we agreed, for the benefit of the holders of the Restricted Notes, to use commercially reasonable efforts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0"/>
        <w:gridCol w:w="101"/>
        <w:gridCol w:w="6126"/>
      </w:tblGrid>
      <w:tr>
        <w:trPr/>
        <w:tc>
          <w:tcPr>
            <w:tcW w:w="3878"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a registration statement (the “Exchange Offer Registration Statement”) with respect to a registered offer to exchange the Restricted Notes for the Exchange Notes having terms substantially identical to the Restricted Notes being exchanged, except that the transfer restrictions and registration rights relating to the Restricted Notes will not apply to the Exchange Notes, and the Exchange Notes will not provide for the payment of additional interest in the event of a registration default;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the exchange offer registration statement to become or be declared effective by the SEC under the Securities Act;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2"/>
        <w:gridCol w:w="101"/>
        <w:gridCol w:w="6124"/>
      </w:tblGrid>
      <w:tr>
        <w:trPr/>
        <w:tc>
          <w:tcPr>
            <w:tcW w:w="387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consummate the exchange offer on the earliest practicable date after the Exchange Offer Registration Statement has been declared effective but in no event later than 365 days after the issue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registration statement of which this prospectus forms a part constitutes an Exchange Offer Registration Statement for purposes of the Registration Rights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also agreed to keep the Exchange Offer Registration Statement effective for not less than the minimum period required under applicable federal and state securities laws to consummate the exchange offer; </w:t>
            </w:r>
            <w:r>
              <w:rPr>
                <w:i/>
              </w:rPr>
              <w:t>provided</w:t>
            </w:r>
            <w:r>
              <w:rPr/>
              <w:t xml:space="preserve">, </w:t>
            </w:r>
            <w:r>
              <w:rPr>
                <w:i/>
              </w:rPr>
              <w:t>however</w:t>
            </w:r>
            <w:r>
              <w:rPr/>
              <w:t xml:space="preserve">, that in no event shall such period be less than 20 business days after the commencement of the exchange offer. If we fail to meet certain conditions described in the Registration Rights Agreement (a “Registration Default”), the interest rate borne by the Restricted Notes will increase by 0.25% per annum for the first 90-day period following the occurrence of such Registration Default and will increase by an additional 0.25% per annum with respect to the subsequent 90-day period, for a maximum of 0.50% per annum as set forth in the Registration Rights Agreement (the “Additional Interest”). Additional Interest due pursuant to any Registration Default will be paid in cash on the relevant interest payment date to holders of record on the relevant regular record dates. Following the cure of all Registration Defaults relating to any particular Restricted Notes, the interest rate borne by the Restricted Notes will be reduced to the original interest rate borne by such Restricted Notes; </w:t>
            </w:r>
            <w:r>
              <w:rPr>
                <w:i/>
              </w:rPr>
              <w:t>provided</w:t>
            </w:r>
            <w:r>
              <w:rPr/>
              <w:t xml:space="preserve">, </w:t>
            </w:r>
            <w:r>
              <w:rPr>
                <w:i/>
              </w:rPr>
              <w:t>however</w:t>
            </w:r>
            <w:r>
              <w:rPr/>
              <w:t xml:space="preserve">, that, if after any such reduction in interest rate, a different Registration Default occurs, the interest rate borne by the relevant Restricted Notes will again be increased pursuant to the foregoing provisions.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for any reason, we are not able to effect the exchange offer on or before 365 days from the issue date of the applicable Registration Rights Agreement, upon any note holder’s request, we will be obligated to cause to be filed a shelf registration statement covering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resale of the Notes and use our commercially reasonable efforts to cause such registration statement to be declared effective.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A copy of the Registration Rights Agreement is incorporated by reference as an exhibit to the registration statement of which this prospectus forms a part. See “</w:t>
            </w:r>
            <w:r>
              <w:rPr>
                <w:i/>
              </w:rPr>
              <w:t>The Exchange Offer—Purpose and Effect of the Exchange Offer</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Resales of Exchange Notes</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We believe that the Exchange Notes received in the exchange offer may be resold or otherwise transferred by you without compliance with the registration and prospectus delivery requirements of the Securities Act (subject to the limitations described below). This, however, is based on your representations to us that: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510"/>
        <w:gridCol w:w="5818"/>
      </w:tblGrid>
      <w:tr>
        <w:trPr/>
        <w:tc>
          <w:tcPr>
            <w:tcW w:w="387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acquiring the Exchange Notes in the ordinary course of your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509"/>
        <w:gridCol w:w="5818"/>
      </w:tblGrid>
      <w:tr>
        <w:trPr/>
        <w:tc>
          <w:tcPr>
            <w:tcW w:w="387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engaging in and do not intend to engage in a distribution of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510"/>
        <w:gridCol w:w="5818"/>
      </w:tblGrid>
      <w:tr>
        <w:trPr/>
        <w:tc>
          <w:tcPr>
            <w:tcW w:w="387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have an arrangement or understanding with any person or entity to participate in the distribution of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511"/>
        <w:gridCol w:w="5818"/>
      </w:tblGrid>
      <w:tr>
        <w:trPr/>
        <w:tc>
          <w:tcPr>
            <w:tcW w:w="387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(4)</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our “affiliate,” as that term is defined in Rule 405 under the Securities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508"/>
        <w:gridCol w:w="5819"/>
      </w:tblGrid>
      <w:tr>
        <w:trPr/>
        <w:tc>
          <w:tcPr>
            <w:tcW w:w="387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broker-dealer tendering Restricted Notes acquired directly from us for your own account;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510"/>
        <w:gridCol w:w="5817"/>
      </w:tblGrid>
      <w:tr>
        <w:trPr/>
        <w:tc>
          <w:tcPr>
            <w:tcW w:w="387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581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acting on behalf of any person that could not truthfully make these representations.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Our belief is based on interpretations by the staff of the SEC, as set forth in no-action letters issued to third parties unrelated to us, including </w:t>
            </w:r>
            <w:r>
              <w:rPr>
                <w:i/>
              </w:rPr>
              <w:t>Exxon Capital Holdings Corp.</w:t>
            </w:r>
            <w:r>
              <w:rPr/>
              <w:t xml:space="preserve">, SEC no-action letter (April 13, 1988), </w:t>
            </w:r>
            <w:r>
              <w:rPr>
                <w:i/>
              </w:rPr>
              <w:t>Morgan, Stanley</w:t>
            </w:r>
            <w:r>
              <w:rPr/>
              <w:t> </w:t>
            </w:r>
            <w:r>
              <w:rPr>
                <w:i/>
              </w:rPr>
              <w:t>&amp; Co. Inc.</w:t>
            </w:r>
            <w:r>
              <w:rPr/>
              <w:t xml:space="preserve">, SEC no-action letter (June 5, 1991) and </w:t>
            </w:r>
            <w:r>
              <w:rPr>
                <w:i/>
              </w:rPr>
              <w:t>Shearman</w:t>
            </w:r>
            <w:r>
              <w:rPr/>
              <w:t> </w:t>
            </w:r>
            <w:r>
              <w:rPr>
                <w:i/>
              </w:rPr>
              <w:t>&amp; Sterling</w:t>
            </w:r>
            <w:r>
              <w:rPr/>
              <w:t xml:space="preserve">, SEC no-action letter (July 2, 1993). We have not asked the staff for a no-action letter in connection with the exchange offer, however, and we cannot assure you that the staff would make a similar determination with respect to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If you cannot make the representations described above: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2"/>
        <w:gridCol w:w="6124"/>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612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cannot rely on the applicable interpretations of the staff of the SEC;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101"/>
        <w:gridCol w:w="100"/>
        <w:gridCol w:w="6125"/>
      </w:tblGrid>
      <w:tr>
        <w:trPr/>
        <w:tc>
          <w:tcPr>
            <w:tcW w:w="387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not participate in the exchange offer;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0"/>
        <w:gridCol w:w="101"/>
        <w:gridCol w:w="6126"/>
      </w:tblGrid>
      <w:tr>
        <w:trPr/>
        <w:tc>
          <w:tcPr>
            <w:tcW w:w="3878"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in the absence of an exemption therefrom, comply with the registration and prospectus delivery requirements of the Securities Act in connection with any resale or other transfer of your Restricted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Any broker-dealer that receives Exchange Notes for its own account in the exchange offer for Restricted Notes that were acquired as a result of market-making or other trading activities must acknowledge that it will comply with the prospectus delivery requirements of the Securities Act in connection with any resale or other transfer of the Exchange Notes received in the exchange offer. See “</w:t>
            </w:r>
            <w:r>
              <w:rPr>
                <w:i/>
              </w:rPr>
              <w:t>Plan of Distribution</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Expiration Date</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 exchange offer will expire at 5:00 p.m., New York City time, on October 16, 2026, unless we decide to extend the exchange offer. We do not currently intend to extend the exchange offer, although we reserve the right to do so.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Conditions to the Exchange Offer</w:t>
            </w:r>
            <w:r>
              <w:rPr>
                <w:rFonts w:ascii="Times New Roman" w:hAnsi="Times New Roman"/>
                <w:sz w:val="20"/>
              </w:rPr>
              <w:t xml:space="preserve"> </w:t>
            </w:r>
          </w:p>
        </w:tc>
        <w:tc>
          <w:tcPr>
            <w:tcW w:w="6328" w:type="dxa"/>
            <w:tcBorders/>
          </w:tcPr>
          <w:p>
            <w:pPr>
              <w:pStyle w:val="TableContents"/>
              <w:bidi w:val="0"/>
              <w:spacing w:before="0" w:after="283"/>
              <w:jc w:val="left"/>
              <w:rPr/>
            </w:pPr>
            <w:r>
              <w:rPr/>
              <w:t>The exchange offer is subject to customary conditions, including that it will not violate any applicable law or any applicable interpretation of the staff of the SEC. The exchange offer is not conditioned upon any minimum principal amount of Restricted Notes being tendered for exchange. See “</w:t>
            </w:r>
            <w:r>
              <w:rPr>
                <w:i/>
              </w:rPr>
              <w:t>The Exchange Offer—Conditions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Procedures for Tendering Restricted Notes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 Restricted Notes are represented by global securities in fully registered form without coupons. Beneficial interests in the Restricted Notes are held by direct or indirect participants in The Depository Trust Company (“DTC”) through certificateless depositary interests and are shown on, and transfers of the Restricted Notes can be made only through, records maintained in book-entry form by DTC with respect to its participants.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Accordingly, if you wish to exchange your Restricted Notes for Exchange Notes pursuant to the exchange offer, you must transmit to U.S. Bank Trust Company, National Association, our exchange agent, prior to the expiration of the exchange offer, a computer-generated message transmitted through DTC’s Automated Tender Offer Program, which we refer to as “ATOP,” system and received by the exchange agent and forming a part of a confirmation of book-entry transfer in which you acknowledge and agree to be bound by the terms of the letter of transmittal (“Letter of Transmittal”). See “</w:t>
            </w:r>
            <w:r>
              <w:rPr>
                <w:i/>
              </w:rPr>
              <w:t>The Exchange Offer—Procedures for Tendering Restricted Notes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Procedures for Beneficial Owners</w:t>
            </w:r>
            <w:r>
              <w:rPr>
                <w:rFonts w:ascii="Times New Roman" w:hAnsi="Times New Roman"/>
                <w:sz w:val="20"/>
              </w:rPr>
              <w:t xml:space="preserve"> </w:t>
            </w:r>
          </w:p>
        </w:tc>
        <w:tc>
          <w:tcPr>
            <w:tcW w:w="6329" w:type="dxa"/>
            <w:tcBorders/>
          </w:tcPr>
          <w:p>
            <w:pPr>
              <w:pStyle w:val="TableContents"/>
              <w:bidi w:val="0"/>
              <w:spacing w:before="0" w:after="283"/>
              <w:jc w:val="left"/>
              <w:rPr/>
            </w:pPr>
            <w:r>
              <w:rPr/>
              <w:t>If you are the beneficial owner of Restricted Notes that are held in the name of a broker, dealer, commercial bank, trust company or other nominee, and you wish to tender your Restricted Notes in the exchange offer, you should promptly contact the person in whose name your Restricted Notes are held and instruct that person to tender on your behalf. See “</w:t>
            </w:r>
            <w:r>
              <w:rPr>
                <w:i/>
              </w:rPr>
              <w:t>The Exchange Offer—Procedures for Tendering Restricted Notes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Acceptance of Restricted Notes and Delivery of Exchange Notes</w:t>
            </w:r>
            <w:r>
              <w:rPr>
                <w:rFonts w:ascii="Times New Roman" w:hAnsi="Times New Roman"/>
                <w:sz w:val="20"/>
              </w:rPr>
              <w:t xml:space="preserve">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Except under the circumstances summarized above under “—</w:t>
            </w:r>
            <w:r>
              <w:rPr>
                <w:rFonts w:ascii="Times New Roman" w:hAnsi="Times New Roman"/>
                <w:i/>
                <w:sz w:val="20"/>
              </w:rPr>
              <w:t>Conditions to the Exchange Offer</w:t>
            </w:r>
            <w:r>
              <w:rPr>
                <w:rFonts w:ascii="Times New Roman" w:hAnsi="Times New Roman"/>
                <w:sz w:val="20"/>
              </w:rPr>
              <w:t xml:space="preserve">,” we will accept for exchange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any and all Restricted Notes that are validly tendered (and not withdrawn) in the exchange offer prior to 5:00 p.m., New York City time, on the expiration date of the exchange offer. The Exchange Notes to be issued to you in the exchange offer will be delivered by credit to the accounts at DTC of the applicable DTC participants promptly following completion of the exchange offer. See “</w:t>
            </w:r>
            <w:r>
              <w:rPr>
                <w:rFonts w:ascii="Times New Roman" w:hAnsi="Times New Roman"/>
                <w:i/>
                <w:sz w:val="20"/>
              </w:rPr>
              <w:t>The Exchange Offer—Terms of the Exchange Offer</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Withdrawal Rights; Non-Acceptance</w:t>
            </w:r>
            <w:r>
              <w:rPr>
                <w:rFonts w:ascii="Times New Roman" w:hAnsi="Times New Roman"/>
                <w:sz w:val="20"/>
              </w:rPr>
              <w:t xml:space="preserve"> </w:t>
            </w:r>
          </w:p>
        </w:tc>
        <w:tc>
          <w:tcPr>
            <w:tcW w:w="6328" w:type="dxa"/>
            <w:tcBorders/>
          </w:tcPr>
          <w:p>
            <w:pPr>
              <w:pStyle w:val="TableContents"/>
              <w:bidi w:val="0"/>
              <w:spacing w:before="0" w:after="283"/>
              <w:jc w:val="left"/>
              <w:rPr/>
            </w:pPr>
            <w:r>
              <w:rPr/>
              <w:t>You may withdraw any tender of your Restricted Notes at any time prior to 5:00 p.m., New York City time, on the expiration date of the exchange offer by following the procedures described in this prospectus and the letter of transmittal. Any Restricted Notes that have been tendered for exchange but are withdrawn or otherwise not exchanged for any reason will be returned by credit to the accounts at DTC of the applicable DTC participants, without cost to you, promptly after withdrawal of such Restricted Notes or expiration or termination of the exchange offer, as the case may be. See “</w:t>
            </w:r>
            <w:r>
              <w:rPr>
                <w:i/>
              </w:rPr>
              <w:t>The Exchange Offer—Withdrawal Rights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No Appraisal or Dissenters’ Rights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Holders of the Restricted Notes do not have any appraisal or dissenters’ rights in connection with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Exchange Agent</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U.S. Bank Trust Company, National Association is serving as the exchange agent in connection with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Consequences of Failure to Exchange</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If you do not participate or validly tender your Restricted Notes in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2"/>
        <w:gridCol w:w="101"/>
        <w:gridCol w:w="6124"/>
      </w:tblGrid>
      <w:tr>
        <w:trPr/>
        <w:tc>
          <w:tcPr>
            <w:tcW w:w="387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retain Restricted Notes that are not registered under the Securities Act and that will continue to be subject to restrictions on transfer that are described in the legend on the Restricted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0"/>
        <w:gridCol w:w="6126"/>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be able, except in very limited instances, to require us to register your Restricted Notes under the Securities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be able to resell or transfer your Restricted Notes unless they are registered under the Securities Act or unless you resell or transfer them pursuant to an exemption from registration under the Securities Act;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101"/>
        <w:gridCol w:w="100"/>
        <w:gridCol w:w="6125"/>
      </w:tblGrid>
      <w:tr>
        <w:trPr/>
        <w:tc>
          <w:tcPr>
            <w:tcW w:w="387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market for your Restricted Notes will become more limited to the extent that other holders of Restricted Notes participate in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Material U.S. Federal Income Tax Considerations</w:t>
            </w:r>
            <w:r>
              <w:rPr>
                <w:rFonts w:ascii="Times New Roman" w:hAnsi="Times New Roman"/>
                <w:sz w:val="20"/>
              </w:rPr>
              <w:t xml:space="preserve"> </w:t>
            </w:r>
          </w:p>
        </w:tc>
        <w:tc>
          <w:tcPr>
            <w:tcW w:w="6328" w:type="dxa"/>
            <w:tcBorders/>
          </w:tcPr>
          <w:p>
            <w:pPr>
              <w:pStyle w:val="TableContents"/>
              <w:bidi w:val="0"/>
              <w:spacing w:before="0" w:after="283"/>
              <w:jc w:val="left"/>
              <w:rPr/>
            </w:pPr>
            <w:r>
              <w:rPr/>
              <w:t>Your exchange of Restricted Notes for Exchange Notes in the exchange offer will not result in any gain or loss to you for United States federal income tax purposes. See “</w:t>
            </w:r>
            <w:r>
              <w:rPr>
                <w:i/>
              </w:rPr>
              <w:t>Material U.S. Federal Income Tax Considerations</w:t>
            </w:r>
            <w:r>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of the Terms of the Exchange Notes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The summary below describes the principal terms of the Exchange Notes. Certain of the terms described below are subject to important limitations and exceptions. The </w:t>
      </w:r>
      <w:r>
        <w:rPr>
          <w:rFonts w:ascii="Times New Roman" w:hAnsi="Times New Roman"/>
          <w:sz w:val="20"/>
          <w:bdr w:val="single" w:sz="8" w:space="1" w:color="000000"/>
        </w:rPr>
        <w:t>“</w:t>
      </w:r>
      <w:r>
        <w:rPr>
          <w:rFonts w:ascii="Times New Roman" w:hAnsi="Times New Roman"/>
          <w:i/>
          <w:sz w:val="20"/>
          <w:bdr w:val="single" w:sz="8" w:space="1" w:color="000000"/>
        </w:rPr>
        <w:t>Description of Exchange Notes</w:t>
      </w:r>
      <w:r>
        <w:rPr>
          <w:rFonts w:ascii="Times New Roman" w:hAnsi="Times New Roman"/>
          <w:sz w:val="20"/>
          <w:bdr w:val="single" w:sz="8" w:space="1" w:color="000000"/>
        </w:rPr>
        <w:t xml:space="preserve">” </w:t>
      </w:r>
      <w:r>
        <w:rPr>
          <w:rFonts w:ascii="Times New Roman" w:hAnsi="Times New Roman"/>
          <w:i/>
          <w:sz w:val="20"/>
          <w:bdr w:val="single" w:sz="8" w:space="1" w:color="000000"/>
        </w:rPr>
        <w:t>section of this prospectus contains a more detailed description of the terms of the Exchange Notes.</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Fidus Investment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Notes Offered</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$120,000,000 aggregate principal amount of 6.625% Exchange Notes due 2029.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Maturity Date</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Exchange Notes will mature on June 1, 2029.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Ranking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Exchange Notes will be our direct, general unsecured obligations and rank: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pari passu </w:t>
            </w:r>
            <w:r>
              <w:rPr>
                <w:rFonts w:ascii="Times New Roman" w:hAnsi="Times New Roman"/>
                <w:sz w:val="20"/>
              </w:rPr>
              <w:t xml:space="preserve">with our existing and future unsecured, unsubordinated indebtedness, including, as of September 8, 2026, $200.0 million in aggregate principal amount outstanding of our 6.750% notes due 2030 (the “2030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102"/>
        <w:gridCol w:w="102"/>
        <w:gridCol w:w="6124"/>
      </w:tblGrid>
      <w:tr>
        <w:trPr/>
        <w:tc>
          <w:tcPr>
            <w:tcW w:w="3877"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612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any series of preferred stock that we may issue in the future;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any of our future indebtedness that expressly provides it is subordinated to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subordinated to all our existing and future secured indebtedness (including indebtedness that is initially unsecured to which we subsequently grant security), to the extent of the value of the assets securing such indebtedness, including, without limitation, as of September 8, 2026, $10.7 million in our secured borrowings;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structurally subordinated to all existing and future indebtedness and other obligations of any of our subsidiaries, including, without limitation, as of September 8, 2026, $80.3 million in outstanding borrowings under our special purpose vehicle credit facility with ING Capital LLC (the “SPV Credit Facility”) and $289.5 million in outstanding SBA debentures.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 Payment Dates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Each June 1 and December 1 of each year, commencing December 1, 2026. If an interest payment date falls on a non-business day, the applicable interest payment will be made on the next business day and no additional interest will accrue as a result of such delayed payment.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Optional Redemption</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We may redeem some or all of the Exchange Notes at our option, in whole or in part, at any time and from time to time, at a redemption price plus a prepayment settlement amount, provided that such prepayment must equal at least 10% of the aggregate principal amount of the Exchange Notes then outstanding in the case of a partial prepayment.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Prior to March 1, 2029 (the “Par Call Date”), the redemption price will equal 100% of the principal amount of the Exchange Notes being prepaid plus the prepayment settlement amount, which will equal the excess, if any, of the discounted value of the remaining scheduled payments with respect to the called principal of the Exchange Notes over the amount of such called principal, </w:t>
            </w:r>
            <w:r>
              <w:rPr>
                <w:i/>
              </w:rPr>
              <w:t>provide</w:t>
            </w:r>
            <w:r>
              <w:rPr/>
              <w:t xml:space="preserve">d that the make-whole amount may in no event be less than zero.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On or after the Par Call Date, the redemption price will equal 100% of the principal amount of the Exchange Notes being prepaid plus the prepayment settlement amount, which will equal accrued and unpaid interest thereon to, but excluding,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Change of Control; Offer to Repurchase</w:t>
            </w:r>
            <w:r>
              <w:rPr>
                <w:rFonts w:ascii="Times New Roman" w:hAnsi="Times New Roman"/>
                <w:sz w:val="20"/>
              </w:rPr>
              <w:t xml:space="preserve"> </w:t>
            </w:r>
          </w:p>
        </w:tc>
        <w:tc>
          <w:tcPr>
            <w:tcW w:w="6329" w:type="dxa"/>
            <w:tcBorders/>
          </w:tcPr>
          <w:p>
            <w:pPr>
              <w:pStyle w:val="TableContents"/>
              <w:bidi w:val="0"/>
              <w:spacing w:before="0" w:after="283"/>
              <w:jc w:val="left"/>
              <w:rPr/>
            </w:pPr>
            <w:r>
              <w:rPr/>
              <w:t>If a Change of Control Repurchase Event described under “</w:t>
            </w:r>
            <w:r>
              <w:rPr>
                <w:i/>
              </w:rPr>
              <w:t>Description of the Exchange Notes—Offer to Repurchase Upon a Change of Control Repurchase Event</w:t>
            </w:r>
            <w:r>
              <w:rPr/>
              <w:t xml:space="preserve">” occurs, we will be required to offer to repurchase for cash some or all of the Exchange Notes at a repurchase price equal to 100% of the principal amount of the Exchange Notes being repurchased, plus accrued and unpaid interest to, but excluding, the repurchase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We will not receive any cash proceeds from the issuance of the Exchange Notes pursuant to the exchange offer. In consideration for issuing the Exchange Notes as contemplated in this prospectus, we will receive in exchange a like principal amount of Restricted Notes, the terms of which are substantially identical to the Exchange Notes. The Restricted Notes surrendered in exchange for the Exchange Notes will be retired and cancelled and cannot be reissued. Accordingly, the issuance of the Exchange Notes will not result in any change in our capitalization. We have agreed to bear the expenses of the exchange offer. No underwriter is being used in connection with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Book-Entry Form</w:t>
            </w:r>
            <w:r>
              <w:rPr>
                <w:rFonts w:ascii="Times New Roman" w:hAnsi="Times New Roman"/>
                <w:sz w:val="20"/>
              </w:rPr>
              <w:t xml:space="preserve"> </w:t>
            </w:r>
          </w:p>
        </w:tc>
        <w:tc>
          <w:tcPr>
            <w:tcW w:w="6329" w:type="dxa"/>
            <w:tcBorders/>
          </w:tcPr>
          <w:p>
            <w:pPr>
              <w:pStyle w:val="TableContents"/>
              <w:bidi w:val="0"/>
              <w:spacing w:before="0" w:after="283"/>
              <w:jc w:val="left"/>
              <w:rPr/>
            </w:pPr>
            <w:r>
              <w:rPr/>
              <w:t>The Exchange Notes will be issued in book-entry form and will be represented by permanent global certificates deposited with, or on behalf of, DTC, and registered in the name of Cede &amp; Co., as nominee of DTC. Beneficial interests in any of the Exchange Notes will be shown on, and transfers will be effected only through, records maintained by DTC or its nominee, and any such interest may not be exchanged for certificated securities, except in limited circumstances described below. See “</w:t>
            </w:r>
            <w:r>
              <w:rPr>
                <w:i/>
              </w:rPr>
              <w:t>Description of Exchange Notes—Book-Entry, Settlement and Clearance</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Trustee</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The trustee for the Exchange Notes will be U.S. Bank Trust Company, National Association (as successor in interest to U.S. Bank National Association).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Governing Law</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Restricted Notes are, and the Exchange Notes will be, governed by the laws of the State of New York without regard to conflict of laws principles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7" w:type="dxa"/>
            <w:tcBorders/>
          </w:tcPr>
          <w:p>
            <w:pPr>
              <w:pStyle w:val="TableContents"/>
              <w:bidi w:val="0"/>
              <w:spacing w:before="0" w:after="283"/>
              <w:jc w:val="left"/>
              <w:rPr/>
            </w:pPr>
            <w:r>
              <w:rPr/>
              <w:t>You should refer to the section entitled “</w:t>
            </w:r>
            <w:r>
              <w:rPr>
                <w:i/>
              </w:rPr>
              <w:t>Risk Factors</w:t>
            </w:r>
            <w:r>
              <w:rPr/>
              <w:t>” herein and other information included or incorporated by reference in this prospectus for an explanation of certain risks of investing in the Exchange Notes. See “</w:t>
            </w:r>
            <w:r>
              <w:rPr>
                <w:i/>
              </w:rPr>
              <w:t>Risk Factors</w:t>
            </w:r>
            <w:r>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139616_2"/>
      <w:bookmarkEnd w:id="4"/>
      <w:r>
        <w:rPr>
          <w:rFonts w:ascii="Times New Roman" w:hAnsi="Times New Roman"/>
          <w:b/>
          <w:sz w:val="20"/>
        </w:rPr>
        <w:t xml:space="preserve">RISK FACTORS </w:t>
      </w:r>
    </w:p>
    <w:p>
      <w:pPr>
        <w:pStyle w:val="TextBody"/>
        <w:bidi w:val="0"/>
        <w:spacing w:before="240" w:after="0"/>
        <w:jc w:val="left"/>
        <w:rPr/>
      </w:pPr>
      <w:r>
        <w:rPr>
          <w:rFonts w:ascii="Times New Roman" w:hAnsi="Times New Roman"/>
          <w:i/>
          <w:sz w:val="20"/>
        </w:rPr>
        <w:t xml:space="preserve">In addition to the other information included in this prospectus, you should carefully consider the risks described under </w:t>
      </w:r>
      <w:r>
        <w:rPr>
          <w:rFonts w:ascii="Times New Roman" w:hAnsi="Times New Roman"/>
          <w:sz w:val="20"/>
        </w:rPr>
        <w:t>“</w:t>
      </w:r>
      <w:r>
        <w:rPr>
          <w:rFonts w:ascii="Times New Roman" w:hAnsi="Times New Roman"/>
          <w:i/>
          <w:sz w:val="20"/>
        </w:rPr>
        <w:t>Special Note Regarding Forward-Looking Statements</w:t>
      </w:r>
      <w:r>
        <w:rPr>
          <w:rFonts w:ascii="Times New Roman" w:hAnsi="Times New Roman"/>
          <w:sz w:val="20"/>
        </w:rPr>
        <w:t xml:space="preserve">” </w:t>
      </w:r>
      <w:r>
        <w:rPr>
          <w:rFonts w:ascii="Times New Roman" w:hAnsi="Times New Roman"/>
          <w:i/>
          <w:sz w:val="20"/>
        </w:rPr>
        <w:t xml:space="preserve">and under </w:t>
      </w:r>
      <w:r>
        <w:rPr>
          <w:rFonts w:ascii="Times New Roman" w:hAnsi="Times New Roman"/>
          <w:sz w:val="20"/>
        </w:rPr>
        <w:t>“</w:t>
      </w:r>
      <w:r>
        <w:rPr>
          <w:rFonts w:ascii="Times New Roman" w:hAnsi="Times New Roman"/>
          <w:i/>
          <w:sz w:val="20"/>
        </w:rPr>
        <w:t>Risk Factors</w:t>
      </w:r>
      <w:r>
        <w:rPr>
          <w:rFonts w:ascii="Times New Roman" w:hAnsi="Times New Roman"/>
          <w:sz w:val="20"/>
        </w:rPr>
        <w:t xml:space="preserve">” </w:t>
      </w:r>
      <w:r>
        <w:rPr>
          <w:rFonts w:ascii="Times New Roman" w:hAnsi="Times New Roman"/>
          <w:i/>
          <w:sz w:val="20"/>
        </w:rPr>
        <w:t xml:space="preserve">set forth in our </w:t>
      </w:r>
      <w:hyperlink r:id="rId3">
        <w:r>
          <w:rPr>
            <w:rStyle w:val="InternetLink"/>
            <w:rFonts w:ascii="Times New Roman" w:hAnsi="Times New Roman"/>
            <w:i/>
            <w:sz w:val="20"/>
          </w:rPr>
          <w:t>Annual Report on Form 10-K</w:t>
        </w:r>
      </w:hyperlink>
      <w:r>
        <w:rPr>
          <w:rFonts w:ascii="Times New Roman" w:hAnsi="Times New Roman"/>
          <w:i/>
          <w:sz w:val="20"/>
        </w:rPr>
        <w:t xml:space="preserve"> for the fiscal year ended December</w:t>
      </w:r>
      <w:r>
        <w:rPr>
          <w:rFonts w:ascii="Times New Roman" w:hAnsi="Times New Roman"/>
          <w:sz w:val="20"/>
        </w:rPr>
        <w:t> </w:t>
      </w:r>
      <w:r>
        <w:rPr>
          <w:rFonts w:ascii="Times New Roman" w:hAnsi="Times New Roman"/>
          <w:i/>
          <w:sz w:val="20"/>
        </w:rPr>
        <w:t>31, 2025, which is incorporated by reference in this prospectus, other than as specified, and the following risks before investing in the Exchange Notes. The risks and uncertainties described in this prospectus and the documents incorporated by reference into this prospectus are not the only risks we face. Additional risks and uncertainties not presently known to us, or not presently deemed material by us, may also impair our operations and performance.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Exchange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Exchange Notes will be unsecured and therefore will be effectively subordinated to any secured indebtedness we have currently incurred or may incur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will not be secured by any of our assets or any of the assets of any of our subsidiaries. As a result, the Exchange Notes are effectively subordinated, or junior, to any secured indebtedness we or our subsidiaries have currently incurred (including the SPV Credit Facility) or that we or our subsidiaries may incur in the future (or any indebtedness that is initially unsecured as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Exchange Notes. Secured indebtedness is effectively senior to the Exchange Notes to the extent of the value of the assets securing such indebtedness.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Exchange Notes will be structurally subordinated to the indebtedness and other liabilities of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are obligations exclusively of Fidus Investment Corporation and not of any of our subsidiaries. None of our subsidiaries are a guarantor of the Exchange Notes and the Exchange Notes are not required to be guaranteed by any subsidiaries we may acquire or create in the future. Any assets of our subsidiaries will not be directly available to satisfy the claims of our creditors, including holders of the Exchange Notes. Except to the extent we are a creditor with recognized claims against our subsidiaries, all claims of creditors of our subsidiaries will have priority over our equity interests in such subsidiaries (and therefore the claims of our creditors, including holders of the Exchange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Exchange Notes will be structurally subordinated, or junior, to all existing and future indebtedness and other liabilities (including trade payables) incurred by any of our existing and future subsidiaries, including the SPV Credit Facility and the SBIC Funds. As of September 8, 2026, we had $80.3 million in outstanding borrowings under the SPV Credit Facility, which is secured by all of FIC Funding, LLC’s (the “SPV”) assets, and we had $289.5 million in SBA debentures outstanding. In the future, the SPV, the SBIC Funds and any of our future subsidiaries may incur substantial additional indebtedness, all of which would be structurally senior to the Exchange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downgrade, suspension or withdrawal of the credit rating assigned by a rating agency to us or the Exchange Notes, if any, or change in the debt markets, could cause the liquidity or market value of the Exchange Notes to decline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Our credit ratings are an assessment by rating agencies of our ability to pay our debts when due. Consequently, real or anticipated changes in our credit ratings will generally affect the market value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Notes. These credit ratings may not reflect the potential impact of risks relating to the structure or marketing of the Exchange Notes. Credit ratings are not a recommendation to buy, sell or hold any security, and may be revised or withdrawn at any time by the issuing organization in its sole discretion. Neither we nor any initial purchaser undertakes any obligation to maintain our credit ratings or to advise holders of Exchange Notes of any changes in our credit ratings.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our credit ratings will remain for any given period of time or that such credit ratings will not be lowered or withdrawn entirely by the rating agencies if, in their judgment, future circumstances relating to the basis of the credit ratings, such as adverse changes we experience, so warrant. The condition of the financial markets and prevailing interest rates have fluctuated in the past and are likely to fluctuate in the future, which could have an adverse effect on the market value of the Exchange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Indenture contains limited protection for holders of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offers limited protection to holders of the Exchange Notes. The terms of the Indenture and the Exchange Notes do not restrict our or any of our subsidiaries’ ability to engage in, or otherwise be a party to, a variety of corporate transactions, circumstances or events that could have a material adverse impact on your investment in the Exchange Notes. In particular, the terms of the Indenture and the Exchange Notes do not place any restrictions on our or our subsidiaries’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securities or otherwise incur additional indebtedness or other obligations, including (1) any indebtedness or other obligations that would be pari passu, or equal, in right of payment to the Exchange Notes, (2) any indebtedness or other obligations that would be secured and therefore rank effectively senior in right of payment to the Exchange Notes to the extent of the value of the assets securing such indebtedness, (3) indebtedness or other obligations of ours that are guaranteed by one or more of our subsidiaries and which therefore are structurally senior to the Exchange Notes and (4) securities, indebtedness or other obligations incurred by our subsidiaries that would be senior to our equity interests in our subsidiaries and therefore rank structurally senior to the Exchange Notes with respect to the assets of those subsidiaries, in each case other than an incurrence of indebtedness or other obligations that would cause a violation of Section 18(a)(1)(A) as modified by Section 61(a)(2) of the 1940 Act or any successor provisions, whether or not we continue to be subject to such provisions of the 1940 Act, but giving effect, in either case, to any exemptive relief granted to us by the SEC, which generally prohibit us from incurring additional borrowings, including through the issuance of additional debt securities, unless our asset coverage, as defined in the 1940 Act, equals at least 150% after such borrowings;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on, or purchase or redeem or make any payments in respect of, capital stock or other securities ranking junior in right of payment to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assets (other than certain limited restrictions on our ability to consolidate, merge or sell all or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(including liens on the shares of our subsidiaries) or enter into sale and leaseback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transactions with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investments;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restrictions on the payment of dividends or other amounts to us from our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the terms of the Indenture and the Exchange Notes do not protect holders of the Exchange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ability to recapitalize, incur additional debt (including additional debt that matures prior to the maturity of the Notes) and take a number of other actions are not limited by the terms of the Exchange Notes and may have important consequences for holders of the Exchange Notes, including making it more difficult for us to satisfy our obligations with respect to the Exchange Notes or negatively affecting the trading value of the Exchange Notes. </w:t>
      </w:r>
    </w:p>
    <w:p>
      <w:pPr>
        <w:pStyle w:val="TextBody"/>
        <w:bidi w:val="0"/>
        <w:spacing w:before="240" w:after="0"/>
        <w:jc w:val="left"/>
        <w:rPr/>
      </w:pPr>
      <w:r>
        <w:rPr>
          <w:rFonts w:ascii="Times New Roman" w:hAnsi="Times New Roman"/>
          <w:sz w:val="20"/>
        </w:rPr>
        <w:t>Certain of our current debt instruments include more protections for their holders than the Indenture and the Exchange Notes. In addition, other debt we issue or incur in the future could contain of our current debt instruments include more protections for its holders than the Indenture and the Exchange Notes, including additional covenants and events of default. The issuance or incurrence of any such debt with incremental protections could affect the market for and trading levels and prices of the Exchange Notes. See “</w:t>
      </w:r>
      <w:r>
        <w:rPr>
          <w:rFonts w:ascii="Times New Roman" w:hAnsi="Times New Roman"/>
          <w:i/>
          <w:sz w:val="20"/>
        </w:rPr>
        <w:t>Risk Factors—Risks Relating to Our Business and Structure—Because we borrow money and may in the future issue additional senior securities, including preferred stock and debt securities, the potential for gain or loss on amounts invested in us is magnified and may increase the risk of investing in us.</w:t>
      </w:r>
      <w:r>
        <w:rPr>
          <w:rFonts w:ascii="Times New Roman" w:hAnsi="Times New Roman"/>
          <w:sz w:val="20"/>
        </w:rPr>
        <w:t xml:space="preserve">” in our </w:t>
      </w:r>
      <w:hyperlink r:id="rId4">
        <w:r>
          <w:rPr>
            <w:rStyle w:val="InternetLink"/>
            <w:rFonts w:ascii="Times New Roman" w:hAnsi="Times New Roman"/>
            <w:sz w:val="20"/>
          </w:rPr>
          <w:t>Annual Report on Form 10-K</w:t>
        </w:r>
      </w:hyperlink>
      <w:r>
        <w:rPr>
          <w:rFonts w:ascii="Times New Roman" w:hAnsi="Times New Roman"/>
          <w:sz w:val="20"/>
        </w:rPr>
        <w:t xml:space="preserve"> for the fiscal year ended December 31, 2025, which is incorporated by reference 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optional redemption provision may materially adversely affect your return on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are redeemable in whole or in part at any time or from time to time at our option. We may choose to redeem the Exchange Notes at times when prevailing interest rates are lower than the interest rate paid on the Exchange Notes. In this circumstance, you may not be able to reinvest the redemption proceeds in a comparable security at an effective interest rate as high as that of the Exchange Notes being redeemed.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default on our obligations to pay our other indebtedness, we may not be able to make payments on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Any default under the agreements governing our indebtedness, including a default under the SPV Credit Facility and the 2030 Notes, or under other indebtedness to which we may be a party, that is not waived by the required lenders or holders and the remedies sought by the lenders or holders of such indebtedness could make us unable to pay principal, premium, if any, and interest on the Exchange Notes and substantially decrease the market value of the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as applicable,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the SPV Credit Facility or other debt we may incur in the future could elect to terminate their commitments, cease making further loans and institute foreclosure proceedings against our assets, and we could be forced into bankruptcy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generate sufficient cash flow in the future is, to some extent, subject to general economic, financial, competitive, legislative and regulatory factors as well as other factors that are beyond our control. We cannot assure you that our business will generate cash flow from operations, or that future borrowings will be available to us under the SPV Credit Facility, or otherwise, in an amount sufficient to enable us to meet our payment obligations under the Exchange Notes, the 2030 Notes, our other debt, and to fund other liquidity needs. </w:t>
      </w:r>
    </w:p>
    <w:p>
      <w:pPr>
        <w:pStyle w:val="TextBody"/>
        <w:bidi w:val="0"/>
        <w:spacing w:before="240" w:after="0"/>
        <w:jc w:val="left"/>
        <w:rPr>
          <w:rFonts w:ascii="Times New Roman" w:hAnsi="Times New Roman"/>
          <w:sz w:val="20"/>
        </w:rPr>
      </w:pPr>
      <w:r>
        <w:rPr>
          <w:rFonts w:ascii="Times New Roman" w:hAnsi="Times New Roman"/>
          <w:sz w:val="20"/>
        </w:rPr>
        <w:t xml:space="preserve">If our operating performance declines and we are not able to generate sufficient cash flow to service our debt obligations, we may, in the future, need to refinance or restructure our debt, including any Exchange Notes sold, sell assets, reduce or delay capital investments, seek to raise additional capital or seek to obtain waivers from the required lenders under the SPV Credit Facility, the holders of the 2030 Notes or other debt that we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incur in the future, to avoid being in default. If we are unable to implement one or more of these alternatives, we may not be able to meet our payment obligations under the Exchange Notes and our other debt. If we breach our covenants under the SPV Credit Facility, the 2030 Notes, or other debt and seek a waiver, we may not be able to obtain a waiver from the required lenders or holders thereof. If this occurs, we would be in default and our lenders or debt holders could exercise their rights as described above, and we could be forced into bankruptcy or liquidation. </w:t>
      </w:r>
    </w:p>
    <w:p>
      <w:pPr>
        <w:pStyle w:val="TextBody"/>
        <w:bidi w:val="0"/>
        <w:spacing w:before="240" w:after="0"/>
        <w:jc w:val="left"/>
        <w:rPr>
          <w:rFonts w:ascii="Times New Roman" w:hAnsi="Times New Roman"/>
          <w:sz w:val="20"/>
        </w:rPr>
      </w:pPr>
      <w:r>
        <w:rPr>
          <w:rFonts w:ascii="Times New Roman" w:hAnsi="Times New Roman"/>
          <w:sz w:val="20"/>
        </w:rPr>
        <w:t>If we are unable to repay debt, lenders having secured obligations, including the lenders under the SPV Credit Facility, could proceed against the collateral securing the debt. Because each of the SPV Credit Facility, the indenture governing the 2030 Notes, and any future credit facilities will likely have customary cross-default provisions, if the indebtedness under the Exchange Notes, the 2030 Notes, the SPV Credit Facility, hereunder or under any future credit facility is accelerated, we may be unable to repay or finance the amounts due. See “</w:t>
      </w:r>
      <w:r>
        <w:rPr>
          <w:rFonts w:ascii="Times New Roman" w:hAnsi="Times New Roman"/>
          <w:i/>
          <w:sz w:val="20"/>
        </w:rPr>
        <w:t>Description of the Exchange Notes.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repurchase the Exchange Notes upon a Change of Control Repurchase Event. </w:t>
      </w:r>
    </w:p>
    <w:p>
      <w:pPr>
        <w:pStyle w:val="TextBody"/>
        <w:bidi w:val="0"/>
        <w:spacing w:before="120" w:after="0"/>
        <w:jc w:val="left"/>
        <w:rPr>
          <w:rFonts w:ascii="Times New Roman" w:hAnsi="Times New Roman"/>
          <w:sz w:val="20"/>
        </w:rPr>
      </w:pPr>
      <w:r>
        <w:rPr>
          <w:rFonts w:ascii="Times New Roman" w:hAnsi="Times New Roman"/>
          <w:sz w:val="20"/>
        </w:rPr>
        <w:t>We may not be able to repurchase the Notes upon a Change of Control Repurchase Event because we may not have sufficient funds. We may not be able to borrow under the SPV Credit Facility to finance such a repurchase of the Notes, and future credit facilities may not allow advances to be used to repurchase the Notes. Upon the occurrence of a Change of Control Repurchase Event, subject to certain conditions, we will be required to offer to repurchase all outstanding Exchange Notes at 100% of their principal amount, plus accrued and unpaid interest to, but, excluding, the repurchase date. The terms of the SPV Credit Facility also provide that certain change of control events will constitute an event of default thereunder entitling the lenders to accelerate any indebtedness outstanding under the SPV Credit Facility at that time and to terminate the SPV Credit Facility. Our and our subsidiaries’ future financing facilities may contain similar restrictions and provisions. Our failure to purchase such tendered Exchange Notes upon the occurrence of such Change of Control Repurchase Event would cause an event of default under the Indenture governing the Exchange Notes and a cross-default under the agreements governing certain of our other indebtedness, including under the indenture governing the 2030 Notes, and the agreement governing the SPV Credit Facility, which may result in the acceleration of such indebtedness requiring us to repay such indebtedness immediately. If the holders of the Exchange Notes, or the 2030 Notes exercise their respective right to require us to repurchase any Exchange Notes or any 2030 Notes, respectively, upon a Change of Control Repurchase Event (as defined in the relevant indenture), the financial effect of any repurchase could cause a default under our existing or future debt instruments, even if the Change of Control Repurchase Event itself would not cause a default. If a Change of Control Repurchase Event were to occur, we may not have sufficient funds to repay any such accelerated indebtedness. See “</w:t>
      </w:r>
      <w:r>
        <w:rPr>
          <w:rFonts w:ascii="Times New Roman" w:hAnsi="Times New Roman"/>
          <w:i/>
          <w:sz w:val="20"/>
        </w:rPr>
        <w:t>Description of the Exchange Notes—Offer to Repurchase Upon a Change of Control Repurchase Event.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currently no public market for the Exchange Notes. If an active trading market for the Exchange Notes does not develop, or is not maintained, you may not be able to sell them.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are a new issue of debt securities and there currently is no trading market for the Exchange Notes. We do not intend to apply for listing of the Exchange Notes on any securities exchange or for quotation of the Exchange Notes on any automated dealer quotation system. If no active trading market develops, you may not be able to resell the Exchange Notes at their fair market value or at all. If the Exchange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 active trading market does not develop, the liquidity and trading price for the Exchange Notes may be harmed. Accordingly, you may be required to bear the financial risk of an investment in the Exchange Notes for an indefinite period of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FATCA withholding may apply to payments to certain foreign entities. </w:t>
      </w:r>
    </w:p>
    <w:p>
      <w:pPr>
        <w:pStyle w:val="TextBody"/>
        <w:bidi w:val="0"/>
        <w:spacing w:before="120" w:after="0"/>
        <w:jc w:val="left"/>
        <w:rPr>
          <w:rFonts w:ascii="Times New Roman" w:hAnsi="Times New Roman"/>
          <w:sz w:val="20"/>
        </w:rPr>
      </w:pPr>
      <w:r>
        <w:rPr>
          <w:rFonts w:ascii="Times New Roman" w:hAnsi="Times New Roman"/>
          <w:sz w:val="20"/>
        </w:rPr>
        <w:t xml:space="preserve">Payments made under the Exchange Notes to a foreign financial institution or non-financial foreign entity (including such an institution or entity acting as an intermediary) may be subject to a U.S. withholding tax of 30% under the U.S. Foreign Account Tax Compliance Act provisions of the Code (commonly referred to as “FATCA”). This withholding tax may apply to certain payments of interest on the Exchange Notes unless the foreign financial institution or non-financial foreign entity complies with certain information reporting, withholding, identification, certification and related requirements imposed by FATCA. You should consult your own tax advisors regarding FATCA and how it may affect your investment in the Exchange Notes.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Exchange Offer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fail to exchange your Restricted Notes, they will continue to be restricted securities and may become less liquid. </w:t>
      </w:r>
    </w:p>
    <w:p>
      <w:pPr>
        <w:pStyle w:val="TextBody"/>
        <w:bidi w:val="0"/>
        <w:spacing w:before="120" w:after="0"/>
        <w:jc w:val="left"/>
        <w:rPr>
          <w:rFonts w:ascii="Times New Roman" w:hAnsi="Times New Roman"/>
          <w:sz w:val="20"/>
        </w:rPr>
      </w:pPr>
      <w:r>
        <w:rPr>
          <w:rFonts w:ascii="Times New Roman" w:hAnsi="Times New Roman"/>
          <w:sz w:val="20"/>
        </w:rPr>
        <w:t>Restricted Notes that you do not validly tender or that we do not accept will, following the exchange offer, continue to be restricted securities, and you may not offer to sell them except under an exemption from, or in a transaction not subject to, the Securities Act and applicable state securities laws. We will issue the Exchange Notes in exchange for the Restricted Notes in the exchange offer only following the satisfaction of the procedures and conditions set forth in “</w:t>
      </w:r>
      <w:r>
        <w:rPr>
          <w:rFonts w:ascii="Times New Roman" w:hAnsi="Times New Roman"/>
          <w:i/>
          <w:sz w:val="20"/>
        </w:rPr>
        <w:t>The Exchange Offer—Procedures for Tendering Restricted Notes.</w:t>
      </w:r>
      <w:r>
        <w:rPr>
          <w:rFonts w:ascii="Times New Roman" w:hAnsi="Times New Roman"/>
          <w:sz w:val="20"/>
        </w:rPr>
        <w:t xml:space="preserve">” Because we anticipate that most holders of the Restricted Notes will elect to exchange their outstanding Restricted Notes, we expect that the liquidity of the market for the Restricted Notes remaining after the completion of the exchange offer will be substantially limited, which may have an adverse effect upon and increase the volatility of the market price of the outstanding Restricted Notes. Any Restricted Notes tendered and exchanged in the exchange offer will reduce the aggregate principal amount of the outstanding Restricted Notes at maturity. Further, following the exchange offer, if you did not exchange your Restricted Notes, you generally will not have any further registration rights, and Restricted Notes will continue to be subject to certain transfer restrictions.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Broker-dealers may need to comply with the registration and prospectus delivery requirements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Any broker-dealer that (1) exchanges its Restricted Notes in the exchange offer for the purpose of participating in a distribution of the Exchange Notes or (2) resells Exchange Notes that were received by it for its own account in the exchange offer may be deemed to have received restricted securities and will be required to comply with the registration and prospectus delivery requirements of the Securities Act in connection with any resale transaction by that broker-dealer. Any profit on the resale of the Exchange Notes and any commission or concessions received by a broker-dealer may be deemed to be underwriting compensation under the Securities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not receive the Exchange Notes in the exchange offer if the exchange offer procedures are not validly followed.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Exchange Notes in exchange for your Restricted Notes only if you validly tender such Restricted Notes before expiration of the exchange offer. Neither we nor the exchange agent is under any duty to give notification of defects or irregularities with respect to the tenders of the Restricted Notes for exchange. If you are the beneficial holder of Restricted Notes that are held through your broker, dealer, commercial bank, trust company or other nominee, and you wish to tender such Restricted Notes in the exchange offer, you should promptly contact the person through whom your Restricted Notes are held and instruct that person to tender the Restricted Notes on your behalf.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139616_3"/>
      <w:bookmarkEnd w:id="5"/>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documents that we incorporate by reference herein, contains forward-looking statements including statements regarding our future financial condition, business strategy, and plans and objectives of management for future operations. All statements other than statements of historical facts, including statements regarding our future results of operations or financial condition, business strategy and plans, and objectives of management for future operations, are forward-looking statements. Any such forward-looking statements may involve substantial risks and uncertainties that may cause our actual results, performance or achievements to be materially different from future results, performance or achievements expressed or implied by any forward-looking statements.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“should,” “targets,” “projects” and variations of these words and similar expressions are intended to identify forward-looking statements. The forward-looking statements contained in this report involve risks and uncertainties, including statements as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financial and lending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prospects and the prospects of our portfolio companies, including our and their ability to achieve our respective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investments that we expect to make;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contractual arrangements and relationships with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dependence of our future success on the general economy and its impact on the industries in which we invest;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economic downturn and its impacts on the ability of our portfolio companies to operate and the investment opportunities available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geopolitical conditions, including the ongoing conflict between Ukraine and Russia, ongoing conflicts in the Middle East, the ongoing turmoil in Europe, and U.S. and China relations, and their impact on financial market volatility, global economic markets, and various sectors, industries and markets for commodities globally;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uncertainty associated with the imposition of tariffs and trade barriers and changes in trade policies and its impact on our portfolio companies and our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portfolio companies to achieve their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expected financing and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adequacy of our cash resources and working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cash flows, if any, from the operations of our portfolio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investment advisor to identify suitable investments for us and to monitor and administer our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investment advisor to attract and retain highly talented professionals;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regulatory structure and tax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operate as a BDC and a RIC and each of the SBIC Funds to operate as an SBIC;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form and amount of any dividend distributions;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interest rate volatility and the elevated level of inflation on our business and portfolio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valuation of any investments in portfolio companies, particularly those having no liquid trading market;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recover unrealized losses.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economic downturn and significant disruptions to our portfolio companies, including supply chain disruptions, labor shortages, and uncertainty associated with the imposition of tariffs, could impair our portfolio companies’ ability to continue to operate, which could lead to the loss of some or all of our investments in such portfolio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contraction of available credit and/or an inability to access the equity markets could impair our lending and investment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rate volatility could adversely affect our results, particularly because we use leverage as part of our investment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elevated level of inflation could adversely affect our business, results of operations and financial condition of our portfolio companies, which may, in turn, impact the valuation of such portfolio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risks, uncertainties and other factors we identify in the section titled “</w:t>
            </w:r>
            <w:r>
              <w:rPr>
                <w:rFonts w:ascii="Times New Roman" w:hAnsi="Times New Roman"/>
                <w:i/>
                <w:sz w:val="20"/>
              </w:rPr>
              <w:t>Risk Factors</w:t>
            </w:r>
            <w:r>
              <w:rPr>
                <w:rFonts w:ascii="Times New Roman" w:hAnsi="Times New Roman"/>
                <w:sz w:val="20"/>
              </w:rPr>
              <w:t xml:space="preserve">” in this prospectus and in Part I, Item 1A of our most recent Annual Report on Form 10-K, in Part II, Item 1A of any subsequent Quarterly Report on Form 10-Q, and those discussed in other documents we file with the SEC. </w:t>
            </w:r>
          </w:p>
        </w:tc>
      </w:tr>
    </w:tbl>
    <w:p>
      <w:pPr>
        <w:pStyle w:val="TextBody"/>
        <w:bidi w:val="0"/>
        <w:spacing w:before="240" w:after="0"/>
        <w:jc w:val="left"/>
        <w:rPr/>
      </w:pPr>
      <w:r>
        <w:rPr>
          <w:rFonts w:ascii="Times New Roman" w:hAnsi="Times New Roman"/>
          <w:sz w:val="20"/>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 These risks and uncertainties include those described or identified in “</w:t>
      </w:r>
      <w:r>
        <w:rPr>
          <w:rFonts w:ascii="Times New Roman" w:hAnsi="Times New Roman"/>
          <w:i/>
          <w:sz w:val="20"/>
        </w:rPr>
        <w:t>Risk Factors</w:t>
      </w:r>
      <w:r>
        <w:rPr>
          <w:rFonts w:ascii="Times New Roman" w:hAnsi="Times New Roman"/>
          <w:sz w:val="20"/>
        </w:rPr>
        <w:t xml:space="preserve">” in Part I, Item 1A of our most recent </w:t>
      </w:r>
      <w:r>
        <w:fldChar w:fldCharType="begin"/>
      </w:r>
      <w:r>
        <w:rPr>
          <w:rStyle w:val="InternetLink"/>
          <w:sz w:val="20"/>
          <w:rFonts w:ascii="Times New Roman" w:hAnsi="Times New Roman"/>
        </w:rPr>
        <w:instrText xml:space="preserve"> HYPERLINK "http://www.sec.gov/Archives/edgar/data/../../../ix?doc=/Archives/edgar/data/0001513363/000119312526076572/fdus-20251231.htm" \l "item_1a"</w:instrText>
      </w:r>
      <w:r>
        <w:rPr>
          <w:rStyle w:val="InternetLink"/>
          <w:sz w:val="20"/>
          <w:rFonts w:ascii="Times New Roman" w:hAnsi="Times New Roman"/>
        </w:rPr>
        <w:fldChar w:fldCharType="separate"/>
      </w:r>
      <w:r>
        <w:rPr>
          <w:rStyle w:val="InternetLink"/>
          <w:rFonts w:ascii="Times New Roman" w:hAnsi="Times New Roman"/>
          <w:sz w:val="20"/>
        </w:rPr>
        <w:t>Annual Report on Form 10-K</w:t>
      </w:r>
      <w:r>
        <w:rPr>
          <w:rStyle w:val="InternetLink"/>
          <w:sz w:val="20"/>
          <w:rFonts w:ascii="Times New Roman" w:hAnsi="Times New Roman"/>
        </w:rPr>
        <w:fldChar w:fldCharType="end"/>
      </w:r>
      <w:r>
        <w:rPr>
          <w:rFonts w:ascii="Times New Roman" w:hAnsi="Times New Roman"/>
          <w:sz w:val="20"/>
        </w:rPr>
        <w:t xml:space="preserve">, in Part II, Item 1A of our most recent Quarterly Report on Form 10-Q, and elsewhere in this prospectus, including the documents we incorporate by reference. You should not place undue reliance on these forward-looking statements, which are based on information available to us as of the applicable date of this prospectus, including any documents incorporated by reference,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Except as otherwise required by federal securities laws, we do not undertake to publicly update or revise any forward-looking statements, whether as a result of new information, future events or otherwise. These forward-looking statements do not meet the safe harbor for forward-looking statements pursuant to Section 27A of the Securities Act or Section 21E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139616_4"/>
      <w:bookmarkEnd w:id="6"/>
      <w:r>
        <w:rPr>
          <w:rFonts w:ascii="Times New Roman" w:hAnsi="Times New Roman"/>
          <w:b/>
          <w:sz w:val="20"/>
        </w:rPr>
        <w:t xml:space="preserve">THE EXCHANGE OFFER </w:t>
      </w:r>
    </w:p>
    <w:p>
      <w:pPr>
        <w:pStyle w:val="TextBody"/>
        <w:bidi w:val="0"/>
        <w:spacing w:before="240" w:after="0"/>
        <w:jc w:val="left"/>
        <w:rPr>
          <w:rFonts w:ascii="Times New Roman" w:hAnsi="Times New Roman"/>
          <w:b/>
          <w:sz w:val="20"/>
        </w:rPr>
      </w:pPr>
      <w:r>
        <w:rPr>
          <w:rFonts w:ascii="Times New Roman" w:hAnsi="Times New Roman"/>
          <w:b/>
          <w:sz w:val="20"/>
        </w:rPr>
        <w:t xml:space="preserve">Purpose and Effect of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We issued $120,000,000 aggregate principal amount of the Restricted Notes in a transaction not requiring registration under the Securities Act on May 29, 2026. The Restricted Notes were originally issued pursuant to the Note Purchase Agreement, dated May 29, 2026, by and between us and the initial purchasers of the Restricted Notes (the “Note Purchase Agreement”), and the Exchange Notes will be issued pursuant to a base indenture dated as of February 2, 2018, and a seventh supplemental indenture to be entered into by and between us and U.S. Bank Trust Company, National Association, as trustee. We refer to the base indenture and the seventh supplemental indenture collectively as the “Indenture” and to U.S. Bank Trust Company, National Association as the “trustee” or “U.S. Bank.”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of the Restricted Notes, we entered into a Registration Rights Agreement, which requires that we file this registration statement under the Securities Act with respect to the Exchange Notes to be issued in the exchange offer and, upon the effectiveness of this registration statement, offer to you the opportunity to exchange your Restricted Notes for a like principal amount of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Under the Registration Rights Agreement, we agreed, for the benefit of the holders of the Restricted Notes, to use commercially reasonable efforts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the Exchange Offer Registration Statement with respect to a registered offer to exchange the Restricted Notes for the Exchange Notes having terms substantially identical to the Restricted Notes being exchanged, except that the transfer restrictions and registration rights relating to the Restricted Notes will not apply to the Exchange Notes, and the Exchange Notes will not provide for the payment of additional interest in the event of a registration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the exchange offer registration statement to become or be declared effective by the SEC under the Securities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consummate the exchange offer on the earliest practicable date after the exchange offer registration statement has been declared effective but in no event later than 365 days after the issue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agreed to keep the Exchange Offer Registration Statement effective for not less than the minimum period required under applicable federal and state securities laws to consummate the exchange offer;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such period be less than 20 business days after the commencement of the exchange offer. If there is a Registration Default, the interest rate borne by the affected series of Restricted Notes will increase by 0.25% per annum for the first 90-day period following the occurrence of such Registration Default and will increase by an additional 0.25% per annum with respect to the subsequent 90-day period, for a maximum of 0.50% per annum as set forth in the Registration Rights Agreement. Additional Interest due pursuant to any Registration Default will be paid in cash on the relevant interest payment date to holders of record on the relevant regular record dates. Following the cure of all Registration Defaults relating to any particular Restricted Notes, the interest rate borne by the Restricted Notes will be reduced to the original interest rate borne by Restricted Notes; </w:t>
      </w:r>
      <w:r>
        <w:rPr>
          <w:rFonts w:ascii="Times New Roman" w:hAnsi="Times New Roman"/>
          <w:i/>
          <w:sz w:val="20"/>
        </w:rPr>
        <w:t>provided, however</w:t>
      </w:r>
      <w:r>
        <w:rPr>
          <w:rFonts w:ascii="Times New Roman" w:hAnsi="Times New Roman"/>
          <w:sz w:val="20"/>
        </w:rPr>
        <w:t xml:space="preserve">, that, if after any such reduction in interest rate, a different Registration Default occurs, the interest rate borne by the Restricted Notes will again be increased pursuant to the foregoing provisions. </w:t>
      </w:r>
    </w:p>
    <w:p>
      <w:pPr>
        <w:pStyle w:val="TextBody"/>
        <w:bidi w:val="0"/>
        <w:spacing w:before="240" w:after="0"/>
        <w:jc w:val="left"/>
        <w:rPr>
          <w:rFonts w:ascii="Times New Roman" w:hAnsi="Times New Roman"/>
          <w:sz w:val="20"/>
        </w:rPr>
      </w:pPr>
      <w:r>
        <w:rPr>
          <w:rFonts w:ascii="Times New Roman" w:hAnsi="Times New Roman"/>
          <w:sz w:val="20"/>
        </w:rPr>
        <w:t xml:space="preserve">If, for any reason, we are not able to effect the exchange offer on or before 365 days from the issue date of the Registration Rights Agreement, upon any note holder’s request, we will be obligated to file a shelf registration statement covering the resale of the Notes and use our commercially reasonable efforts to cause such registration statement to be declared effective. </w:t>
      </w:r>
    </w:p>
    <w:p>
      <w:pPr>
        <w:pStyle w:val="TextBody"/>
        <w:bidi w:val="0"/>
        <w:spacing w:before="240" w:after="0"/>
        <w:jc w:val="left"/>
        <w:rPr>
          <w:rFonts w:ascii="Times New Roman" w:hAnsi="Times New Roman"/>
          <w:sz w:val="20"/>
        </w:rPr>
      </w:pPr>
      <w:r>
        <w:rPr>
          <w:rFonts w:ascii="Times New Roman" w:hAnsi="Times New Roman"/>
          <w:sz w:val="20"/>
        </w:rPr>
        <w:t xml:space="preserve">The Exchange Notes will be issued without a restrictive legend and, except as set forth below, you may resell or otherwise transfer them without compliance without additional registration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we complete the exchange offer, our obligation to register the exchange of Exchange Notes for Restricted Notes will terminate. A copy of the Registration Rights Agreement has been filed as an exhibit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Based on interpretations by the staff of the SEC set forth in no-action letters issued to third parties unrelated to us, including </w:t>
      </w:r>
      <w:r>
        <w:rPr>
          <w:rFonts w:ascii="Times New Roman" w:hAnsi="Times New Roman"/>
          <w:i/>
          <w:sz w:val="20"/>
        </w:rPr>
        <w:t>Exxon Capital Holdings Corp.</w:t>
      </w:r>
      <w:r>
        <w:rPr>
          <w:rFonts w:ascii="Times New Roman" w:hAnsi="Times New Roman"/>
          <w:sz w:val="20"/>
        </w:rPr>
        <w:t xml:space="preserve">, SEC no-action letter (April 13, 1988), </w:t>
      </w:r>
      <w:r>
        <w:rPr>
          <w:rFonts w:ascii="Times New Roman" w:hAnsi="Times New Roman"/>
          <w:i/>
          <w:sz w:val="20"/>
        </w:rPr>
        <w:t>Morgan, Stanley</w:t>
      </w:r>
      <w:r>
        <w:rPr>
          <w:rFonts w:ascii="Times New Roman" w:hAnsi="Times New Roman"/>
          <w:sz w:val="20"/>
        </w:rPr>
        <w:t> </w:t>
      </w:r>
      <w:r>
        <w:rPr>
          <w:rFonts w:ascii="Times New Roman" w:hAnsi="Times New Roman"/>
          <w:i/>
          <w:sz w:val="20"/>
        </w:rPr>
        <w:t>&amp; Co. Inc.</w:t>
      </w:r>
      <w:r>
        <w:rPr>
          <w:rFonts w:ascii="Times New Roman" w:hAnsi="Times New Roman"/>
          <w:sz w:val="20"/>
        </w:rPr>
        <w:t xml:space="preserve">, SEC no-action letter (June 5, 1991) and </w:t>
      </w:r>
      <w:r>
        <w:rPr>
          <w:rFonts w:ascii="Times New Roman" w:hAnsi="Times New Roman"/>
          <w:i/>
          <w:sz w:val="20"/>
        </w:rPr>
        <w:t>Shearman</w:t>
      </w:r>
      <w:r>
        <w:rPr>
          <w:rFonts w:ascii="Times New Roman" w:hAnsi="Times New Roman"/>
          <w:sz w:val="20"/>
        </w:rPr>
        <w:t> </w:t>
      </w:r>
      <w:r>
        <w:rPr>
          <w:rFonts w:ascii="Times New Roman" w:hAnsi="Times New Roman"/>
          <w:i/>
          <w:sz w:val="20"/>
        </w:rPr>
        <w:t>&amp; Sterling</w:t>
      </w:r>
      <w:r>
        <w:rPr>
          <w:rFonts w:ascii="Times New Roman" w:hAnsi="Times New Roman"/>
          <w:sz w:val="20"/>
        </w:rPr>
        <w:t xml:space="preserve">, SEC no-action letter (July 2, 1993), subject to the limitations described in the succeeding three paragraphs, we believe that you may resell or otherwise transfer the Exchange Notes issued to you in the exchange offer without compliance with the registration and prospectus delivery requirements of the Securities Act. Our belief, however, is based on your representations to us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acquiring the Exchange Notes in the ordinary course of your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engaging in and do not intend to engage in a distribution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have an arrangement or understanding with any person or entity to participate in the distribution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our “affiliate” as that term is defined in Rule 405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broker-dealer tendering Restricted Notes acquired directly from us for your own account;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acting on behalf of any person that could not truthfully make these representations.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cannot make the representations described above, you may not participate in the exchange offer, you may not rely on the staff’s interpretations discussed above, and you must, in the absence of an exemption therefrom, comply with registration and the prospectus delivery requirements of the Securities Act in order to resell your Restricted Notes. </w:t>
      </w:r>
    </w:p>
    <w:p>
      <w:pPr>
        <w:pStyle w:val="TextBody"/>
        <w:bidi w:val="0"/>
        <w:spacing w:before="240" w:after="0"/>
        <w:jc w:val="left"/>
        <w:rPr>
          <w:rFonts w:ascii="Times New Roman" w:hAnsi="Times New Roman"/>
          <w:sz w:val="20"/>
        </w:rPr>
      </w:pPr>
      <w:r>
        <w:rPr>
          <w:rFonts w:ascii="Times New Roman" w:hAnsi="Times New Roman"/>
          <w:sz w:val="20"/>
        </w:rPr>
        <w:t>Each broker-dealer that receives Exchange Notes for its own account in the exchange offer for Restricted Notes that were acquired as a result of market-making or other trading activities must acknowledge that it will comply with the prospectus delivery requirements of the Securities Act in connection with any resale or other transfer of the Exchange Notes received in the exchange offer. See “</w:t>
      </w:r>
      <w:r>
        <w:rPr>
          <w:rFonts w:ascii="Times New Roman" w:hAnsi="Times New Roman"/>
          <w:i/>
          <w:sz w:val="20"/>
        </w:rPr>
        <w:t>Plan of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not asked the staff for a no-action letter in connection with the exchange offer, however, and we cannot assure you that the staff would make a similar determination with respect to the exchange offer. </w:t>
      </w:r>
    </w:p>
    <w:p>
      <w:pPr>
        <w:pStyle w:val="TextBody"/>
        <w:bidi w:val="0"/>
        <w:spacing w:before="240" w:after="0"/>
        <w:jc w:val="left"/>
        <w:rPr>
          <w:rFonts w:ascii="Times New Roman" w:hAnsi="Times New Roman"/>
          <w:sz w:val="20"/>
        </w:rPr>
      </w:pPr>
      <w:r>
        <w:rPr>
          <w:rFonts w:ascii="Times New Roman" w:hAnsi="Times New Roman"/>
          <w:sz w:val="20"/>
        </w:rPr>
        <w:t>If you are not eligible to participate in the exchange offer, you can request, within 365 days of the issue date of the Registration Rights Agreement, that we file a “shelf” registration statement pursuant to Rule 415 under the Securities Act. In the event that we are obligated to file a shelf registration statement, we will be required to use commercially reasonable efforts to keep the shelf registration statement effective to the extent necessary to ensure that it is available for resales of Registered Notes for a period of at least one year following the effective date of such shelf registration statement. See “—</w:t>
      </w:r>
      <w:r>
        <w:rPr>
          <w:rFonts w:ascii="Times New Roman" w:hAnsi="Times New Roman"/>
          <w:i/>
          <w:sz w:val="20"/>
        </w:rPr>
        <w:t>Procedures for Tendering Restricted Notes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of Failure to Exchange </w:t>
      </w:r>
    </w:p>
    <w:p>
      <w:pPr>
        <w:pStyle w:val="TextBody"/>
        <w:bidi w:val="0"/>
        <w:spacing w:before="120" w:after="0"/>
        <w:jc w:val="left"/>
        <w:rPr>
          <w:rFonts w:ascii="Times New Roman" w:hAnsi="Times New Roman"/>
          <w:sz w:val="20"/>
        </w:rPr>
      </w:pPr>
      <w:r>
        <w:rPr>
          <w:rFonts w:ascii="Times New Roman" w:hAnsi="Times New Roman"/>
          <w:sz w:val="20"/>
        </w:rPr>
        <w:t xml:space="preserve">If you do not participate or validly tender your Restricted Notes in the exchange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retain your Restricted Notes that are not registered under the Securities Act and they will continue to be subject to restrictions on transfer that are described in the legend on the Restricted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be able to require us to register your Restricted Notes under the Securities Act unless, as set forth above, you do not receive freely tradable Exchange Notes in the exchange offer or are not eligible to participate in the exchange offer, and we are obligated to file a shelf registration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be able to resell or otherwise transfer your Restricted Notes unless they are registered under the Securities Act or unless you offer to resell or transfer them pursuant to an exemption under the Securities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market for your Restricted Notes will become more limited to the extent that other holders of Restricted Notes participate in the exchange offer.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Terms of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Upon the terms and subject to the conditions set forth in this prospectus and in the accompanying letter of transmittal, we will accept any and all Restricted Notes validly tendered and not withdrawn prior to 5:00 p.m., New York City time, on the expiration date of the exchange offer. We will issue $1,000 principal amount of the Exchange Notes in exchange for each $1,000 principal amount of the Restricted Notes accepted in the exchange offer. You may tender some or all of your Restricted Notes pursuant to the exchange offer; however, Restricted Notes may be tendered only in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The Exchange Notes issued to you in the exchange offer will be delivered by credit to the accounts at DTC of the applicable DTC participants. </w:t>
      </w:r>
    </w:p>
    <w:p>
      <w:pPr>
        <w:pStyle w:val="TextBody"/>
        <w:bidi w:val="0"/>
        <w:spacing w:before="240" w:after="0"/>
        <w:jc w:val="left"/>
        <w:rPr>
          <w:rFonts w:ascii="Times New Roman" w:hAnsi="Times New Roman"/>
          <w:sz w:val="20"/>
        </w:rPr>
      </w:pPr>
      <w:r>
        <w:rPr>
          <w:rFonts w:ascii="Times New Roman" w:hAnsi="Times New Roman"/>
          <w:sz w:val="20"/>
        </w:rPr>
        <w:t xml:space="preserve">The form and terms of the Exchange Notes are substantially identical to those of the Restricted Notes, except that the transfer restrictions and registration rights relating to the Restricted Notes will not apply to the Exchange Notes, and the Exchange Notes will not provide for the payment of additional interest in the event of a registration default. In addition, the Exchange Notes will bear a different CUSIP number than the Restricted Notes. The Exchange Notes will be issued under and entitled to the benefits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$120,000,000 aggregate principal amount of the Restricted Notes are outstanding and registered in the name of Cede &amp; Co., as nominee for DTC. This prospectus, together with the letter of transmittal, is being sent to the registered holder and to others believed to have beneficial interests in the Restricted Notes. We intend to conduct the exchange offer in accordance with the applicable requirements of the Exchange Act and the rules and regulations of the SEC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will be deemed to have accepted validly tendered Restricted Notes if and when we have given written notice of our acceptance to U.S. Bank, the exchange agent for the exchange offer. The exchange agent will act as our agent for the purpose of receiving from us the Exchange Notes for the tendering noteholders. If we do not accept any tendered Restricted Notes because of an invalid tender, the occurrence of certain other events set forth in this prospectus or otherwise, we will return such Restricted Notes by credit to the accounts at DTC of the applicable DTC participants, without expense, to the tendering noteholder as promptly as practicable after the expiration date of the exchange offer. </w:t>
      </w:r>
    </w:p>
    <w:p>
      <w:pPr>
        <w:pStyle w:val="TextBody"/>
        <w:bidi w:val="0"/>
        <w:spacing w:before="240" w:after="0"/>
        <w:jc w:val="left"/>
        <w:rPr>
          <w:rFonts w:ascii="Times New Roman" w:hAnsi="Times New Roman"/>
          <w:sz w:val="20"/>
        </w:rPr>
      </w:pPr>
      <w:r>
        <w:rPr>
          <w:rFonts w:ascii="Times New Roman" w:hAnsi="Times New Roman"/>
          <w:sz w:val="20"/>
        </w:rPr>
        <w:t>You will not be required to pay brokerage commissions or fees or transfer taxes, except as set forth under “—</w:t>
      </w:r>
      <w:r>
        <w:rPr>
          <w:rFonts w:ascii="Times New Roman" w:hAnsi="Times New Roman"/>
          <w:i/>
          <w:sz w:val="20"/>
        </w:rPr>
        <w:t>Transfer Taxes</w:t>
      </w:r>
      <w:r>
        <w:rPr>
          <w:rFonts w:ascii="Times New Roman" w:hAnsi="Times New Roman"/>
          <w:sz w:val="20"/>
        </w:rPr>
        <w:t>,” with respect to the exchange of your Restricted Notes in the exchange offer. We will pay all charges and expenses, other than certain applicable taxes, in connection with the exchange offer. See “—</w:t>
      </w:r>
      <w:r>
        <w:rPr>
          <w:rFonts w:ascii="Times New Roman" w:hAnsi="Times New Roman"/>
          <w:i/>
          <w:sz w:val="20"/>
        </w:rPr>
        <w:t>Fees and Expenses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Expiration Date; Extension; Amendment </w:t>
      </w:r>
    </w:p>
    <w:p>
      <w:pPr>
        <w:pStyle w:val="TextBody"/>
        <w:bidi w:val="0"/>
        <w:spacing w:before="120" w:after="0"/>
        <w:jc w:val="left"/>
        <w:rPr>
          <w:rFonts w:ascii="Times New Roman" w:hAnsi="Times New Roman"/>
          <w:sz w:val="20"/>
        </w:rPr>
      </w:pPr>
      <w:r>
        <w:rPr>
          <w:rFonts w:ascii="Times New Roman" w:hAnsi="Times New Roman"/>
          <w:sz w:val="20"/>
        </w:rPr>
        <w:t xml:space="preserve">The expiration date for the exchange offer will be 5:00 p.m., New York City time, on October 16, 2026, unless we determine, in our sole discretion, to extend the exchange offer, in which case it will expire at the later date and time to which it is extended. We do not currently intend to extend the exchange offer, although we reserve the right to do so. If we extend the exchange offer, we may delay acceptance of any Restricted Notes by giving oral (any such oral notice to be promptly confirmed in writing) or written notice of the extension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agent and give each registered holder of Restricted Notes notice by means of a press release or other public announcement of any extension prior to 5:00 p.m., New York City time, on the next business day after the scheduled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We also reserve the right, in our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accept tendered Restricted Notes upon the expiration of the exchange offer, and extend the exchange offer with respect to untendered Restricted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subject to applicable law, to delay accepting any Restricted Notes, to extend the exchange offer or to terminate the exchange offer if, in our reasonable judgment, any of the conditions set forth under “—</w:t>
            </w:r>
            <w:r>
              <w:rPr>
                <w:rFonts w:ascii="Times New Roman" w:hAnsi="Times New Roman"/>
                <w:i/>
                <w:sz w:val="20"/>
              </w:rPr>
              <w:t>Conditions</w:t>
            </w:r>
            <w:r>
              <w:rPr>
                <w:rFonts w:ascii="Times New Roman" w:hAnsi="Times New Roman"/>
                <w:sz w:val="20"/>
              </w:rPr>
              <w:t xml:space="preserve">” have not been satisfied or waived, to terminate the exchange offer by giving oral (any such oral notice to be promptly confirmed in writing) or written notice of such delay or termination to the exchange agent;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amend or waive the terms and conditions of the exchange offer in any manner by complying with Rule 14e-l(d) under the Exchange Act, to the extent that rule applies.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notify you as promptly as we can of any extension, termination or amendment. In addition, we acknowledge and undertake to comply with the provisions of Rule 14e-l(c) under the Exchange Act, which requires us to issue the Exchange Notes, or return the Restricted Notes tendered for exchange, promptly after the termination or withdrawal of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Tendering Restricted Notes </w:t>
      </w:r>
    </w:p>
    <w:p>
      <w:pPr>
        <w:pStyle w:val="TextBody"/>
        <w:bidi w:val="0"/>
        <w:spacing w:before="120" w:after="0"/>
        <w:jc w:val="left"/>
        <w:rPr>
          <w:rFonts w:ascii="Times New Roman" w:hAnsi="Times New Roman"/>
          <w:sz w:val="20"/>
        </w:rPr>
      </w:pPr>
      <w:r>
        <w:rPr>
          <w:rFonts w:ascii="Times New Roman" w:hAnsi="Times New Roman"/>
          <w:sz w:val="20"/>
        </w:rPr>
        <w:t>The Restricted Notes are represented by global securities without interest coupons in fully registered form, registered in the name of Cede &amp; Co., as nominee for DTC. Beneficial interests in the global securities are held by direct or indirect participants in DTC through certificate-less depositary interests and are shown on, and transfers of these interests are effected only through, records maintained in book-entry form by DTC with respect to its participants. You are not entitled to receive certificated Restricted Notes in exchange for your beneficial interest in these global securities except in limited circumstances described in “</w:t>
      </w:r>
      <w:r>
        <w:rPr>
          <w:rFonts w:ascii="Times New Roman" w:hAnsi="Times New Roman"/>
          <w:i/>
          <w:sz w:val="20"/>
        </w:rPr>
        <w:t>Description of the Exchange Notes—Book-Entry, Settlement and Clearance.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Accordingly, you must tender your Restricted Notes pursuant to DTC’s ATOP procedures. As the DTC’s ATOP system is the only method of processing exchange offers through DTC, you must instruct a participant in DTC to transmit to the exchange agent on or prior to the expiration date for the exchange offer a computer- generated message transmitted by means of the ATOP system and received by the exchange agent and forming a part of a confirmation of book-entry transfer, in which you acknowledge and agree to be bound by the terms of the letter of transmittal, instead of sending a signed, hard copy letter of transmittal. DTC is obligated to communicate those electronic instructions to the exchange agent. To tender Restricted Notes through the ATOP system, the electronic instructions sent to DTC and transmitted by DTC to the exchange agent must contain the character by which the participant acknowledges its receipt of, and agrees to be bound by, the letter of transmittal, including the representations to us described above under “—</w:t>
      </w:r>
      <w:r>
        <w:rPr>
          <w:rFonts w:ascii="Times New Roman" w:hAnsi="Times New Roman"/>
          <w:i/>
          <w:sz w:val="20"/>
        </w:rPr>
        <w:t>Purpose and Effect of the Exchange Offer</w:t>
      </w:r>
      <w:r>
        <w:rPr>
          <w:rFonts w:ascii="Times New Roman" w:hAnsi="Times New Roman"/>
          <w:sz w:val="20"/>
        </w:rPr>
        <w:t xml:space="preserve">,” and be received by the exchange agent prior to 5:00 p.m., New York City time, on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If you hold Restricted Notes through a broker, dealer, commercial bank, trust company, other financial institution or other nominee, each referred to herein as an “intermediary,” and you wish to tender your Restricted Notes, you should contact such intermediary promptly and instruct such intermediary to tender on your behalf. So long as the Restricted Notes are in book-entry form represented by global securities, Restricted Notes may only be tendered by your intermediary pursuant to DTC’s ATOP procedures.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tender a Restricted Note and you do not properly withdraw the tender prior to the expiration date, you will have made an agreement with us to participate in the exchange offer in accordance with the terms and subject to the conditions set forth in this prospectus and in the letter of transmittal. </w:t>
      </w:r>
    </w:p>
    <w:p>
      <w:pPr>
        <w:pStyle w:val="TextBody"/>
        <w:bidi w:val="0"/>
        <w:spacing w:before="240" w:after="0"/>
        <w:jc w:val="left"/>
        <w:rPr>
          <w:rFonts w:ascii="Times New Roman" w:hAnsi="Times New Roman"/>
          <w:sz w:val="20"/>
        </w:rPr>
      </w:pPr>
      <w:r>
        <w:rPr>
          <w:rFonts w:ascii="Times New Roman" w:hAnsi="Times New Roman"/>
          <w:sz w:val="20"/>
        </w:rPr>
        <w:t xml:space="preserve">We will determine, in our sole discretion, all questions regarding the validity, form, eligibility, including time of receipt, acceptance and withdrawal of tendered Restricted Notes. Our determination will be final and binding. We reserve the absolute right to reject any and all Restricted Notes not validly tendered or any Restricted Notes our acceptance of which would, in the opinion of our counsel, be unlawful. We also reserve the right to waive any defects, irregularities or conditions of tender as to certain Restricted Notes. Our interpretation of the terms and conditions of the exchange offer, including the instructions in the letter of transmittal, will be final and binding on all parties. </w:t>
      </w:r>
    </w:p>
    <w:p>
      <w:pPr>
        <w:pStyle w:val="TextBody"/>
        <w:bidi w:val="0"/>
        <w:spacing w:before="240" w:after="0"/>
        <w:jc w:val="left"/>
        <w:rPr>
          <w:rFonts w:ascii="Times New Roman" w:hAnsi="Times New Roman"/>
          <w:sz w:val="20"/>
        </w:rPr>
      </w:pPr>
      <w:r>
        <w:rPr>
          <w:rFonts w:ascii="Times New Roman" w:hAnsi="Times New Roman"/>
          <w:sz w:val="20"/>
        </w:rPr>
        <w:t xml:space="preserve">You must cure any defects or irregularities in connection with tenders of your Restricted Notes within the time period that we determine unless we waive that defect or irregularity. Although we intend to notify you of defects or irregularities with respect to your tender of Restricted Notes, neither we, the exchange agent nor any other person will incur any liability for failure to give this notification. Your tender will not be deemed to have been made and your Restricted Notes will be returned to you unless otherwise provided in the letter of transmittal, as soon as practicable following the expiration of the exchange offer,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invalidly tender your Restricted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have not cured any defects or irregularities in your tender;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not waived those defects, irregularities or invalid tender. In addition, we reserve the right in our sole discretion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or make offers for, or offer Exchange Notes for, any Restricted Notes that remain outstanding subsequent to the expiration of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the exchange offer;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permitted by applicable law, purchase Restricted Notes in the open market, in privately negotiated transactions or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terms of any of these purchases of or offers for Restricted Notes could differ from the terms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In all cases, the issuance of Exchange Notes for Restricted Notes that are accepted for exchange in the exchange offer will be made only after timely receipt by the exchange agent of a timely book-entry confirmation of your Restricted Notes into the exchange agent’s account at DTC, a computer-generated message instead of the Letter of Transmittal, and all other required documents. If any tendered Restricted Notes are not accepted for any reason set forth in the terms and conditions of the exchange offer or if Restricted Notes are submitted for a greater principal amount than you indicate your desire to exchange, the unaccepted or non-exchanged Restricted Notes, or Restricted Notes in substitution therefor, will be returned without expense to you by credit to the accounts at DTC of the applicable DTC participant, as promptly as practicable after rejection of tender or the expiration or termination of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Transfer </w:t>
      </w:r>
    </w:p>
    <w:p>
      <w:pPr>
        <w:pStyle w:val="TextBody"/>
        <w:bidi w:val="0"/>
        <w:spacing w:before="120" w:after="0"/>
        <w:jc w:val="left"/>
        <w:rPr>
          <w:rFonts w:ascii="Times New Roman" w:hAnsi="Times New Roman"/>
          <w:sz w:val="20"/>
        </w:rPr>
      </w:pPr>
      <w:r>
        <w:rPr>
          <w:rFonts w:ascii="Times New Roman" w:hAnsi="Times New Roman"/>
          <w:sz w:val="20"/>
        </w:rPr>
        <w:t xml:space="preserve">The exchange agent will make a request to establish an account with respect to the Restricted Notes at DTC for purposes of the exchange offer after the date of this prospectus, and any financial institution that is a participant in DTC’s systems may make book-entry delivery of Restricted Notes being tendered by causing DTC to transfer such Restricted Notes into the exchange agent’s account at DTC in accordance with DTC’s procedures for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DTC participant wishing to tender Restricted Notes in the exchange offer (whether on its own behalf or on behalf of the beneficial owner of Restricted Notes) should transmit its acceptance to DTC sufficiently far in advance of the expiration of the exchange offer so as to permit DTC to take the following actions prior to 5:00 p.m., New York City time, on the expiration date. DTC will verify such acceptance, execute a book-entry transfer of the tendered Restricted Notes into the exchange agent’s account at DTC and then send to the exchange agent a confirmation of such book-entry transfer. The confirmation of such book-entry transfer will include a confirmation that such DTC participant acknowledges and agrees (on behalf of itself and on behalf of any beneficial owner of the applicable Restricted Notes) to be bound by the letter of transmittal. All of the foregoing, together with any other required documents, must be delivered to and received by the exchange agent prior to 5:00 p.m., New York City time, on the expiration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No Guaranteed Delivery Procedures </w:t>
      </w:r>
    </w:p>
    <w:p>
      <w:pPr>
        <w:pStyle w:val="TextBody"/>
        <w:bidi w:val="0"/>
        <w:spacing w:before="120" w:after="0"/>
        <w:jc w:val="left"/>
        <w:rPr>
          <w:rFonts w:ascii="Times New Roman" w:hAnsi="Times New Roman"/>
          <w:sz w:val="20"/>
        </w:rPr>
      </w:pPr>
      <w:r>
        <w:rPr>
          <w:rFonts w:ascii="Times New Roman" w:hAnsi="Times New Roman"/>
          <w:sz w:val="20"/>
        </w:rPr>
        <w:t xml:space="preserve">Guaranteed delivery procedures are not available in connection with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Rights </w:t>
      </w:r>
    </w:p>
    <w:p>
      <w:pPr>
        <w:pStyle w:val="TextBody"/>
        <w:bidi w:val="0"/>
        <w:spacing w:before="120" w:after="0"/>
        <w:jc w:val="left"/>
        <w:rPr>
          <w:rFonts w:ascii="Times New Roman" w:hAnsi="Times New Roman"/>
          <w:sz w:val="20"/>
        </w:rPr>
      </w:pPr>
      <w:r>
        <w:rPr>
          <w:rFonts w:ascii="Times New Roman" w:hAnsi="Times New Roman"/>
          <w:sz w:val="20"/>
        </w:rPr>
        <w:t xml:space="preserve">You may withdraw tenders of your Restricted Notes at any time prior to 5:00 p.m., New York City time, on the expiration date of the exchange offer. </w:t>
      </w:r>
    </w:p>
    <w:p>
      <w:pPr>
        <w:pStyle w:val="TextBody"/>
        <w:bidi w:val="0"/>
        <w:spacing w:before="240" w:after="0"/>
        <w:jc w:val="left"/>
        <w:rPr>
          <w:rFonts w:ascii="Times New Roman" w:hAnsi="Times New Roman"/>
          <w:sz w:val="20"/>
        </w:rPr>
      </w:pPr>
      <w:r>
        <w:rPr>
          <w:rFonts w:ascii="Times New Roman" w:hAnsi="Times New Roman"/>
          <w:sz w:val="20"/>
        </w:rPr>
        <w:t>For your withdrawal to be effective, the exchange agent must receive an electronic ATOP transmission of the notice of withdrawal at its address set forth below under “—</w:t>
      </w:r>
      <w:r>
        <w:rPr>
          <w:rFonts w:ascii="Times New Roman" w:hAnsi="Times New Roman"/>
          <w:i/>
          <w:sz w:val="20"/>
        </w:rPr>
        <w:t>Exchange Agent</w:t>
      </w:r>
      <w:r>
        <w:rPr>
          <w:rFonts w:ascii="Times New Roman" w:hAnsi="Times New Roman"/>
          <w:sz w:val="20"/>
        </w:rPr>
        <w:t xml:space="preserve">,” prior to 5:00 p.m., New York City time, on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The notice of withdrawal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the name and DTC account number of the DTC participant that tendered such Restricted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the principal amount of Restricted Notes to be withdrawn;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the name and account number of the DTC participant to which the withdrawn Restricted Notes should be credited;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contain a statement that the holder is withdrawing its election to have the Restricted Notes exchanged. </w:t>
            </w:r>
          </w:p>
        </w:tc>
      </w:tr>
    </w:tbl>
    <w:p>
      <w:pPr>
        <w:pStyle w:val="TextBody"/>
        <w:bidi w:val="0"/>
        <w:spacing w:before="240" w:after="0"/>
        <w:jc w:val="left"/>
        <w:rPr>
          <w:rFonts w:ascii="Times New Roman" w:hAnsi="Times New Roman"/>
          <w:sz w:val="20"/>
        </w:rPr>
      </w:pPr>
      <w:r>
        <w:rPr>
          <w:rFonts w:ascii="Times New Roman" w:hAnsi="Times New Roman"/>
          <w:sz w:val="20"/>
        </w:rPr>
        <w:t>We will determine all questions regarding the validity, form and eligibility, including time of receipt, of withdrawal notices. Our determination will be final and binding on all parties. Any Restricted Notes that have been withdrawn will be deemed not to have been validly tendered for exchange for purposes of the exchange offer. Any Restricted Notes that have been tendered for exchange but that are withdrawn and not exchanged will be returned by credit to the account at DTC of the applicable DTC participant without cost as soon as practicable after withdrawal. Properly withdrawn Restricted Notes may be retendered by following one of the procedures described under “—</w:t>
      </w:r>
      <w:r>
        <w:rPr>
          <w:rFonts w:ascii="Times New Roman" w:hAnsi="Times New Roman"/>
          <w:i/>
          <w:sz w:val="20"/>
        </w:rPr>
        <w:t>Procedures for Tendering Restricted Notes</w:t>
      </w:r>
      <w:r>
        <w:rPr>
          <w:rFonts w:ascii="Times New Roman" w:hAnsi="Times New Roman"/>
          <w:sz w:val="20"/>
        </w:rPr>
        <w:t xml:space="preserve">” above at any time on or prior to 5:00 p.m., New York City time, on the expiration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No Appraisal or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You do not have any appraisal or dissenters’ rights in connection with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Conditions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the exchange offer, and subject to our obligations under the Registration Rights Agreement, we will not be required to accept for exchange, or to issue Exchange Notes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for, any Restricted Notes and may terminate or amend the exchange offer, if at any time before the acceptance of any Restricted Notes for exchange any one of the following events occurs: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injunction, order or decree has been issued by any court or any governmental agency that would prohibit, prevent or otherwise materially impair our ability to complete the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offer violates any applicable law or any applicable interpretation of the staff of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conditions are for our sole benefit, and we may assert them regardless of the circumstances giving rise to them, subject to applicable law. We also may waive in whole or in part at any time and from time to time any particular condition in our sole discretion. If we waive a condition, we may be required, in order to comply with applicable securities laws, to extend the expiration date of the exchange offer. Our failure at any time to exercise any of the foregoing rights will not be deemed a waiver of these rights, and these rights will be deemed ongoing rights which may be asserted at any time and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not accept for exchange any Restricted Notes validly tendered, and no Exchange Notes will be issued in exchange for any tendered Restricted Notes, if, at the time the Restricted Notes are tendered, any stop order is threatened by the SEC or in effect with respect to the registration statement of which this prospectus is a part or the qualification of the Indenture under the Trust Indenture Act of 1939,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 is not conditioned on any minimum principal amount of Restricted Notes being tendered for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Agent </w:t>
      </w:r>
    </w:p>
    <w:p>
      <w:pPr>
        <w:pStyle w:val="TextBody"/>
        <w:bidi w:val="0"/>
        <w:spacing w:before="120" w:after="0"/>
        <w:jc w:val="left"/>
        <w:rPr>
          <w:rFonts w:ascii="Times New Roman" w:hAnsi="Times New Roman"/>
          <w:sz w:val="20"/>
        </w:rPr>
      </w:pPr>
      <w:r>
        <w:rPr>
          <w:rFonts w:ascii="Times New Roman" w:hAnsi="Times New Roman"/>
          <w:sz w:val="20"/>
        </w:rPr>
        <w:t xml:space="preserve">We have appointed U.S. Bank as exchange agent for the exchange offer. Questions, requests for assistance and requests for additional copies of this prospectus, the Letter of Transmittal and other related documents should be directed to the exchange agent addressed as follows: </w:t>
      </w:r>
    </w:p>
    <w:p>
      <w:pPr>
        <w:pStyle w:val="TextBody"/>
        <w:bidi w:val="0"/>
        <w:spacing w:before="240" w:after="0"/>
        <w:jc w:val="center"/>
        <w:rPr>
          <w:rFonts w:ascii="Times New Roman" w:hAnsi="Times New Roman"/>
          <w:sz w:val="20"/>
        </w:rPr>
      </w:pPr>
      <w:r>
        <w:rPr>
          <w:rFonts w:ascii="Times New Roman" w:hAnsi="Times New Roman"/>
          <w:sz w:val="20"/>
        </w:rPr>
        <w:t xml:space="preserve">U.S. Bank, as Exchange Agent </w:t>
      </w:r>
    </w:p>
    <w:p>
      <w:pPr>
        <w:pStyle w:val="TextBody"/>
        <w:bidi w:val="0"/>
        <w:spacing w:before="240" w:after="0"/>
        <w:jc w:val="center"/>
        <w:rPr>
          <w:rFonts w:ascii="Times New Roman" w:hAnsi="Times New Roman"/>
          <w:i/>
          <w:sz w:val="20"/>
        </w:rPr>
      </w:pPr>
      <w:r>
        <w:rPr>
          <w:rFonts w:ascii="Times New Roman" w:hAnsi="Times New Roman"/>
          <w:i/>
          <w:sz w:val="20"/>
        </w:rPr>
        <w:t xml:space="preserve">By Registered or Certified Mail, By Hand or Overnight Delivery on or before </w:t>
      </w:r>
    </w:p>
    <w:p>
      <w:pPr>
        <w:pStyle w:val="TextBody"/>
        <w:bidi w:val="0"/>
        <w:spacing w:before="0" w:after="0"/>
        <w:jc w:val="center"/>
        <w:rPr>
          <w:rFonts w:ascii="Times New Roman" w:hAnsi="Times New Roman"/>
          <w:i/>
          <w:sz w:val="20"/>
        </w:rPr>
      </w:pPr>
      <w:r>
        <w:rPr>
          <w:rFonts w:ascii="Times New Roman" w:hAnsi="Times New Roman"/>
          <w:i/>
          <w:sz w:val="20"/>
        </w:rPr>
        <w:t xml:space="preserve">5:00 p.m. New York City Time, on the Expiration Date: </w:t>
      </w:r>
    </w:p>
    <w:p>
      <w:pPr>
        <w:pStyle w:val="TextBody"/>
        <w:bidi w:val="0"/>
        <w:spacing w:before="240" w:after="0"/>
        <w:jc w:val="center"/>
        <w:rPr>
          <w:rFonts w:ascii="Times New Roman" w:hAnsi="Times New Roman"/>
          <w:sz w:val="20"/>
        </w:rPr>
      </w:pPr>
      <w:r>
        <w:rPr>
          <w:rFonts w:ascii="Times New Roman" w:hAnsi="Times New Roman"/>
          <w:sz w:val="20"/>
        </w:rPr>
        <w:t xml:space="preserve">Attn: Specialized Finance Dept. </w:t>
      </w:r>
    </w:p>
    <w:p>
      <w:pPr>
        <w:pStyle w:val="TextBody"/>
        <w:bidi w:val="0"/>
        <w:spacing w:before="240" w:after="0"/>
        <w:jc w:val="center"/>
        <w:rPr>
          <w:rFonts w:ascii="Times New Roman" w:hAnsi="Times New Roman"/>
          <w:sz w:val="20"/>
        </w:rPr>
      </w:pPr>
      <w:r>
        <w:rPr>
          <w:rFonts w:ascii="Times New Roman" w:hAnsi="Times New Roman"/>
          <w:sz w:val="20"/>
        </w:rPr>
        <w:t xml:space="preserve">U.S.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111 Fillmore Avenue E. </w:t>
      </w:r>
    </w:p>
    <w:p>
      <w:pPr>
        <w:pStyle w:val="TextBody"/>
        <w:bidi w:val="0"/>
        <w:spacing w:before="0" w:after="0"/>
        <w:jc w:val="center"/>
        <w:rPr>
          <w:rFonts w:ascii="Times New Roman" w:hAnsi="Times New Roman"/>
          <w:sz w:val="20"/>
        </w:rPr>
      </w:pPr>
      <w:r>
        <w:rPr>
          <w:rFonts w:ascii="Times New Roman" w:hAnsi="Times New Roman"/>
          <w:sz w:val="20"/>
        </w:rPr>
        <w:t xml:space="preserve">St. Paul, MN 55107 </w:t>
      </w:r>
    </w:p>
    <w:p>
      <w:pPr>
        <w:pStyle w:val="TextBody"/>
        <w:bidi w:val="0"/>
        <w:spacing w:before="0" w:after="0"/>
        <w:jc w:val="center"/>
        <w:rPr>
          <w:rFonts w:ascii="Times New Roman" w:hAnsi="Times New Roman"/>
          <w:sz w:val="20"/>
        </w:rPr>
      </w:pPr>
      <w:r>
        <w:rPr>
          <w:rFonts w:ascii="Times New Roman" w:hAnsi="Times New Roman"/>
          <w:sz w:val="20"/>
        </w:rPr>
        <w:t xml:space="preserve">Email: cts.specfinance@usbank.com </w:t>
      </w:r>
    </w:p>
    <w:p>
      <w:pPr>
        <w:pStyle w:val="TextBody"/>
        <w:bidi w:val="0"/>
        <w:spacing w:before="240" w:after="0"/>
        <w:jc w:val="center"/>
        <w:rPr>
          <w:rFonts w:ascii="Times New Roman" w:hAnsi="Times New Roman"/>
          <w:i/>
          <w:sz w:val="20"/>
        </w:rPr>
      </w:pPr>
      <w:r>
        <w:rPr>
          <w:rFonts w:ascii="Times New Roman" w:hAnsi="Times New Roman"/>
          <w:i/>
          <w:sz w:val="20"/>
        </w:rPr>
        <w:t xml:space="preserve">For Information or Confirmation by Telephone Call: </w:t>
      </w:r>
    </w:p>
    <w:p>
      <w:pPr>
        <w:pStyle w:val="TextBody"/>
        <w:bidi w:val="0"/>
        <w:spacing w:before="240" w:after="0"/>
        <w:jc w:val="center"/>
        <w:rPr>
          <w:rFonts w:ascii="Times New Roman" w:hAnsi="Times New Roman"/>
          <w:sz w:val="20"/>
        </w:rPr>
      </w:pPr>
      <w:r>
        <w:rPr>
          <w:rFonts w:ascii="Times New Roman" w:hAnsi="Times New Roman"/>
          <w:sz w:val="20"/>
        </w:rPr>
        <w:t xml:space="preserve">(800) 934-6802 </w:t>
      </w:r>
    </w:p>
    <w:p>
      <w:pPr>
        <w:pStyle w:val="TextBody"/>
        <w:bidi w:val="0"/>
        <w:spacing w:before="240" w:after="0"/>
        <w:jc w:val="left"/>
        <w:rPr>
          <w:rFonts w:ascii="Times New Roman" w:hAnsi="Times New Roman"/>
          <w:b/>
          <w:sz w:val="20"/>
        </w:rPr>
      </w:pPr>
      <w:r>
        <w:rPr>
          <w:rFonts w:ascii="Times New Roman" w:hAnsi="Times New Roman"/>
          <w:b/>
          <w:sz w:val="20"/>
        </w:rPr>
        <w:t xml:space="preserve">DELIVERY OF A LETTER OF TRANSMITTAL TO AN ADDRESS OTHER THAN AS SET FORTH ABOVE, OR TRANSMISSION OF SUCH LETTER OF TRANSMITTAL VIA EMAIL OTHER THAN AS SET FORTH ABOVE, WILL NOT CONSTITUTE A VALID DELIVERY. </w:t>
      </w:r>
    </w:p>
    <w:p>
      <w:pPr>
        <w:pStyle w:val="TextBody"/>
        <w:bidi w:val="0"/>
        <w:spacing w:before="240" w:after="0"/>
        <w:jc w:val="left"/>
        <w:rPr>
          <w:rFonts w:ascii="Times New Roman" w:hAnsi="Times New Roman"/>
          <w:sz w:val="20"/>
        </w:rPr>
      </w:pPr>
      <w:r>
        <w:rPr>
          <w:rFonts w:ascii="Times New Roman" w:hAnsi="Times New Roman"/>
          <w:sz w:val="20"/>
        </w:rPr>
        <w:t xml:space="preserve">The exchange agent also acts as the trustee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We will not pay brokers, dealers or others soliciting acceptances of the exchange offer. The principal solicitation is being made by mail. Additional solicitations, however, may be made in person, by email or by telephone by our officers and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pay the estimated cash expenses to be incurred in connection with the exchange offer. These are estimated in the aggregate to be approximately $100,000 which includes fees and expenses of the exchange agent and accounting, legal, printing and related fees and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Taxes </w:t>
      </w:r>
    </w:p>
    <w:p>
      <w:pPr>
        <w:pStyle w:val="TextBody"/>
        <w:bidi w:val="0"/>
        <w:spacing w:before="120" w:after="0"/>
        <w:jc w:val="left"/>
        <w:rPr>
          <w:rFonts w:ascii="Times New Roman" w:hAnsi="Times New Roman"/>
          <w:sz w:val="20"/>
        </w:rPr>
      </w:pPr>
      <w:r>
        <w:rPr>
          <w:rFonts w:ascii="Times New Roman" w:hAnsi="Times New Roman"/>
          <w:sz w:val="20"/>
        </w:rPr>
        <w:t xml:space="preserve">You will not be obligated to pay any transfer taxes in connection with a tender of your Restricted Notes unless Exchange Notes are to be registered in the name of, or Restricted Notes (or any portion thereof) not tendered or not accepted in the exchange offer are to be returned to, a person other than the registered tendering holder of the Restricted Notes, in which event the registered tendering holder will be responsible for the payment of any applicable transfer tax. In addition, tendering holders will be responsible for any transfer tax imposed for any reason other than the transfer of Restricted Notes to, or upon the order of, us pursuant to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We will not recognize any gain or loss for accounting purposes upon the consummation of the exchange offer. We will amortize the expense of the exchange offer over the term of the Exchange Notes under generally accepted accounting principles in the United States of America (“GAAP”). The unamortized debt issuance costs are reflected in the carrying value of the Company’s unsecured notes as presented in the Consolidated Statements of Assets and Liabilities. Debt issuance costs are amortized through the life of the Notes and recorded as interest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39616_5"/>
      <w:bookmarkEnd w:id="7"/>
      <w:r>
        <w:rPr>
          <w:rFonts w:ascii="Times New Roman" w:hAnsi="Times New Roman"/>
          <w:b/>
          <w:sz w:val="20"/>
        </w:rPr>
        <w:t xml:space="preserve">DESCRIPTION OF THE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We issued the Restricted Notes under the Note Purchase Agreement, and will issue the Exchange Notes under the Indenture. The terms of the Exchange Notes include those expressly set forth in the Indenture and those made part of the Indenture by reference to the Trust Indenture Act of 1939, as amended. 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description, references to “we,” “our” and “us” refer only to the Company and not to any of its current or future subsidiaries and references to “subsidiaries” refer only to our consolidated subsidiaries and exclude any investments held by the Company in the ordinary course of business which are not, under GAAP, consolidated on the financial statements of the Company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The Restricted Notes are, and the Exchange Notes will be our direct, general unsecured obligations ranking equally in right of payment with all of our other senior unsecured indebtedness from time to time outstanding. The Restricted Notes are, and the Exchange Notes will be issued in an aggregate principal amount of $120,000,000. The Notes will mature on June 1, 2029, unless previously redeemed or repurchased in full by us as provided below under “—</w:t>
      </w:r>
      <w:r>
        <w:rPr>
          <w:rFonts w:ascii="Times New Roman" w:hAnsi="Times New Roman"/>
          <w:i/>
          <w:sz w:val="20"/>
        </w:rPr>
        <w:t>Optional Redemption</w:t>
      </w:r>
      <w:r>
        <w:rPr>
          <w:rFonts w:ascii="Times New Roman" w:hAnsi="Times New Roman"/>
          <w:sz w:val="20"/>
        </w:rPr>
        <w:t xml:space="preserve">” </w:t>
      </w:r>
      <w:r>
        <w:rPr>
          <w:rFonts w:ascii="Times New Roman" w:hAnsi="Times New Roman"/>
          <w:i/>
          <w:sz w:val="20"/>
        </w:rPr>
        <w:t xml:space="preserve">or </w:t>
      </w:r>
      <w:r>
        <w:rPr>
          <w:rFonts w:ascii="Times New Roman" w:hAnsi="Times New Roman"/>
          <w:sz w:val="20"/>
        </w:rPr>
        <w:t>“—</w:t>
      </w:r>
      <w:r>
        <w:rPr>
          <w:rFonts w:ascii="Times New Roman" w:hAnsi="Times New Roman"/>
          <w:i/>
          <w:sz w:val="20"/>
        </w:rPr>
        <w:t>Offer to Repurchase Upon a Change of Control Repurchase Event.</w:t>
      </w:r>
      <w:r>
        <w:rPr>
          <w:rFonts w:ascii="Times New Roman" w:hAnsi="Times New Roman"/>
          <w:sz w:val="20"/>
        </w:rPr>
        <w:t xml:space="preserve">” The Exchange Notes and the Restricted Notes that remain outstanding after the exchange offer will be a single series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Restricted Notes bear, and the Exchange Notes will bear interest at the rate of 6.625% per annum from May 29, 2026, or from the most recent date on which interest has been paid or duly provided for to the stated maturity or date of earlier redemption. Interest on the Notes will be payable semi-annually in arrears on June 1 and December 1 of each year, beginning on December 1, 2026 (if an interest payment date falls on a day that is not a business day, then the applicable interest payment will be made on the next succeeding business day and no additional interest will accrue as a result of such delayed payment), to the persons in whose names such notes were registered at 5:00 p.m. New York City time (the “close of business”) on the immediately preceding May 31 and November 30 (whether or not a business day), respectively. The term “business day” means, with respect to any of the Notes, any day other than a Saturday, a Sunday or a day on which banking institutions in New York or the city in which the corporate trust office of the trustee is located are authorized or obligated by law or executive order to close.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payments in respect of the Notes will equal the amount of interest accrued from and including the immediately preceding interest payment date in respect of which interest has been paid or duly provided for (or from and including the date of issue, if no interest has been paid or duly provided for with respect to the Notes), to, but excluding, the applicable interest payment date or stated maturity date or date of early redemption, as the case may be. Interest on the Notes will be computed on the basis of a 360-day year composed of twelve 30-day months. </w:t>
      </w:r>
    </w:p>
    <w:p>
      <w:pPr>
        <w:pStyle w:val="TextBody"/>
        <w:bidi w:val="0"/>
        <w:spacing w:before="240" w:after="0"/>
        <w:jc w:val="left"/>
        <w:rPr>
          <w:rFonts w:ascii="Times New Roman" w:hAnsi="Times New Roman"/>
          <w:sz w:val="20"/>
        </w:rPr>
      </w:pPr>
      <w:r>
        <w:rPr>
          <w:rFonts w:ascii="Times New Roman" w:hAnsi="Times New Roman"/>
          <w:sz w:val="20"/>
        </w:rPr>
        <w:t>We issued the Restricted Notes initially in aggregate principal amount of $120,000,000 under the Note Purchase Agreement. Neither the Note Purchase Agreement nor the Indenture limit the amount of debt that may be issued by us or our subsidiaries but do contain a covenant regarding our asset coverage that would have to be satisfied at the time of incurrence of additional indebtedness. See “—</w:t>
      </w:r>
      <w:r>
        <w:rPr>
          <w:rFonts w:ascii="Times New Roman" w:hAnsi="Times New Roman"/>
          <w:i/>
          <w:sz w:val="20"/>
        </w:rPr>
        <w:t>Covenants</w:t>
      </w:r>
      <w:r>
        <w:rPr>
          <w:rFonts w:ascii="Times New Roman" w:hAnsi="Times New Roman"/>
          <w:sz w:val="20"/>
        </w:rPr>
        <w:t>”. Neither the Note Purchase Agreement nor the Indenture contain any financial covenants and do not restrict us from paying dividends or issuing or repurchasing our other securities. Other than restrictions and other provisions described under “</w:t>
      </w:r>
      <w:r>
        <w:rPr>
          <w:rFonts w:ascii="Times New Roman" w:hAnsi="Times New Roman"/>
          <w:i/>
          <w:sz w:val="20"/>
        </w:rPr>
        <w:t>Offer to Repurchase Upon a Change of Control Repurchase Event</w:t>
      </w:r>
      <w:r>
        <w:rPr>
          <w:rFonts w:ascii="Times New Roman" w:hAnsi="Times New Roman"/>
          <w:sz w:val="20"/>
        </w:rPr>
        <w:t>” and “</w:t>
      </w:r>
      <w:r>
        <w:rPr>
          <w:rFonts w:ascii="Times New Roman" w:hAnsi="Times New Roman"/>
          <w:i/>
          <w:sz w:val="20"/>
        </w:rPr>
        <w:t>Merger, Consolidation or Sale of Assets</w:t>
      </w:r>
      <w:r>
        <w:rPr>
          <w:rFonts w:ascii="Times New Roman" w:hAnsi="Times New Roman"/>
          <w:sz w:val="20"/>
        </w:rPr>
        <w:t xml:space="preserve">” below, neither the Note Purchase Agreement nor the Indenture contain any covenants or other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 We may, without the consent of the holders, issue additional Notes under the Indenture with the same terms (except for the issue date, offering price and, if applicable, the initial interest payment date) and with the same CUSIP number as the Notes offered hereby in an unlimited aggregate principal amount; </w:t>
      </w:r>
      <w:r>
        <w:rPr>
          <w:rFonts w:ascii="Times New Roman" w:hAnsi="Times New Roman"/>
          <w:i/>
          <w:sz w:val="20"/>
        </w:rPr>
        <w:t xml:space="preserve">provided </w:t>
      </w:r>
      <w:r>
        <w:rPr>
          <w:rFonts w:ascii="Times New Roman" w:hAnsi="Times New Roman"/>
          <w:sz w:val="20"/>
        </w:rPr>
        <w:t xml:space="preserve">that such additional Notes must either be issued in a “qualified reopening” for U.S. federal income tax purposes, with no more than a de minimis amount of original issue discount, or otherwise be part of the same issue as the Notes offered hereby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We do not intend to list the Notes on any securities exchange or any automated dealer quotation system. </w:t>
      </w:r>
    </w:p>
    <w:p>
      <w:pPr>
        <w:pStyle w:val="TextBody"/>
        <w:bidi w:val="0"/>
        <w:spacing w:before="360" w:after="0"/>
        <w:jc w:val="left"/>
        <w:rPr>
          <w:rFonts w:ascii="Times New Roman" w:hAnsi="Times New Roman"/>
          <w:b/>
          <w:sz w:val="20"/>
        </w:rPr>
      </w:pPr>
      <w:r>
        <w:rPr>
          <w:rFonts w:ascii="Times New Roman" w:hAnsi="Times New Roman"/>
          <w:b/>
          <w:sz w:val="20"/>
        </w:rPr>
        <w:t xml:space="preserve">Payments on the Notes; Paying Agent and Registrar; 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We will pay the principal of, and interest on, the Notes in global form registered in the name of or held by DTC or its nominee in immediately available funds to DTC or its nominee, as the case may be, as the registered holder of such Global Note (as defined below). Payment of principal of (and premium, if any) and any such interest on the Notes will be made at the corporate trust office of the paying agent, in such coin or currency of the United States of America as at the time of payment is legal tender for payment of public and private debts; </w:t>
      </w:r>
      <w:r>
        <w:rPr>
          <w:rFonts w:ascii="Times New Roman" w:hAnsi="Times New Roman"/>
          <w:i/>
          <w:sz w:val="20"/>
        </w:rPr>
        <w:t>provided</w:t>
      </w:r>
      <w:r>
        <w:rPr>
          <w:rFonts w:ascii="Times New Roman" w:hAnsi="Times New Roman"/>
          <w:sz w:val="20"/>
        </w:rPr>
        <w:t xml:space="preserve">, however, that, in the case of notes that are not in global form, at our option payment of interest may be made by check mailed to the address of the person entitled thereto as such address shall appear in the security register. </w:t>
      </w:r>
    </w:p>
    <w:p>
      <w:pPr>
        <w:pStyle w:val="TextBody"/>
        <w:bidi w:val="0"/>
        <w:spacing w:before="240" w:after="0"/>
        <w:jc w:val="left"/>
        <w:rPr>
          <w:rFonts w:ascii="Times New Roman" w:hAnsi="Times New Roman"/>
          <w:sz w:val="20"/>
        </w:rPr>
      </w:pPr>
      <w:r>
        <w:rPr>
          <w:rFonts w:ascii="Times New Roman" w:hAnsi="Times New Roman"/>
          <w:sz w:val="20"/>
        </w:rPr>
        <w:t xml:space="preserve">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 The registered holder of a Note will be treated as its owner for all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direct, general unsecured obligations and will rank: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pari passu</w:t>
            </w:r>
            <w:r>
              <w:rPr>
                <w:rFonts w:ascii="Times New Roman" w:hAnsi="Times New Roman"/>
                <w:sz w:val="20"/>
              </w:rPr>
              <w:t xml:space="preserve"> with our existing and future unsecured, unsubordinated indebtedness, including, as of September 8, 2026, $200.0 million in aggregate principal amount outstanding of our 2030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any series of preferred stock that we may issue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any of our future indebtedness that expressly provides that it is subordinated to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subordinated to all of our existing and future secured indebtedness (including indebtedness that is initially unsecured to which we subsequently grant security), to the extent of the value of the assets securing such indebtedness, including, without limitation, as of September 8, 2026, $10.7 million in our secured borrowings;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structurally subordinated to all existing and future indebtedness and other obligations of any of our subsidiaries, including, without limitation, as of September 8, 2026, $80.3 million in outstanding borrowings under the SPV Credit Facility and $289.5 million in outstanding SBA debentures. </w:t>
            </w:r>
          </w:p>
        </w:tc>
      </w:tr>
    </w:tbl>
    <w:p>
      <w:pPr>
        <w:pStyle w:val="TextBody"/>
        <w:bidi w:val="0"/>
        <w:spacing w:before="240" w:after="0"/>
        <w:jc w:val="left"/>
        <w:rPr>
          <w:rFonts w:ascii="Times New Roman" w:hAnsi="Times New Roman"/>
          <w:sz w:val="20"/>
        </w:rPr>
      </w:pPr>
      <w:r>
        <w:rPr>
          <w:rFonts w:ascii="Times New Roman" w:hAnsi="Times New Roman"/>
          <w:sz w:val="20"/>
        </w:rPr>
        <w:t>As of September 8, 2026, we had approximately $700.5 million in aggregate principal amount of debt outstanding, $380.5 million of which was indebtedness secured primarily by our assets or the assets of our subsidiaries. Our capitalization will not change as a result of issuing the Exchange Notes. See “</w:t>
      </w:r>
      <w:r>
        <w:rPr>
          <w:rFonts w:ascii="Times New Roman" w:hAnsi="Times New Roman"/>
          <w:i/>
          <w:sz w:val="20"/>
        </w:rPr>
        <w:t>Use of Proceeds.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We may redeem some or all of the Notes at any time, or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Prior to the Par Call Date, we may, at our option, upon notice as provided below, prepay at any time all, or from time to time any part of, the Notes, in an amount not less than 10% of the aggregate principal amount of the Notes then outstanding in the case of a partial prepayment, at 100% of the principal amount so prepaid, and the Prepayment Settlement Amount (as defined below) determined for the prepayment date with respect to such principal amount. With respect to any Note, an amount equal to the “Prepayment Settlement Amount” as follows: </w:t>
      </w:r>
    </w:p>
    <w:p>
      <w:pPr>
        <w:pStyle w:val="TextBody"/>
        <w:bidi w:val="0"/>
        <w:spacing w:before="240" w:after="0"/>
        <w:jc w:val="left"/>
        <w:rPr>
          <w:rFonts w:ascii="Times New Roman" w:hAnsi="Times New Roman"/>
          <w:sz w:val="20"/>
        </w:rPr>
      </w:pPr>
      <w:r>
        <w:rPr>
          <w:rFonts w:ascii="Times New Roman" w:hAnsi="Times New Roman"/>
          <w:sz w:val="20"/>
        </w:rPr>
        <w:t xml:space="preserve">Prior to the Par Call Date, the prepayment settlement amount shall equal the Make-Whole Amount.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prepayment settlement amount shall equal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“Make-Whole Amount” means, with respect to any Note, an amount equal to the excess, if any, of the Discounted Value of the Remaining Scheduled Payments with respect to the Called Principal of such Note over the amount of such Called Principal, provided that the Make-Whole Amount may in no event be less than zero. For the purposes of determining the Make-Whole Amount, the following terms have the following meanings: </w:t>
      </w:r>
    </w:p>
    <w:p>
      <w:pPr>
        <w:pStyle w:val="TextBody"/>
        <w:bidi w:val="0"/>
        <w:spacing w:before="120" w:after="0"/>
        <w:jc w:val="left"/>
        <w:rPr/>
      </w:pPr>
      <w:r>
        <w:rPr/>
        <w:t>“</w:t>
      </w:r>
      <w:r>
        <w:rPr>
          <w:rFonts w:ascii="Times New Roman" w:hAnsi="Times New Roman"/>
          <w:sz w:val="20"/>
        </w:rPr>
        <w:t xml:space="preserve">Called Principal” means, with respect to any Note, the principal of such Note that is to be prepaid or has become or is declared to be immediately due and payable, as the context requires. </w:t>
      </w:r>
    </w:p>
    <w:p>
      <w:pPr>
        <w:pStyle w:val="TextBody"/>
        <w:bidi w:val="0"/>
        <w:spacing w:before="120" w:after="0"/>
        <w:jc w:val="left"/>
        <w:rPr/>
      </w:pPr>
      <w:r>
        <w:rPr/>
        <w:t>“</w:t>
      </w:r>
      <w:r>
        <w:rPr>
          <w:rFonts w:ascii="Times New Roman" w:hAnsi="Times New Roman"/>
          <w:sz w:val="20"/>
        </w:rPr>
        <w:t xml:space="preserve">Discounted Value” means,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is payable) equal to the Reinvestment Yield with respect to such Called Principal. </w:t>
      </w:r>
    </w:p>
    <w:p>
      <w:pPr>
        <w:pStyle w:val="TextBody"/>
        <w:bidi w:val="0"/>
        <w:spacing w:before="120" w:after="0"/>
        <w:jc w:val="left"/>
        <w:rPr/>
      </w:pPr>
      <w:r>
        <w:rPr/>
        <w:t>“</w:t>
      </w:r>
      <w:r>
        <w:rPr>
          <w:rFonts w:ascii="Times New Roman" w:hAnsi="Times New Roman"/>
          <w:sz w:val="20"/>
        </w:rPr>
        <w:t xml:space="preserve">Reinvestment Yield” means, with respect to the Called Principal of any Note, the sum of (a) 0.50% plus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on-the- 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Note. If such yields are not Reported or the yields Reported as of such time are not ascertainable (including by way of interpolation), then “Reinvestment Yield” means, with respect to the Called Principal of any Note,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Note. </w:t>
      </w:r>
    </w:p>
    <w:p>
      <w:pPr>
        <w:pStyle w:val="TextBody"/>
        <w:bidi w:val="0"/>
        <w:spacing w:before="120" w:after="0"/>
        <w:jc w:val="left"/>
        <w:rPr/>
      </w:pPr>
      <w:r>
        <w:rPr/>
        <w:t>“</w:t>
      </w:r>
      <w:r>
        <w:rPr>
          <w:rFonts w:ascii="Times New Roman" w:hAnsi="Times New Roman"/>
          <w:sz w:val="20"/>
        </w:rPr>
        <w:t xml:space="preserve">Remaining Average Life”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 Payment. </w:t>
      </w:r>
    </w:p>
    <w:p>
      <w:pPr>
        <w:pStyle w:val="TextBody"/>
        <w:bidi w:val="0"/>
        <w:spacing w:before="120" w:after="0"/>
        <w:jc w:val="left"/>
        <w:rPr/>
      </w:pPr>
      <w:r>
        <w:rPr/>
        <w:t>“</w:t>
      </w:r>
      <w:r>
        <w:rPr>
          <w:rFonts w:ascii="Times New Roman" w:hAnsi="Times New Roman"/>
          <w:sz w:val="20"/>
        </w:rPr>
        <w:t xml:space="preserve">Remaining Scheduled Payments” means, with respect to the Called Principal of any Note,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Notes, then the amount of the next succeeding scheduled interest payment will be reduced by the amount of interest accrued to such Settlement Date and required to be paid on such Settlement Date. </w:t>
      </w:r>
    </w:p>
    <w:p>
      <w:pPr>
        <w:pStyle w:val="TextBody"/>
        <w:bidi w:val="0"/>
        <w:spacing w:before="120" w:after="0"/>
        <w:jc w:val="left"/>
        <w:rPr/>
      </w:pPr>
      <w:r>
        <w:rPr/>
        <w:t>“</w:t>
      </w:r>
      <w:r>
        <w:rPr>
          <w:rFonts w:ascii="Times New Roman" w:hAnsi="Times New Roman"/>
          <w:sz w:val="20"/>
        </w:rPr>
        <w:t xml:space="preserve">Settlement Date” means, with respect to the Called Principal of any Note, the date on which such Called Principal is to be prepaid or has become or is declared to be immediately due and payable, as the context requires.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Any exercise of our option to redeem the Notes will be done in compliance with the 1940 Act.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on and after the redemption date interest will cease to accrue on the notes or portions thereof called for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Offer to Repurchase Upon a Change of Control Repurchase Event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Repurchase Event occurs with respect to the Notes, unless we have exercised our right to redeem the Notes in full, we will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on the Notes repurchased to, but excluding, the date of purchase.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“Change of Control” means the Company ceases to be managed by the investment advisor or an affiliate of the investment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Within 15 business days after any responsible officer of ours has knowledge of the occurrence of a Change of Control, we will send written notice of such Change of Control to each holder of the Notes and the trustee. Such notice will contain and constitute an offer to repurchase the Notes on a repurchase date specified in the notice, which date will be no earlier than 30 days and no later than 60 days after the date of such notice (or, if no repurchase date is specified in the notice, the first business day after the 45th day after the date of such offer), and will be accompanied by a certificate of one of our senior financial officers specifying, among other things, the repurchase date, the principal amount of and interest that would be due on each Note offered to be repurchased and, in reasonable detail, the nature and date of the Change of Control. A holder of Notes may accept the offer by delivering notice of acceptance to us not later than 20 business days after such holder’s receipt of the offer; a failure by a holder of Notes to respond to the offer will be deemed to constitute a rejection of the offer by such holder. We will comply with the requirements of Rule 14e-l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On a Change of Control Repurchase Event payment date, subject to extension if necessary to comply with the provisions of the 1940 Act, we will,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or portions of Notes properly tendered pursuant to our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aggregate purchase price in respect of all Notes or portions of Notes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properly accepted, together with an officers’ certificate stating the aggregate principal amount of Notes being purchased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paying agent will promptly remit to each holder of Notes properly tendered the purchase price for the Notes, and the trustee will promptly authenticate and mail (or cause to be transferred by book-entry) to each holder new Notes equal in principal amount to any unpurchased portion of any Notes surrendered; provided that each new Note will be in a minimum principal amount of $2,000 or an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an offer to repurchase the Notes upon a Change of Control Repurchase Event if a third party makes an offer in respect of the Notes in the manner, at the times and otherwise in compliance with the requirements for an offer made by us and such third party purchases all Notes properly tendered and not withdrawn under its offer. </w:t>
      </w:r>
    </w:p>
    <w:p>
      <w:pPr>
        <w:pStyle w:val="TextBody"/>
        <w:bidi w:val="0"/>
        <w:spacing w:before="240" w:after="0"/>
        <w:jc w:val="left"/>
        <w:rPr/>
      </w:pPr>
      <w:r>
        <w:rPr>
          <w:rFonts w:ascii="Times New Roman" w:hAnsi="Times New Roman"/>
          <w:sz w:val="20"/>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For a general discussion of our indebtedness, see “</w:t>
      </w:r>
      <w:r>
        <w:rPr>
          <w:rFonts w:ascii="Times New Roman" w:hAnsi="Times New Roman"/>
          <w:i/>
          <w:sz w:val="20"/>
        </w:rPr>
        <w:t>Management’s Discussion and Analysis of Financial Condition and Results of Operations—Liquidity and Capital Resources</w:t>
      </w:r>
      <w:r>
        <w:rPr>
          <w:rFonts w:ascii="Times New Roman" w:hAnsi="Times New Roman"/>
          <w:sz w:val="20"/>
        </w:rPr>
        <w:t xml:space="preserve">” in our </w:t>
      </w:r>
      <w:hyperlink r:id="rId5">
        <w:r>
          <w:rPr>
            <w:rStyle w:val="InternetLink"/>
            <w:rFonts w:ascii="Times New Roman" w:hAnsi="Times New Roman"/>
            <w:sz w:val="20"/>
          </w:rPr>
          <w:t>Quarterly Report on Form 10-Q</w:t>
        </w:r>
      </w:hyperlink>
      <w:r>
        <w:rPr>
          <w:rFonts w:ascii="Times New Roman" w:hAnsi="Times New Roman"/>
          <w:sz w:val="20"/>
        </w:rPr>
        <w:t xml:space="preserve"> for the fiscal quarter ended June 30, 2026. Before making any such repurchase of Notes, we would have to comply with any applicable restrictions in our debt instruments in effect at the time. If we are required to repurchase Notes upon a Change of Control Repurchase Event, the financial effect of this repurchase could cause a default under our existing or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w:t>
      </w:r>
      <w:r>
        <w:rPr>
          <w:rFonts w:ascii="Times New Roman" w:hAnsi="Times New Roman"/>
          <w:i/>
          <w:sz w:val="20"/>
        </w:rPr>
        <w:t>Risk Factors—Risks Relating to the Exchange Notes—We may not be able to repurchase the Exchange Notes upon a Change of Control Repurchase Event.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Merger, Consolidation or Asset Sale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Indenture, we are generally permitted to consolidate or merge with another entity. We are also permitted to sell all or substantially all of our assets to another entity. However, we may not take any of these actions unless all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we merge out of existence or convey or transfer all or substantially all of our assets, the resulting entity must agree to be legally responsible for our obligations under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certain certificates and documents to the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covenants described in the Base Indenture, as well as standard covenants relating to payment of principal and interest, maintaining books and records and an office where payments may be made or securities can be surrendered for payment and related matters, the following covenants will apply to 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and will cause our subsidiaries to, comply with all laws, ordinances or governmental rules or regulations to which we are subject (including the Employee Retirement Income Security Act of 1974 and the rules and regulations promulgated thereunder (“ERISA”),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materials, the USA PATRIOT Act and any applicable anti-money laundering, anti-corruption or sanctions laws) and will obtain and maintain in effect all licenses, certificates, permits, franchises and other governmental authorizations necessary to the ownership of our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would not, individually or in the aggregate, reasonably be expected to have a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and will cause our subsidiaries to, maintain, customary insurance with respect to our respective properties and businesses against such casualties and contingencies, of such types, on such terms and in such amounts (including deductibles, co-insurance and self-insurance, if adequate reserves are maintained with respect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and will cause our subsidiaries to, file all federal, state and other material tax returns required to be filed in any jurisdiction and to pay and discharge all taxes shown to be due and payable on such returns and all other taxes, assessments, governmental charges, or levies imposed on them or any of our respective properties, assets, income or franchises, to the extent the same have become due and payable and before they have become delinquent and all material claims for which sums have become due and payable that have or might become a lien on such properties or assets, </w:t>
            </w:r>
            <w:r>
              <w:rPr>
                <w:rFonts w:ascii="Times New Roman" w:hAnsi="Times New Roman"/>
                <w:i/>
                <w:sz w:val="20"/>
              </w:rPr>
              <w:t xml:space="preserve">provided </w:t>
            </w:r>
            <w:r>
              <w:rPr>
                <w:rFonts w:ascii="Times New Roman" w:hAnsi="Times New Roman"/>
                <w:sz w:val="20"/>
              </w:rPr>
              <w:t xml:space="preserve">that such payment is not necessary if (i) the amount, applicability or validity thereof is contested on a timely basis in good faith and in appropriate proceedings, we establish adequate reserves therefor or (ii) such nonpayment would not have a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at all times preserve and keep our corporate existence and the corporate existence of our subsidiaries in full force and effect, unless, with respect to our subsidiaries, we determine the termination of or failure to preserve such corporate existence would not have a Material Adverse Effect.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at our sole expense, use commercially reasonable efforts to maintain a credit rating on the Notes from at least one (1) “nationally recognized statistically rating organization” as designated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advance of any closing with respect to a Global Note, we shall have cleared the eligibility of such Global Note for settlement through the facilities of DTC prior to such closing, including, as required, by preparing, executing and delivering to DTC a Blanket Letter of Representations in the form provided by DTC.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payment obligations under the Indenture and the Notes shall at all times rank at least pari passu, without preference or priority, with all other unsecured and unsubordinated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and will not permit our subsidiaries to, enter into directly or indirectly any transaction or group of related transactions (including the purchase, lease, sale or exchange of properties of any kind or the rendering of any service) with any affiliate (other than the Company or another subsidiary), except (i) in the ordinary course and pursuant to the reasonable requirements of our or such subsidiary’s business and upon fair and reasonable terms no less favorable to us or such Subsidiary than would be obtainable in a comparable arm’s-length transaction with a non-affiliate, or (ii) affiliate transactions permitted by the SPV Credit Facility or any comparable credit facility that we may establish.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and will not permit our subsidiaries to, (a) become, own or control a person that is (i) listed on the Office of Foreign Asset Control’s list of “Specially Designated Nationals” or (ii) owned or controlled by a person in a sanctioned country (together, a “Blocked Person”), (b) have any investment in or engage in any transaction (including any transaction involving the proceeds of the Notes) with any person if such investment or transaction (i) would cause any holder to be in violation of, or subject to sanctions under U.S. economic sanctions laws, or (ii) is prohibited by or subject to sanctions under any U.S. economic sanctions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and will not permit any of our subsidiaries to directly or indirectly create, incur, assume or permit to exist (upon the happening of a contingency or otherwise) any lien on or with respect to any property or asset of ours or such subsidiary, or any income or profits therefrom, or assign or otherwise convey any right to receive income or profits, except liens: (i) in respect of our outstanding borrowings, (ii) on certain special equity interests and permitted liens, (iii) on equity interests in the SBIC Funds created in favor of the SBA and any similar lenders to other designated subsidiaries, (iv) securing hedging agreements, (v) securing repurchase obligations in the ordinary course of business with respect to U.S. government securities, (vi) on assets securing other obligations if such obligation does not exceed $10,000,000 in aggregate principal amount, (vii) created pursuant to the collateral and security documents relating to the SPV Credit Facility and any comparable credit facility that we may form in the future, (viii) securing indebtedness permitted by analogous covenants set forth in any future credit facility, (ix) on our direct ownership in any finance lease obligations, designated subsidiary, and any similar assets or entities to secure obligations owed to a creditor, (x) existing on any property or asset prior to our acquisition thereof, provided that the lien is not created in contemplation of our acquisition and does not apply to any other property or assets, (xi) on margin stock, (xii) imposed as a result of a taking under the exercise of eminent domain by a governmental body, and (xiii) on assets securing indebtedness so long as we are in compliance with the asset coverage ratio set forth in the Indenture after giving pro forma effect to such lien.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used herein, the term “Material Adverse Effect” means a material adverse effect on (a) the business, operations, affairs, financial condition, assets or properties of us and our subsidiaries taken as a whole, or (b) our ability to perform our obligations under the Indenture and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or Waiver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types of changes we can make to the Indenture and the Notes issued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Changes Requiring Your Approval </w:t>
      </w:r>
    </w:p>
    <w:p>
      <w:pPr>
        <w:pStyle w:val="TextBody"/>
        <w:bidi w:val="0"/>
        <w:spacing w:before="120" w:after="0"/>
        <w:jc w:val="left"/>
        <w:rPr>
          <w:rFonts w:ascii="Times New Roman" w:hAnsi="Times New Roman"/>
          <w:sz w:val="20"/>
        </w:rPr>
      </w:pPr>
      <w:r>
        <w:rPr>
          <w:rFonts w:ascii="Times New Roman" w:hAnsi="Times New Roman"/>
          <w:sz w:val="20"/>
        </w:rPr>
        <w:t xml:space="preserve">First, there are changes that we cannot make to your Notes without your specific approval. The following is a list of those types of changes: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premium, if any, on) or any installment of principal of or interest on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any amounts due on the Notes or reduce the rate of interest on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payable upon acceleration of the maturity of a Note following a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or currency of payment on a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your right to sue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Notes whose consent is needed to modify or amend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Notes whose consent is needed to waive compliance with certain provisions of the Indenture or to waive certain defaults or reduce the percentage of holders of Notes required to satisfy quorum or voting requirements at a meeting of holders of the Notes.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Changes Not Requiring Approval </w:t>
      </w:r>
    </w:p>
    <w:p>
      <w:pPr>
        <w:pStyle w:val="TextBody"/>
        <w:bidi w:val="0"/>
        <w:spacing w:before="120" w:after="0"/>
        <w:jc w:val="left"/>
        <w:rPr>
          <w:rFonts w:ascii="Times New Roman" w:hAnsi="Times New Roman"/>
          <w:sz w:val="20"/>
        </w:rPr>
      </w:pPr>
      <w:r>
        <w:rPr>
          <w:rFonts w:ascii="Times New Roman" w:hAnsi="Times New Roman"/>
          <w:sz w:val="20"/>
        </w:rPr>
        <w:t xml:space="preserve">The second type of change does not require any vote by the holders of the Notes. This type is limited to clarifications and certain other changes that would not adversely affect holders of the Notes in any material respect. </w:t>
      </w:r>
    </w:p>
    <w:p>
      <w:pPr>
        <w:pStyle w:val="TextBody"/>
        <w:bidi w:val="0"/>
        <w:spacing w:before="360" w:after="0"/>
        <w:jc w:val="left"/>
        <w:rPr>
          <w:rFonts w:ascii="Times New Roman" w:hAnsi="Times New Roman"/>
          <w:i/>
          <w:sz w:val="20"/>
        </w:rPr>
      </w:pPr>
      <w:r>
        <w:rPr>
          <w:rFonts w:ascii="Times New Roman" w:hAnsi="Times New Roman"/>
          <w:i/>
          <w:sz w:val="20"/>
        </w:rPr>
        <w:t xml:space="preserve">Changes Requiring Majority Approval </w:t>
      </w:r>
    </w:p>
    <w:p>
      <w:pPr>
        <w:pStyle w:val="TextBody"/>
        <w:bidi w:val="0"/>
        <w:spacing w:before="120" w:after="0"/>
        <w:jc w:val="left"/>
        <w:rPr>
          <w:rFonts w:ascii="Times New Roman" w:hAnsi="Times New Roman"/>
          <w:sz w:val="20"/>
        </w:rPr>
      </w:pPr>
      <w:r>
        <w:rPr>
          <w:rFonts w:ascii="Times New Roman" w:hAnsi="Times New Roman"/>
          <w:sz w:val="20"/>
        </w:rPr>
        <w:t xml:space="preserve">Any other change to the Indenture and the Notes would require the following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the Notes, it must be approved by the holders of a majority in principal amount of the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more than one series of debt securities issued under the same indenture, it must be approved by the holders of a majority in principal amount of all of the series affected by the change, with all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The holders of a majority in principal amount of all of the series of debt securities issued under an indenture, voting together as one class for this purpose, may waive our compliance with some of our covenants in that indenture. </w:t>
      </w:r>
    </w:p>
    <w:p>
      <w:pPr>
        <w:pStyle w:val="TextBody"/>
        <w:bidi w:val="0"/>
        <w:spacing w:before="240" w:after="0"/>
        <w:jc w:val="left"/>
        <w:rPr>
          <w:rFonts w:ascii="Times New Roman" w:hAnsi="Times New Roman"/>
          <w:sz w:val="20"/>
        </w:rPr>
      </w:pPr>
      <w:r>
        <w:rPr>
          <w:rFonts w:ascii="Times New Roman" w:hAnsi="Times New Roman"/>
          <w:sz w:val="20"/>
        </w:rPr>
        <w:t>However, we cannot obtain a waiver of a payment default or of any of the matters covered by the bullet points included above under “—</w:t>
      </w:r>
      <w:r>
        <w:rPr>
          <w:rFonts w:ascii="Times New Roman" w:hAnsi="Times New Roman"/>
          <w:i/>
          <w:sz w:val="20"/>
        </w:rPr>
        <w:t>Changes Requiring Your Approval</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Further Details Concerning Voting </w:t>
      </w:r>
    </w:p>
    <w:p>
      <w:pPr>
        <w:pStyle w:val="TextBody"/>
        <w:bidi w:val="0"/>
        <w:spacing w:before="120" w:after="0"/>
        <w:jc w:val="left"/>
        <w:rPr>
          <w:rFonts w:ascii="Times New Roman" w:hAnsi="Times New Roman"/>
          <w:sz w:val="20"/>
        </w:rPr>
      </w:pPr>
      <w:r>
        <w:rPr>
          <w:rFonts w:ascii="Times New Roman" w:hAnsi="Times New Roman"/>
          <w:sz w:val="20"/>
        </w:rPr>
        <w:t xml:space="preserve">When taking a vote, we will use the following rules to decide how much principal to attribute to the Notes: </w:t>
      </w:r>
    </w:p>
    <w:p>
      <w:pPr>
        <w:pStyle w:val="TextBody"/>
        <w:bidi w:val="0"/>
        <w:spacing w:before="240" w:after="0"/>
        <w:jc w:val="left"/>
        <w:rPr>
          <w:rFonts w:ascii="Times New Roman" w:hAnsi="Times New Roman"/>
          <w:sz w:val="20"/>
        </w:rPr>
      </w:pPr>
      <w:r>
        <w:rPr>
          <w:rFonts w:ascii="Times New Roman" w:hAnsi="Times New Roman"/>
          <w:sz w:val="20"/>
        </w:rPr>
        <w:t>The Notes will not be considered outstanding, and therefore not eligible to vote, if we have deposited or set aside in trust money for their payment or redemption or if we or any affiliate of ours own any Notes. The Notes will also not be eligible to vote if they have been fully defeased as described later under “—</w:t>
      </w:r>
      <w:r>
        <w:rPr>
          <w:rFonts w:ascii="Times New Roman" w:hAnsi="Times New Roman"/>
          <w:i/>
          <w:sz w:val="20"/>
        </w:rPr>
        <w:t>Defeasance —Full Defeasance</w:t>
      </w:r>
      <w:r>
        <w:rPr>
          <w:rFonts w:ascii="Times New Roman" w:hAnsi="Times New Roman"/>
          <w:sz w:val="20"/>
        </w:rPr>
        <w:t xml:space="preserv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You will have rights if an Event of Default occurs in respect of the Notes and the Event of Default is not cured, as described later in this subsection. </w:t>
      </w:r>
    </w:p>
    <w:p>
      <w:pPr>
        <w:pStyle w:val="TextBody"/>
        <w:bidi w:val="0"/>
        <w:spacing w:before="240" w:after="0"/>
        <w:jc w:val="left"/>
        <w:rPr>
          <w:rFonts w:ascii="Times New Roman" w:hAnsi="Times New Roman"/>
          <w:sz w:val="20"/>
        </w:rPr>
      </w:pPr>
      <w:r>
        <w:rPr>
          <w:rFonts w:ascii="Times New Roman" w:hAnsi="Times New Roman"/>
          <w:sz w:val="20"/>
        </w:rPr>
        <w:t xml:space="preserve">The term “Event of Default” in respect of the Notes means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the principal of or Make-Whole Amount, if any, on any Note when due and payable, whether at maturity or at a date fixed for prepayment or by declaration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interest on any Note to which we have knowledge on such Note for more than five (5) business days after the same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last business day of each of twenty-four consecutive calendar months, the Notes have an asset coverage (as such term is defined in the 1940 Act) of less than 100%;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default in the performance of or compliance with any term contained in the Indenture, other than the event of default provisions set forth in the first two bullet points and the requirement to delivery quarterly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representation or warranty made in writing by or on our behalf or by any of our officers or any writing furnished in connection with the transactions contemplated by the Note Purchase Agreement proves to have been false or incorrect in any material respect on the date as of which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file for bankruptcy or certain other events of bankruptcy, insolvency, or reorganization involving us or our subsidiaries occur and remain uncured;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matters relating to our compliance with ERISA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then the holders of at least 50% in aggregate principal amount of the outstanding Notes may declare the entire principal amount of all outstanding Notes to be due and immediately payable, by a notice in writing to us, and upon any such declaration such principal shall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a declaration of acceleration with respect to the Notes has been made and before a judgment or decree for payment of the money due has been obtained, the holders of a majority in principal amount of the outstanding Notes, by written notice to us, may rescind and annul such declaration and its consequences if (i) we have paid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the Notes, to the extent that payment of such interest is lawful interest upon overdue installments of interest at the rate or rates borne by or provided for in the Notes, (ii) we have not paid any amounts that have become due solely by reason of such declaration, and (iii) all events of default with respect to the Notes, other than the nonpayment of the principal of (or premium, if any, on) or interest on the Notes that have become due solely by such declaration of acceleration, have been cured or waived. No such rescission will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Note shall have the right, which is absolute and unconditional, to receive payment of the principal of (and the Make-Whole Amount, if any, on) and all accrued and unpaid interest thereon (including interest accrued thereon at the rate of interest per annum that is 2.00% above the rate of interest then in effect on the applicable Notes)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be discharged and will cease to be of further effect with respect to the Notes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all the Notes that have been authenticated have been delivered to the trustee for cancellation;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Notes that have not been delivered to the trustee for cancellation: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0"/>
        <w:gridCol w:w="8882"/>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become due and payable,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become due and payable at their stated maturity within one year,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to be called for redemption within one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we, in the case of the first, second and third sub-bullets above, have irrevocably deposited or caused to be deposited with the trustee, as trust, funds in trust solely for the benefit of the holders of the Notes, in amounts as will be sufficient, to pay and discharge the entire indebtedness (including all principal, premium, if any, and interest) on such Notes not previously delivered to the trustee for cancellation (in the case of Notes that have become due and payable on or prior to the date of such deposit) or to the stated maturity or redemption date, as the case may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payable by us under the Indenture with respect to the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legal opinion, each stating that all conditions precedent provided for in the Indenture relating to the satisfaction and discharge of the Indenture and the Notes have been complied 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provisions will be applicable to the Notes. “Defeasance” means that, by depositing with a trustee an amount of cash and/or government securities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relating to the Notes. </w:t>
      </w:r>
    </w:p>
    <w:p>
      <w:pPr>
        <w:pStyle w:val="TextBody"/>
        <w:bidi w:val="0"/>
        <w:spacing w:before="360" w:after="0"/>
        <w:jc w:val="left"/>
        <w:rPr>
          <w:rFonts w:ascii="Times New Roman" w:hAnsi="Times New Roman"/>
          <w:i/>
          <w:sz w:val="20"/>
        </w:rPr>
      </w:pPr>
      <w:r>
        <w:rPr>
          <w:rFonts w:ascii="Times New Roman" w:hAnsi="Times New Roman"/>
          <w:i/>
          <w:sz w:val="20"/>
        </w:rPr>
        <w:t xml:space="preserve">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Under current U.S. federal income tax law and the Indenture,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the following must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Notes are denominated in U.S. dollars, we must deposit in trust for the benefit of all holders of the Notes a combination of cash and U.S. government or U.S. government agency notes or bonds that will generate enough cash to make interest, principal and any other payments on the Notes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confirming that, under current U.S. federal income tax law, we may make the above deposit without causing you to be taxed on the Notes any differently than if we did not make the deposit;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stating that the above deposit does not require registration by us under the 1940 Act, and a legal opinion and officers’ certificate stating that all conditions precedent to covenant defeasance have been complied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Defeasance must not result in a breach or violation of, or result in a default under, the Indenture or any of our other material agreements or instruments;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the Notes shall have occurred and be continuing and no defaults or events of default related to bankruptcy, insolvency or reorganization shall occur during the next 90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can still look to us for repayment of the Notes if there were a shortfall in the trust deposit or the trustee is prevented from making payment. In fact, if one of the remaining Events of Default occurred (such as our bankruptcy) and the Notes became immediately due and payable, there might be a shortfall. Depending on the event causing the default, you may not be able to obtain payment of the shortfall. </w:t>
      </w:r>
    </w:p>
    <w:p>
      <w:pPr>
        <w:pStyle w:val="TextBody"/>
        <w:bidi w:val="0"/>
        <w:spacing w:before="360" w:after="0"/>
        <w:jc w:val="left"/>
        <w:rPr>
          <w:rFonts w:ascii="Times New Roman" w:hAnsi="Times New Roman"/>
          <w:i/>
          <w:sz w:val="20"/>
        </w:rPr>
      </w:pPr>
      <w:r>
        <w:rPr>
          <w:rFonts w:ascii="Times New Roman" w:hAnsi="Times New Roman"/>
          <w:i/>
          <w:sz w:val="20"/>
        </w:rPr>
        <w:t xml:space="preserve">Full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Notes are subject to full defeasance. Full defeasance means that we can legally release ourselves from all payment and other obligations on the Notes, subject to the satisfaction of certain conditions, including, but not limited to that (a) we have received from, or there has been published by, the Internal Revenue Service (the “IRS”) a ruling, or (b) there is a change in U.S. federal income tax law, in either case to the effect that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(called “full defeasance”), and that we put in place the following other arrangements for you to be repaid: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Notes are denominated in U.S. dollars, we must deposit in trust for the benefit of all holders of the Notes a combination of cash and U.S. government or U.S. government agency notes or bonds that will generate enough cash to make interest, principal and any other payments on the Notes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confirming that, under current U.S. federal income tax law, we may make the above deposit without causing you to be taxed on the Notes any differently than if we did not make the deposit;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stating that the above deposit does not require registration by us under the 1940 Act, and a legal opinion and officers’ certificate stating that all conditions precedent to covenant defeasance have been complied 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Defeasance must not result in a breach or violation of, or result in a default under, the Indenture or any of our other material agreements or instruments;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the Notes shall have occurred and be continuing and no defaults or events of default related to bankruptcy, insolvency or reorganization shall occur during the next 90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ever did accomplish full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 </w:t>
      </w:r>
    </w:p>
    <w:p>
      <w:pPr>
        <w:pStyle w:val="TextBody"/>
        <w:bidi w:val="0"/>
        <w:spacing w:before="360" w:after="0"/>
        <w:jc w:val="left"/>
        <w:rPr>
          <w:rFonts w:ascii="Times New Roman" w:hAnsi="Times New Roman"/>
          <w:b/>
          <w:sz w:val="20"/>
        </w:rPr>
      </w:pPr>
      <w:r>
        <w:rPr>
          <w:rFonts w:ascii="Times New Roman" w:hAnsi="Times New Roman"/>
          <w:b/>
          <w:sz w:val="20"/>
        </w:rPr>
        <w:t xml:space="preserve">Trustee </w:t>
      </w:r>
    </w:p>
    <w:p>
      <w:pPr>
        <w:pStyle w:val="TextBody"/>
        <w:bidi w:val="0"/>
        <w:spacing w:before="120" w:after="0"/>
        <w:jc w:val="left"/>
        <w:rPr>
          <w:rFonts w:ascii="Times New Roman" w:hAnsi="Times New Roman"/>
          <w:sz w:val="20"/>
        </w:rPr>
      </w:pPr>
      <w:r>
        <w:rPr>
          <w:rFonts w:ascii="Times New Roman" w:hAnsi="Times New Roman"/>
          <w:sz w:val="20"/>
        </w:rPr>
        <w:t xml:space="preserve">U.S. Bank is the trustee, security registrar and paying agent. U.S. Bank, in each of its capacities, including without limitation as trustee, security registrar and paying agent, assumes no responsibility for the accuracy or completeness of the information concerning us or our affiliates or any other party contained in this prospectus or the related documents or for any failure by us or any other party to disclose events that may have occurred and may affect the significance or accuracy of such information, or for any information provided to it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but not limited to settlement amounts and any other information. Neither the trustee nor any paying agent shall be responsible for determining whether any Change of Control Event has occurred and whether any Change of Control offer with respect to the Notes is required. </w:t>
      </w:r>
    </w:p>
    <w:p>
      <w:pPr>
        <w:pStyle w:val="TextBody"/>
        <w:bidi w:val="0"/>
        <w:spacing w:before="240" w:after="0"/>
        <w:jc w:val="left"/>
        <w:rPr>
          <w:rFonts w:ascii="Times New Roman" w:hAnsi="Times New Roman"/>
          <w:sz w:val="20"/>
        </w:rPr>
      </w:pPr>
      <w:r>
        <w:rPr>
          <w:rFonts w:ascii="Times New Roman" w:hAnsi="Times New Roman"/>
          <w:sz w:val="20"/>
        </w:rPr>
        <w:t xml:space="preserve">We may maintain banking relationships in the ordinary course of business with the trustee and its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and Removal of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resign or be removed with respect to the Notes provided that a successor trustee is appointed to act with respect to the Notes.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it and the Notes shall be governed by and construed in accordance with the laws of the State of New York, without regard to principles of conflicts of laws that would cause the application of laws of another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Settlement and Clearance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Global Notes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will be initially issued in the form of one or more registered Exchanged Notes in global form, without interest coupons (the “Global Notes”). Upon issuance, each of the Global Notes will be deposited with the trustee as custodian for DTC and registered in the name of Cede &amp; Co., as nominee of DTC.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Global Note will be limited to persons who have accounts with DTC (“DTC participants”) or persons who hold interests through DTC participants. We expect that under procedures established by DTC: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deposit of a Global Note with DTC’s custodian, DTC will credit portions of the principal amount of the Global Note to the accounts of the DTC participants designated by the initial purchasers;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interests in Global Notes may not be exchanged for Notes in physical, certificated form except in the limited circumstances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Book-Entry Procedures for Global Notes </w:t>
      </w:r>
    </w:p>
    <w:p>
      <w:pPr>
        <w:pStyle w:val="TextBody"/>
        <w:bidi w:val="0"/>
        <w:spacing w:before="120" w:after="0"/>
        <w:jc w:val="left"/>
        <w:rPr>
          <w:rFonts w:ascii="Times New Roman" w:hAnsi="Times New Roman"/>
          <w:sz w:val="20"/>
        </w:rPr>
      </w:pPr>
      <w:r>
        <w:rPr>
          <w:rFonts w:ascii="Times New Roman" w:hAnsi="Times New Roman"/>
          <w:sz w:val="20"/>
        </w:rPr>
        <w:t xml:space="preserve">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the initial purchasers are responsible for those operations or procedures.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 purpose trust company organized under the laws of the State of New York;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State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under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initial purchasers;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 </w:t>
      </w:r>
    </w:p>
    <w:p>
      <w:pPr>
        <w:pStyle w:val="TextBody"/>
        <w:bidi w:val="0"/>
        <w:spacing w:before="240" w:after="0"/>
        <w:jc w:val="left"/>
        <w:rPr>
          <w:rFonts w:ascii="Times New Roman" w:hAnsi="Times New Roman"/>
          <w:sz w:val="20"/>
        </w:rPr>
      </w:pPr>
      <w:r>
        <w:rPr>
          <w:rFonts w:ascii="Times New Roman" w:hAnsi="Times New Roman"/>
          <w:sz w:val="20"/>
        </w:rPr>
        <w:t xml:space="preserve">So long as DTC’s nominee is the registered owner of a Global Note, that nominee will be considered the sole owner or holder of the Notes represented by that Global Note for all purposes under the Indenture. Except as provided below, owners of beneficial interests in a Global Note: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entitled to have Notes represented by the Global Note registered in their names;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receive or be entitled to receive physical, certificated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considered the owners or holders of the Notes under the Indenture for any purpose, including with respect to receiving notices or the giving of any direction, instruction or approval to the trustee under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 </w:t>
      </w:r>
    </w:p>
    <w:p>
      <w:pPr>
        <w:pStyle w:val="TextBody"/>
        <w:bidi w:val="0"/>
        <w:spacing w:before="240" w:after="0"/>
        <w:jc w:val="left"/>
        <w:rPr>
          <w:rFonts w:ascii="Times New Roman" w:hAnsi="Times New Roman"/>
          <w:sz w:val="20"/>
        </w:rPr>
      </w:pPr>
      <w:r>
        <w:rPr>
          <w:rFonts w:ascii="Times New Roman" w:hAnsi="Times New Roman"/>
          <w:sz w:val="20"/>
        </w:rPr>
        <w:t xml:space="preserve">Payments of principal and interest with respect to the Notes represented by a Global Note will be made by the paying agent to DTC’s nominee as the registered holder of the Global Note. Neither we nor the paying agent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 </w:t>
      </w:r>
    </w:p>
    <w:p>
      <w:pPr>
        <w:pStyle w:val="TextBody"/>
        <w:bidi w:val="0"/>
        <w:spacing w:before="240" w:after="0"/>
        <w:jc w:val="left"/>
        <w:rPr>
          <w:rFonts w:ascii="Times New Roman" w:hAnsi="Times New Roman"/>
          <w:sz w:val="20"/>
        </w:rPr>
      </w:pPr>
      <w:r>
        <w:rPr>
          <w:rFonts w:ascii="Times New Roman" w:hAnsi="Times New Roman"/>
          <w:sz w:val="20"/>
        </w:rPr>
        <w:t xml:space="preserve">Payments by participants and indirect participants in DTC to the owners of beneficial interests in a Global Note will be governed by standing instructions and customary industry practice and will be the responsibility of those participants or indirect participants and DTC. </w:t>
      </w:r>
    </w:p>
    <w:p>
      <w:pPr>
        <w:pStyle w:val="TextBody"/>
        <w:bidi w:val="0"/>
        <w:spacing w:before="240" w:after="0"/>
        <w:jc w:val="left"/>
        <w:rPr>
          <w:rFonts w:ascii="Times New Roman" w:hAnsi="Times New Roman"/>
          <w:sz w:val="20"/>
        </w:rPr>
      </w:pPr>
      <w:r>
        <w:rPr>
          <w:rFonts w:ascii="Times New Roman" w:hAnsi="Times New Roman"/>
          <w:sz w:val="20"/>
        </w:rPr>
        <w:t xml:space="preserve">Transfers between participants in DTC will be effected under DTC’s procedures and will be settled in same-day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Notes in physical, certificated form will be issued and delivered to each person that DTC identifies as a beneficial owner of the related Notes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at any time that it is unwilling or unable to continue as depositary for the Global Notes and a successor depositary is not appointed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ceases to be registered as a clearing agency under the Exchange Act and a successor depositary is not appointed within 90 days;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with respect to the Notes has occurred and is continuing and such beneficial owner requests that its Notes be issued in physical, certificated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139616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cash proceeds from the issuance of the Exchange Notes pursuant to the exchange offer. In consideration for issuing the Exchange Notes as contemplated in this prospectus, we will receive in exchange a like principal amount of Restricted Notes, the terms of which are substantially identical to the Exchange Notes. The Restricted Notes surrendered in exchange for the Exchange Notes will be retired and cancelled and cannot be reissued. Accordingly, the issuance of the Exchange Notes will not result in any change in our capitalization. We have agreed to bear the expenses of the exchange offer. These expenses are estimated to be approximately $100,000 in the aggregate, which includes fees and expenses of the exchange agent and accounting, legal, printing and related fees and expenses. No underwriter is being used in connection with the exchange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139616_7"/>
      <w:bookmarkEnd w:id="9"/>
      <w:r>
        <w:rPr>
          <w:rFonts w:ascii="Times New Roman" w:hAnsi="Times New Roman"/>
          <w:b/>
          <w:sz w:val="20"/>
        </w:rPr>
        <w:t xml:space="preserve">FINANCIAL HIGHLIGHTS </w:t>
      </w:r>
    </w:p>
    <w:p>
      <w:pPr>
        <w:pStyle w:val="TextBody"/>
        <w:bidi w:val="0"/>
        <w:spacing w:before="240" w:after="0"/>
        <w:jc w:val="left"/>
        <w:rPr/>
      </w:pPr>
      <w:r>
        <w:rPr>
          <w:rFonts w:ascii="Times New Roman" w:hAnsi="Times New Roman"/>
          <w:sz w:val="20"/>
        </w:rPr>
        <w:t>The financial highlights are intended to help a prospective investor understand the Company’s financial performance for the periods presented. Information about our financial highlights for the fiscal years ended December 31, 2025 to 2016 is located in the notes to our consolidated financial statements under the caption “</w:t>
      </w:r>
      <w:r>
        <w:rPr>
          <w:rFonts w:ascii="Times New Roman" w:hAnsi="Times New Roman"/>
          <w:i/>
          <w:sz w:val="20"/>
        </w:rPr>
        <w:t>Note 10. Financial Highlights</w:t>
      </w:r>
      <w:r>
        <w:rPr>
          <w:rFonts w:ascii="Times New Roman" w:hAnsi="Times New Roman"/>
          <w:sz w:val="20"/>
        </w:rPr>
        <w:t xml:space="preserve">” in Part II, Item 8 of our most recent </w:t>
      </w:r>
      <w:r>
        <w:fldChar w:fldCharType="begin"/>
      </w:r>
      <w:r>
        <w:rPr>
          <w:rStyle w:val="InternetLink"/>
          <w:sz w:val="20"/>
          <w:rFonts w:ascii="Times New Roman" w:hAnsi="Times New Roman"/>
        </w:rPr>
        <w:instrText xml:space="preserve"> HYPERLINK "http://www.sec.gov/Archives/edgar/data/../../../ix?doc=/Archives/edgar/data/0001513363/000119312526076572/fdus-20251231.htm" \l "footnotes"</w:instrText>
      </w:r>
      <w:r>
        <w:rPr>
          <w:rStyle w:val="InternetLink"/>
          <w:sz w:val="20"/>
          <w:rFonts w:ascii="Times New Roman" w:hAnsi="Times New Roman"/>
        </w:rPr>
        <w:fldChar w:fldCharType="separate"/>
      </w:r>
      <w:r>
        <w:rPr>
          <w:rStyle w:val="InternetLink"/>
          <w:rFonts w:ascii="Times New Roman" w:hAnsi="Times New Roman"/>
          <w:sz w:val="20"/>
        </w:rPr>
        <w:t>Annual Report on Form 10-K</w:t>
      </w:r>
      <w:r>
        <w:rPr>
          <w:rStyle w:val="InternetLink"/>
          <w:sz w:val="20"/>
          <w:rFonts w:ascii="Times New Roman" w:hAnsi="Times New Roman"/>
        </w:rPr>
        <w:fldChar w:fldCharType="end"/>
      </w:r>
      <w:r>
        <w:rPr>
          <w:rFonts w:ascii="Times New Roman" w:hAnsi="Times New Roman"/>
          <w:sz w:val="20"/>
        </w:rPr>
        <w:t xml:space="preserve">, which has been audited by our independent registered public accounting firm whose reports thereon are incorporated by reference in this prospectus, and is incorporated herein by reference. </w:t>
      </w:r>
    </w:p>
    <w:p>
      <w:pPr>
        <w:pStyle w:val="TextBody"/>
        <w:bidi w:val="0"/>
        <w:spacing w:before="240" w:after="0"/>
        <w:jc w:val="left"/>
        <w:rPr/>
      </w:pPr>
      <w:r>
        <w:rPr>
          <w:rFonts w:ascii="Times New Roman" w:hAnsi="Times New Roman"/>
          <w:sz w:val="20"/>
        </w:rPr>
        <w:t>Unaudited information about our financial highlights for the fiscal quarter ended June 30, 2026 is located in the notes to our consolidated financial statements under the caption “</w:t>
      </w:r>
      <w:r>
        <w:rPr>
          <w:rFonts w:ascii="Times New Roman" w:hAnsi="Times New Roman"/>
          <w:i/>
          <w:sz w:val="20"/>
        </w:rPr>
        <w:t>Note 10. Financial Highlights</w:t>
      </w:r>
      <w:r>
        <w:rPr>
          <w:rFonts w:ascii="Times New Roman" w:hAnsi="Times New Roman"/>
          <w:sz w:val="20"/>
        </w:rPr>
        <w:t xml:space="preserve">” in Part I, Item 1 of our most recent </w:t>
      </w:r>
      <w:hyperlink r:id="rId6">
        <w:r>
          <w:rPr>
            <w:rStyle w:val="InternetLink"/>
            <w:rFonts w:ascii="Times New Roman" w:hAnsi="Times New Roman"/>
            <w:sz w:val="20"/>
          </w:rPr>
          <w:t>Quarterly Report on Form 10-Q</w:t>
        </w:r>
      </w:hyperlink>
      <w:r>
        <w:rPr>
          <w:rFonts w:ascii="Times New Roman" w:hAnsi="Times New Roman"/>
          <w:sz w:val="20"/>
        </w:rPr>
        <w:t xml:space="preserve">, and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139616_8"/>
      <w:bookmarkEnd w:id="10"/>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pPr>
      <w:r>
        <w:rPr>
          <w:rFonts w:ascii="Times New Roman" w:hAnsi="Times New Roman"/>
          <w:sz w:val="20"/>
        </w:rPr>
        <w:t>The information contained under the captions “</w:t>
      </w:r>
      <w:r>
        <w:rPr>
          <w:rFonts w:ascii="Times New Roman" w:hAnsi="Times New Roman"/>
          <w:i/>
          <w:sz w:val="20"/>
        </w:rPr>
        <w:t>Management’s Discussion and Analysis of Financial Condition and Results of Operations</w:t>
      </w:r>
      <w:r>
        <w:rPr>
          <w:rFonts w:ascii="Times New Roman" w:hAnsi="Times New Roman"/>
          <w:sz w:val="20"/>
        </w:rPr>
        <w:t xml:space="preserve">” in Part II, Item 7 of our </w:t>
      </w:r>
      <w:r>
        <w:fldChar w:fldCharType="begin"/>
      </w:r>
      <w:r>
        <w:rPr>
          <w:rStyle w:val="InternetLink"/>
          <w:sz w:val="20"/>
          <w:rFonts w:ascii="Times New Roman" w:hAnsi="Times New Roman"/>
        </w:rPr>
        <w:instrText xml:space="preserve"> HYPERLINK "http://www.sec.gov/Archives/edgar/data/../../../ix?doc=/Archives/edgar/data/0001513363/000119312526076572/fdus-20251231.htm" \l "item_7"</w:instrText>
      </w:r>
      <w:r>
        <w:rPr>
          <w:rStyle w:val="InternetLink"/>
          <w:sz w:val="20"/>
          <w:rFonts w:ascii="Times New Roman" w:hAnsi="Times New Roman"/>
        </w:rPr>
        <w:fldChar w:fldCharType="separate"/>
      </w:r>
      <w:r>
        <w:rPr>
          <w:rStyle w:val="InternetLink"/>
          <w:rFonts w:ascii="Times New Roman" w:hAnsi="Times New Roman"/>
          <w:sz w:val="20"/>
        </w:rPr>
        <w:t>Annual Report on Form 10-K</w:t>
      </w:r>
      <w:r>
        <w:rPr>
          <w:rStyle w:val="InternetLink"/>
          <w:sz w:val="20"/>
          <w:rFonts w:ascii="Times New Roman" w:hAnsi="Times New Roman"/>
        </w:rPr>
        <w:fldChar w:fldCharType="end"/>
      </w:r>
      <w:r>
        <w:rPr>
          <w:rFonts w:ascii="Times New Roman" w:hAnsi="Times New Roman"/>
          <w:sz w:val="20"/>
        </w:rPr>
        <w:t xml:space="preserve"> for the fiscal year ended December  31, 2025 and “</w:t>
      </w:r>
      <w:r>
        <w:rPr>
          <w:rFonts w:ascii="Times New Roman" w:hAnsi="Times New Roman"/>
          <w:i/>
          <w:sz w:val="20"/>
        </w:rPr>
        <w:t>Management’s Discussion and Analysis of Financial Condition and Results of Operations</w:t>
      </w:r>
      <w:r>
        <w:rPr>
          <w:rFonts w:ascii="Times New Roman" w:hAnsi="Times New Roman"/>
          <w:sz w:val="20"/>
        </w:rPr>
        <w:t xml:space="preserve">” in Part I, Item 2 of our </w:t>
      </w:r>
      <w:hyperlink r:id="rId7">
        <w:r>
          <w:rPr>
            <w:rStyle w:val="InternetLink"/>
            <w:rFonts w:ascii="Times New Roman" w:hAnsi="Times New Roman"/>
            <w:sz w:val="20"/>
          </w:rPr>
          <w:t>Quarterly Report on Form 10-Q</w:t>
        </w:r>
      </w:hyperlink>
      <w:r>
        <w:rPr>
          <w:rFonts w:ascii="Times New Roman" w:hAnsi="Times New Roman"/>
          <w:sz w:val="20"/>
        </w:rPr>
        <w:t xml:space="preserve"> for the fiscal quarter ended June 30, 2026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139616_9"/>
      <w:bookmarkEnd w:id="11"/>
      <w:r>
        <w:rPr>
          <w:rFonts w:ascii="Times New Roman" w:hAnsi="Times New Roman"/>
          <w:b/>
          <w:sz w:val="20"/>
        </w:rPr>
        <w:t xml:space="preserve">QUANTITATIVE AND QUALITATIVE DISCLOSURES ABOUT MARKET RISK </w:t>
      </w:r>
    </w:p>
    <w:p>
      <w:pPr>
        <w:pStyle w:val="TextBody"/>
        <w:bidi w:val="0"/>
        <w:spacing w:before="240" w:after="0"/>
        <w:jc w:val="left"/>
        <w:rPr/>
      </w:pPr>
      <w:r>
        <w:rPr>
          <w:rFonts w:ascii="Times New Roman" w:hAnsi="Times New Roman"/>
          <w:sz w:val="20"/>
        </w:rPr>
        <w:t>The information contained under the captions “</w:t>
      </w:r>
      <w:r>
        <w:rPr>
          <w:rFonts w:ascii="Times New Roman" w:hAnsi="Times New Roman"/>
          <w:i/>
          <w:sz w:val="20"/>
        </w:rPr>
        <w:t>Quantitative and Qualitative Disclosures About Market Risk</w:t>
      </w:r>
      <w:r>
        <w:rPr>
          <w:rFonts w:ascii="Times New Roman" w:hAnsi="Times New Roman"/>
          <w:sz w:val="20"/>
        </w:rPr>
        <w:t xml:space="preserve">” in Part II, Item 7A of our </w:t>
      </w:r>
      <w:r>
        <w:fldChar w:fldCharType="begin"/>
      </w:r>
      <w:r>
        <w:rPr>
          <w:rStyle w:val="InternetLink"/>
          <w:sz w:val="20"/>
          <w:rFonts w:ascii="Times New Roman" w:hAnsi="Times New Roman"/>
        </w:rPr>
        <w:instrText xml:space="preserve"> HYPERLINK "http://www.sec.gov/Archives/edgar/data/../../../ix?doc=/Archives/edgar/data/0001513363/000119312526076572/fdus-20251231.htm" \l "item_7a"</w:instrText>
      </w:r>
      <w:r>
        <w:rPr>
          <w:rStyle w:val="InternetLink"/>
          <w:sz w:val="20"/>
          <w:rFonts w:ascii="Times New Roman" w:hAnsi="Times New Roman"/>
        </w:rPr>
        <w:fldChar w:fldCharType="separate"/>
      </w:r>
      <w:r>
        <w:rPr>
          <w:rStyle w:val="InternetLink"/>
          <w:rFonts w:ascii="Times New Roman" w:hAnsi="Times New Roman"/>
          <w:sz w:val="20"/>
        </w:rPr>
        <w:t>Annual Report on Form 10-K</w:t>
      </w:r>
      <w:r>
        <w:rPr>
          <w:rStyle w:val="InternetLink"/>
          <w:sz w:val="20"/>
          <w:rFonts w:ascii="Times New Roman" w:hAnsi="Times New Roman"/>
        </w:rPr>
        <w:fldChar w:fldCharType="end"/>
      </w:r>
      <w:r>
        <w:rPr>
          <w:rFonts w:ascii="Times New Roman" w:hAnsi="Times New Roman"/>
          <w:sz w:val="20"/>
        </w:rPr>
        <w:t xml:space="preserve"> for the fiscal year ended December  31, 2025 and “</w:t>
      </w:r>
      <w:r>
        <w:rPr>
          <w:rFonts w:ascii="Times New Roman" w:hAnsi="Times New Roman"/>
          <w:i/>
          <w:sz w:val="20"/>
        </w:rPr>
        <w:t>Quantitative and Qualitative Disclosures About Market Risk</w:t>
      </w:r>
      <w:r>
        <w:rPr>
          <w:rFonts w:ascii="Times New Roman" w:hAnsi="Times New Roman"/>
          <w:sz w:val="20"/>
        </w:rPr>
        <w:t xml:space="preserve">” in Part I, Item 3 of our </w:t>
      </w:r>
      <w:hyperlink r:id="rId8">
        <w:r>
          <w:rPr>
            <w:rStyle w:val="InternetLink"/>
            <w:rFonts w:ascii="Times New Roman" w:hAnsi="Times New Roman"/>
            <w:sz w:val="20"/>
          </w:rPr>
          <w:t>Quarterly Report on Form 10-Q</w:t>
        </w:r>
      </w:hyperlink>
      <w:r>
        <w:rPr>
          <w:rFonts w:ascii="Times New Roman" w:hAnsi="Times New Roman"/>
          <w:sz w:val="20"/>
        </w:rPr>
        <w:t xml:space="preserve"> for the fiscal quarter ended June 30, 2026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139616_10"/>
      <w:bookmarkEnd w:id="12"/>
      <w:r>
        <w:rPr>
          <w:rFonts w:ascii="Times New Roman" w:hAnsi="Times New Roman"/>
          <w:b/>
          <w:sz w:val="20"/>
        </w:rPr>
        <w:t xml:space="preserve">BUSINESS </w:t>
      </w:r>
    </w:p>
    <w:p>
      <w:pPr>
        <w:pStyle w:val="TextBody"/>
        <w:bidi w:val="0"/>
        <w:spacing w:before="240" w:after="0"/>
        <w:jc w:val="left"/>
        <w:rPr/>
      </w:pPr>
      <w:r>
        <w:rPr>
          <w:rFonts w:ascii="Times New Roman" w:hAnsi="Times New Roman"/>
          <w:sz w:val="20"/>
        </w:rPr>
        <w:t>The information contained under the captions “</w:t>
      </w:r>
      <w:r>
        <w:fldChar w:fldCharType="begin"/>
      </w:r>
      <w:r>
        <w:rPr>
          <w:rStyle w:val="InternetLink"/>
          <w:sz w:val="20"/>
          <w:i/>
          <w:rFonts w:ascii="Times New Roman" w:hAnsi="Times New Roman"/>
        </w:rPr>
        <w:instrText xml:space="preserve"> HYPERLINK "http://www.sec.gov/Archives/edgar/data/../../../ix?doc=/Archives/edgar/data/0001513363/000119312526076572/fdus-20251231.htm" \l "item_1"</w:instrText>
      </w:r>
      <w:r>
        <w:rPr>
          <w:rStyle w:val="InternetLink"/>
          <w:sz w:val="20"/>
          <w:i/>
          <w:rFonts w:ascii="Times New Roman" w:hAnsi="Times New Roman"/>
        </w:rPr>
        <w:fldChar w:fldCharType="separate"/>
      </w:r>
      <w:r>
        <w:rPr>
          <w:rStyle w:val="InternetLink"/>
          <w:rFonts w:ascii="Times New Roman" w:hAnsi="Times New Roman"/>
          <w:i/>
          <w:sz w:val="20"/>
        </w:rPr>
        <w:t>General</w:t>
      </w:r>
      <w:r>
        <w:rPr>
          <w:rStyle w:val="InternetLink"/>
          <w:sz w:val="20"/>
          <w:i/>
          <w:rFonts w:ascii="Times New Roman" w:hAnsi="Times New Roman"/>
        </w:rPr>
        <w:fldChar w:fldCharType="end"/>
      </w:r>
      <w:r>
        <w:rPr>
          <w:rFonts w:ascii="Times New Roman" w:hAnsi="Times New Roman"/>
          <w:sz w:val="20"/>
        </w:rPr>
        <w:t>” in Part I, Item 1, “</w:t>
      </w:r>
      <w:r>
        <w:fldChar w:fldCharType="begin"/>
      </w:r>
      <w:r>
        <w:rPr>
          <w:rStyle w:val="InternetLink"/>
          <w:sz w:val="20"/>
          <w:i/>
          <w:rFonts w:ascii="Times New Roman" w:hAnsi="Times New Roman"/>
        </w:rPr>
        <w:instrText xml:space="preserve"> HYPERLINK "http://www.sec.gov/Archives/edgar/data/../../../ix?doc=/Archives/edgar/data/0001513363/000119312526076572/fdus-20251231.htm" \l "item_3"</w:instrText>
      </w:r>
      <w:r>
        <w:rPr>
          <w:rStyle w:val="InternetLink"/>
          <w:sz w:val="20"/>
          <w:i/>
          <w:rFonts w:ascii="Times New Roman" w:hAnsi="Times New Roman"/>
        </w:rPr>
        <w:fldChar w:fldCharType="separate"/>
      </w:r>
      <w:r>
        <w:rPr>
          <w:rStyle w:val="InternetLink"/>
          <w:rFonts w:ascii="Times New Roman" w:hAnsi="Times New Roman"/>
          <w:i/>
          <w:sz w:val="20"/>
        </w:rPr>
        <w:t>Legal Proceedings</w:t>
      </w:r>
      <w:r>
        <w:rPr>
          <w:rStyle w:val="InternetLink"/>
          <w:sz w:val="20"/>
          <w:i/>
          <w:rFonts w:ascii="Times New Roman" w:hAnsi="Times New Roman"/>
        </w:rPr>
        <w:fldChar w:fldCharType="end"/>
      </w:r>
      <w:r>
        <w:rPr>
          <w:rFonts w:ascii="Times New Roman" w:hAnsi="Times New Roman"/>
          <w:sz w:val="20"/>
        </w:rPr>
        <w:t>” in Part I, Item 3, and “</w:t>
      </w:r>
      <w:r>
        <w:fldChar w:fldCharType="begin"/>
      </w:r>
      <w:r>
        <w:rPr>
          <w:rStyle w:val="InternetLink"/>
          <w:sz w:val="20"/>
          <w:i/>
          <w:rFonts w:ascii="Times New Roman" w:hAnsi="Times New Roman"/>
        </w:rPr>
        <w:instrText xml:space="preserve"> HYPERLINK "http://www.sec.gov/Archives/edgar/data/../../../ix?doc=/Archives/edgar/data/0001513363/000119312526076572/fdus-20251231.htm" \l "item_5"</w:instrText>
      </w:r>
      <w:r>
        <w:rPr>
          <w:rStyle w:val="InternetLink"/>
          <w:sz w:val="20"/>
          <w:i/>
          <w:rFonts w:ascii="Times New Roman" w:hAnsi="Times New Roman"/>
        </w:rPr>
        <w:fldChar w:fldCharType="separate"/>
      </w:r>
      <w:r>
        <w:rPr>
          <w:rStyle w:val="InternetLink"/>
          <w:rFonts w:ascii="Times New Roman" w:hAnsi="Times New Roman"/>
          <w:i/>
          <w:sz w:val="20"/>
        </w:rPr>
        <w:t>Price Range of Common Stock</w:t>
      </w:r>
      <w:r>
        <w:rPr>
          <w:rStyle w:val="InternetLink"/>
          <w:sz w:val="20"/>
          <w:i/>
          <w:rFonts w:ascii="Times New Roman" w:hAnsi="Times New Roman"/>
        </w:rPr>
        <w:fldChar w:fldCharType="end"/>
      </w:r>
      <w:r>
        <w:rPr>
          <w:rFonts w:ascii="Times New Roman" w:hAnsi="Times New Roman"/>
          <w:sz w:val="20"/>
        </w:rPr>
        <w:t>” in Part II, Item 5 of our Annual Report on Form 10-K for the fiscal year ended December 31, 2025, “</w:t>
      </w:r>
      <w:hyperlink r:id="rId9">
        <w:r>
          <w:rPr>
            <w:rStyle w:val="InternetLink"/>
            <w:rFonts w:ascii="Times New Roman" w:hAnsi="Times New Roman"/>
            <w:i/>
            <w:sz w:val="20"/>
          </w:rPr>
          <w:t>Overview</w:t>
        </w:r>
      </w:hyperlink>
      <w:r>
        <w:rPr>
          <w:rFonts w:ascii="Times New Roman" w:hAnsi="Times New Roman"/>
          <w:sz w:val="20"/>
        </w:rPr>
        <w:t>” in Part I, Item 2 and “</w:t>
      </w:r>
      <w:hyperlink r:id="rId10">
        <w:r>
          <w:rPr>
            <w:rStyle w:val="InternetLink"/>
            <w:rFonts w:ascii="Times New Roman" w:hAnsi="Times New Roman"/>
            <w:i/>
            <w:sz w:val="20"/>
          </w:rPr>
          <w:t>Legal Proceedings</w:t>
        </w:r>
      </w:hyperlink>
      <w:r>
        <w:rPr>
          <w:rFonts w:ascii="Times New Roman" w:hAnsi="Times New Roman"/>
          <w:sz w:val="20"/>
        </w:rPr>
        <w:t xml:space="preserve">” in Part II, Item 1 of our Quarterly Report on Form 10-Q for the fiscal quarter ended June 30, 2026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lists the high and low closing sales price as a percentage of NAV on our common stock for each fiscal quarter during the year ending December 31,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23"/>
        <w:gridCol w:w="246"/>
        <w:gridCol w:w="140"/>
        <w:gridCol w:w="560"/>
        <w:gridCol w:w="60"/>
        <w:gridCol w:w="246"/>
        <w:gridCol w:w="268"/>
        <w:gridCol w:w="1095"/>
        <w:gridCol w:w="60"/>
        <w:gridCol w:w="246"/>
        <w:gridCol w:w="262"/>
        <w:gridCol w:w="1072"/>
        <w:gridCol w:w="60"/>
        <w:gridCol w:w="246"/>
        <w:gridCol w:w="209"/>
        <w:gridCol w:w="1138"/>
        <w:gridCol w:w="275"/>
        <w:gridCol w:w="188"/>
        <w:gridCol w:w="138"/>
        <w:gridCol w:w="1206"/>
        <w:gridCol w:w="367"/>
      </w:tblGrid>
      <w:tr>
        <w:trPr/>
        <w:tc>
          <w:tcPr>
            <w:tcW w:w="2123"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12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w:t>
            </w:r>
          </w:p>
        </w:tc>
        <w:tc>
          <w:tcPr>
            <w:tcW w:w="246"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NAV(1)</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 Closing</w:t>
              <w:br/>
              <w:t>Sales Price</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3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 Closing</w:t>
              <w:br/>
              <w:t>Sales Price</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bottom"/>
          </w:tcPr>
          <w:p>
            <w:pPr>
              <w:pStyle w:val="TableContents"/>
              <w:bidi w:val="0"/>
              <w:spacing w:before="0" w:after="283"/>
              <w:jc w:val="center"/>
              <w:rPr/>
            </w:pPr>
            <w:r>
              <w:rPr>
                <w:b/>
              </w:rPr>
              <w:t>Premium /</w:t>
              <w:br/>
              <w:t>(Discount) of</w:t>
              <w:br/>
              <w:t>High Sales</w:t>
              <w:br/>
              <w:t>Price</w:t>
            </w:r>
            <w:r>
              <w:rPr/>
              <w:br/>
            </w:r>
            <w:r>
              <w:rPr>
                <w:b/>
              </w:rPr>
              <w:t>to NAV(2)</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44" w:type="dxa"/>
            <w:gridSpan w:val="2"/>
            <w:tcBorders>
              <w:bottom w:val="single" w:sz="8" w:space="0" w:color="000000"/>
            </w:tcBorders>
            <w:tcMar>
              <w:bottom w:w="28" w:type="dxa"/>
            </w:tcMar>
            <w:vAlign w:val="bottom"/>
          </w:tcPr>
          <w:p>
            <w:pPr>
              <w:pStyle w:val="TableContents"/>
              <w:bidi w:val="0"/>
              <w:spacing w:before="0" w:after="283"/>
              <w:jc w:val="center"/>
              <w:rPr/>
            </w:pPr>
            <w:r>
              <w:rPr>
                <w:b/>
              </w:rPr>
              <w:t>Premium /</w:t>
              <w:br/>
              <w:t>(Discount) of</w:t>
              <w:br/>
              <w:t>Low Sales</w:t>
              <w:br/>
              <w:t>Price</w:t>
            </w:r>
            <w:r>
              <w:rPr/>
              <w:br/>
            </w:r>
            <w:r>
              <w:rPr>
                <w:b/>
              </w:rPr>
              <w:t>to NAV(2)</w:t>
            </w:r>
          </w:p>
        </w:tc>
        <w:tc>
          <w:tcPr>
            <w:tcW w:w="367" w:type="dxa"/>
            <w:tcBorders/>
            <w:vAlign w:val="bottom"/>
          </w:tcPr>
          <w:p>
            <w:pPr>
              <w:pStyle w:val="TableContents"/>
              <w:bidi w:val="0"/>
              <w:spacing w:before="0" w:after="283"/>
              <w:jc w:val="left"/>
              <w:rPr/>
            </w:pPr>
            <w:r>
              <w:rPr/>
              <w:t> </w:t>
            </w:r>
          </w:p>
        </w:tc>
      </w:tr>
      <w:tr>
        <w:trPr/>
        <w:tc>
          <w:tcPr>
            <w:tcW w:w="9838" w:type="dxa"/>
            <w:gridSpan w:val="20"/>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Year Ending</w:t>
            </w:r>
          </w:p>
          <w:p>
            <w:pPr>
              <w:pStyle w:val="TableContents"/>
              <w:bidi w:val="0"/>
              <w:spacing w:before="0" w:after="20"/>
              <w:jc w:val="left"/>
              <w:rPr>
                <w:rFonts w:ascii="Times New Roman" w:hAnsi="Times New Roman"/>
                <w:b/>
                <w:sz w:val="20"/>
              </w:rPr>
            </w:pPr>
            <w:r>
              <w:rPr>
                <w:rFonts w:ascii="Times New Roman" w:hAnsi="Times New Roman"/>
                <w:b/>
                <w:sz w:val="20"/>
              </w:rPr>
              <w:t>December 31, 2026</w:t>
            </w:r>
          </w:p>
        </w:tc>
        <w:tc>
          <w:tcPr>
            <w:tcW w:w="367" w:type="dxa"/>
            <w:tcBorders/>
            <w:shd w:fill="CCEEFF" w:val="clear"/>
          </w:tcPr>
          <w:p>
            <w:pPr>
              <w:pStyle w:val="TableContents"/>
              <w:bidi w:val="0"/>
              <w:spacing w:before="0" w:after="0"/>
              <w:jc w:val="left"/>
              <w:rPr/>
            </w:pPr>
            <w:r>
              <w:rPr/>
              <w:t> </w:t>
            </w:r>
          </w:p>
          <w:p>
            <w:pPr>
              <w:pStyle w:val="TableContents"/>
              <w:bidi w:val="0"/>
              <w:spacing w:before="0" w:after="0"/>
              <w:jc w:val="left"/>
              <w:rPr/>
            </w:pPr>
            <w:r>
              <w:rPr/>
              <w:t> </w:t>
            </w:r>
          </w:p>
        </w:tc>
      </w:tr>
      <w:tr>
        <w:trPr/>
        <w:tc>
          <w:tcPr>
            <w:tcW w:w="2123"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 (through September 8, 2026)</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w:t>
            </w:r>
          </w:p>
        </w:tc>
        <w:tc>
          <w:tcPr>
            <w:tcW w:w="1095" w:type="dxa"/>
            <w:tcBorders/>
            <w:vAlign w:val="bottom"/>
          </w:tcPr>
          <w:p>
            <w:pPr>
              <w:pStyle w:val="TableContents"/>
              <w:bidi w:val="0"/>
              <w:spacing w:before="0" w:after="283"/>
              <w:jc w:val="right"/>
              <w:rPr/>
            </w:pPr>
            <w:r>
              <w:rPr/>
              <w:t>20.68</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w:t>
            </w:r>
          </w:p>
        </w:tc>
        <w:tc>
          <w:tcPr>
            <w:tcW w:w="1072" w:type="dxa"/>
            <w:tcBorders/>
            <w:vAlign w:val="bottom"/>
          </w:tcPr>
          <w:p>
            <w:pPr>
              <w:pStyle w:val="TableContents"/>
              <w:bidi w:val="0"/>
              <w:spacing w:before="0" w:after="283"/>
              <w:jc w:val="right"/>
              <w:rPr/>
            </w:pPr>
            <w:r>
              <w:rPr/>
              <w:t>19.33</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w:t>
            </w:r>
          </w:p>
        </w:tc>
        <w:tc>
          <w:tcPr>
            <w:tcW w:w="367" w:type="dxa"/>
            <w:tcBorders/>
            <w:vAlign w:val="bottom"/>
          </w:tcPr>
          <w:p>
            <w:pPr>
              <w:pStyle w:val="TableContents"/>
              <w:bidi w:val="0"/>
              <w:spacing w:before="0" w:after="283"/>
              <w:jc w:val="left"/>
              <w:rPr/>
            </w:pPr>
            <w:r>
              <w:rPr/>
              <w:t>% </w:t>
            </w:r>
          </w:p>
        </w:tc>
      </w:tr>
      <w:tr>
        <w:trPr/>
        <w:tc>
          <w:tcPr>
            <w:tcW w:w="21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19.46</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1095" w:type="dxa"/>
            <w:tcBorders/>
            <w:shd w:fill="CCEEFF" w:val="clear"/>
            <w:vAlign w:val="bottom"/>
          </w:tcPr>
          <w:p>
            <w:pPr>
              <w:pStyle w:val="TableContents"/>
              <w:bidi w:val="0"/>
              <w:spacing w:before="0" w:after="283"/>
              <w:jc w:val="right"/>
              <w:rPr/>
            </w:pPr>
            <w:r>
              <w:rPr/>
              <w:t>19.79</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1072" w:type="dxa"/>
            <w:tcBorders/>
            <w:shd w:fill="CCEEFF" w:val="clear"/>
            <w:vAlign w:val="bottom"/>
          </w:tcPr>
          <w:p>
            <w:pPr>
              <w:pStyle w:val="TableContents"/>
              <w:bidi w:val="0"/>
              <w:spacing w:before="0" w:after="283"/>
              <w:jc w:val="right"/>
              <w:rPr/>
            </w:pPr>
            <w:r>
              <w:rPr/>
              <w:t>17.30</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(11.1</w:t>
            </w:r>
          </w:p>
        </w:tc>
        <w:tc>
          <w:tcPr>
            <w:tcW w:w="367" w:type="dxa"/>
            <w:tcBorders/>
            <w:shd w:fill="CCEEFF" w:val="clear"/>
            <w:vAlign w:val="bottom"/>
          </w:tcPr>
          <w:p>
            <w:pPr>
              <w:pStyle w:val="TableContents"/>
              <w:bidi w:val="0"/>
              <w:spacing w:before="0" w:after="283"/>
              <w:jc w:val="left"/>
              <w:rPr/>
            </w:pPr>
            <w:r>
              <w:rPr/>
              <w:t>)% </w:t>
            </w:r>
          </w:p>
        </w:tc>
      </w:tr>
      <w:tr>
        <w:trPr/>
        <w:tc>
          <w:tcPr>
            <w:tcW w:w="2123"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19.55</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w:t>
            </w:r>
          </w:p>
        </w:tc>
        <w:tc>
          <w:tcPr>
            <w:tcW w:w="1095" w:type="dxa"/>
            <w:tcBorders/>
            <w:vAlign w:val="bottom"/>
          </w:tcPr>
          <w:p>
            <w:pPr>
              <w:pStyle w:val="TableContents"/>
              <w:bidi w:val="0"/>
              <w:spacing w:before="0" w:after="283"/>
              <w:jc w:val="right"/>
              <w:rPr/>
            </w:pPr>
            <w:r>
              <w:rPr/>
              <w:t>20.22</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w:t>
            </w:r>
          </w:p>
        </w:tc>
        <w:tc>
          <w:tcPr>
            <w:tcW w:w="1072" w:type="dxa"/>
            <w:tcBorders/>
            <w:vAlign w:val="bottom"/>
          </w:tcPr>
          <w:p>
            <w:pPr>
              <w:pStyle w:val="TableContents"/>
              <w:bidi w:val="0"/>
              <w:spacing w:before="0" w:after="283"/>
              <w:jc w:val="right"/>
              <w:rPr/>
            </w:pPr>
            <w:r>
              <w:rPr/>
              <w:t>16.92</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3.4</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(13.5</w:t>
            </w:r>
          </w:p>
        </w:tc>
        <w:tc>
          <w:tcPr>
            <w:tcW w:w="367"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NAV per share is determined as of the last day in the relevant quarter and therefore may not reflect NAV per share on the date of the high and low sales prices. NAV is shown based on outstanding shares at the end of the period.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as the difference between the high or low closing sales price and the quarter end NAV divided by the quarter end NAV. </w:t>
            </w:r>
          </w:p>
        </w:tc>
      </w:tr>
    </w:tbl>
    <w:p>
      <w:pPr>
        <w:pStyle w:val="TextBody"/>
        <w:bidi w:val="0"/>
        <w:spacing w:before="0" w:after="0"/>
        <w:jc w:val="left"/>
        <w:rPr>
          <w:rFonts w:ascii="Times New Roman" w:hAnsi="Times New Roman"/>
          <w:sz w:val="20"/>
        </w:rPr>
      </w:pPr>
      <w:r>
        <w:rPr>
          <w:rFonts w:ascii="Times New Roman" w:hAnsi="Times New Roman"/>
          <w:sz w:val="20"/>
        </w:rPr>
        <w:t xml:space="preserve">* NAV for the fiscal quarter ended September 30, 2026 has not yet been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139616_11"/>
      <w:bookmarkEnd w:id="13"/>
      <w:r>
        <w:rPr>
          <w:rFonts w:ascii="Times New Roman" w:hAnsi="Times New Roman"/>
          <w:b/>
          <w:sz w:val="20"/>
        </w:rPr>
        <w:t xml:space="preserve">FINANCIAL STATEMENTS </w:t>
      </w:r>
    </w:p>
    <w:p>
      <w:pPr>
        <w:pStyle w:val="TextBody"/>
        <w:bidi w:val="0"/>
        <w:spacing w:before="240" w:after="0"/>
        <w:jc w:val="left"/>
        <w:rPr/>
      </w:pPr>
      <w:r>
        <w:rPr>
          <w:rFonts w:ascii="Times New Roman" w:hAnsi="Times New Roman"/>
          <w:sz w:val="20"/>
        </w:rPr>
        <w:t>The information contained in “</w:t>
      </w:r>
      <w:r>
        <w:rPr>
          <w:rFonts w:ascii="Times New Roman" w:hAnsi="Times New Roman"/>
          <w:i/>
          <w:sz w:val="20"/>
        </w:rPr>
        <w:t>Consolidated Financial Statements and Supplementary Data</w:t>
      </w:r>
      <w:r>
        <w:rPr>
          <w:rFonts w:ascii="Times New Roman" w:hAnsi="Times New Roman"/>
          <w:sz w:val="20"/>
        </w:rPr>
        <w:t xml:space="preserve">” in Part II, Item 8 of our </w:t>
      </w:r>
      <w:r>
        <w:fldChar w:fldCharType="begin"/>
      </w:r>
      <w:r>
        <w:rPr>
          <w:rStyle w:val="InternetLink"/>
          <w:sz w:val="20"/>
          <w:rFonts w:ascii="Times New Roman" w:hAnsi="Times New Roman"/>
        </w:rPr>
        <w:instrText xml:space="preserve"> HYPERLINK "http://www.sec.gov/Archives/edgar/data/../../../ix?doc=/Archives/edgar/data/0001513363/000119312526076572/fdus-20251231.htm" \l "item_8"</w:instrText>
      </w:r>
      <w:r>
        <w:rPr>
          <w:rStyle w:val="InternetLink"/>
          <w:sz w:val="20"/>
          <w:rFonts w:ascii="Times New Roman" w:hAnsi="Times New Roman"/>
        </w:rPr>
        <w:fldChar w:fldCharType="separate"/>
      </w:r>
      <w:r>
        <w:rPr>
          <w:rStyle w:val="InternetLink"/>
          <w:rFonts w:ascii="Times New Roman" w:hAnsi="Times New Roman"/>
          <w:sz w:val="20"/>
        </w:rPr>
        <w:t>Annual Report on Form 10-K</w:t>
      </w:r>
      <w:r>
        <w:rPr>
          <w:rStyle w:val="InternetLink"/>
          <w:sz w:val="20"/>
          <w:rFonts w:ascii="Times New Roman" w:hAnsi="Times New Roman"/>
        </w:rPr>
        <w:fldChar w:fldCharType="end"/>
      </w:r>
      <w:r>
        <w:rPr>
          <w:rFonts w:ascii="Times New Roman" w:hAnsi="Times New Roman"/>
          <w:sz w:val="20"/>
        </w:rPr>
        <w:t xml:space="preserve"> for the fiscal year ended December  31, 2025 and “</w:t>
      </w:r>
      <w:r>
        <w:rPr>
          <w:rFonts w:ascii="Times New Roman" w:hAnsi="Times New Roman"/>
          <w:i/>
          <w:sz w:val="20"/>
        </w:rPr>
        <w:t>Financial Statements</w:t>
      </w:r>
      <w:r>
        <w:rPr>
          <w:rFonts w:ascii="Times New Roman" w:hAnsi="Times New Roman"/>
          <w:sz w:val="20"/>
        </w:rPr>
        <w:t xml:space="preserve">” in Part I, Item 1 of our </w:t>
      </w:r>
      <w:hyperlink r:id="rId11">
        <w:r>
          <w:rPr>
            <w:rStyle w:val="InternetLink"/>
            <w:rFonts w:ascii="Times New Roman" w:hAnsi="Times New Roman"/>
            <w:sz w:val="20"/>
          </w:rPr>
          <w:t>Quarterly Report on Form 10-Q</w:t>
        </w:r>
      </w:hyperlink>
      <w:r>
        <w:rPr>
          <w:rFonts w:ascii="Times New Roman" w:hAnsi="Times New Roman"/>
          <w:sz w:val="20"/>
        </w:rPr>
        <w:t xml:space="preserve"> for the fiscal quarter ended June 30, 2026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39616_12"/>
      <w:bookmarkEnd w:id="14"/>
      <w:r>
        <w:rPr>
          <w:rFonts w:ascii="Times New Roman" w:hAnsi="Times New Roman"/>
          <w:b/>
          <w:sz w:val="20"/>
        </w:rPr>
        <w:t xml:space="preserve">SENIOR SECURITIES </w:t>
      </w:r>
    </w:p>
    <w:p>
      <w:pPr>
        <w:pStyle w:val="TextBody"/>
        <w:bidi w:val="0"/>
        <w:spacing w:before="240" w:after="0"/>
        <w:jc w:val="left"/>
        <w:rPr/>
      </w:pPr>
      <w:r>
        <w:rPr>
          <w:rFonts w:ascii="Times New Roman" w:hAnsi="Times New Roman"/>
          <w:sz w:val="20"/>
        </w:rPr>
        <w:t>Information about our senior securities as of the fiscal years ended December 31, 2025 to 2016 is located in the notes to our consolidated financial statements under the caption “</w:t>
      </w:r>
      <w:r>
        <w:rPr>
          <w:rFonts w:ascii="Times New Roman" w:hAnsi="Times New Roman"/>
          <w:i/>
          <w:sz w:val="20"/>
        </w:rPr>
        <w:t>Note 6. Debt</w:t>
      </w:r>
      <w:r>
        <w:rPr>
          <w:rFonts w:ascii="Times New Roman" w:hAnsi="Times New Roman"/>
          <w:sz w:val="20"/>
        </w:rPr>
        <w:t xml:space="preserve">” in Part II, Item 8 of our most recent </w:t>
      </w:r>
      <w:r>
        <w:fldChar w:fldCharType="begin"/>
      </w:r>
      <w:r>
        <w:rPr>
          <w:rStyle w:val="InternetLink"/>
          <w:sz w:val="20"/>
          <w:rFonts w:ascii="Times New Roman" w:hAnsi="Times New Roman"/>
        </w:rPr>
        <w:instrText xml:space="preserve"> HYPERLINK "http://www.sec.gov/Archives/edgar/data/../../../ix?doc=/Archives/edgar/data/0001513363/000119312526076572/fdus-20251231.htm" \l "footnotes"</w:instrText>
      </w:r>
      <w:r>
        <w:rPr>
          <w:rStyle w:val="InternetLink"/>
          <w:sz w:val="20"/>
          <w:rFonts w:ascii="Times New Roman" w:hAnsi="Times New Roman"/>
        </w:rPr>
        <w:fldChar w:fldCharType="separate"/>
      </w:r>
      <w:r>
        <w:rPr>
          <w:rStyle w:val="InternetLink"/>
          <w:rFonts w:ascii="Times New Roman" w:hAnsi="Times New Roman"/>
          <w:sz w:val="20"/>
        </w:rPr>
        <w:t>Annual Report on Form 10-K</w:t>
      </w:r>
      <w:r>
        <w:rPr>
          <w:rStyle w:val="InternetLink"/>
          <w:sz w:val="20"/>
          <w:rFonts w:ascii="Times New Roman" w:hAnsi="Times New Roman"/>
        </w:rPr>
        <w:fldChar w:fldCharType="end"/>
      </w:r>
      <w:r>
        <w:rPr>
          <w:rFonts w:ascii="Times New Roman" w:hAnsi="Times New Roman"/>
          <w:sz w:val="20"/>
        </w:rPr>
        <w:t xml:space="preserve">, which has been audited by our independent registered public accounting firm whose reports thereon are incorporated by reference in this prospectus,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our senior securities as of June 30, 2026 (unaudited, dollars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099"/>
        <w:gridCol w:w="351"/>
        <w:gridCol w:w="217"/>
        <w:gridCol w:w="1245"/>
        <w:gridCol w:w="60"/>
        <w:gridCol w:w="351"/>
        <w:gridCol w:w="325"/>
        <w:gridCol w:w="1302"/>
        <w:gridCol w:w="60"/>
        <w:gridCol w:w="351"/>
        <w:gridCol w:w="209"/>
        <w:gridCol w:w="1349"/>
        <w:gridCol w:w="60"/>
        <w:gridCol w:w="351"/>
        <w:gridCol w:w="115"/>
        <w:gridCol w:w="876"/>
        <w:gridCol w:w="67"/>
      </w:tblGrid>
      <w:tr>
        <w:trPr/>
        <w:tc>
          <w:tcPr>
            <w:tcW w:w="2099"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099"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Class and</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Year/Period</w:t>
            </w:r>
          </w:p>
        </w:tc>
        <w:tc>
          <w:tcPr>
            <w:tcW w:w="351" w:type="dxa"/>
            <w:tcBorders/>
            <w:vAlign w:val="bottom"/>
          </w:tcPr>
          <w:p>
            <w:pPr>
              <w:pStyle w:val="TableContents"/>
              <w:bidi w:val="0"/>
              <w:spacing w:before="0" w:after="283"/>
              <w:jc w:val="left"/>
              <w:rPr/>
            </w:pPr>
            <w:r>
              <w:rPr/>
              <w:t>  </w:t>
            </w:r>
          </w:p>
        </w:tc>
        <w:tc>
          <w:tcPr>
            <w:tcW w:w="14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Amount</w:t>
              <w:br/>
              <w:t>Outstanding</w:t>
              <w:br/>
              <w:t>Exclusive of</w:t>
              <w:br/>
              <w:t>Treasury</w:t>
              <w:br/>
              <w:t>Securities(1)</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27" w:type="dxa"/>
            <w:gridSpan w:val="2"/>
            <w:tcBorders>
              <w:bottom w:val="single" w:sz="8" w:space="0" w:color="000000"/>
            </w:tcBorders>
            <w:tcMar>
              <w:bottom w:w="28" w:type="dxa"/>
            </w:tcMar>
            <w:vAlign w:val="bottom"/>
          </w:tcPr>
          <w:p>
            <w:pPr>
              <w:pStyle w:val="TableContents"/>
              <w:bidi w:val="0"/>
              <w:spacing w:before="0" w:after="283"/>
              <w:jc w:val="center"/>
              <w:rPr/>
            </w:pPr>
            <w:r>
              <w:rPr>
                <w:b/>
              </w:rPr>
              <w:t>Asset Coverage</w:t>
            </w:r>
            <w:r>
              <w:rPr/>
              <w:br/>
            </w:r>
            <w:r>
              <w:rPr>
                <w:b/>
              </w:rPr>
              <w:t>Per Unit(2)(5)</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5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Involuntary</w:t>
              <w:br/>
              <w:t>Liquidating</w:t>
              <w:br/>
              <w:t>Preference Per</w:t>
              <w:br/>
              <w:t>Unit(3)</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991" w:type="dxa"/>
            <w:gridSpan w:val="2"/>
            <w:tcBorders>
              <w:bottom w:val="single" w:sz="8" w:space="0" w:color="000000"/>
            </w:tcBorders>
            <w:tcMar>
              <w:bottom w:w="28" w:type="dxa"/>
            </w:tcMar>
            <w:vAlign w:val="bottom"/>
          </w:tcPr>
          <w:p>
            <w:pPr>
              <w:pStyle w:val="TableContents"/>
              <w:bidi w:val="0"/>
              <w:spacing w:before="0" w:after="283"/>
              <w:jc w:val="center"/>
              <w:rPr/>
            </w:pPr>
            <w:r>
              <w:rPr>
                <w:b/>
              </w:rPr>
              <w:t>Average</w:t>
              <w:br/>
              <w:t>Market</w:t>
            </w:r>
            <w:r>
              <w:rPr/>
              <w:br/>
            </w:r>
            <w:r>
              <w:rPr>
                <w:b/>
              </w:rPr>
              <w:t>Value</w:t>
              <w:br/>
              <w:t>Per Unit(4)</w:t>
            </w:r>
          </w:p>
        </w:tc>
        <w:tc>
          <w:tcPr>
            <w:tcW w:w="67" w:type="dxa"/>
            <w:tcBorders/>
            <w:vAlign w:val="bottom"/>
          </w:tcPr>
          <w:p>
            <w:pPr>
              <w:pStyle w:val="TableContents"/>
              <w:bidi w:val="0"/>
              <w:spacing w:before="0" w:after="283"/>
              <w:jc w:val="left"/>
              <w:rPr/>
            </w:pPr>
            <w:r>
              <w:rPr/>
              <w:t> </w:t>
            </w:r>
          </w:p>
        </w:tc>
      </w:tr>
      <w:tr>
        <w:trPr/>
        <w:tc>
          <w:tcPr>
            <w:tcW w:w="20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June 30, 2026 (unaudited)</w:t>
            </w:r>
          </w:p>
        </w:tc>
        <w:tc>
          <w:tcPr>
            <w:tcW w:w="351"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sz w:val="4"/>
                <w:szCs w:val="4"/>
              </w:rPr>
            </w:pPr>
            <w:r>
              <w:rPr>
                <w:sz w:val="4"/>
                <w:szCs w:val="4"/>
              </w:rPr>
            </w:r>
          </w:p>
        </w:tc>
        <w:tc>
          <w:tcPr>
            <w:tcW w:w="13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099" w:type="dxa"/>
            <w:tcBorders/>
          </w:tcPr>
          <w:p>
            <w:pPr>
              <w:pStyle w:val="TableContents"/>
              <w:bidi w:val="0"/>
              <w:spacing w:before="0" w:after="0"/>
              <w:jc w:val="left"/>
              <w:rPr>
                <w:rFonts w:ascii="Times New Roman" w:hAnsi="Times New Roman"/>
                <w:sz w:val="20"/>
              </w:rPr>
            </w:pPr>
            <w:r>
              <w:rPr>
                <w:rFonts w:ascii="Times New Roman" w:hAnsi="Times New Roman"/>
                <w:sz w:val="20"/>
              </w:rPr>
              <w:t>SBA Debentures</w:t>
            </w:r>
          </w:p>
        </w:tc>
        <w:tc>
          <w:tcPr>
            <w:tcW w:w="35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296,000</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w:t>
            </w:r>
          </w:p>
        </w:tc>
        <w:tc>
          <w:tcPr>
            <w:tcW w:w="130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0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SPV Credit Facility</w:t>
            </w:r>
          </w:p>
        </w:tc>
        <w:tc>
          <w:tcPr>
            <w:tcW w:w="351"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112,650</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1302" w:type="dxa"/>
            <w:tcBorders/>
            <w:shd w:fill="CCEEFF" w:val="clear"/>
            <w:vAlign w:val="bottom"/>
          </w:tcPr>
          <w:p>
            <w:pPr>
              <w:pStyle w:val="TableContents"/>
              <w:bidi w:val="0"/>
              <w:spacing w:before="0" w:after="283"/>
              <w:jc w:val="right"/>
              <w:rPr/>
            </w:pPr>
            <w:r>
              <w:rPr/>
              <w:t>2,664</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r>
        <w:trPr/>
        <w:tc>
          <w:tcPr>
            <w:tcW w:w="2099" w:type="dxa"/>
            <w:tcBorders/>
          </w:tcPr>
          <w:p>
            <w:pPr>
              <w:pStyle w:val="TableContents"/>
              <w:bidi w:val="0"/>
              <w:spacing w:before="0" w:after="0"/>
              <w:jc w:val="left"/>
              <w:rPr>
                <w:rFonts w:ascii="Times New Roman" w:hAnsi="Times New Roman"/>
                <w:sz w:val="20"/>
              </w:rPr>
            </w:pPr>
            <w:r>
              <w:rPr>
                <w:rFonts w:ascii="Times New Roman" w:hAnsi="Times New Roman"/>
                <w:sz w:val="20"/>
              </w:rPr>
              <w:t>2030 Notes</w:t>
            </w:r>
          </w:p>
        </w:tc>
        <w:tc>
          <w:tcPr>
            <w:tcW w:w="35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200,000</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w:t>
            </w:r>
          </w:p>
        </w:tc>
        <w:tc>
          <w:tcPr>
            <w:tcW w:w="1302" w:type="dxa"/>
            <w:tcBorders/>
            <w:vAlign w:val="bottom"/>
          </w:tcPr>
          <w:p>
            <w:pPr>
              <w:pStyle w:val="TableContents"/>
              <w:bidi w:val="0"/>
              <w:spacing w:before="0" w:after="283"/>
              <w:jc w:val="right"/>
              <w:rPr/>
            </w:pPr>
            <w:r>
              <w:rPr/>
              <w:t>2,664</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0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Notes</w:t>
            </w:r>
          </w:p>
        </w:tc>
        <w:tc>
          <w:tcPr>
            <w:tcW w:w="351"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120,000</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1302" w:type="dxa"/>
            <w:tcBorders/>
            <w:shd w:fill="CCEEFF" w:val="clear"/>
            <w:vAlign w:val="bottom"/>
          </w:tcPr>
          <w:p>
            <w:pPr>
              <w:pStyle w:val="TableContents"/>
              <w:bidi w:val="0"/>
              <w:spacing w:before="0" w:after="283"/>
              <w:jc w:val="right"/>
              <w:rPr/>
            </w:pPr>
            <w:r>
              <w:rPr/>
              <w:t>2,664</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r>
        <w:trPr/>
        <w:tc>
          <w:tcPr>
            <w:tcW w:w="2099" w:type="dxa"/>
            <w:tcBorders/>
          </w:tcPr>
          <w:p>
            <w:pPr>
              <w:pStyle w:val="TableContents"/>
              <w:bidi w:val="0"/>
              <w:spacing w:before="0" w:after="0"/>
              <w:jc w:val="left"/>
              <w:rPr>
                <w:rFonts w:ascii="Times New Roman" w:hAnsi="Times New Roman"/>
                <w:sz w:val="20"/>
              </w:rPr>
            </w:pPr>
            <w:r>
              <w:rPr>
                <w:rFonts w:ascii="Times New Roman" w:hAnsi="Times New Roman"/>
                <w:sz w:val="20"/>
              </w:rPr>
              <w:t>Secured Borrowings</w:t>
            </w:r>
          </w:p>
        </w:tc>
        <w:tc>
          <w:tcPr>
            <w:tcW w:w="35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11,149</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w:t>
            </w:r>
          </w:p>
        </w:tc>
        <w:tc>
          <w:tcPr>
            <w:tcW w:w="1302" w:type="dxa"/>
            <w:tcBorders/>
            <w:vAlign w:val="bottom"/>
          </w:tcPr>
          <w:p>
            <w:pPr>
              <w:pStyle w:val="TableContents"/>
              <w:bidi w:val="0"/>
              <w:spacing w:before="0" w:after="283"/>
              <w:jc w:val="right"/>
              <w:rPr/>
            </w:pPr>
            <w:r>
              <w:rPr/>
              <w:t>2,664</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amount of each class of senior securities outstanding at the end of the period presented.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to which such class of senior security would be entitled upon the involuntary liquidation of the issuer in preference to any security junior to it. The “—” indicates information which the SEC expressly does not require to be disclosed for certain types of senior securities.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applicable to the SBA debentures, the SPV Credit Facility, the Restricted Notes, the 2030 Notes, or our secured borrowings because these senior securities are not registered for public trading.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excluded our SBA debentures from the asset coverage calculation pursuant to the exemptive relief granted by the SEC in June 2014 that permits us to exclude the senior securities issued by the SBIC Subsidiaries from the definition of senior securities in the asset coverage requirement applicable to us under the 1940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19"/>
        </w:rPr>
      </w:pPr>
      <w:bookmarkStart w:id="15" w:name="toc139616_13"/>
      <w:bookmarkEnd w:id="15"/>
      <w:r>
        <w:rPr>
          <w:rFonts w:ascii="Times New Roman" w:hAnsi="Times New Roman"/>
          <w:b/>
          <w:sz w:val="19"/>
        </w:rPr>
        <w:t xml:space="preserve">PORTFOLIO COMPANIES </w:t>
      </w:r>
    </w:p>
    <w:p>
      <w:pPr>
        <w:pStyle w:val="TextBody"/>
        <w:bidi w:val="0"/>
        <w:spacing w:before="200" w:after="0"/>
        <w:jc w:val="left"/>
        <w:rPr>
          <w:rFonts w:ascii="Times New Roman" w:hAnsi="Times New Roman"/>
          <w:sz w:val="19"/>
        </w:rPr>
      </w:pPr>
      <w:r>
        <w:rPr>
          <w:rFonts w:ascii="Times New Roman" w:hAnsi="Times New Roman"/>
          <w:sz w:val="19"/>
        </w:rPr>
        <w:t xml:space="preserve">The following table sets forth certain information regarding each of the portfolio companies in which we had a debt or equity investment as of June 30, 2026. As of June 30, 2026, we did not make any investments in a portfolio company that represented greater than 5.0% of our total assets as of June 30, 2026. Our only relationships with our portfolio companies are the managerial assistance we may separately provide to our portfolio companies, which services would be ancillary to our investments. We offer to make available significant managerial assistance to our portfolio companies. We may receive rights to observe the meetings of our portfolio companies’ board of directors. </w:t>
      </w:r>
    </w:p>
    <w:p>
      <w:pPr>
        <w:pStyle w:val="TextBody"/>
        <w:bidi w:val="0"/>
        <w:spacing w:before="0" w:after="0"/>
        <w:jc w:val="left"/>
        <w:rPr/>
      </w:pPr>
      <w:r>
        <w:rPr/>
        <w:t> </w:t>
      </w:r>
    </w:p>
    <w:tbl>
      <w:tblPr>
        <w:tblW w:w="20125" w:type="dxa"/>
        <w:jc w:val="center"/>
        <w:tblInd w:w="0" w:type="dxa"/>
        <w:tblLayout w:type="fixed"/>
        <w:tblCellMar>
          <w:top w:w="0" w:type="dxa"/>
          <w:left w:w="0" w:type="dxa"/>
          <w:bottom w:w="0" w:type="dxa"/>
          <w:right w:w="0" w:type="dxa"/>
        </w:tblCellMar>
      </w:tblPr>
      <w:tblGrid>
        <w:gridCol w:w="2270"/>
        <w:gridCol w:w="60"/>
        <w:gridCol w:w="3110"/>
        <w:gridCol w:w="60"/>
        <w:gridCol w:w="2105"/>
        <w:gridCol w:w="60"/>
        <w:gridCol w:w="180"/>
        <w:gridCol w:w="1325"/>
        <w:gridCol w:w="275"/>
        <w:gridCol w:w="60"/>
        <w:gridCol w:w="2120"/>
        <w:gridCol w:w="60"/>
        <w:gridCol w:w="60"/>
        <w:gridCol w:w="1430"/>
        <w:gridCol w:w="60"/>
        <w:gridCol w:w="60"/>
        <w:gridCol w:w="60"/>
        <w:gridCol w:w="1100"/>
        <w:gridCol w:w="60"/>
        <w:gridCol w:w="60"/>
        <w:gridCol w:w="60"/>
        <w:gridCol w:w="1100"/>
        <w:gridCol w:w="60"/>
        <w:gridCol w:w="60"/>
        <w:gridCol w:w="77"/>
        <w:gridCol w:w="873"/>
        <w:gridCol w:w="60"/>
        <w:gridCol w:w="60"/>
        <w:gridCol w:w="60"/>
        <w:gridCol w:w="680"/>
        <w:gridCol w:w="60"/>
        <w:gridCol w:w="60"/>
        <w:gridCol w:w="70"/>
        <w:gridCol w:w="805"/>
        <w:gridCol w:w="60"/>
        <w:gridCol w:w="60"/>
        <w:gridCol w:w="321"/>
        <w:gridCol w:w="749"/>
        <w:gridCol w:w="27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31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21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b/>
                <w:sz w:val="14"/>
                <w:u w:val="single"/>
              </w:rPr>
            </w:pPr>
            <w:r>
              <w:rPr>
                <w:rFonts w:ascii="Times New Roman" w:hAnsi="Times New Roman"/>
                <w:b/>
                <w:sz w:val="14"/>
                <w:u w:val="single"/>
              </w:rPr>
              <w:t>Control Investments (t)</w:t>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vMerge w:val="restart"/>
            <w:tcBorders/>
          </w:tcPr>
          <w:p>
            <w:pPr>
              <w:pStyle w:val="TableContents"/>
              <w:bidi w:val="0"/>
              <w:spacing w:before="0" w:after="0"/>
              <w:jc w:val="left"/>
              <w:rPr>
                <w:rFonts w:ascii="Times New Roman" w:hAnsi="Times New Roman"/>
                <w:sz w:val="14"/>
              </w:rPr>
            </w:pPr>
            <w:r>
              <w:rPr>
                <w:rFonts w:ascii="Times New Roman" w:hAnsi="Times New Roman"/>
                <w:sz w:val="14"/>
              </w:rPr>
              <w:t>US GreenFiber, LLC (n)</w:t>
            </w:r>
          </w:p>
          <w:p>
            <w:pPr>
              <w:pStyle w:val="TableContents"/>
              <w:bidi w:val="0"/>
              <w:spacing w:before="0" w:after="0"/>
              <w:jc w:val="left"/>
              <w:rPr>
                <w:rFonts w:ascii="Times New Roman" w:hAnsi="Times New Roman"/>
                <w:sz w:val="14"/>
              </w:rPr>
            </w:pPr>
            <w:r>
              <w:rPr>
                <w:rFonts w:ascii="Times New Roman" w:hAnsi="Times New Roman"/>
                <w:sz w:val="14"/>
              </w:rPr>
              <w:t>5500 77 Center Drive, Suite 100,</w:t>
            </w:r>
          </w:p>
          <w:p>
            <w:pPr>
              <w:pStyle w:val="TableContents"/>
              <w:bidi w:val="0"/>
              <w:spacing w:before="0" w:after="20"/>
              <w:jc w:val="left"/>
              <w:rPr>
                <w:rFonts w:ascii="Times New Roman" w:hAnsi="Times New Roman"/>
                <w:sz w:val="14"/>
              </w:rPr>
            </w:pPr>
            <w:r>
              <w:rPr>
                <w:rFonts w:ascii="Times New Roman" w:hAnsi="Times New Roman"/>
                <w:sz w:val="14"/>
              </w:rPr>
              <w:t>Charlotte, NC 28217</w:t>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pPr>
            <w:r>
              <w:rPr/>
              <w:t>Building Products Manufacturing</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Common Equity (2,522 units) (h)</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7/3/2014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Common Equity (425,508 units)</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47.9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8/30/2019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Common Equity (1,022,813 units) (h)</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65.3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7/1/2020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0"/>
              <w:jc w:val="left"/>
              <w:rPr>
                <w:rFonts w:ascii="Times New Roman" w:hAnsi="Times New Roman"/>
                <w:b/>
                <w:sz w:val="14"/>
              </w:rPr>
            </w:pPr>
            <w:r>
              <w:rPr>
                <w:rFonts w:ascii="Times New Roman" w:hAnsi="Times New Roman"/>
                <w:b/>
                <w:sz w:val="14"/>
              </w:rPr>
              <w:t>Total Control Investments</w:t>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0"/>
              <w:jc w:val="left"/>
              <w:rPr>
                <w:rFonts w:ascii="Times New Roman" w:hAnsi="Times New Roman"/>
                <w:b/>
                <w:sz w:val="14"/>
                <w:u w:val="single"/>
              </w:rPr>
            </w:pPr>
            <w:r>
              <w:rPr>
                <w:rFonts w:ascii="Times New Roman" w:hAnsi="Times New Roman"/>
                <w:b/>
                <w:sz w:val="14"/>
                <w:u w:val="single"/>
              </w:rPr>
              <w:t>Affiliate Investments (l)</w:t>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2270" w:type="dxa"/>
            <w:tcBorders/>
            <w:vAlign w:val="center"/>
          </w:tcPr>
          <w:p>
            <w:pPr>
              <w:pStyle w:val="TableContents"/>
              <w:bidi w:val="0"/>
              <w:spacing w:before="0" w:after="283"/>
              <w:jc w:val="left"/>
              <w:rPr>
                <w:sz w:val="4"/>
                <w:szCs w:val="4"/>
              </w:rPr>
            </w:pPr>
            <w:r>
              <w:rPr>
                <w:sz w:val="4"/>
                <w:szCs w:val="4"/>
              </w:rPr>
            </w:r>
          </w:p>
        </w:tc>
        <w:tc>
          <w:tcPr>
            <w:tcW w:w="3170"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r>
      <w:tr>
        <w:trPr/>
        <w:tc>
          <w:tcPr>
            <w:tcW w:w="2270" w:type="dxa"/>
            <w:vMerge w:val="restart"/>
            <w:tcBorders/>
          </w:tcPr>
          <w:p>
            <w:pPr>
              <w:pStyle w:val="TableContents"/>
              <w:bidi w:val="0"/>
              <w:spacing w:before="0" w:after="0"/>
              <w:jc w:val="left"/>
              <w:rPr>
                <w:rFonts w:ascii="Times New Roman" w:hAnsi="Times New Roman"/>
                <w:i/>
                <w:sz w:val="14"/>
              </w:rPr>
            </w:pPr>
            <w:r>
              <w:rPr>
                <w:rFonts w:ascii="Times New Roman" w:hAnsi="Times New Roman"/>
                <w:i/>
                <w:sz w:val="14"/>
              </w:rPr>
              <w:t>Applegate Greenfiber Intermediate Inc.</w:t>
              <w:br/>
              <w:t>(fka US GreenFiber, LLC)</w:t>
            </w:r>
          </w:p>
          <w:p>
            <w:pPr>
              <w:pStyle w:val="TableContents"/>
              <w:bidi w:val="0"/>
              <w:spacing w:before="0" w:after="0"/>
              <w:jc w:val="left"/>
              <w:rPr>
                <w:rFonts w:ascii="Times New Roman" w:hAnsi="Times New Roman"/>
                <w:sz w:val="14"/>
              </w:rPr>
            </w:pPr>
            <w:r>
              <w:rPr>
                <w:rFonts w:ascii="Times New Roman" w:hAnsi="Times New Roman"/>
                <w:sz w:val="14"/>
              </w:rPr>
              <w:t>5500 77 Center Drive, Suite 100,</w:t>
            </w:r>
          </w:p>
          <w:p>
            <w:pPr>
              <w:pStyle w:val="TableContents"/>
              <w:bidi w:val="0"/>
              <w:spacing w:before="0" w:after="20"/>
              <w:jc w:val="left"/>
              <w:rPr>
                <w:rFonts w:ascii="Times New Roman" w:hAnsi="Times New Roman"/>
                <w:sz w:val="14"/>
              </w:rPr>
            </w:pPr>
            <w:r>
              <w:rPr>
                <w:rFonts w:ascii="Times New Roman" w:hAnsi="Times New Roman"/>
                <w:sz w:val="14"/>
              </w:rPr>
              <w:t>Charlotte, NC 28217</w:t>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pPr>
            <w:r>
              <w:rPr/>
              <w:t>Building Products Manufacturing</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Subordinated Debt</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11.00%/0.00%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12/31/2021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12/31/2027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9,602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9,602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8,510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Common Equity (5,690 units) (h)</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9.5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12/31/2021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5,690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7,563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Common Equity (7,113 units) (h)</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12/31/2021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7,113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10,100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Common Equity (2,012 units) (h)</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3.4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12/31/2021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22,405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26,173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r>
      <w:tr>
        <w:trPr/>
        <w:tc>
          <w:tcPr>
            <w:tcW w:w="2270"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CP Communications, LLC</w:t>
            </w:r>
          </w:p>
          <w:p>
            <w:pPr>
              <w:pStyle w:val="TableContents"/>
              <w:bidi w:val="0"/>
              <w:spacing w:before="0" w:after="0"/>
              <w:jc w:val="left"/>
              <w:rPr>
                <w:rFonts w:ascii="Times New Roman" w:hAnsi="Times New Roman"/>
                <w:sz w:val="14"/>
              </w:rPr>
            </w:pPr>
            <w:r>
              <w:rPr>
                <w:rFonts w:ascii="Times New Roman" w:hAnsi="Times New Roman"/>
                <w:sz w:val="14"/>
              </w:rPr>
              <w:t>9965 18th Street,</w:t>
            </w:r>
          </w:p>
          <w:p>
            <w:pPr>
              <w:pStyle w:val="TableContents"/>
              <w:bidi w:val="0"/>
              <w:spacing w:before="0" w:after="20"/>
              <w:jc w:val="left"/>
              <w:rPr>
                <w:rFonts w:ascii="Times New Roman" w:hAnsi="Times New Roman"/>
                <w:sz w:val="14"/>
              </w:rPr>
            </w:pPr>
            <w:r>
              <w:rPr>
                <w:rFonts w:ascii="Times New Roman" w:hAnsi="Times New Roman"/>
                <w:sz w:val="14"/>
              </w:rPr>
              <w:t>St. Petersburg, FL 33716</w:t>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tcPr>
          <w:p>
            <w:pPr>
              <w:pStyle w:val="TableContents"/>
              <w:bidi w:val="0"/>
              <w:spacing w:before="0" w:after="283"/>
              <w:jc w:val="left"/>
              <w:rPr/>
            </w:pPr>
            <w:r>
              <w:rPr/>
              <w:t>Business Services</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pPr>
            <w:r>
              <w:rPr/>
              <w:t>First Lien Debt (am)</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+ 8.50%) / (4.00%)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12.50%/0.00%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12/4/2024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12/4/2029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5,703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5,670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5,703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pPr>
            <w:r>
              <w:rPr/>
              <w:t>Preferred Equity (62 units)</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5.9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12/4/2024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6,170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6,354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2270" w:type="dxa"/>
            <w:vMerge w:val="restart"/>
            <w:tcBorders/>
          </w:tcPr>
          <w:p>
            <w:pPr>
              <w:pStyle w:val="TableContents"/>
              <w:bidi w:val="0"/>
              <w:spacing w:before="0" w:after="0"/>
              <w:jc w:val="left"/>
              <w:rPr>
                <w:rFonts w:ascii="Times New Roman" w:hAnsi="Times New Roman"/>
                <w:sz w:val="14"/>
              </w:rPr>
            </w:pPr>
            <w:r>
              <w:rPr>
                <w:rFonts w:ascii="Times New Roman" w:hAnsi="Times New Roman"/>
                <w:sz w:val="14"/>
              </w:rPr>
              <w:t>Medsurant Holdings, LLC (n)</w:t>
            </w:r>
          </w:p>
          <w:p>
            <w:pPr>
              <w:pStyle w:val="TableContents"/>
              <w:bidi w:val="0"/>
              <w:spacing w:before="0" w:after="0"/>
              <w:jc w:val="left"/>
              <w:rPr>
                <w:rFonts w:ascii="Times New Roman" w:hAnsi="Times New Roman"/>
                <w:sz w:val="14"/>
              </w:rPr>
            </w:pPr>
            <w:r>
              <w:rPr>
                <w:rFonts w:ascii="Times New Roman" w:hAnsi="Times New Roman"/>
                <w:sz w:val="14"/>
              </w:rPr>
              <w:t>100 Front Street, Suite 280,</w:t>
            </w:r>
          </w:p>
          <w:p>
            <w:pPr>
              <w:pStyle w:val="TableContents"/>
              <w:bidi w:val="0"/>
              <w:spacing w:before="0" w:after="20"/>
              <w:jc w:val="left"/>
              <w:rPr>
                <w:rFonts w:ascii="Times New Roman" w:hAnsi="Times New Roman"/>
                <w:sz w:val="14"/>
              </w:rPr>
            </w:pPr>
            <w:r>
              <w:rPr>
                <w:rFonts w:ascii="Times New Roman" w:hAnsi="Times New Roman"/>
                <w:sz w:val="14"/>
              </w:rPr>
              <w:t>Conshohocken, PA 19428</w:t>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pPr>
            <w:r>
              <w:rPr/>
              <w:t>Healthcare Services</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0"/>
              <w:jc w:val="left"/>
              <w:rPr>
                <w:rFonts w:ascii="Times New Roman" w:hAnsi="Times New Roman"/>
                <w:sz w:val="14"/>
              </w:rPr>
            </w:pPr>
            <w:r>
              <w:rPr>
                <w:rFonts w:ascii="Times New Roman" w:hAnsi="Times New Roman"/>
                <w:sz w:val="14"/>
              </w:rPr>
              <w:t>Preferred Equity</w:t>
            </w:r>
          </w:p>
          <w:p>
            <w:pPr>
              <w:pStyle w:val="TableContents"/>
              <w:bidi w:val="0"/>
              <w:spacing w:before="0" w:after="20"/>
              <w:jc w:val="left"/>
              <w:rPr>
                <w:rFonts w:ascii="Times New Roman" w:hAnsi="Times New Roman"/>
                <w:sz w:val="14"/>
              </w:rPr>
            </w:pPr>
            <w:r>
              <w:rPr>
                <w:rFonts w:ascii="Times New Roman" w:hAnsi="Times New Roman"/>
                <w:sz w:val="14"/>
              </w:rPr>
              <w:t>(84,997 units) (h)</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4/12/2011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Warrant (252,588 units) (h)(m)</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6.4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4/12/2011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2270"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Pfanstiehl, Inc.</w:t>
            </w:r>
          </w:p>
          <w:p>
            <w:pPr>
              <w:pStyle w:val="TableContents"/>
              <w:bidi w:val="0"/>
              <w:spacing w:before="0" w:after="20"/>
              <w:jc w:val="left"/>
              <w:rPr>
                <w:rFonts w:ascii="Times New Roman" w:hAnsi="Times New Roman"/>
                <w:sz w:val="14"/>
              </w:rPr>
            </w:pPr>
            <w:r>
              <w:rPr>
                <w:rFonts w:ascii="Times New Roman" w:hAnsi="Times New Roman"/>
                <w:sz w:val="14"/>
              </w:rPr>
              <w:t>1219 Glen Rock Avenue, Waukegan, IL 60085</w:t>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pPr>
            <w:r>
              <w:rPr/>
              <w:t>Healthcare Products</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pPr>
            <w:r>
              <w:rPr/>
              <w:t>Common Equity (2,550 units)</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7.3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3/29/2013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41,717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6</w:t>
            </w:r>
          </w:p>
        </w:tc>
        <w:tc>
          <w:tcPr>
            <w:tcW w:w="275" w:type="dxa"/>
            <w:tcBorders/>
            <w:shd w:fill="CCEEFF" w:val="clear"/>
            <w:vAlign w:val="bottom"/>
          </w:tcPr>
          <w:p>
            <w:pPr>
              <w:pStyle w:val="TableContents"/>
              <w:bidi w:val="0"/>
              <w:spacing w:before="0" w:after="283"/>
              <w:jc w:val="left"/>
              <w:rPr/>
            </w:pPr>
            <w:r>
              <w:rPr/>
              <w:t>% </w:t>
            </w:r>
          </w:p>
        </w:tc>
      </w:tr>
      <w:tr>
        <w:trPr>
          <w:trHeight w:val="120" w:hRule="atLeast"/>
        </w:trPr>
        <w:tc>
          <w:tcPr>
            <w:tcW w:w="2270" w:type="dxa"/>
            <w:tcBorders/>
            <w:vAlign w:val="center"/>
          </w:tcPr>
          <w:p>
            <w:pPr>
              <w:pStyle w:val="TableContents"/>
              <w:bidi w:val="0"/>
              <w:spacing w:before="0" w:after="283"/>
              <w:jc w:val="left"/>
              <w:rPr>
                <w:sz w:val="4"/>
                <w:szCs w:val="4"/>
              </w:rPr>
            </w:pPr>
            <w:r>
              <w:rPr>
                <w:sz w:val="4"/>
                <w:szCs w:val="4"/>
              </w:rPr>
            </w:r>
          </w:p>
        </w:tc>
        <w:tc>
          <w:tcPr>
            <w:tcW w:w="3170"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r>
      <w:tr>
        <w:trPr/>
        <w:tc>
          <w:tcPr>
            <w:tcW w:w="2270"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PIPCO, LLC </w:t>
            </w:r>
            <w:r>
              <w:rPr>
                <w:rFonts w:ascii="Times New Roman" w:hAnsi="Times New Roman"/>
                <w:sz w:val="14"/>
              </w:rPr>
              <w:br/>
              <w:t>1409 West Altorfer Drive,</w:t>
              <w:br/>
              <w:t>Peoria, IL 61615</w:t>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pPr>
            <w:r>
              <w:rPr/>
              <w:t>Utilities: Services</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First Lien Debt (bo)</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+ 6.25%)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9.94%/0.00%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12/11/2025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12/11/2030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8,978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8,932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8,978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Common Equity (750 units)</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5.5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12/11/2025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1,122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9,682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10,100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r>
      <w:tr>
        <w:trPr>
          <w:trHeight w:val="120" w:hRule="atLeast"/>
        </w:trPr>
        <w:tc>
          <w:tcPr>
            <w:tcW w:w="2270" w:type="dxa"/>
            <w:tcBorders/>
            <w:vAlign w:val="center"/>
          </w:tcPr>
          <w:p>
            <w:pPr>
              <w:pStyle w:val="TableContents"/>
              <w:bidi w:val="0"/>
              <w:spacing w:before="0" w:after="283"/>
              <w:jc w:val="left"/>
              <w:rPr>
                <w:sz w:val="4"/>
                <w:szCs w:val="4"/>
              </w:rPr>
            </w:pPr>
            <w:r>
              <w:rPr>
                <w:sz w:val="4"/>
                <w:szCs w:val="4"/>
              </w:rPr>
            </w:r>
          </w:p>
        </w:tc>
        <w:tc>
          <w:tcPr>
            <w:tcW w:w="3170"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r>
      <w:tr>
        <w:trPr/>
        <w:tc>
          <w:tcPr>
            <w:tcW w:w="2270"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Spectra A&amp;D Acquisition, Inc. (fka FDS Avionics Corp.) </w:t>
            </w:r>
            <w:r>
              <w:rPr>
                <w:rFonts w:ascii="Times New Roman" w:hAnsi="Times New Roman"/>
                <w:sz w:val="14"/>
              </w:rPr>
              <w:br/>
              <w:t>6435 Shiloh Road, Suite D, Alpharetta, GA 30005</w:t>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pPr>
            <w:r>
              <w:rPr/>
              <w:t>Aerospace &amp; Defense Manufacturing</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pPr>
            <w:r>
              <w:rPr/>
              <w:t>First Lien Debt (ag)</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+ 6.00%) / (1.00%)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9.99%/0.00%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2/12/2021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8/11/2027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28,435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28,392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28,435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pPr>
            <w:r>
              <w:rPr/>
              <w:t>Common Equity (12,035 units)</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8/25/2021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pPr>
            <w:r>
              <w:rPr/>
              <w:t>Common Equity (38,493 units)</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3.5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12/16/2022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2,609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pPr>
            <w:r>
              <w:rPr/>
              <w:t>Common Equity (6,783 units)</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0.7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7/10/2023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1,053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pPr>
            <w:r>
              <w:rPr/>
              <w:t>Common Equity (4,663 units)</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9/16/2022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pPr>
            <w:r>
              <w:rPr/>
              <w:t>Common Equity (21,689 units)</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5/22/2024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2,195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3,363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35,558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33,002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715" w:type="dxa"/>
        <w:jc w:val="center"/>
        <w:tblInd w:w="0" w:type="dxa"/>
        <w:tblLayout w:type="fixed"/>
        <w:tblCellMar>
          <w:top w:w="0" w:type="dxa"/>
          <w:left w:w="0" w:type="dxa"/>
          <w:bottom w:w="0" w:type="dxa"/>
          <w:right w:w="0" w:type="dxa"/>
        </w:tblCellMar>
      </w:tblPr>
      <w:tblGrid>
        <w:gridCol w:w="1640"/>
        <w:gridCol w:w="60"/>
        <w:gridCol w:w="3155"/>
        <w:gridCol w:w="60"/>
        <w:gridCol w:w="3185"/>
        <w:gridCol w:w="60"/>
        <w:gridCol w:w="237"/>
        <w:gridCol w:w="1268"/>
        <w:gridCol w:w="275"/>
        <w:gridCol w:w="60"/>
        <w:gridCol w:w="2120"/>
        <w:gridCol w:w="60"/>
        <w:gridCol w:w="60"/>
        <w:gridCol w:w="1430"/>
        <w:gridCol w:w="60"/>
        <w:gridCol w:w="60"/>
        <w:gridCol w:w="60"/>
        <w:gridCol w:w="1100"/>
        <w:gridCol w:w="60"/>
        <w:gridCol w:w="60"/>
        <w:gridCol w:w="60"/>
        <w:gridCol w:w="1100"/>
        <w:gridCol w:w="60"/>
        <w:gridCol w:w="60"/>
        <w:gridCol w:w="77"/>
        <w:gridCol w:w="873"/>
        <w:gridCol w:w="60"/>
        <w:gridCol w:w="60"/>
        <w:gridCol w:w="60"/>
        <w:gridCol w:w="680"/>
        <w:gridCol w:w="155"/>
        <w:gridCol w:w="60"/>
        <w:gridCol w:w="61"/>
        <w:gridCol w:w="814"/>
        <w:gridCol w:w="60"/>
        <w:gridCol w:w="60"/>
        <w:gridCol w:w="200"/>
        <w:gridCol w:w="870"/>
        <w:gridCol w:w="275"/>
      </w:tblGrid>
      <w:tr>
        <w:trPr/>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640"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31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3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1640"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Steward Holding LLC (dba Steward</w:t>
            </w:r>
            <w:r>
              <w:rPr>
                <w:rFonts w:ascii="Times New Roman" w:hAnsi="Times New Roman"/>
                <w:sz w:val="14"/>
              </w:rPr>
              <w:t xml:space="preserve"> </w:t>
            </w:r>
            <w:r>
              <w:rPr>
                <w:rFonts w:ascii="Times New Roman" w:hAnsi="Times New Roman"/>
                <w:i/>
                <w:sz w:val="14"/>
              </w:rPr>
              <w:t xml:space="preserve">Advanced Materials) </w:t>
            </w:r>
            <w:r>
              <w:rPr>
                <w:rFonts w:ascii="Times New Roman" w:hAnsi="Times New Roman"/>
                <w:sz w:val="14"/>
              </w:rPr>
              <w:br/>
              <w:t>1245 E 38th St.,</w:t>
              <w:br/>
              <w:t>Chattanooga, TN 37407</w:t>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Aerospace &amp; Defense Manufacturing</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Common Equity</w:t>
              <w:br/>
              <w:t>(1,000,000 units)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5.8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11/12/2015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6,083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640"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Suited Connector LLC </w:t>
            </w:r>
            <w:r>
              <w:rPr>
                <w:rFonts w:ascii="Times New Roman" w:hAnsi="Times New Roman"/>
                <w:sz w:val="14"/>
              </w:rPr>
              <w:br/>
              <w:t>8123 Interport Blvd.,</w:t>
              <w:br/>
              <w:t>Englewood, CO 80112</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Preferred Equity</w:t>
              <w:br/>
              <w:t>(12,000,000 units) (h)</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3/31/2026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2,016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1,900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Common Equity</w:t>
              <w:br/>
              <w:t>(15,000,000 units) (h)</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9.0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3/31/2026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2,016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1,900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b/>
                <w:sz w:val="14"/>
              </w:rPr>
            </w:pPr>
            <w:r>
              <w:rPr>
                <w:rFonts w:ascii="Times New Roman" w:hAnsi="Times New Roman"/>
                <w:b/>
                <w:sz w:val="14"/>
              </w:rPr>
              <w:t>Total Affiliate Investments</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77,086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125,329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shd w:fill="CCEEFF" w:val="clear"/>
          </w:tcPr>
          <w:p>
            <w:pPr>
              <w:pStyle w:val="TableContents"/>
              <w:bidi w:val="0"/>
              <w:spacing w:before="0" w:after="0"/>
              <w:jc w:val="left"/>
              <w:rPr>
                <w:rFonts w:ascii="Times New Roman" w:hAnsi="Times New Roman"/>
                <w:b/>
                <w:sz w:val="14"/>
                <w:u w:val="single"/>
              </w:rPr>
            </w:pPr>
            <w:r>
              <w:rPr>
                <w:rFonts w:ascii="Times New Roman" w:hAnsi="Times New Roman"/>
                <w:b/>
                <w:sz w:val="14"/>
                <w:u w:val="single"/>
              </w:rPr>
              <w:t>Non-control/Non-affiliate Investments</w:t>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14"/>
              </w:rPr>
            </w:pPr>
            <w:r>
              <w:rPr>
                <w:rFonts w:ascii="Times New Roman" w:hAnsi="Times New Roman"/>
                <w:sz w:val="14"/>
              </w:rPr>
              <w:t>2KDirect, Inc. (dba iPromote)</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14"/>
              </w:rPr>
            </w:pPr>
            <w:r>
              <w:rPr>
                <w:rFonts w:ascii="Times New Roman" w:hAnsi="Times New Roman"/>
                <w:sz w:val="14"/>
              </w:rPr>
              <w:t>3000 Broad St; Suite 115,</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First Lien Debt (at)</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+ 8.00%) / (0.50%)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11.83%/0.00%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6/25/2021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9/30/2027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6,548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6,542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6,082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14"/>
              </w:rPr>
            </w:pPr>
            <w:r>
              <w:rPr>
                <w:rFonts w:ascii="Times New Roman" w:hAnsi="Times New Roman"/>
                <w:sz w:val="14"/>
              </w:rPr>
              <w:t>San Luis Obispo, CA 93401</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First Lien Debt (aa)</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+ 8.00%) / (0.50%)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8.08%/0.00%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7/30/2021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9/30/2027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1,696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1,679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Common Equity (1,000,000 units)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6/25/2021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9,238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7,761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r>
      <w:tr>
        <w:trPr/>
        <w:tc>
          <w:tcPr>
            <w:tcW w:w="1640"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301 Edison Holdings Inc. (dba LGG Industrial) </w:t>
            </w:r>
            <w:r>
              <w:rPr>
                <w:rFonts w:ascii="Times New Roman" w:hAnsi="Times New Roman"/>
                <w:sz w:val="14"/>
              </w:rPr>
              <w:br/>
              <w:t>650 Washington Road, Suite 500,</w:t>
              <w:br/>
              <w:t>Pittsburgh, PA 15228</w:t>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tcPr>
          <w:p>
            <w:pPr>
              <w:pStyle w:val="TableContents"/>
              <w:bidi w:val="0"/>
              <w:spacing w:before="0" w:after="283"/>
              <w:jc w:val="left"/>
              <w:rPr/>
            </w:pPr>
            <w:r>
              <w:rPr/>
              <w:t>Specialty Distribution</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First Lien Debt (j)</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11.75%/2.25%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11/14/2023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11/13/2028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11,886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11,809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11,623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Preferred Equity (518,135 units)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11/14/2023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12,809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12,623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640"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Acendre Midco, Inc. </w:t>
            </w:r>
            <w:r>
              <w:rPr>
                <w:rFonts w:ascii="Times New Roman" w:hAnsi="Times New Roman"/>
                <w:sz w:val="14"/>
              </w:rPr>
              <w:br/>
              <w:t>45 N Broad St., Office 316,</w:t>
              <w:br/>
              <w:t>Ridgewood, NJ 07450</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12.50%/1.25%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10/6/2021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5/8/2026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5,781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5,781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5,781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12.50%/1.25%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10/6/2021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5/8/2026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13,138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13,138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13,138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Revolving Loan (i)</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12.50%/1.25%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10/6/2021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5/8/2026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1,016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1,016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Common Equity (500,000 shares)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10/6/2021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Warrant (275,000 shares) (m)</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10/6/2021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Preferred Equity (77,016 shares)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9/26/2022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Preferred Equity (568,182 shares)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6/10/2025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21,022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20,964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r>
        <w:trPr/>
        <w:tc>
          <w:tcPr>
            <w:tcW w:w="1640"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Ad Info Parent, Inc. (dba MediaRadar) </w:t>
            </w:r>
            <w:r>
              <w:rPr>
                <w:rFonts w:ascii="Times New Roman" w:hAnsi="Times New Roman"/>
                <w:sz w:val="14"/>
              </w:rPr>
              <w:br/>
              <w:t>252 West 37th Street, New York, NY 10018</w:t>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First Lien Debt (j)</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+ 4.75%) / (1.00%)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8.48%/0.00%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9/16/2029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15,836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15,776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15,836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Revolving Loan ($1,442 unfunded commitment) (i)</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+ 4.75%) / (1.00%)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8.48%/0.00%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9/16/2029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Preferred Equity (1,250,000 units)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1,370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17,022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17,206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640"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Air Burners, Inc. </w:t>
            </w:r>
            <w:r>
              <w:rPr>
                <w:rFonts w:ascii="Times New Roman" w:hAnsi="Times New Roman"/>
                <w:sz w:val="14"/>
              </w:rPr>
              <w:br/>
              <w:t>4390 SW Cargo Way, Palm City, FL 34990</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Utility Equipment Manufacturing</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First Lien Debt (j)(ah)</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+ 5.00%)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8.69%/0.00%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12/8/2025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11/24/2030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6,400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6,333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6,400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Common Equity (817 units) ($200 unfunded commitment)</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11/24/2025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804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7,133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7,204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9315" w:type="dxa"/>
        <w:jc w:val="center"/>
        <w:tblInd w:w="0" w:type="dxa"/>
        <w:tblLayout w:type="fixed"/>
        <w:tblCellMar>
          <w:top w:w="0" w:type="dxa"/>
          <w:left w:w="0" w:type="dxa"/>
          <w:bottom w:w="0" w:type="dxa"/>
          <w:right w:w="0" w:type="dxa"/>
        </w:tblCellMar>
      </w:tblPr>
      <w:tblGrid>
        <w:gridCol w:w="1925"/>
        <w:gridCol w:w="60"/>
        <w:gridCol w:w="2915"/>
        <w:gridCol w:w="60"/>
        <w:gridCol w:w="2015"/>
        <w:gridCol w:w="60"/>
        <w:gridCol w:w="237"/>
        <w:gridCol w:w="1268"/>
        <w:gridCol w:w="275"/>
        <w:gridCol w:w="60"/>
        <w:gridCol w:w="2060"/>
        <w:gridCol w:w="60"/>
        <w:gridCol w:w="60"/>
        <w:gridCol w:w="1430"/>
        <w:gridCol w:w="60"/>
        <w:gridCol w:w="60"/>
        <w:gridCol w:w="60"/>
        <w:gridCol w:w="1100"/>
        <w:gridCol w:w="60"/>
        <w:gridCol w:w="60"/>
        <w:gridCol w:w="60"/>
        <w:gridCol w:w="980"/>
        <w:gridCol w:w="60"/>
        <w:gridCol w:w="60"/>
        <w:gridCol w:w="77"/>
        <w:gridCol w:w="873"/>
        <w:gridCol w:w="60"/>
        <w:gridCol w:w="60"/>
        <w:gridCol w:w="60"/>
        <w:gridCol w:w="680"/>
        <w:gridCol w:w="60"/>
        <w:gridCol w:w="60"/>
        <w:gridCol w:w="70"/>
        <w:gridCol w:w="805"/>
        <w:gridCol w:w="60"/>
        <w:gridCol w:w="60"/>
        <w:gridCol w:w="321"/>
        <w:gridCol w:w="749"/>
        <w:gridCol w:w="275"/>
      </w:tblGrid>
      <w:tr>
        <w:trPr/>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925"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29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20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192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Allredi, LLC (fka Marco Group International OpCo, LLC) </w:t>
            </w:r>
            <w:r>
              <w:rPr>
                <w:rFonts w:ascii="Times New Roman" w:hAnsi="Times New Roman"/>
                <w:sz w:val="14"/>
              </w:rPr>
              <w:br/>
              <w:t>3009 Pasadena Freeway Frontage Rd, #100, Pasadena, TX 77503</w:t>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center"/>
              <w:rPr/>
            </w:pPr>
            <w:r>
              <w:rPr/>
              <w:t>Industrial Cleaning &amp; Coatings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pPr>
            <w:r>
              <w:rPr/>
              <w:t>Second Lien Debt</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0.00%/15.00%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3/2/2020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9/30/2027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20,053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18,853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18,701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pPr>
            <w:r>
              <w:rPr/>
              <w:t>Common Equity (570,636 units) (h)</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7/21/2017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pPr>
            <w:r>
              <w:rPr/>
              <w:t>Common Equity (39,443 units) (h)</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11/24/2021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pPr>
            <w:r>
              <w:rPr/>
              <w:t>Common Equity (524,624units) (h)</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8/3/2023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19,557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18,701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r>
      <w:tr>
        <w:trPr/>
        <w:tc>
          <w:tcPr>
            <w:tcW w:w="1925" w:type="dxa"/>
            <w:vMerge w:val="restart"/>
            <w:tcBorders/>
          </w:tcPr>
          <w:p>
            <w:pPr>
              <w:pStyle w:val="TableContents"/>
              <w:bidi w:val="0"/>
              <w:spacing w:before="0" w:after="0"/>
              <w:jc w:val="left"/>
              <w:rPr>
                <w:rFonts w:ascii="Times New Roman" w:hAnsi="Times New Roman"/>
                <w:i/>
                <w:sz w:val="14"/>
              </w:rPr>
            </w:pPr>
            <w:r>
              <w:rPr>
                <w:rFonts w:ascii="Times New Roman" w:hAnsi="Times New Roman"/>
                <w:i/>
                <w:sz w:val="14"/>
              </w:rPr>
              <w:t>American AllWaste LLC (dba</w:t>
            </w:r>
          </w:p>
          <w:p>
            <w:pPr>
              <w:pStyle w:val="TableContents"/>
              <w:bidi w:val="0"/>
              <w:spacing w:before="0" w:after="20"/>
              <w:jc w:val="left"/>
              <w:rPr>
                <w:rFonts w:ascii="Times New Roman" w:hAnsi="Times New Roman"/>
                <w:sz w:val="14"/>
              </w:rPr>
            </w:pPr>
            <w:r>
              <w:rPr>
                <w:rFonts w:ascii="Times New Roman" w:hAnsi="Times New Roman"/>
                <w:i/>
                <w:sz w:val="14"/>
              </w:rPr>
              <w:t>WasteWater Transport Services) </w:t>
            </w:r>
            <w:r>
              <w:rPr>
                <w:rFonts w:ascii="Times New Roman" w:hAnsi="Times New Roman"/>
                <w:sz w:val="14"/>
              </w:rPr>
              <w:br/>
              <w:t>12141 Wickchester Ln., Suite  325,</w:t>
              <w:br/>
              <w:t>Houston, TX 77079</w:t>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pPr>
            <w:r>
              <w:rPr/>
              <w:t>Environmental Industries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10.00%/2.00%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3/27/2026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6/30/2027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48,759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48,663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48,759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Preferred Equity (500 units) (h)</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5/31/2018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Preferred Equity (207 units) (h)</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8/6/2019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Preferred Equity (141 units) (h)</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11/2/2020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Preferred Equity (74 units) (h)</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12/29/2021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Preferred Equity (52 units) (h)</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11/27/2024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Preferred Equity (312 units) (h)</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Common Equity (1,405 units) (h)</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50,045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48,759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7</w:t>
            </w:r>
          </w:p>
        </w:tc>
        <w:tc>
          <w:tcPr>
            <w:tcW w:w="275" w:type="dxa"/>
            <w:tcBorders/>
            <w:vAlign w:val="bottom"/>
          </w:tcPr>
          <w:p>
            <w:pPr>
              <w:pStyle w:val="TableContents"/>
              <w:bidi w:val="0"/>
              <w:spacing w:before="0" w:after="283"/>
              <w:jc w:val="left"/>
              <w:rPr/>
            </w:pPr>
            <w:r>
              <w:rPr/>
              <w:t>% </w:t>
            </w:r>
          </w:p>
        </w:tc>
      </w:tr>
      <w:tr>
        <w:trPr/>
        <w:tc>
          <w:tcPr>
            <w:tcW w:w="192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AmeriWater, LLC </w:t>
            </w:r>
            <w:r>
              <w:rPr>
                <w:rFonts w:ascii="Times New Roman" w:hAnsi="Times New Roman"/>
                <w:sz w:val="14"/>
              </w:rPr>
              <w:br/>
              <w:t>3354 Stop 8 Rd.,</w:t>
              <w:br/>
              <w:t>Dayton, OH 45414</w:t>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pPr>
            <w:r>
              <w:rPr/>
              <w:t>Component Manufacturing</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pPr>
            <w:r>
              <w:rPr/>
              <w:t>First Lien Debt (af)</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right"/>
              <w:rPr/>
            </w:pPr>
            <w:r>
              <w:rPr/>
              <w:t>(S + 6.25%) /(1.00%)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9.98%/0.00%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7/8/2022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7/8/2027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6,656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6,646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6,656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pPr>
            <w:r>
              <w:rPr/>
              <w:t>Common Equity (1,000 units) (h)</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3.4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7/8/2022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7,646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8,856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92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AMOpportunities, Inc. </w:t>
            </w:r>
            <w:r>
              <w:rPr>
                <w:rFonts w:ascii="Times New Roman" w:hAnsi="Times New Roman"/>
                <w:sz w:val="14"/>
              </w:rPr>
              <w:br/>
              <w:t>444 N. Wells Street, Suite 601,</w:t>
              <w:br/>
              <w:t>Chicago, IL 60654</w:t>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pPr>
            <w:r>
              <w:rPr/>
              <w:t>Healthcare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13.50%/0.50%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3/12/2029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11,491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11,445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11,491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Preferred Equity (830,752 shares)</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3/17/2025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829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Preferred Equity (70,413 shares)</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5/4/2026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12,346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12,391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92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Acorn VMS Holdco, LP (dba Oakline Holdings) </w:t>
            </w:r>
            <w:r>
              <w:rPr>
                <w:rFonts w:ascii="Times New Roman" w:hAnsi="Times New Roman"/>
                <w:sz w:val="14"/>
              </w:rPr>
              <w:br/>
              <w:t>11 Arlington St., Boston, MA 02116</w:t>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pPr>
            <w:r>
              <w:rPr/>
              <w:t>First Lien Debt</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right"/>
              <w:rPr/>
            </w:pPr>
            <w:r>
              <w:rPr/>
              <w:t>(S + 6.75%)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10.39%/0.00%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5/22/2026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5/22/2031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11,200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11,155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11,155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pPr>
            <w:r>
              <w:rPr/>
              <w:t>Revolving Loan ($400 unfunded commitment) (i)</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right"/>
              <w:rPr/>
            </w:pPr>
            <w:r>
              <w:rPr/>
              <w:t>(S + 6.75%)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10.39%/0.00%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5/22/2026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5/22/2031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11,155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11,155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92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AOM Intermediate Holdco, LLC (dba AllOver Media) </w:t>
            </w:r>
            <w:r>
              <w:rPr>
                <w:rFonts w:ascii="Times New Roman" w:hAnsi="Times New Roman"/>
                <w:sz w:val="14"/>
              </w:rPr>
              <w:br/>
              <w:t>16355 36th Ave. Suite 700, Minneapolis, MN 55446</w:t>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Common Equity (1,232 units) (h)</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2/1/2022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1,372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1,720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92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APM Intermediate Holdings, LLC (dba Artistic Paver Manufacturing, Inc.) </w:t>
            </w:r>
            <w:r>
              <w:rPr>
                <w:rFonts w:ascii="Times New Roman" w:hAnsi="Times New Roman"/>
                <w:sz w:val="14"/>
              </w:rPr>
              <w:br/>
              <w:t>N.E. 179th Street, North Miami Beach, FL 33162</w:t>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pPr>
            <w:r>
              <w:rPr/>
              <w:t>Building Products Manufacturing</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pPr>
            <w:r>
              <w:rPr/>
              <w:t>First Lien Debt (ai)</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right"/>
              <w:rPr/>
            </w:pPr>
            <w:r>
              <w:rPr/>
              <w:t>(S + 7.00%)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10.69%/0.00%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11/8/2022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11/8/2027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18,078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18,053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18,078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pPr>
            <w:r>
              <w:rPr/>
              <w:t>Subordinated Debt</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10.00%/5.00%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12/19/2025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2/8/2028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2,568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2,557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2,376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pPr>
            <w:r>
              <w:rPr/>
              <w:t>Common Equity (1,200 units) (h)</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11/8/2022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1,065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21,810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21,519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8270" w:type="dxa"/>
        <w:jc w:val="center"/>
        <w:tblInd w:w="0" w:type="dxa"/>
        <w:tblLayout w:type="fixed"/>
        <w:tblCellMar>
          <w:top w:w="0" w:type="dxa"/>
          <w:left w:w="0" w:type="dxa"/>
          <w:bottom w:w="0" w:type="dxa"/>
          <w:right w:w="0" w:type="dxa"/>
        </w:tblCellMar>
      </w:tblPr>
      <w:tblGrid>
        <w:gridCol w:w="1595"/>
        <w:gridCol w:w="60"/>
        <w:gridCol w:w="2780"/>
        <w:gridCol w:w="60"/>
        <w:gridCol w:w="1160"/>
        <w:gridCol w:w="60"/>
        <w:gridCol w:w="237"/>
        <w:gridCol w:w="1268"/>
        <w:gridCol w:w="275"/>
        <w:gridCol w:w="60"/>
        <w:gridCol w:w="2120"/>
        <w:gridCol w:w="60"/>
        <w:gridCol w:w="60"/>
        <w:gridCol w:w="1430"/>
        <w:gridCol w:w="60"/>
        <w:gridCol w:w="60"/>
        <w:gridCol w:w="60"/>
        <w:gridCol w:w="1100"/>
        <w:gridCol w:w="60"/>
        <w:gridCol w:w="60"/>
        <w:gridCol w:w="60"/>
        <w:gridCol w:w="1100"/>
        <w:gridCol w:w="60"/>
        <w:gridCol w:w="60"/>
        <w:gridCol w:w="77"/>
        <w:gridCol w:w="873"/>
        <w:gridCol w:w="60"/>
        <w:gridCol w:w="60"/>
        <w:gridCol w:w="60"/>
        <w:gridCol w:w="680"/>
        <w:gridCol w:w="155"/>
        <w:gridCol w:w="60"/>
        <w:gridCol w:w="70"/>
        <w:gridCol w:w="805"/>
        <w:gridCol w:w="60"/>
        <w:gridCol w:w="60"/>
        <w:gridCol w:w="321"/>
        <w:gridCol w:w="749"/>
        <w:gridCol w:w="27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27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11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Auto CRM LLC (dba Dealer Holdings) </w:t>
            </w:r>
            <w:r>
              <w:rPr>
                <w:rFonts w:ascii="Times New Roman" w:hAnsi="Times New Roman"/>
                <w:sz w:val="14"/>
              </w:rPr>
              <w:br/>
              <w:t>1115 Gunn Hwy #101, Odessa, FL 33556</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Subordinated Debt</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0.00%/14.50%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10/1/2021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12/31/2028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975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Subordinated Debt</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0.00%/14.50%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12/31/2028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2,143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2,142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2,143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(253 units)</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10/1/2021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3,369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3,118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Axis Medical Technologies LLC (dba MoveMedical) </w:t>
            </w:r>
            <w:r>
              <w:rPr>
                <w:rFonts w:ascii="Times New Roman" w:hAnsi="Times New Roman"/>
                <w:sz w:val="14"/>
              </w:rPr>
              <w:br/>
              <w:t>4660 La Jolla Village Drive, Suite 100, San Diego, CA 92122</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+ 6.50%)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10.19%/0.00%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10/24/2024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10/24/2029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13,600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13,555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13,600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Revolving Loan ($800 unfunded commitment) (x)</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+ 6.50%)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10.19%/0.00%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10/24/2024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10/24/2029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Preferred Equity (1,200,000 units)</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10/25/2024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1,307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14,700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14,907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Bad Boy Mowers JV Acquisition, LLC </w:t>
            </w:r>
            <w:r>
              <w:rPr>
                <w:rFonts w:ascii="Times New Roman" w:hAnsi="Times New Roman"/>
                <w:sz w:val="14"/>
              </w:rPr>
              <w:br/>
              <w:t>102 Industrial Drive, Batesville, AR 72501</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pPr>
            <w:r>
              <w:rPr/>
              <w:t>Consumer Products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+ 5.25%) /(0.75%)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8.95%/0.00%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11/9/2029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9,929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9,887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9,929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Preferred Equity (13,000 units)</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11/9/2023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1,300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2,668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11,187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12,597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Barefoot Mosquito and Pest Control, LLC </w:t>
            </w:r>
            <w:r>
              <w:rPr>
                <w:rFonts w:ascii="Times New Roman" w:hAnsi="Times New Roman"/>
                <w:sz w:val="14"/>
              </w:rPr>
              <w:t>8060 US-290, Austin, TX 78736</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pPr>
            <w:r>
              <w:rPr/>
              <w:t>Consumer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 (k)(s)</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+ 4.00%)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7.69%/2.00%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11/27/2024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12/22/2029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33,043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33,023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29,078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 (ba)</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+ 4.00%)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6.94%/0.00%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7/14/2025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12/22/2029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Common Equity (6,027 units) (h)</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12/22/2023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Preferred Equity (20,137 units) (h)</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12/22/2023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Preferred Equity (1,370 units) (h)</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2/18/2026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35,191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29,723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BCM One Group Holdings, Inc. </w:t>
            </w:r>
            <w:r>
              <w:rPr>
                <w:rFonts w:ascii="Times New Roman" w:hAnsi="Times New Roman"/>
                <w:sz w:val="14"/>
              </w:rPr>
              <w:br/>
              <w:t>295 Madison Avenue, 5th Floor, New York, NY 10017</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Subordinated Debt</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11.75%/0.00%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11/17/2021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11/17/2028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17,667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17,602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17,668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Bedford Precision Parts LLC </w:t>
            </w:r>
            <w:r>
              <w:rPr>
                <w:rFonts w:ascii="Times New Roman" w:hAnsi="Times New Roman"/>
                <w:sz w:val="14"/>
              </w:rPr>
              <w:br/>
              <w:t>290 Adams St., Bedford Hills, NY 10507</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pPr>
            <w:r>
              <w:rPr/>
              <w:t>Specialty Distribution</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Common Equity (500,000 units) (h)</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3/12/2019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BPCP Dcom, Inc. </w:t>
            </w:r>
            <w:r>
              <w:rPr>
                <w:rFonts w:ascii="Times New Roman" w:hAnsi="Times New Roman"/>
                <w:sz w:val="14"/>
              </w:rPr>
              <w:br/>
              <w:t>830 Canterbury Rd, Westlake, OH 44145</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pPr>
            <w:r>
              <w:rPr/>
              <w:t>Business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First Lien Debt ($9,750 unfunded commitment)</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+ 4.75%)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6/17/2026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6/17/2032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Bobcat of Connecticut, LLC </w:t>
            </w:r>
            <w:r>
              <w:rPr>
                <w:rFonts w:ascii="Times New Roman" w:hAnsi="Times New Roman"/>
                <w:sz w:val="14"/>
              </w:rPr>
              <w:br/>
              <w:t>54 Alna Lane, East Hartford, CT 06108</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pPr>
            <w:r>
              <w:rPr/>
              <w:t>Specialty Distribution</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 (bk)</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+ 5.75%)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9.44%/0.00%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10/1/2025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10/1/2030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22,500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22,365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22,500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Common Equity (1,065,791 LP Units) ($184 unfunded commitment)</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10/1/2025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23,431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23,653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Brightmore Brands LLC </w:t>
            </w:r>
            <w:r>
              <w:rPr>
                <w:rFonts w:ascii="Times New Roman" w:hAnsi="Times New Roman"/>
                <w:sz w:val="14"/>
              </w:rPr>
              <w:br/>
              <w:t>7949 E Acoma Dr, Ste 100, Scottsdale, AZ 85260</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pPr>
            <w:r>
              <w:rPr/>
              <w:t>Retail</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First Lien Debt (j)(al)</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+ 5.38%) / (1.50%)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9.11%/0.00%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9/13/2022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9/9/2029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23,529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23,307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23,529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(1,000 units)</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9/13/2022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1,560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(371 units)</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9/9/2024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714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25,020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25,803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695" w:type="dxa"/>
        <w:jc w:val="center"/>
        <w:tblInd w:w="0" w:type="dxa"/>
        <w:tblLayout w:type="fixed"/>
        <w:tblCellMar>
          <w:top w:w="0" w:type="dxa"/>
          <w:left w:w="0" w:type="dxa"/>
          <w:bottom w:w="0" w:type="dxa"/>
          <w:right w:w="0" w:type="dxa"/>
        </w:tblCellMar>
      </w:tblPr>
      <w:tblGrid>
        <w:gridCol w:w="1595"/>
        <w:gridCol w:w="60"/>
        <w:gridCol w:w="3155"/>
        <w:gridCol w:w="60"/>
        <w:gridCol w:w="3185"/>
        <w:gridCol w:w="60"/>
        <w:gridCol w:w="237"/>
        <w:gridCol w:w="1268"/>
        <w:gridCol w:w="275"/>
        <w:gridCol w:w="60"/>
        <w:gridCol w:w="2120"/>
        <w:gridCol w:w="60"/>
        <w:gridCol w:w="60"/>
        <w:gridCol w:w="1430"/>
        <w:gridCol w:w="60"/>
        <w:gridCol w:w="60"/>
        <w:gridCol w:w="60"/>
        <w:gridCol w:w="1100"/>
        <w:gridCol w:w="60"/>
        <w:gridCol w:w="60"/>
        <w:gridCol w:w="60"/>
        <w:gridCol w:w="1100"/>
        <w:gridCol w:w="60"/>
        <w:gridCol w:w="60"/>
        <w:gridCol w:w="77"/>
        <w:gridCol w:w="873"/>
        <w:gridCol w:w="60"/>
        <w:gridCol w:w="60"/>
        <w:gridCol w:w="60"/>
        <w:gridCol w:w="800"/>
        <w:gridCol w:w="60"/>
        <w:gridCol w:w="60"/>
        <w:gridCol w:w="70"/>
        <w:gridCol w:w="805"/>
        <w:gridCol w:w="60"/>
        <w:gridCol w:w="60"/>
        <w:gridCol w:w="321"/>
        <w:gridCol w:w="749"/>
        <w:gridCol w:w="27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31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3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Cardback Intermediate, LLC (dba Chargeback Gurus) </w:t>
            </w:r>
            <w:r>
              <w:rPr>
                <w:rFonts w:ascii="Times New Roman" w:hAnsi="Times New Roman"/>
                <w:sz w:val="14"/>
              </w:rPr>
              <w:br/>
              <w:t>8951 Collin McKinney Pkwy, Suite 1001-1002, McKinney, TX 75070</w:t>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First Lien Debt (j)(bl)</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+ 5.25%) / (0.75%)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8.93%/0.00%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12/16/2025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12/16/2030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14,126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14,042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14,126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Common Equity (495 shares)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8/10/2021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Preferred Equity (495 shares)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8/10/2021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14,132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14,664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20"/>
              <w:jc w:val="left"/>
              <w:rPr>
                <w:rFonts w:ascii="Times New Roman" w:hAnsi="Times New Roman"/>
                <w:sz w:val="14"/>
              </w:rPr>
            </w:pPr>
            <w:r>
              <w:rPr>
                <w:rFonts w:ascii="Times New Roman" w:hAnsi="Times New Roman"/>
                <w:i/>
                <w:sz w:val="14"/>
              </w:rPr>
              <w:t xml:space="preserve">Choice Technology Solutions, LLC (dba Choice Merchant Solutions, LLC) (n) </w:t>
            </w:r>
            <w:r>
              <w:rPr>
                <w:rFonts w:ascii="Times New Roman" w:hAnsi="Times New Roman"/>
                <w:sz w:val="14"/>
              </w:rPr>
              <w:br/>
              <w:t>10 Columbus Blvd, 6th Floor, Hartford, CT 06106</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Preferred Equity (500,000 units) (h)</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8/21/2023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CIH Intermediate, LLC (n) </w:t>
            </w:r>
            <w:r>
              <w:rPr>
                <w:rFonts w:ascii="Times New Roman" w:hAnsi="Times New Roman"/>
                <w:sz w:val="14"/>
              </w:rPr>
              <w:br/>
              <w:t>120 South LaSalle Street Suite 2200, Chicago, IL 60603</w:t>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Business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Common Equity (563 shares)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3/3/2022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Preferred Equity (563 shares)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3/3/2022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Cleanova Topco Limited </w:t>
            </w:r>
            <w:r>
              <w:rPr>
                <w:rFonts w:ascii="Times New Roman" w:hAnsi="Times New Roman"/>
                <w:sz w:val="14"/>
              </w:rPr>
              <w:br/>
              <w:t>1201 Riverfront Parkway, Unit A, Chattanooga, TN 37402</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Component Manufacturing</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Preferred Equity (746,893shares)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Preferred Equity (373,447shares)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Common Equity (113,166 shares)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CRS Solutions Holdings, LLC (dba CRS Texas) </w:t>
            </w:r>
            <w:r>
              <w:rPr>
                <w:rFonts w:ascii="Times New Roman" w:hAnsi="Times New Roman"/>
                <w:sz w:val="14"/>
              </w:rPr>
              <w:br/>
              <w:t>4501 S. Pinemont Dr., Suite 108, Houston, TX 77041</w:t>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Business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Common Equity (574,929 units) (h)</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6/28/2022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CTM Group, Inc. (dba Venuplus, Inc.) </w:t>
            </w:r>
            <w:r>
              <w:rPr>
                <w:rFonts w:ascii="Times New Roman" w:hAnsi="Times New Roman"/>
                <w:sz w:val="14"/>
              </w:rPr>
              <w:br/>
              <w:t>200 W Sand Lake Rd #800, Orlando, FL 32809</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Business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+ 6.75%) / (1.00%)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10.49%/0.75%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2/28/2023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11/30/2026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8,717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8,693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8,713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+ 6.75%) / (1.00%)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10.49%/0.75%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1/28/2026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11/30/2026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Subordinated Debt</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7.75%/6.50%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2/28/2023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11/30/2027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2,654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2,644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2,506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Common Equity (400,000 units)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2/28/2023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11,860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11,343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Customer Expressions Corp (dba Case IQ) (aq) </w:t>
            </w:r>
            <w:r>
              <w:rPr>
                <w:rFonts w:ascii="Times New Roman" w:hAnsi="Times New Roman"/>
                <w:sz w:val="14"/>
              </w:rPr>
              <w:br/>
              <w:t>300 March Rd, Suite 501, Ottawa, ON K2K 2E2 Canada</w:t>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First Lien Debt (bc)(ao)</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+ 5.00%) / (1.00%)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8.88%/0.50%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1/6/2025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4/15/2029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15,283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15,209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15,283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Common Equity (502,894 units) (ao)</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1/6/2025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15,980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16,114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Dataguise, Inc. </w:t>
            </w:r>
            <w:r>
              <w:rPr>
                <w:rFonts w:ascii="Times New Roman" w:hAnsi="Times New Roman"/>
                <w:sz w:val="14"/>
              </w:rPr>
              <w:br/>
              <w:t>39650 Liberty St Suite 400, Fremont, CA 94538</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Common Equity (909 shares)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12/31/2020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1,384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Dealerbuilt Acquisition, LLC </w:t>
            </w:r>
            <w:r>
              <w:rPr>
                <w:rFonts w:ascii="Times New Roman" w:hAnsi="Times New Roman"/>
                <w:sz w:val="14"/>
              </w:rPr>
              <w:br/>
              <w:t>1321 Upland Dr., PMB 22449, Houston, TX 77043</w:t>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First Lien Debt (k)</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11.00%/2.00%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5/29/2026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4/30/2029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25,046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24,864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24,864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Common Equity (1,038 Units) (h)</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7/21/2023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Preferred Equity (1,038 Units) (h)</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7/21/2023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925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r>
              <w:rPr/>
              <w:t>25,902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25,789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8885" w:type="dxa"/>
        <w:jc w:val="center"/>
        <w:tblInd w:w="0" w:type="dxa"/>
        <w:tblLayout w:type="fixed"/>
        <w:tblCellMar>
          <w:top w:w="0" w:type="dxa"/>
          <w:left w:w="0" w:type="dxa"/>
          <w:bottom w:w="0" w:type="dxa"/>
          <w:right w:w="0" w:type="dxa"/>
        </w:tblCellMar>
      </w:tblPr>
      <w:tblGrid>
        <w:gridCol w:w="1595"/>
        <w:gridCol w:w="60"/>
        <w:gridCol w:w="3020"/>
        <w:gridCol w:w="60"/>
        <w:gridCol w:w="1415"/>
        <w:gridCol w:w="60"/>
        <w:gridCol w:w="237"/>
        <w:gridCol w:w="1268"/>
        <w:gridCol w:w="275"/>
        <w:gridCol w:w="60"/>
        <w:gridCol w:w="2120"/>
        <w:gridCol w:w="60"/>
        <w:gridCol w:w="60"/>
        <w:gridCol w:w="1430"/>
        <w:gridCol w:w="60"/>
        <w:gridCol w:w="60"/>
        <w:gridCol w:w="60"/>
        <w:gridCol w:w="1100"/>
        <w:gridCol w:w="60"/>
        <w:gridCol w:w="60"/>
        <w:gridCol w:w="60"/>
        <w:gridCol w:w="1100"/>
        <w:gridCol w:w="60"/>
        <w:gridCol w:w="60"/>
        <w:gridCol w:w="77"/>
        <w:gridCol w:w="873"/>
        <w:gridCol w:w="60"/>
        <w:gridCol w:w="60"/>
        <w:gridCol w:w="60"/>
        <w:gridCol w:w="800"/>
        <w:gridCol w:w="155"/>
        <w:gridCol w:w="60"/>
        <w:gridCol w:w="70"/>
        <w:gridCol w:w="805"/>
        <w:gridCol w:w="60"/>
        <w:gridCol w:w="60"/>
        <w:gridCol w:w="321"/>
        <w:gridCol w:w="749"/>
        <w:gridCol w:w="27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30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14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Detechtion Holdings, LLC </w:t>
            </w:r>
            <w:r>
              <w:rPr>
                <w:rFonts w:ascii="Times New Roman" w:hAnsi="Times New Roman"/>
                <w:sz w:val="14"/>
              </w:rPr>
              <w:br/>
              <w:t>2700 Post Oak Blvd, Suite 700, Houston, TX 77056</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+ 6.25%) / (2.25%)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9.94%/2.00%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6/21/2023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6/21/2028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28,037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27,971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28,037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Revolving Loan ($1,000 unfunded commitment) (w)</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+ 8.25%) / (2.25%)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11.94%/0.00%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7/12/2024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6/21/2028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Subordinated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0.00%/14.00%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6/21/2023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6/21/2028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3,052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3,046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3,052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Common Equity (601,532 units)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6/21/2023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31,616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31,336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Diversified Search LLC </w:t>
            </w:r>
            <w:r>
              <w:rPr>
                <w:rFonts w:ascii="Times New Roman" w:hAnsi="Times New Roman"/>
                <w:sz w:val="14"/>
              </w:rPr>
              <w:br/>
              <w:t>2005 Market St., Philadelphia, PA 19103</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Business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(j)(r)</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+ 7.50%) / (1.00%)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11.49%/0.00%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6/10/2019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12/23/2026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24,155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24,150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24,047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Common Equity (573 units) (h)</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2/7/2019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24,702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24,205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Donovan Food Brokerage, LLC </w:t>
            </w:r>
            <w:r>
              <w:rPr>
                <w:rFonts w:ascii="Times New Roman" w:hAnsi="Times New Roman"/>
                <w:sz w:val="14"/>
              </w:rPr>
              <w:br/>
              <w:t>231 Woodland Lake Dr, Cordova, TN 38018</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Business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 (ae)</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+ 6.00%)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9.70%/0.00%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2/23/2024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2/23/2029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24,209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24,128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24,209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Common Equity (706,822 units)</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2/23/2024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1,622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24,900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25,831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E-PlanSoft Buyer, LLC (dba e-PlanSoft) </w:t>
            </w:r>
            <w:r>
              <w:rPr>
                <w:rFonts w:ascii="Times New Roman" w:hAnsi="Times New Roman"/>
                <w:sz w:val="14"/>
              </w:rPr>
              <w:br/>
              <w:t>111 Pacifica Suite 100, Irvine, CA 92618</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11.00%/2.00%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6/30/2025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6/30/2030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8,164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8,130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8,164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Preferred Equity (1,500 units)</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6/27/2025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1,064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9,630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9,228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Enterprise Asset Management FM Purchaser, Inc. (dba MCIM) </w:t>
            </w:r>
            <w:r>
              <w:rPr>
                <w:rFonts w:ascii="Times New Roman" w:hAnsi="Times New Roman"/>
                <w:sz w:val="14"/>
              </w:rPr>
              <w:br/>
              <w:t>120 Eastshore Dr. Suite 100, Glen Allen, VA 23059</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 ($1,500 unfunded commitment)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+ 5.75%)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9.44%/2.00%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5/20/2024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5/20/2029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20,267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20,204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20,267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Common Equity (551,470 units)</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5/20/2024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1,002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20,954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21,269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Estex Manufacturing Company, LLC </w:t>
            </w:r>
            <w:r>
              <w:rPr>
                <w:rFonts w:ascii="Times New Roman" w:hAnsi="Times New Roman"/>
                <w:sz w:val="14"/>
              </w:rPr>
              <w:br/>
              <w:t>402 East Broad Street, Fairburn, GA 30213</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Component Manufacturing</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(j)(az)</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+ 5.00%)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8.62%/0.00%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10/1/2029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5,531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5,492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5,531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Common Equity (75,000 units)</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3.2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6,242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6,176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Fishbowl Solutions, LLC </w:t>
            </w:r>
            <w:r>
              <w:rPr>
                <w:rFonts w:ascii="Times New Roman" w:hAnsi="Times New Roman"/>
                <w:sz w:val="14"/>
              </w:rPr>
              <w:br/>
              <w:t>4500 Park Glen Road, Suite 200, Minneapolis, MN 55416</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+ 7.75%) / (1.00%)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11.69%/0.00%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3/25/2022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3/25/2027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22,894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r>
              <w:rPr/>
              <w:t>22,860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22,894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+ 7.75%) / (1.00%)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11.69%/0.00%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12/27/2024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3/25/2027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12,168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12,162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12,168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Revolving Loan ($3,000 unfunded commitment) (i)</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+ 7.75%) / (1.00%)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11.69%/0.00%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12/27/2024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3/25/2027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35,022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35,062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Fraser Steel LLC </w:t>
            </w:r>
            <w:r>
              <w:rPr>
                <w:rFonts w:ascii="Times New Roman" w:hAnsi="Times New Roman"/>
                <w:sz w:val="14"/>
              </w:rPr>
              <w:br/>
              <w:t>11915 53rd St. NE, Albertville, MN 55362</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Component Manufacturing</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(bm)</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+ 6.00%)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9.69%/0.00%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11/5/2025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13,357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13,302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13,357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Common Equity (500,000 units) (h)</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13,802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13,873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Fumex, LLC </w:t>
            </w:r>
            <w:r>
              <w:rPr>
                <w:rFonts w:ascii="Times New Roman" w:hAnsi="Times New Roman"/>
                <w:sz w:val="14"/>
              </w:rPr>
              <w:br/>
              <w:t>1150 Cobb International Place, Kennesaw, GA 30152</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Industrial Product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 (j)(ar)</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+ 4.75%) / (1.00%)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8.43%/0.00%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11/27/2024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11/27/2029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7,000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6,964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7,000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Common Equity (3,500 units)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11/27/2024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7,314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7,324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8415" w:type="dxa"/>
        <w:jc w:val="center"/>
        <w:tblInd w:w="0" w:type="dxa"/>
        <w:tblLayout w:type="fixed"/>
        <w:tblCellMar>
          <w:top w:w="0" w:type="dxa"/>
          <w:left w:w="0" w:type="dxa"/>
          <w:bottom w:w="0" w:type="dxa"/>
          <w:right w:w="0" w:type="dxa"/>
        </w:tblCellMar>
      </w:tblPr>
      <w:tblGrid>
        <w:gridCol w:w="1595"/>
        <w:gridCol w:w="60"/>
        <w:gridCol w:w="2780"/>
        <w:gridCol w:w="60"/>
        <w:gridCol w:w="1415"/>
        <w:gridCol w:w="60"/>
        <w:gridCol w:w="237"/>
        <w:gridCol w:w="1268"/>
        <w:gridCol w:w="275"/>
        <w:gridCol w:w="60"/>
        <w:gridCol w:w="2105"/>
        <w:gridCol w:w="60"/>
        <w:gridCol w:w="60"/>
        <w:gridCol w:w="1430"/>
        <w:gridCol w:w="60"/>
        <w:gridCol w:w="60"/>
        <w:gridCol w:w="60"/>
        <w:gridCol w:w="1100"/>
        <w:gridCol w:w="60"/>
        <w:gridCol w:w="60"/>
        <w:gridCol w:w="60"/>
        <w:gridCol w:w="1100"/>
        <w:gridCol w:w="60"/>
        <w:gridCol w:w="60"/>
        <w:gridCol w:w="77"/>
        <w:gridCol w:w="873"/>
        <w:gridCol w:w="60"/>
        <w:gridCol w:w="60"/>
        <w:gridCol w:w="60"/>
        <w:gridCol w:w="680"/>
        <w:gridCol w:w="60"/>
        <w:gridCol w:w="60"/>
        <w:gridCol w:w="70"/>
        <w:gridCol w:w="805"/>
        <w:gridCol w:w="60"/>
        <w:gridCol w:w="60"/>
        <w:gridCol w:w="321"/>
        <w:gridCol w:w="749"/>
        <w:gridCol w:w="27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27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14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Gap Intelligence Acquisition, LLC (dba OpenBrand) </w:t>
            </w:r>
            <w:r>
              <w:rPr>
                <w:rFonts w:ascii="Times New Roman" w:hAnsi="Times New Roman"/>
                <w:sz w:val="14"/>
              </w:rPr>
              <w:br/>
              <w:t>701 Island Ave., Suite 300, San Diego, CA 92101</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12.00%/0.00%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1/28/2026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1/28/2031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6,000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5,970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5,970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Preferred Equity (951 units)</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1/28/2026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Common Equity (951 units)</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1/28/2026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6,970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6,970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Global Plasma Solutions, Inc. </w:t>
            </w:r>
            <w:r>
              <w:rPr>
                <w:rFonts w:ascii="Times New Roman" w:hAnsi="Times New Roman"/>
                <w:sz w:val="14"/>
              </w:rPr>
              <w:br/>
              <w:t>3101 Yorkmont Road, Suite 1500, Charlotte, NC 28208</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Component Manufacturing</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(601 shares)</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2/1/2024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(1,705 shares)</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9/21/2018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GMP HVAC, LLC (dba McGee Heating</w:t>
            </w:r>
            <w:r>
              <w:rPr>
                <w:rFonts w:ascii="Times New Roman" w:hAnsi="Times New Roman"/>
                <w:sz w:val="14"/>
              </w:rPr>
              <w:t> </w:t>
            </w:r>
            <w:r>
              <w:rPr>
                <w:rFonts w:ascii="Times New Roman" w:hAnsi="Times New Roman"/>
                <w:i/>
                <w:sz w:val="14"/>
              </w:rPr>
              <w:t xml:space="preserve">&amp; Air, LLC) </w:t>
            </w:r>
            <w:r>
              <w:rPr>
                <w:rFonts w:ascii="Times New Roman" w:hAnsi="Times New Roman"/>
                <w:sz w:val="14"/>
              </w:rPr>
              <w:br/>
              <w:t>93 Old 29 Highway, Hartwell, GA 30643</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Utilities: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 (j)(bb)</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right"/>
              <w:rPr/>
            </w:pPr>
            <w:r>
              <w:rPr/>
              <w:t>(S + 6.50%)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10.19%/0.00%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12/8/2023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12/8/2028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29,460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29,276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29,460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 ($3,298 unfunded commitment) (i)(bb)</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right"/>
              <w:rPr/>
            </w:pPr>
            <w:r>
              <w:rPr/>
              <w:t>(S + 6.50%)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10.19%/0.00%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6/11/2026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12/8/2028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Preferred Equity (1,366 units) (h)</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12/8/2023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1,960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30,945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31,713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GPS Insight, Inc. </w:t>
            </w:r>
            <w:r>
              <w:rPr>
                <w:rFonts w:ascii="Times New Roman" w:hAnsi="Times New Roman"/>
                <w:sz w:val="14"/>
              </w:rPr>
              <w:br/>
              <w:t>7201 E Henkel Way, Suite 400, Scottsdale, AZ 85255</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First Lien Debt (av)</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right"/>
              <w:rPr/>
            </w:pPr>
            <w:r>
              <w:rPr/>
              <w:t>(S + 5.58%) / (1.00%)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9.39%/0.00%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10/17/2025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5/18/2028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23,080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22,996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23,080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Green Cubes Technology, LLC (dba Green Cubes) </w:t>
            </w:r>
            <w:r>
              <w:rPr>
                <w:rFonts w:ascii="Times New Roman" w:hAnsi="Times New Roman"/>
                <w:sz w:val="14"/>
              </w:rPr>
              <w:br/>
              <w:t>2121 East Boulevard, Kokomo. IN 46902</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Component Manufacturing</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 (j)(ax)</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right"/>
              <w:rPr/>
            </w:pPr>
            <w:r>
              <w:rPr/>
              <w:t>(S + 7.50%)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11.18%/0.00%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10/16/2024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10/16/2029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22,500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22,317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22,500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Haematologic Technologies, Inc. </w:t>
            </w:r>
            <w:r>
              <w:rPr>
                <w:rFonts w:ascii="Times New Roman" w:hAnsi="Times New Roman"/>
                <w:sz w:val="14"/>
              </w:rPr>
              <w:br/>
              <w:t>57 River Road, Essex Junction, VT 05452</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Healthcare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right"/>
              <w:rPr/>
            </w:pPr>
            <w:r>
              <w:rPr/>
              <w:t>(S + 5.25%) / (3.00%)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9.19%/3.00%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10/11/2019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9/30/2026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6,659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6,659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6,551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(630 units)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3.1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10/11/2019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(169 units)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6/26/2023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7,458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6,565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Hallmark Health Care Solutions, Inc. </w:t>
            </w:r>
            <w:r>
              <w:rPr>
                <w:rFonts w:ascii="Times New Roman" w:hAnsi="Times New Roman"/>
                <w:sz w:val="14"/>
              </w:rPr>
              <w:br/>
              <w:t>200 Motor Parkway, Suite D-26, Hauppauge, NY 11788</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0"/>
              <w:jc w:val="left"/>
              <w:rPr>
                <w:rFonts w:ascii="Times New Roman" w:hAnsi="Times New Roman"/>
                <w:sz w:val="14"/>
              </w:rPr>
            </w:pPr>
            <w:r>
              <w:rPr>
                <w:rFonts w:ascii="Times New Roman" w:hAnsi="Times New Roman"/>
                <w:sz w:val="14"/>
              </w:rPr>
              <w:t>Common Equity</w:t>
            </w:r>
          </w:p>
          <w:p>
            <w:pPr>
              <w:pStyle w:val="TableContents"/>
              <w:bidi w:val="0"/>
              <w:spacing w:before="0" w:after="20"/>
              <w:jc w:val="left"/>
              <w:rPr>
                <w:rFonts w:ascii="Times New Roman" w:hAnsi="Times New Roman"/>
                <w:sz w:val="14"/>
              </w:rPr>
            </w:pPr>
            <w:r>
              <w:rPr>
                <w:rFonts w:ascii="Times New Roman" w:hAnsi="Times New Roman"/>
                <w:sz w:val="14"/>
              </w:rPr>
              <w:t>(3,645,752 units)</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9/18/2023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3,646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Hub Acquisition Sub, LLC (dba Hub Pen) </w:t>
            </w:r>
            <w:r>
              <w:rPr>
                <w:rFonts w:ascii="Times New Roman" w:hAnsi="Times New Roman"/>
                <w:sz w:val="14"/>
              </w:rPr>
              <w:t>1525 Washington Street, Braintree, MA 02184</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Promotional products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Second Lien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11.50%/1.25%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4/25/2023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6/30/2028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25,279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25,141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25,279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(5,837 units)</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3/23/2016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(637 units)</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8/7/2023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Preferred Equity (868 units)</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10/16/2020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25,397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27,157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IBH Holdings, LLC (fka Inflexxion, Inc.) </w:t>
            </w:r>
            <w:r>
              <w:rPr>
                <w:rFonts w:ascii="Times New Roman" w:hAnsi="Times New Roman"/>
                <w:sz w:val="14"/>
              </w:rPr>
              <w:br/>
              <w:t>3070 Bristol ST #350, Costa Mesa, CA 92626</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Business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Common Equity (150,000 units)</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6/20/2018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320" w:type="dxa"/>
        <w:jc w:val="center"/>
        <w:tblInd w:w="0" w:type="dxa"/>
        <w:tblLayout w:type="fixed"/>
        <w:tblCellMar>
          <w:top w:w="0" w:type="dxa"/>
          <w:left w:w="0" w:type="dxa"/>
          <w:bottom w:w="0" w:type="dxa"/>
          <w:right w:w="0" w:type="dxa"/>
        </w:tblCellMar>
      </w:tblPr>
      <w:tblGrid>
        <w:gridCol w:w="1595"/>
        <w:gridCol w:w="60"/>
        <w:gridCol w:w="2780"/>
        <w:gridCol w:w="60"/>
        <w:gridCol w:w="3185"/>
        <w:gridCol w:w="60"/>
        <w:gridCol w:w="237"/>
        <w:gridCol w:w="1268"/>
        <w:gridCol w:w="275"/>
        <w:gridCol w:w="60"/>
        <w:gridCol w:w="2120"/>
        <w:gridCol w:w="60"/>
        <w:gridCol w:w="60"/>
        <w:gridCol w:w="1430"/>
        <w:gridCol w:w="60"/>
        <w:gridCol w:w="60"/>
        <w:gridCol w:w="60"/>
        <w:gridCol w:w="1100"/>
        <w:gridCol w:w="60"/>
        <w:gridCol w:w="60"/>
        <w:gridCol w:w="60"/>
        <w:gridCol w:w="1100"/>
        <w:gridCol w:w="60"/>
        <w:gridCol w:w="60"/>
        <w:gridCol w:w="77"/>
        <w:gridCol w:w="873"/>
        <w:gridCol w:w="60"/>
        <w:gridCol w:w="60"/>
        <w:gridCol w:w="60"/>
        <w:gridCol w:w="800"/>
        <w:gridCol w:w="60"/>
        <w:gridCol w:w="60"/>
        <w:gridCol w:w="61"/>
        <w:gridCol w:w="814"/>
        <w:gridCol w:w="60"/>
        <w:gridCol w:w="60"/>
        <w:gridCol w:w="321"/>
        <w:gridCol w:w="749"/>
        <w:gridCol w:w="27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27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3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InductiveHealth Informatics, LLC </w:t>
            </w:r>
            <w:r>
              <w:rPr>
                <w:rFonts w:ascii="Times New Roman" w:hAnsi="Times New Roman"/>
                <w:sz w:val="14"/>
              </w:rPr>
              <w:br/>
              <w:t>2870 Peachtree Rd NW, Atlanta, GA 30305</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 (j)(o)</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+ 6.75%)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10.43%/0.00%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1/12/2026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9/20/2028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35,808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35,705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35,808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Preferred Equity (367 units)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9/20/2024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Common Equity (1,361 units)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9/20/2024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35,884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36,032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Info Tech Operating, LLC (dba infotech) </w:t>
            </w:r>
            <w:r>
              <w:rPr>
                <w:rFonts w:ascii="Times New Roman" w:hAnsi="Times New Roman"/>
                <w:sz w:val="14"/>
              </w:rPr>
              <w:t>2970 SW 50th Terrace, Gainesville, FL 32608</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First Lien Debt (bd)</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+ 4.88%)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8.61%/0.00%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3/31/2025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3/31/2030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17,895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Informatics Holdings, Inc. (dba Wasp Barcode Technologies) </w:t>
            </w:r>
            <w:r>
              <w:rPr>
                <w:rFonts w:ascii="Times New Roman" w:hAnsi="Times New Roman"/>
                <w:sz w:val="14"/>
              </w:rPr>
              <w:br/>
              <w:t>14241 Dallas Parkway, Suite 1230, Dallas, TX 75254</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 (j)(v)</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+ 7.00%) / (2.50%)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10.69%/0.00%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3/7/2029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8,777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8,768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8,777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Preferred Equity (1,000,000 units)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3.7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3/7/2024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9,768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9,049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ISI PSG Holdings, LLC (dba Incentive Solutions, Inc.) </w:t>
            </w:r>
            <w:r>
              <w:rPr>
                <w:rFonts w:ascii="Times New Roman" w:hAnsi="Times New Roman"/>
                <w:sz w:val="14"/>
              </w:rPr>
              <w:br/>
              <w:t>4170 Ashford Dunwoody Rd, #250, Atlanta, GA 30319</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Business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First Lien Debt (j)(aj)</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+ 7.50%) / (0.50%)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11.29%/0.00%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4/5/2021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7/2/2026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9,150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9,150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9,150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First Lien Debt (an)</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+ 7.50%) / (0.50%)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7.79%/0.00%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6/30/2021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7/2/2026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9,443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9,443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9,442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(256,964 units) (h)</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4/5/2021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r>
              <w:rPr/>
              <w:t>19,093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r>
              <w:rPr/>
              <w:t>18,741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Janus Health Technologies, Inc. </w:t>
            </w:r>
            <w:r>
              <w:rPr>
                <w:rFonts w:ascii="Times New Roman" w:hAnsi="Times New Roman"/>
                <w:sz w:val="14"/>
              </w:rPr>
              <w:br/>
              <w:t>4850 Tamiami Trl N, Suite 301, Naples, FL 34103</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Preferred Equity (68,361 units)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822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Jumo Health, Inc. </w:t>
            </w:r>
            <w:r>
              <w:rPr>
                <w:rFonts w:ascii="Times New Roman" w:hAnsi="Times New Roman"/>
                <w:sz w:val="14"/>
              </w:rPr>
              <w:br/>
              <w:t>470 James Street, Suite 232, New Haven, CT 06513</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Healthcare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First Lien Debt (j)(aw)</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+ 6.00%)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9.68%/0.00%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8/16/2024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8/16/2029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5,541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5,496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5,541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(1,359 shares)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8/16/2024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Preferred Equity (1,359 shares)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8/16/2024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6,246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5,824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KG Lawn Care, Inc. (dba King Green) </w:t>
            </w:r>
            <w:r>
              <w:rPr>
                <w:rFonts w:ascii="Times New Roman" w:hAnsi="Times New Roman"/>
                <w:sz w:val="14"/>
              </w:rPr>
              <w:br/>
              <w:t>1631 Gibbs. Dr, Gainesville, GA 30507</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Consumer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 (bp)</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+ 5.50%)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1/23/2026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11/26/2030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9,950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Common Equity (62 Units)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11/26/2025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564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10,566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10,564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The Kyjen Company, LLC (dba Outward Hound) </w:t>
            </w:r>
            <w:r>
              <w:rPr>
                <w:rFonts w:ascii="Times New Roman" w:hAnsi="Times New Roman"/>
                <w:sz w:val="14"/>
              </w:rPr>
              <w:br/>
              <w:t>7337 S Revere Parkway, Centennial, CO 80112</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Consumer Products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(855 shares)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12/8/2017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Laboratory Testing, LLC </w:t>
            </w:r>
            <w:r>
              <w:rPr>
                <w:rFonts w:ascii="Times New Roman" w:hAnsi="Times New Roman"/>
                <w:sz w:val="14"/>
              </w:rPr>
              <w:br/>
              <w:t>2331 Topaz Drive, Hatfield, PA 19440</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Business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+ 5.00%)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8.69%/0.00%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4/15/2025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4/15/2030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9,534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9,497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9,534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Revolving Loan ($3,427 unfunded commitment) (i)</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+ 5.00%)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8.69%/0.00%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4/15/2025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4/15/2030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573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573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Common Equity (3,881 units) (h)</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4/15/2025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446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Preferred Equity (3,619 units) (h)</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4/15/2025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714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10,807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11,267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9270" w:type="dxa"/>
        <w:jc w:val="center"/>
        <w:tblInd w:w="0" w:type="dxa"/>
        <w:tblLayout w:type="fixed"/>
        <w:tblCellMar>
          <w:top w:w="0" w:type="dxa"/>
          <w:left w:w="0" w:type="dxa"/>
          <w:bottom w:w="0" w:type="dxa"/>
          <w:right w:w="0" w:type="dxa"/>
        </w:tblCellMar>
      </w:tblPr>
      <w:tblGrid>
        <w:gridCol w:w="1595"/>
        <w:gridCol w:w="60"/>
        <w:gridCol w:w="3020"/>
        <w:gridCol w:w="60"/>
        <w:gridCol w:w="1895"/>
        <w:gridCol w:w="60"/>
        <w:gridCol w:w="237"/>
        <w:gridCol w:w="1268"/>
        <w:gridCol w:w="275"/>
        <w:gridCol w:w="60"/>
        <w:gridCol w:w="2120"/>
        <w:gridCol w:w="60"/>
        <w:gridCol w:w="60"/>
        <w:gridCol w:w="1430"/>
        <w:gridCol w:w="60"/>
        <w:gridCol w:w="60"/>
        <w:gridCol w:w="60"/>
        <w:gridCol w:w="1100"/>
        <w:gridCol w:w="60"/>
        <w:gridCol w:w="60"/>
        <w:gridCol w:w="60"/>
        <w:gridCol w:w="1100"/>
        <w:gridCol w:w="60"/>
        <w:gridCol w:w="60"/>
        <w:gridCol w:w="77"/>
        <w:gridCol w:w="873"/>
        <w:gridCol w:w="60"/>
        <w:gridCol w:w="60"/>
        <w:gridCol w:w="60"/>
        <w:gridCol w:w="800"/>
        <w:gridCol w:w="60"/>
        <w:gridCol w:w="60"/>
        <w:gridCol w:w="61"/>
        <w:gridCol w:w="814"/>
        <w:gridCol w:w="60"/>
        <w:gridCol w:w="60"/>
        <w:gridCol w:w="321"/>
        <w:gridCol w:w="749"/>
        <w:gridCol w:w="27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30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18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Level Education Group, LLC (dba CE4Less) </w:t>
            </w:r>
            <w:r>
              <w:rPr>
                <w:rFonts w:ascii="Times New Roman" w:hAnsi="Times New Roman"/>
                <w:sz w:val="14"/>
              </w:rPr>
              <w:br/>
              <w:t>5414 W Daybreak Parkway C-4 #401, South Jordan, UT 84009</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pPr>
            <w:r>
              <w:rPr/>
              <w:t>Business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(ak)</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+ 5.25%)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9.19%/0.00%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9/30/2030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12,329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12,258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12,329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Common Equity (1,000,000 units)</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2,910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13,192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15,239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LifeSpan Biosciences, Inc. </w:t>
            </w:r>
            <w:r>
              <w:rPr>
                <w:rFonts w:ascii="Times New Roman" w:hAnsi="Times New Roman"/>
                <w:sz w:val="14"/>
              </w:rPr>
              <w:br/>
              <w:t>2 Shaker Rd Suites B001/B101, Shirley, MA 01464</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pPr>
            <w:r>
              <w:rPr/>
              <w:t>Healthcare Products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Subordinated Debt</w:t>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11.50%/0.00%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3/19/2021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4/7/2028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15,985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15,071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Common Equity (108 shares)</w:t>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6/7/2024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16,580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15,461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Mayesh Wholesale Florist, LLC </w:t>
            </w:r>
            <w:r>
              <w:rPr>
                <w:rFonts w:ascii="Times New Roman" w:hAnsi="Times New Roman"/>
                <w:sz w:val="14"/>
              </w:rPr>
              <w:br/>
              <w:t>5401 W. 104th Street, Los Angeles, CA 90045</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pPr>
            <w:r>
              <w:rPr/>
              <w:t>Specialty Distribution</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(j)(be)</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pPr>
            <w:r>
              <w:rPr/>
              <w:t>(S + 6.00%)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9.68%/0.00%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3/18/2025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3/18/2030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10,500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10,409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10,500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(be)</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pPr>
            <w:r>
              <w:rPr/>
              <w:t>(S + 6.00%)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9.68%/0.00%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3/18/2025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3/18/2030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Preferred Equity (500,000 units) (h)</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3/18/2025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717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r>
              <w:rPr/>
              <w:t>12,405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12,717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MBS Opco, LLC (dba Marketron) </w:t>
            </w:r>
            <w:r>
              <w:rPr>
                <w:rFonts w:ascii="Times New Roman" w:hAnsi="Times New Roman"/>
                <w:sz w:val="14"/>
              </w:rPr>
              <w:br/>
              <w:t>101 Empty Saddle Trail, Hailey, ID 83333</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pPr>
            <w:r>
              <w:rPr/>
              <w:t>(S + 8.50%) /(1.50%)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12.45%/0.00%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9/29/2022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9/28/2026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27,000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26,992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27,000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MDME Holding Corp. </w:t>
            </w:r>
            <w:r>
              <w:rPr>
                <w:rFonts w:ascii="Times New Roman" w:hAnsi="Times New Roman"/>
                <w:sz w:val="14"/>
              </w:rPr>
              <w:br/>
              <w:t>14109 Pontlavoy Ave., Santa Fe Springs, CA 90670</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pPr>
            <w:r>
              <w:rPr/>
              <w:t>Healthcare Products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pPr>
            <w:r>
              <w:rPr/>
              <w:t>(S + 6.25%) /(1.00%)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10.13%/0.00%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8/31/2023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8/3/2027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12,171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12,142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11,822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Common Equity (5,149 units)</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9/18/2023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Preferred Equity (12,500 units)</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9/18/2023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Preferred Equity (713 units)</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7/1/2025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13,463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r>
              <w:rPr/>
              <w:t>11,827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MRC Drake Buyer LLC </w:t>
            </w:r>
            <w:r>
              <w:rPr>
                <w:rFonts w:ascii="Times New Roman" w:hAnsi="Times New Roman"/>
                <w:sz w:val="14"/>
              </w:rPr>
              <w:br/>
              <w:t>5 Walkup Drive, Westborough, MA 05181</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pPr>
            <w:r>
              <w:rPr/>
              <w:t>Component Manufacturing</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 (j)(p)</w:t>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pPr>
            <w:r>
              <w:rPr/>
              <w:t>(S + 6.50%)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10.19%/0.00%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3/13/2026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3/13/2031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5,625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5,585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5,585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Common Equity (750,000 units)</w:t>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3/13/2026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Common Equity (750,000 units)</w:t>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3/13/2026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6,335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6,335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National OnDemand, Inc. </w:t>
            </w:r>
            <w:r>
              <w:rPr>
                <w:rFonts w:ascii="Times New Roman" w:hAnsi="Times New Roman"/>
                <w:sz w:val="14"/>
              </w:rPr>
              <w:br/>
              <w:t>445 S Main St., Burlington, NC 27215</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pPr>
            <w:r>
              <w:rPr/>
              <w:t>Telecommunication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(bq)</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pPr>
            <w:r>
              <w:rPr/>
              <w:t>(S + 6.00%)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9.73%/0.00%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6/30/2026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6/30/2030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15,438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15,206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15,206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Netbase Solutions, Inc. (dba Netbase Quid) </w:t>
            </w:r>
            <w:r>
              <w:rPr>
                <w:rFonts w:ascii="Times New Roman" w:hAnsi="Times New Roman"/>
                <w:sz w:val="14"/>
              </w:rPr>
              <w:br/>
              <w:t>3945 Freedom Circle, Suite 730, Santa Clara, CA 95054</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 (ap)</w:t>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pPr>
            <w:r>
              <w:rPr/>
              <w:t>(P + 2.00%) /(3.25%)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8.75%/2.00%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11/18/2021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11/18/2026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16,895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16,890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15,513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NWS Technologies, LLC </w:t>
            </w:r>
            <w:r>
              <w:rPr>
                <w:rFonts w:ascii="Times New Roman" w:hAnsi="Times New Roman"/>
                <w:sz w:val="14"/>
              </w:rPr>
              <w:br/>
              <w:t>131 Venture Boulevard, Spartanburg, SC 29306</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pPr>
            <w:r>
              <w:rPr/>
              <w:t>Utilities: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($673 unfunded commitment)(u)</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pPr>
            <w:r>
              <w:rPr/>
              <w:t>(S + 7.50%) /(2.50%)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11.19%/0.00%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6/20/2023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6/16/2028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18,702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18,593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18,702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Common Equity (2 units) (h)</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6/20/2023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2,186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Preferred Equity (0.375 units) (h)</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6/20/2023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453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21,414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21,341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8555" w:type="dxa"/>
        <w:jc w:val="center"/>
        <w:tblInd w:w="0" w:type="dxa"/>
        <w:tblLayout w:type="fixed"/>
        <w:tblCellMar>
          <w:top w:w="0" w:type="dxa"/>
          <w:left w:w="0" w:type="dxa"/>
          <w:bottom w:w="0" w:type="dxa"/>
          <w:right w:w="0" w:type="dxa"/>
        </w:tblCellMar>
      </w:tblPr>
      <w:tblGrid>
        <w:gridCol w:w="1595"/>
        <w:gridCol w:w="60"/>
        <w:gridCol w:w="2930"/>
        <w:gridCol w:w="60"/>
        <w:gridCol w:w="1415"/>
        <w:gridCol w:w="60"/>
        <w:gridCol w:w="237"/>
        <w:gridCol w:w="1268"/>
        <w:gridCol w:w="275"/>
        <w:gridCol w:w="60"/>
        <w:gridCol w:w="2120"/>
        <w:gridCol w:w="60"/>
        <w:gridCol w:w="60"/>
        <w:gridCol w:w="1430"/>
        <w:gridCol w:w="60"/>
        <w:gridCol w:w="60"/>
        <w:gridCol w:w="60"/>
        <w:gridCol w:w="1100"/>
        <w:gridCol w:w="60"/>
        <w:gridCol w:w="60"/>
        <w:gridCol w:w="60"/>
        <w:gridCol w:w="980"/>
        <w:gridCol w:w="60"/>
        <w:gridCol w:w="60"/>
        <w:gridCol w:w="77"/>
        <w:gridCol w:w="873"/>
        <w:gridCol w:w="60"/>
        <w:gridCol w:w="60"/>
        <w:gridCol w:w="60"/>
        <w:gridCol w:w="680"/>
        <w:gridCol w:w="155"/>
        <w:gridCol w:w="60"/>
        <w:gridCol w:w="70"/>
        <w:gridCol w:w="805"/>
        <w:gridCol w:w="60"/>
        <w:gridCol w:w="60"/>
        <w:gridCol w:w="200"/>
        <w:gridCol w:w="870"/>
        <w:gridCol w:w="27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29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14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OnePath Systems, LLC (n) </w:t>
            </w:r>
            <w:r>
              <w:rPr>
                <w:rFonts w:ascii="Times New Roman" w:hAnsi="Times New Roman"/>
                <w:sz w:val="14"/>
              </w:rPr>
              <w:br/>
              <w:t>170 Chastain Meadows Ct, Kennesaw, GA 30144</w:t>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pPr>
            <w:r>
              <w:rPr/>
              <w:t>Common Equity (732,542 shares)</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9/30/2022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 </w:t>
            </w: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Onsight Industries, LLC </w:t>
            </w:r>
            <w:r>
              <w:rPr>
                <w:rFonts w:ascii="Times New Roman" w:hAnsi="Times New Roman"/>
                <w:sz w:val="14"/>
              </w:rPr>
              <w:br/>
              <w:t>900 Central Park Dr., Sanford, FL 32771</w:t>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Component Manufacturing</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First Lien Debt (j)(bf)</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pPr>
            <w:r>
              <w:rPr/>
              <w:t>(S + 5.50%) /(1.50%)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9.19%/0.00%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3/27/2025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8,913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8,890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8,913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Common Equity (380,000 units)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9,270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9,172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Palmetto Moon, LLC </w:t>
            </w:r>
            <w:r>
              <w:rPr>
                <w:rFonts w:ascii="Times New Roman" w:hAnsi="Times New Roman"/>
                <w:sz w:val="14"/>
              </w:rPr>
              <w:br/>
              <w:t>1950 Hanahan Road, North Charleston, SC 29406</w:t>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Retail</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pPr>
            <w:r>
              <w:rPr/>
              <w:t>Common Equity (499 units)</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11/3/2016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1,427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PayEntry Financial Services, Inc. (dba Payentry) </w:t>
            </w:r>
            <w:r>
              <w:rPr>
                <w:rFonts w:ascii="Times New Roman" w:hAnsi="Times New Roman"/>
                <w:sz w:val="14"/>
              </w:rPr>
              <w:br/>
              <w:t>230 Scientific Drive NW, Suite 100, Peachtree Corners, Georgia 30092</w:t>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Second Lien Debt (bg)</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10.50%/1.75%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3/28/2025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9/28/2031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5,676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5,630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5,676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Second Lien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10.50%/1.75%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3/28/2025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9/28/2031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2,906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2,894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2,906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Second Lien Debt ($3,126 unfunded commitment)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10.50%/1.75%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3/28/2025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9/28/2031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Preferred Equity (10,000 units)</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3/28/2025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9,524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9,632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Pinnergy, Ltd. </w:t>
            </w:r>
            <w:r>
              <w:rPr>
                <w:rFonts w:ascii="Times New Roman" w:hAnsi="Times New Roman"/>
                <w:sz w:val="14"/>
              </w:rPr>
              <w:br/>
              <w:t>2801 Via Fortuna, Suite 440, Austin, TX 78746</w:t>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Oil &amp; Gas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pPr>
            <w:r>
              <w:rPr/>
              <w:t>Subordinated Debt</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6/30/2022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6/30/2027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10,050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10,035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10,009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PowerGrid Services Acquisition, LLC </w:t>
            </w:r>
            <w:r>
              <w:rPr>
                <w:rFonts w:ascii="Times New Roman" w:hAnsi="Times New Roman"/>
                <w:sz w:val="14"/>
              </w:rPr>
              <w:br/>
              <w:t>2350 US Highway 31 NW, Hartselle, AL 35640</w:t>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Utilities: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Common Equity (4,490 units)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9/21/2021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Common Equity (118 units)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Common Equity (133 units)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Prime AE Group, Inc. </w:t>
            </w:r>
            <w:r>
              <w:rPr>
                <w:rFonts w:ascii="Times New Roman" w:hAnsi="Times New Roman"/>
                <w:sz w:val="14"/>
              </w:rPr>
              <w:br/>
              <w:t>5521 Research Park Drive, Suite 300, Baltimore, MD 21228</w:t>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Business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pPr>
            <w:r>
              <w:rPr/>
              <w:t>Preferred Equity (900,000 shares)</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11/25/2019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Pronto Plumbing</w:t>
            </w:r>
            <w:r>
              <w:rPr>
                <w:rFonts w:ascii="Times New Roman" w:hAnsi="Times New Roman"/>
                <w:sz w:val="14"/>
              </w:rPr>
              <w:t> </w:t>
            </w:r>
            <w:r>
              <w:rPr>
                <w:rFonts w:ascii="Times New Roman" w:hAnsi="Times New Roman"/>
                <w:i/>
                <w:sz w:val="14"/>
              </w:rPr>
              <w:t xml:space="preserve">&amp; Drain, Inc. </w:t>
            </w:r>
            <w:r>
              <w:rPr>
                <w:rFonts w:ascii="Times New Roman" w:hAnsi="Times New Roman"/>
                <w:sz w:val="14"/>
              </w:rPr>
              <w:br/>
              <w:t>1111 Primrose Ave, Camp Hill, PA 17011</w:t>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Utilities: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pPr>
            <w:r>
              <w:rPr/>
              <w:t>(S + 7.00%)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10.69%/0.00%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5/22/2025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5/22/2030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15,389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15,247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15,389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Revolving Loan ($500 unfunded commitment)(i)</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pPr>
            <w:r>
              <w:rPr/>
              <w:t>(S + 7.00%)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10.69%/0.00%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5/22/2025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5/22/2030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Common Equity (Units N/A)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5/22/2025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16,157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16,377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Puget Collision, LLC </w:t>
            </w:r>
            <w:r>
              <w:rPr>
                <w:rFonts w:ascii="Times New Roman" w:hAnsi="Times New Roman"/>
                <w:sz w:val="14"/>
              </w:rPr>
              <w:br/>
              <w:t>6811 South 204th Street Suite 290, Kent, WA 98032</w:t>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Retail</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pPr>
            <w:r>
              <w:rPr/>
              <w:t>First Lien Debt</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pPr>
            <w:r>
              <w:rPr/>
              <w:t>(S + 5.00%) /(0.75%)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8.73%/0.00%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10/3/2025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10/3/2030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12,469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12,402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12,469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pPr>
            <w:r>
              <w:rPr/>
              <w:t>Common Equity (310 units) (h)</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1/4/2024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810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970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13,212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13,439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PureCa</w:t>
            </w:r>
            <w:r>
              <w:rPr>
                <w:rFonts w:ascii="Times New Roman" w:hAnsi="Times New Roman"/>
                <w:sz w:val="14"/>
              </w:rPr>
              <w:t xml:space="preserve"> </w:t>
            </w:r>
            <w:r>
              <w:rPr>
                <w:rFonts w:ascii="Times New Roman" w:hAnsi="Times New Roman"/>
                <w:i/>
                <w:sz w:val="14"/>
              </w:rPr>
              <w:t xml:space="preserve">rs Technologies, LLC </w:t>
            </w:r>
            <w:r>
              <w:rPr>
                <w:rFonts w:ascii="Times New Roman" w:hAnsi="Times New Roman"/>
                <w:sz w:val="14"/>
              </w:rPr>
              <w:br/>
              <w:t>931 Monroe Drive NE, Suite A102 #359, Atlanta, GA 30308</w:t>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First Lien Debt (k)(ac)</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+ 6.63%)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10.30%/0.00%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4/8/2026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4/8/2029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21,500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21,202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21,202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8790" w:type="dxa"/>
        <w:jc w:val="center"/>
        <w:tblInd w:w="0" w:type="dxa"/>
        <w:tblLayout w:type="fixed"/>
        <w:tblCellMar>
          <w:top w:w="0" w:type="dxa"/>
          <w:left w:w="0" w:type="dxa"/>
          <w:bottom w:w="0" w:type="dxa"/>
          <w:right w:w="0" w:type="dxa"/>
        </w:tblCellMar>
      </w:tblPr>
      <w:tblGrid>
        <w:gridCol w:w="1595"/>
        <w:gridCol w:w="60"/>
        <w:gridCol w:w="3020"/>
        <w:gridCol w:w="60"/>
        <w:gridCol w:w="1415"/>
        <w:gridCol w:w="60"/>
        <w:gridCol w:w="237"/>
        <w:gridCol w:w="1268"/>
        <w:gridCol w:w="275"/>
        <w:gridCol w:w="60"/>
        <w:gridCol w:w="2120"/>
        <w:gridCol w:w="60"/>
        <w:gridCol w:w="60"/>
        <w:gridCol w:w="1430"/>
        <w:gridCol w:w="60"/>
        <w:gridCol w:w="60"/>
        <w:gridCol w:w="60"/>
        <w:gridCol w:w="1100"/>
        <w:gridCol w:w="60"/>
        <w:gridCol w:w="60"/>
        <w:gridCol w:w="60"/>
        <w:gridCol w:w="1100"/>
        <w:gridCol w:w="60"/>
        <w:gridCol w:w="60"/>
        <w:gridCol w:w="77"/>
        <w:gridCol w:w="873"/>
        <w:gridCol w:w="60"/>
        <w:gridCol w:w="60"/>
        <w:gridCol w:w="60"/>
        <w:gridCol w:w="800"/>
        <w:gridCol w:w="60"/>
        <w:gridCol w:w="60"/>
        <w:gridCol w:w="61"/>
        <w:gridCol w:w="814"/>
        <w:gridCol w:w="60"/>
        <w:gridCol w:w="60"/>
        <w:gridCol w:w="321"/>
        <w:gridCol w:w="749"/>
        <w:gridCol w:w="27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30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14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QED Technologies International, Inc. </w:t>
            </w:r>
            <w:r>
              <w:rPr>
                <w:rFonts w:ascii="Times New Roman" w:hAnsi="Times New Roman"/>
                <w:sz w:val="14"/>
              </w:rPr>
              <w:br/>
              <w:t>1040 University Ave., Rochester, NY 14607</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Component Manufacturing</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(q)</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+ 4.75%) / (1.50%)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8.94%0.00%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15,551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15,507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15,551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(j)(q)</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+ 4.75%) / (1.50%)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8.94%0.00%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5/30/2025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2,103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2,064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2,103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Common Equity (140 shares)</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2/28/2023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4,274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18,972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21,928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Quest Software US Holdings Inc. </w:t>
            </w:r>
            <w:r>
              <w:rPr>
                <w:rFonts w:ascii="Times New Roman" w:hAnsi="Times New Roman"/>
                <w:sz w:val="14"/>
              </w:rPr>
              <w:br/>
              <w:t>4 Polaris Way, Aliso Viejo, CA 92656</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+ 1.00%) / (0.50%)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4.66%/6.75%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8/11/2025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2/1/2030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18,303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18,303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12,605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R1 Holdings, LLC (dba RoadOne IntermodaLogistics) </w:t>
            </w:r>
            <w:r>
              <w:rPr>
                <w:rFonts w:ascii="Times New Roman" w:hAnsi="Times New Roman"/>
                <w:sz w:val="14"/>
              </w:rPr>
              <w:br/>
              <w:t>1 Kellaway Drive, Randolph, MA 02368</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Transportation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(j)</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+ 6.75%) / (1.00%)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10.41%/0.00%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12/30/2022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12/30/2028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6,199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6,093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6,199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Subordinated Debt</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8.75%/5.00%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12/30/2022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6/30/2029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1,591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1,501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Common Equity (280,000 units)</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12/30/2022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7,942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7,796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R.F. Fager Company LLC </w:t>
            </w:r>
            <w:r>
              <w:rPr>
                <w:rFonts w:ascii="Times New Roman" w:hAnsi="Times New Roman"/>
                <w:sz w:val="14"/>
              </w:rPr>
              <w:br/>
              <w:t>2058 State Road, Camp Hill, PA 17011</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Specialty Distribution</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Second Lien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12.75%/0.00%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3/4/2024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8/4/2030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17,934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Common Equity (12,500 units)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3/4/2024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1,541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19,184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19,541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Sales Rabbit, Inc. </w:t>
            </w:r>
            <w:r>
              <w:rPr>
                <w:rFonts w:ascii="Times New Roman" w:hAnsi="Times New Roman"/>
                <w:sz w:val="14"/>
              </w:rPr>
              <w:br/>
              <w:t>2000 Ashton Blvd, Suite 450, Lehi, UT 84043</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12.00%/2.00%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12/23/2025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12/23/2030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26,480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26,225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26,480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ServicePower, Inc. </w:t>
            </w:r>
            <w:r>
              <w:rPr>
                <w:rFonts w:ascii="Times New Roman" w:hAnsi="Times New Roman"/>
                <w:sz w:val="14"/>
              </w:rPr>
              <w:br/>
              <w:t>8180 Greensboro Drive, Suite 600, McLean, VA 22102</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 (k)(as)</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10.50%/5.50%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3/15/2024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3/15/2028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30,956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r>
              <w:rPr/>
              <w:t>30,795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30,956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 (ba)</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8.25%/0.00%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6/6/2025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3/15/2028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30,800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r>
              <w:rPr/>
              <w:t>30,961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SES Investors, LLC (dba SES Foam) (n) </w:t>
            </w:r>
            <w:r>
              <w:rPr>
                <w:rFonts w:ascii="Times New Roman" w:hAnsi="Times New Roman"/>
                <w:sz w:val="14"/>
              </w:rPr>
              <w:br/>
              <w:t>2400 Spring Stuebner Rd., Spring, TX 77389</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Building Products Manufacturing</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Common Equity (6,000 units) (h)</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9/8/2016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Sogno Toscano LLC </w:t>
            </w:r>
            <w:r>
              <w:rPr>
                <w:rFonts w:ascii="Times New Roman" w:hAnsi="Times New Roman"/>
                <w:sz w:val="14"/>
              </w:rPr>
              <w:br/>
              <w:t>1445 W 12th Place, Suite 101, Tempe, AZ 85281</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Specialty Distribution</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 (bi)</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+ 5.50%)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9.23%/0.00%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4/24/2031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12,750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12,672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12,750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Preferred Equity (6 units)</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6.8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4,249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7,650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16,921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20,400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Tedia Company, LLC </w:t>
            </w:r>
            <w:r>
              <w:rPr>
                <w:rFonts w:ascii="Times New Roman" w:hAnsi="Times New Roman"/>
                <w:sz w:val="14"/>
              </w:rPr>
              <w:br/>
              <w:t>1000 Tedia Way, Fairfield, OH 45014</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Healthcare Products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(j)</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+ 7.75%) / (1.00%)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11.70%/0.00%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14,100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14,088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14,100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Revolving Loan ($1,750 unfunded commitment) (i)</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+ 7.75%) / (1.00%)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11.70%/0.00%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Subordinated Debt</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10.00%/4.50%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9/4/2027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3,420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3,417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4,603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Preferred Equity (1,000 units) (h)</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1,293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19,002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20,496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8840" w:type="dxa"/>
        <w:jc w:val="center"/>
        <w:tblInd w:w="0" w:type="dxa"/>
        <w:tblLayout w:type="fixed"/>
        <w:tblCellMar>
          <w:top w:w="0" w:type="dxa"/>
          <w:left w:w="0" w:type="dxa"/>
          <w:bottom w:w="0" w:type="dxa"/>
          <w:right w:w="0" w:type="dxa"/>
        </w:tblCellMar>
      </w:tblPr>
      <w:tblGrid>
        <w:gridCol w:w="1595"/>
        <w:gridCol w:w="60"/>
        <w:gridCol w:w="3095"/>
        <w:gridCol w:w="60"/>
        <w:gridCol w:w="1415"/>
        <w:gridCol w:w="60"/>
        <w:gridCol w:w="237"/>
        <w:gridCol w:w="1268"/>
        <w:gridCol w:w="275"/>
        <w:gridCol w:w="60"/>
        <w:gridCol w:w="2120"/>
        <w:gridCol w:w="60"/>
        <w:gridCol w:w="60"/>
        <w:gridCol w:w="1430"/>
        <w:gridCol w:w="60"/>
        <w:gridCol w:w="60"/>
        <w:gridCol w:w="60"/>
        <w:gridCol w:w="1100"/>
        <w:gridCol w:w="60"/>
        <w:gridCol w:w="60"/>
        <w:gridCol w:w="60"/>
        <w:gridCol w:w="1100"/>
        <w:gridCol w:w="60"/>
        <w:gridCol w:w="60"/>
        <w:gridCol w:w="77"/>
        <w:gridCol w:w="873"/>
        <w:gridCol w:w="60"/>
        <w:gridCol w:w="60"/>
        <w:gridCol w:w="60"/>
        <w:gridCol w:w="680"/>
        <w:gridCol w:w="155"/>
        <w:gridCol w:w="60"/>
        <w:gridCol w:w="70"/>
        <w:gridCol w:w="805"/>
        <w:gridCol w:w="60"/>
        <w:gridCol w:w="60"/>
        <w:gridCol w:w="321"/>
        <w:gridCol w:w="749"/>
        <w:gridCol w:w="27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30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14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Thrust Flight LLC </w:t>
            </w:r>
            <w:r>
              <w:rPr>
                <w:rFonts w:ascii="Times New Roman" w:hAnsi="Times New Roman"/>
                <w:sz w:val="14"/>
              </w:rPr>
              <w:br/>
              <w:t>4700 Airport Pkwy, Addison, TX 75001</w:t>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Business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First Lien Debt (j)(au)</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+ 5.75%)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9.43%/0.00%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9/9/2024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9/9/2029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12,586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12,515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12,586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First Lien Debt ($1,818 unfunded commitment)(i)(au)</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+ 5.75%)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9.43%/0.00%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9/9/2024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9/9/2029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Subordinated Debt (j)</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10.00%/5.00%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12/11/2025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3/9/2030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1,564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1,538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1,564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Common Equity (1,050,000 units) (h)</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9/9/2024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15,103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14,658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True Environmental Inc. </w:t>
            </w:r>
            <w:r>
              <w:rPr>
                <w:rFonts w:ascii="Times New Roman" w:hAnsi="Times New Roman"/>
                <w:sz w:val="14"/>
              </w:rPr>
              <w:br/>
              <w:t>767 5th Ave, FL 44, New York, NY 10153</w:t>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Business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First Lien Debt (j) (bj)</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+ 5.50%)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5/12/2025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5/12/2030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6,650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6,614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+ 5.50%)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5/12/2025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5/12/2030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15,142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15,061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15,142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Common Equity (397,026 units)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5/12/2025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22,260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22,187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UBEO, LLC </w:t>
            </w:r>
            <w:r>
              <w:rPr>
                <w:rFonts w:ascii="Times New Roman" w:hAnsi="Times New Roman"/>
                <w:sz w:val="14"/>
              </w:rPr>
              <w:br/>
              <w:t>401 East Sonterra Blvd, Suite 350, San Antonio, TX 78258</w:t>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Business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Common Equity (705,000 units) (h)</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4/3/2018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2,089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United Biologics, LLC </w:t>
            </w:r>
            <w:r>
              <w:rPr>
                <w:rFonts w:ascii="Times New Roman" w:hAnsi="Times New Roman"/>
                <w:sz w:val="14"/>
              </w:rPr>
              <w:br/>
              <w:t>70 NE Loop 410, Suite 600, San Antonio, TX 78216</w:t>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Healthcare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Preferred Equity (98,377 units)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4/1/2012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Warrant (57,469 units) (m)</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3/5/2012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USG AS Holdings, LLC (n) </w:t>
            </w:r>
            <w:r>
              <w:rPr>
                <w:rFonts w:ascii="Times New Roman" w:hAnsi="Times New Roman"/>
                <w:sz w:val="14"/>
              </w:rPr>
              <w:br/>
              <w:t>535 Courtney Hodges Blvd, Perry, GA 31069</w:t>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Utilities: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Common Equity (Units N/A)</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Virginia Tile Company, LLC (n) </w:t>
            </w:r>
            <w:r>
              <w:rPr>
                <w:rFonts w:ascii="Times New Roman" w:hAnsi="Times New Roman"/>
                <w:sz w:val="14"/>
              </w:rPr>
              <w:br/>
              <w:t>28320 Plymouth Road, Livonia, MI 48150</w:t>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Specialty Distribution</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Common Equity (Units N/A)</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12/19/2014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Virtex Enterprises, LP </w:t>
            </w:r>
            <w:r>
              <w:rPr>
                <w:rFonts w:ascii="Times New Roman" w:hAnsi="Times New Roman"/>
                <w:sz w:val="14"/>
              </w:rPr>
              <w:br/>
              <w:t>2801 E Plano Pkwy, Plano, Texas 75074</w:t>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Component Manufacturing</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Second Lien Debt (y)</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+ 0.00%) / (2.50%)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3.74%/9.75%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4/13/2022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9/30/2027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18,601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10,907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Subordinated Debt (y)</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+ 4.00%) / (2.50%)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9.74%/0.00%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9/20/2023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3/31/2027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356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11,200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VMS MSO, LLC (dba Vytal Health Partners) </w:t>
            </w:r>
            <w:r>
              <w:rPr>
                <w:rFonts w:ascii="Times New Roman" w:hAnsi="Times New Roman"/>
                <w:sz w:val="14"/>
              </w:rPr>
              <w:br/>
              <w:t>1230 Park Avenue, Amherst, OH 44001</w:t>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Healthcare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13.75%/0.00%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12/18/2025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12/18/2030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14,626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14,556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14,917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Revolving Loan ($1,500 unfunded commitment)(i)</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13.75%/0.00%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12/18/2025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12/18/2030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14,549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14,917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W50 Holdings, LLC </w:t>
            </w:r>
            <w:r>
              <w:rPr>
                <w:rFonts w:ascii="Times New Roman" w:hAnsi="Times New Roman"/>
                <w:sz w:val="14"/>
              </w:rPr>
              <w:br/>
              <w:t>3525 Piedmont Rd. NE, Atlanta, GA 30305</w:t>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Business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Subordinated Debt</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11.50%/0.00%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3/22/2024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3/24/2031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11,430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11,325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11,430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Preferred Equity (Units N/A) ($100 unfunded commitment)</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3/21/2024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910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12,225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12,340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Waterworks Solutions Acquisition, Inc. (dba CITCO Water) </w:t>
            </w:r>
            <w:r>
              <w:rPr>
                <w:rFonts w:ascii="Times New Roman" w:hAnsi="Times New Roman"/>
                <w:sz w:val="14"/>
              </w:rPr>
              <w:br/>
              <w:t>2811 Ponce De Leon Blvd., Suite 400, Coral Gables, FL 33134</w:t>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Specialty Distribution</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First Lien Debt ($2,450 unfunded commitment)(bh)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+ 4.75%)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8.43%/0.00%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12/26/2025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12/26/2030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26,422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26,261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26,422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9075" w:type="dxa"/>
        <w:jc w:val="center"/>
        <w:tblInd w:w="0" w:type="dxa"/>
        <w:tblLayout w:type="fixed"/>
        <w:tblCellMar>
          <w:top w:w="0" w:type="dxa"/>
          <w:left w:w="0" w:type="dxa"/>
          <w:bottom w:w="0" w:type="dxa"/>
          <w:right w:w="0" w:type="dxa"/>
        </w:tblCellMar>
      </w:tblPr>
      <w:tblGrid>
        <w:gridCol w:w="1595"/>
        <w:gridCol w:w="60"/>
        <w:gridCol w:w="2930"/>
        <w:gridCol w:w="60"/>
        <w:gridCol w:w="1400"/>
        <w:gridCol w:w="60"/>
        <w:gridCol w:w="237"/>
        <w:gridCol w:w="1268"/>
        <w:gridCol w:w="275"/>
        <w:gridCol w:w="60"/>
        <w:gridCol w:w="2120"/>
        <w:gridCol w:w="60"/>
        <w:gridCol w:w="60"/>
        <w:gridCol w:w="1430"/>
        <w:gridCol w:w="60"/>
        <w:gridCol w:w="60"/>
        <w:gridCol w:w="60"/>
        <w:gridCol w:w="1100"/>
        <w:gridCol w:w="60"/>
        <w:gridCol w:w="60"/>
        <w:gridCol w:w="60"/>
        <w:gridCol w:w="1100"/>
        <w:gridCol w:w="60"/>
        <w:gridCol w:w="60"/>
        <w:gridCol w:w="77"/>
        <w:gridCol w:w="873"/>
        <w:gridCol w:w="60"/>
        <w:gridCol w:w="60"/>
        <w:gridCol w:w="60"/>
        <w:gridCol w:w="980"/>
        <w:gridCol w:w="60"/>
        <w:gridCol w:w="60"/>
        <w:gridCol w:w="60"/>
        <w:gridCol w:w="980"/>
        <w:gridCol w:w="60"/>
        <w:gridCol w:w="60"/>
        <w:gridCol w:w="145"/>
        <w:gridCol w:w="925"/>
        <w:gridCol w:w="320"/>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29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14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320"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White Label Communication, LLC </w:t>
            </w:r>
            <w:r>
              <w:rPr>
                <w:rFonts w:ascii="Times New Roman" w:hAnsi="Times New Roman"/>
                <w:sz w:val="14"/>
              </w:rPr>
              <w:br/>
              <w:t>710 Springdale Drive, Exton, PA 19341</w:t>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pPr>
            <w:r>
              <w:rPr/>
              <w:t>First Lien Debt (j)(ab)</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+ 5.25%) / (1.00%)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8.93%/0.00%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6/30/2025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6/30/2030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24,400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24,278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23,864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pPr>
            <w:r>
              <w:rPr/>
              <w:t>Common Equity (536 units) (h)</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10/11/2023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pPr>
            <w:r>
              <w:rPr/>
              <w:t>Preferred Equity (5,000 units) (h)</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10/11/2023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9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9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24,778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24,299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2</w:t>
            </w:r>
          </w:p>
        </w:tc>
        <w:tc>
          <w:tcPr>
            <w:tcW w:w="320"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Wonderware Holdings, LLC (dba CORE Business Technologies) </w:t>
            </w:r>
            <w:r>
              <w:rPr>
                <w:rFonts w:ascii="Times New Roman" w:hAnsi="Times New Roman"/>
                <w:sz w:val="14"/>
              </w:rPr>
              <w:br/>
              <w:t>950 Warren Avenue, 4th Floor, East Providence, RI 02914</w:t>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First Lien Debt (z)</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+ 5.00%)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8.62%/0.00%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2/10/2021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5/14/2028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8,316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8,316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8,316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w:t>
            </w:r>
          </w:p>
        </w:tc>
        <w:tc>
          <w:tcPr>
            <w:tcW w:w="320"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World Tours LLC </w:t>
            </w:r>
            <w:r>
              <w:rPr>
                <w:rFonts w:ascii="Times New Roman" w:hAnsi="Times New Roman"/>
                <w:sz w:val="14"/>
              </w:rPr>
              <w:br/>
              <w:t>1650 So Pacific Coast Hwy Suite 202, Redondo Beach, CA 90277</w:t>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pPr>
            <w:r>
              <w:rPr/>
              <w:t>Consumer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pPr>
            <w:r>
              <w:rPr/>
              <w:t>First Lien Debt (ay)</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+ 6.50%)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10.19%/0.00%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11/13/2024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11/13/2029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5,389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5,359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5,389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pPr>
            <w:r>
              <w:rPr/>
              <w:t>Preferred Equity (1,000,000 units) (h)</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3.8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11/13/2024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9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9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6,359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6,513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Worldwide Express Operations, LLC </w:t>
            </w:r>
            <w:r>
              <w:rPr>
                <w:rFonts w:ascii="Times New Roman" w:hAnsi="Times New Roman"/>
                <w:sz w:val="14"/>
              </w:rPr>
              <w:br/>
              <w:t>2700 Commerce Street Suite 1500, Dallas, TX 75226</w:t>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pPr>
            <w:r>
              <w:rPr/>
              <w:t>Transportation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Common Equity (198 units)</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Common Equity (644 units)</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Common Equity (15,105 units)</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Common Equity (188 units) (h)</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Common Equity (610 units) (h)</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Common Equity (14,296 units) (h)</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9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9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Total Non-control/Non-affiliate Investments</w:t>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1,325,735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1,307,582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177</w:t>
            </w:r>
          </w:p>
        </w:tc>
        <w:tc>
          <w:tcPr>
            <w:tcW w:w="320" w:type="dxa"/>
            <w:tcBorders/>
            <w:shd w:fill="CCEEFF" w:val="clear"/>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double" w:sz="6" w:space="1" w:color="000000"/>
              </w:pBdr>
              <w:bidi w:val="0"/>
              <w:spacing w:before="0" w:after="0"/>
              <w:jc w:val="left"/>
              <w:rPr/>
            </w:pPr>
            <w:r>
              <w:rPr/>
              <w:t> </w:t>
            </w:r>
          </w:p>
        </w:tc>
        <w:tc>
          <w:tcPr>
            <w:tcW w:w="980" w:type="dxa"/>
            <w:tcBorders/>
            <w:shd w:fill="CCEEFF" w:val="clear"/>
            <w:vAlign w:val="bottom"/>
          </w:tcPr>
          <w:p>
            <w:pPr>
              <w:pStyle w:val="TableContents"/>
              <w:pBdr>
                <w:top w:val="double" w:sz="6"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double" w:sz="6" w:space="1" w:color="000000"/>
              </w:pBdr>
              <w:bidi w:val="0"/>
              <w:spacing w:before="0" w:after="0"/>
              <w:jc w:val="left"/>
              <w:rPr/>
            </w:pPr>
            <w:r>
              <w:rPr/>
              <w:t> </w:t>
            </w:r>
          </w:p>
        </w:tc>
        <w:tc>
          <w:tcPr>
            <w:tcW w:w="980" w:type="dxa"/>
            <w:tcBorders/>
            <w:shd w:fill="CCEEFF" w:val="clear"/>
            <w:vAlign w:val="bottom"/>
          </w:tcPr>
          <w:p>
            <w:pPr>
              <w:pStyle w:val="TableContents"/>
              <w:pBdr>
                <w:top w:val="double" w:sz="6"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0"/>
              <w:jc w:val="left"/>
              <w:rPr>
                <w:rFonts w:ascii="Times New Roman" w:hAnsi="Times New Roman"/>
                <w:b/>
                <w:sz w:val="14"/>
              </w:rPr>
            </w:pPr>
            <w:r>
              <w:rPr>
                <w:rFonts w:ascii="Times New Roman" w:hAnsi="Times New Roman"/>
                <w:b/>
                <w:sz w:val="14"/>
              </w:rPr>
              <w:t>Total Investments</w:t>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1,404,431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1,432,911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194</w:t>
            </w:r>
          </w:p>
        </w:tc>
        <w:tc>
          <w:tcPr>
            <w:tcW w:w="320" w:type="dxa"/>
            <w:tcBorders/>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Money market funds (included in cash and cash equivalents)</w:t>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Goldman Sachs Financial Square Treasury Obligation Institution CUSIP (38141W323) (ad)</w:t>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3.52%/0.00%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37,547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37,547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5</w:t>
            </w:r>
          </w:p>
        </w:tc>
        <w:tc>
          <w:tcPr>
            <w:tcW w:w="320" w:type="dxa"/>
            <w:tcBorders/>
            <w:shd w:fill="CCEEFF" w:val="clear"/>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9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9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0"/>
              <w:jc w:val="left"/>
              <w:rPr>
                <w:rFonts w:ascii="Times New Roman" w:hAnsi="Times New Roman"/>
                <w:b/>
                <w:sz w:val="14"/>
              </w:rPr>
            </w:pPr>
            <w:r>
              <w:rPr>
                <w:rFonts w:ascii="Times New Roman" w:hAnsi="Times New Roman"/>
                <w:b/>
                <w:sz w:val="14"/>
              </w:rPr>
              <w:t>Total money market funds</w:t>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37,547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37,547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b/>
              </w:rPr>
            </w:pPr>
            <w:r>
              <w:rPr>
                <w:b/>
              </w:rPr>
              <w:t>5</w:t>
            </w:r>
          </w:p>
        </w:tc>
        <w:tc>
          <w:tcPr>
            <w:tcW w:w="320" w:type="dxa"/>
            <w:tcBorders/>
            <w:vAlign w:val="bottom"/>
          </w:tcPr>
          <w:p>
            <w:pPr>
              <w:pStyle w:val="TableContents"/>
              <w:bidi w:val="0"/>
              <w:spacing w:before="0" w:after="283"/>
              <w:jc w:val="left"/>
              <w:rPr>
                <w:b/>
              </w:rPr>
            </w:pPr>
            <w:r>
              <w:rPr>
                <w:b/>
              </w:rPr>
              <w:t>% </w:t>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Total Investments and Money Market Funds</w:t>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1,441,978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1,470,458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b/>
              </w:rPr>
            </w:pPr>
            <w:r>
              <w:rPr>
                <w:b/>
              </w:rPr>
              <w:t>199</w:t>
            </w:r>
          </w:p>
        </w:tc>
        <w:tc>
          <w:tcPr>
            <w:tcW w:w="320" w:type="dxa"/>
            <w:tcBorders/>
            <w:shd w:fill="CCEEFF" w:val="clear"/>
            <w:vAlign w:val="bottom"/>
          </w:tcPr>
          <w:p>
            <w:pPr>
              <w:pStyle w:val="TableContents"/>
              <w:bidi w:val="0"/>
              <w:spacing w:before="0" w:after="283"/>
              <w:jc w:val="left"/>
              <w:rPr>
                <w:b/>
              </w:rPr>
            </w:pPr>
            <w:r>
              <w:rPr>
                <w:b/>
              </w:rPr>
              <w:t>% </w:t>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double" w:sz="6" w:space="1" w:color="000000"/>
              </w:pBdr>
              <w:bidi w:val="0"/>
              <w:spacing w:before="0" w:after="0"/>
              <w:jc w:val="left"/>
              <w:rPr/>
            </w:pPr>
            <w:r>
              <w:rPr/>
              <w:t> </w:t>
            </w:r>
          </w:p>
        </w:tc>
        <w:tc>
          <w:tcPr>
            <w:tcW w:w="980" w:type="dxa"/>
            <w:tcBorders/>
            <w:shd w:fill="CCEEFF" w:val="clear"/>
            <w:vAlign w:val="bottom"/>
          </w:tcPr>
          <w:p>
            <w:pPr>
              <w:pStyle w:val="TableContents"/>
              <w:pBdr>
                <w:top w:val="double" w:sz="6"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double" w:sz="6" w:space="1" w:color="000000"/>
              </w:pBdr>
              <w:bidi w:val="0"/>
              <w:spacing w:before="0" w:after="0"/>
              <w:jc w:val="left"/>
              <w:rPr/>
            </w:pPr>
            <w:r>
              <w:rPr/>
              <w:t> </w:t>
            </w:r>
          </w:p>
        </w:tc>
        <w:tc>
          <w:tcPr>
            <w:tcW w:w="980" w:type="dxa"/>
            <w:tcBorders/>
            <w:shd w:fill="CCEEFF" w:val="clear"/>
            <w:vAlign w:val="bottom"/>
          </w:tcPr>
          <w:p>
            <w:pPr>
              <w:pStyle w:val="TableContents"/>
              <w:pBdr>
                <w:top w:val="double" w:sz="6"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See Note 3 to the consolidated financial statements included in our most recent Quarterly Report on Form 10-Q for portfolio composition by geographic location.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Equity ownership may be held in shares or units of companies related to the portfolio companies. The Company’s investments are generally classified as “restricted securities”, unless otherwise noted, as such term is defined under Regulation S-X Rule 6-03(f) or Securities Act Rule 144. As of June 30, 2026, the Company held restricted securities with an aggregate fair value of $1,432,911, or 194% of the Company’s net assets.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All debt investments are income producing, unless otherwise indicated. Equity investments are non-income producing unless otherwise noted.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Variable rate investments bear interest at a rate indexed to prime (P) or Secured Overnight Financing Rate (“SOFR”) (S), which are reset monthly, bimonthly, quarterly, or semi-annually. Certain variable rate investments also include a prime or SOFR interest rate floor. For each investment, the Company has provided the spread over the reference rate and the prime or SOFR floor, if any, as of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Rate includes the cash interest or dividend rate and paid-in-kind interest or dividend rate, if any, as of June 30, 2026. Generally, payment-in-kind interest can be paid-in-kind or all in cash. 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Investment date represents the date of the initial investment in the security. 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(g)</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Investment is held by a taxable subsidiary of the Company. 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disclosed commitment represents the unfunded amount as of June 30, 2026. The Company is earning 0.50% interest on the unfunded balance of the commitment. The interest rate disclosed represents the rate which will be earned if the commitment is funded. 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(j)</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investments of FIC Funding, LLC (the “SPV”) are pledged as collateral to the SPV’s financing credit facility (the “SPV Credit Facility”) and, as a result, are not directly available to the creditors of the Company to satisfy any obligations of the Company other than the Company’s obligations under the SPV Credit Facility (see Note 6 to the consolidated financial statements). 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(k)</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portion of the investment not held by the SBIC Funds is pledged as collateral for the SPV Credit Facility and, as a result, is not directly available to the creditors of the Company to satisfy any obligations of the Company other than the Company’s obligations under the SPV Credit Facility (see Note 6 to the consolidated financial statements). 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(l)</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(m)</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Warrants entitle the Company to purchase a predetermined number of shares or units of common equity, and are non-income producing. The purchase price and number of shares are subject to adjustment under certain conditions until the expiration date, if 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(n)</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Investment in portfolio company that has sold its operations and is in the process of winding down. 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(o)</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2.26%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(p)</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(q)</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2.93%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2.62%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(s)</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0.38%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(t)</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(u)</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2.19%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(v)</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1.04%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disclosed commitment represents the unfunded amount as of June 30, 2026. The Company is earning 0.75% interest on the unfunded balance of the commitment. The interest rate disclosed represents the rate earned on the outstanding, funded balance of the commitment. 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(x)</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disclosed commitment represents the unfunded amount as of June 30, 2026. The Company is earning 1.00% interest on the unfunded balance of the commitment. The interest rate disclosed represents the rate earned on the outstanding, funded balance of the commitment. 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(y)</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Investment was on non-accrual status as of June 30, 2026. 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(z)</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2.49%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(aa)</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Company sold a participating interest of approximately $4.0 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(ab)</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1.91%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(ac)</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3.13%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(ad)</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This investment is classified as a Level 1 investment. For further detail on the fair value measurements, see Note 4 to the consolidated financial statements. 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(ae)</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(af)</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(ag)</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1.70%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(ah)</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3.71%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(ai)</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2.70%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(aj)</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4.88%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(ak)</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3.42%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(al)</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3.86%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(am)</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3.59%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(an)</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Company sold a participating interest of approximately $13.5 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(ao)</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June 30, 2026, total non-qualifying assets at fair value represented 1.07% of the Company’s total assets calculated in accordance with the 1940 Act. 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(ap)</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cash interest amount of 0.45% and PIK interest amount of 1.79%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(aq)</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headquarters of this portfolio company is located in Canada. 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(ar)</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2.57%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(as)</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cash interest amount of 0.34% and PIK interest amount of 0.56%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(at)</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2.19%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(au)</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2.13%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(av)</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2.67%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(ax)</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0.99%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(ay)</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(az)</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2.34%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(ba)</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Company sold a participating interest of approximately $0.005 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(bb)</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3.15%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(bc)</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cash interest amount of 2.20% and PIK interest amount of 0.73%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(bd)</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3.04%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(be)</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2.94%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(bf)</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2.38%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(bg)</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As of June 30, 2026, the Company is earning an incremental 0.60% interest on the outstanding principal balance. 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(bh)</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3.96%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(bi)</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3.43%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(bj)</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3.32%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(bk)</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2.36%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(bl)</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3.08%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(bm)</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2.27%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(bn)</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Percentage of class held refers only to equity held, if any, calculated on a fully diluted basis. 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(bo)</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0.00%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(bp)</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2.93%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(bq)</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39616_14"/>
      <w:bookmarkEnd w:id="16"/>
      <w:r>
        <w:rPr>
          <w:rFonts w:ascii="Times New Roman" w:hAnsi="Times New Roman"/>
          <w:b/>
          <w:sz w:val="20"/>
        </w:rPr>
        <w:t xml:space="preserve">MANAGEMENT OF THE COMPANY </w:t>
      </w:r>
    </w:p>
    <w:p>
      <w:pPr>
        <w:pStyle w:val="TextBody"/>
        <w:bidi w:val="0"/>
        <w:spacing w:before="240" w:after="0"/>
        <w:jc w:val="left"/>
        <w:rPr/>
      </w:pPr>
      <w:r>
        <w:rPr>
          <w:rFonts w:ascii="Times New Roman" w:hAnsi="Times New Roman"/>
          <w:sz w:val="20"/>
        </w:rPr>
        <w:t>The information contained under the captions “</w:t>
      </w:r>
      <w:r>
        <w:rPr>
          <w:rFonts w:ascii="Times New Roman" w:hAnsi="Times New Roman"/>
          <w:i/>
          <w:sz w:val="20"/>
        </w:rPr>
        <w:t>Proposal No.</w:t>
      </w:r>
      <w:r>
        <w:rPr>
          <w:rFonts w:ascii="Times New Roman" w:hAnsi="Times New Roman"/>
          <w:sz w:val="20"/>
        </w:rPr>
        <w:t> </w:t>
      </w:r>
      <w:r>
        <w:rPr>
          <w:rFonts w:ascii="Times New Roman" w:hAnsi="Times New Roman"/>
          <w:i/>
          <w:sz w:val="20"/>
        </w:rPr>
        <w:t>1: Election of Class</w:t>
      </w:r>
      <w:r>
        <w:rPr>
          <w:rFonts w:ascii="Times New Roman" w:hAnsi="Times New Roman"/>
          <w:sz w:val="20"/>
        </w:rPr>
        <w:t> </w:t>
      </w:r>
      <w:r>
        <w:rPr>
          <w:rFonts w:ascii="Times New Roman" w:hAnsi="Times New Roman"/>
          <w:i/>
          <w:sz w:val="20"/>
        </w:rPr>
        <w:t>III Directors</w:t>
      </w:r>
      <w:r>
        <w:rPr>
          <w:rFonts w:ascii="Times New Roman" w:hAnsi="Times New Roman"/>
          <w:sz w:val="20"/>
        </w:rPr>
        <w:t>,” “</w:t>
      </w:r>
      <w:r>
        <w:rPr>
          <w:rFonts w:ascii="Times New Roman" w:hAnsi="Times New Roman"/>
          <w:i/>
          <w:sz w:val="20"/>
        </w:rPr>
        <w:t>Information About Executive Officer Who is not a Director</w:t>
      </w:r>
      <w:r>
        <w:rPr>
          <w:rFonts w:ascii="Times New Roman" w:hAnsi="Times New Roman"/>
          <w:sz w:val="20"/>
        </w:rPr>
        <w:t>,” “</w:t>
      </w:r>
      <w:r>
        <w:rPr>
          <w:rFonts w:ascii="Times New Roman" w:hAnsi="Times New Roman"/>
          <w:i/>
          <w:sz w:val="20"/>
        </w:rPr>
        <w:t>Corporate Governance</w:t>
      </w:r>
      <w:r>
        <w:rPr>
          <w:rFonts w:ascii="Times New Roman" w:hAnsi="Times New Roman"/>
          <w:sz w:val="20"/>
        </w:rPr>
        <w:t>,” “</w:t>
      </w:r>
      <w:r>
        <w:rPr>
          <w:rFonts w:ascii="Times New Roman" w:hAnsi="Times New Roman"/>
          <w:i/>
          <w:sz w:val="20"/>
        </w:rPr>
        <w:t>Compensation Discussion and Analysis</w:t>
      </w:r>
      <w:r>
        <w:rPr>
          <w:rFonts w:ascii="Times New Roman" w:hAnsi="Times New Roman"/>
          <w:sz w:val="20"/>
        </w:rPr>
        <w:t>,” “</w:t>
      </w:r>
      <w:r>
        <w:rPr>
          <w:rFonts w:ascii="Times New Roman" w:hAnsi="Times New Roman"/>
          <w:i/>
          <w:sz w:val="20"/>
        </w:rPr>
        <w:t>Certain Relationships and Related Transactions—Investment Committee</w:t>
      </w:r>
      <w:r>
        <w:rPr>
          <w:rFonts w:ascii="Times New Roman" w:hAnsi="Times New Roman"/>
          <w:sz w:val="20"/>
        </w:rPr>
        <w:t>” and “</w:t>
      </w:r>
      <w:r>
        <w:rPr>
          <w:rFonts w:ascii="Times New Roman" w:hAnsi="Times New Roman"/>
          <w:i/>
          <w:sz w:val="20"/>
        </w:rPr>
        <w:t>Certain Relationships and Related Transactions—Portfolio Management</w:t>
      </w:r>
      <w:r>
        <w:rPr>
          <w:rFonts w:ascii="Times New Roman" w:hAnsi="Times New Roman"/>
          <w:sz w:val="20"/>
        </w:rPr>
        <w:t xml:space="preserve">” in our most recent </w:t>
      </w:r>
      <w:r>
        <w:fldChar w:fldCharType="begin"/>
      </w:r>
      <w:r>
        <w:rPr>
          <w:rStyle w:val="InternetLink"/>
          <w:sz w:val="20"/>
          <w:rFonts w:ascii="Times New Roman" w:hAnsi="Times New Roman"/>
        </w:rPr>
        <w:instrText xml:space="preserve"> HYPERLINK "http://www.sec.gov/Archives/edgar/data/../../../ix?doc=/Archives/edgar/data/0001513363/000119312526116813/fdus-20260319.htm" \l "certain_relationship_related_transaction"</w:instrText>
      </w:r>
      <w:r>
        <w:rPr>
          <w:rStyle w:val="InternetLink"/>
          <w:sz w:val="20"/>
          <w:rFonts w:ascii="Times New Roman" w:hAnsi="Times New Roman"/>
        </w:rPr>
        <w:fldChar w:fldCharType="separate"/>
      </w:r>
      <w:r>
        <w:rPr>
          <w:rStyle w:val="InternetLink"/>
          <w:rFonts w:ascii="Times New Roman" w:hAnsi="Times New Roman"/>
          <w:sz w:val="20"/>
        </w:rPr>
        <w:t>Definitive Proxy Statement on Schedule 14A</w:t>
      </w:r>
      <w:r>
        <w:rPr>
          <w:rStyle w:val="InternetLink"/>
          <w:sz w:val="20"/>
          <w:rFonts w:ascii="Times New Roman" w:hAnsi="Times New Roman"/>
        </w:rPr>
        <w:fldChar w:fldCharType="end"/>
      </w:r>
      <w:r>
        <w:rPr>
          <w:rFonts w:ascii="Times New Roman" w:hAnsi="Times New Roman"/>
          <w:sz w:val="20"/>
        </w:rPr>
        <w:t xml:space="preserve">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39616_15"/>
      <w:bookmarkEnd w:id="17"/>
      <w:r>
        <w:rPr>
          <w:rFonts w:ascii="Times New Roman" w:hAnsi="Times New Roman"/>
          <w:b/>
          <w:sz w:val="20"/>
        </w:rPr>
        <w:t xml:space="preserve">PORTFOLIO MANAGEMENT </w:t>
      </w:r>
    </w:p>
    <w:p>
      <w:pPr>
        <w:pStyle w:val="TextBody"/>
        <w:bidi w:val="0"/>
        <w:spacing w:before="240" w:after="0"/>
        <w:jc w:val="left"/>
        <w:rPr/>
      </w:pPr>
      <w:r>
        <w:rPr>
          <w:rFonts w:ascii="Times New Roman" w:hAnsi="Times New Roman"/>
          <w:sz w:val="20"/>
        </w:rPr>
        <w:t>The information contained under the captions “</w:t>
      </w:r>
      <w:r>
        <w:rPr>
          <w:rFonts w:ascii="Times New Roman" w:hAnsi="Times New Roman"/>
          <w:i/>
          <w:sz w:val="20"/>
        </w:rPr>
        <w:t>Certain Relationships and Related Transactions and Director Independence—Investment Committee</w:t>
      </w:r>
      <w:r>
        <w:rPr>
          <w:rFonts w:ascii="Times New Roman" w:hAnsi="Times New Roman"/>
          <w:sz w:val="20"/>
        </w:rPr>
        <w:t>” “</w:t>
      </w:r>
      <w:r>
        <w:rPr>
          <w:rFonts w:ascii="Times New Roman" w:hAnsi="Times New Roman"/>
          <w:i/>
          <w:sz w:val="20"/>
        </w:rPr>
        <w:t>Certain Relationships and Related Transactions and Director Independence—Portfolio Management</w:t>
      </w:r>
      <w:r>
        <w:rPr>
          <w:rFonts w:ascii="Times New Roman" w:hAnsi="Times New Roman"/>
          <w:sz w:val="20"/>
        </w:rPr>
        <w:t xml:space="preserve">” in our most recent </w:t>
      </w:r>
      <w:r>
        <w:fldChar w:fldCharType="begin"/>
      </w:r>
      <w:r>
        <w:rPr>
          <w:rStyle w:val="InternetLink"/>
          <w:sz w:val="20"/>
          <w:rFonts w:ascii="Times New Roman" w:hAnsi="Times New Roman"/>
        </w:rPr>
        <w:instrText xml:space="preserve"> HYPERLINK "http://www.sec.gov/Archives/edgar/data/../../../ix?doc=/Archives/edgar/data/0001513363/000119312526116813/fdus-20260319.htm" \l "certain_relationship_related_transaction"</w:instrText>
      </w:r>
      <w:r>
        <w:rPr>
          <w:rStyle w:val="InternetLink"/>
          <w:sz w:val="20"/>
          <w:rFonts w:ascii="Times New Roman" w:hAnsi="Times New Roman"/>
        </w:rPr>
        <w:fldChar w:fldCharType="separate"/>
      </w:r>
      <w:r>
        <w:rPr>
          <w:rStyle w:val="InternetLink"/>
          <w:rFonts w:ascii="Times New Roman" w:hAnsi="Times New Roman"/>
          <w:sz w:val="20"/>
        </w:rPr>
        <w:t>Definitive Proxy Statement on Schedule 14A</w:t>
      </w:r>
      <w:r>
        <w:rPr>
          <w:rStyle w:val="InternetLink"/>
          <w:sz w:val="20"/>
          <w:rFonts w:ascii="Times New Roman" w:hAnsi="Times New Roman"/>
        </w:rPr>
        <w:fldChar w:fldCharType="end"/>
      </w:r>
      <w:r>
        <w:rPr>
          <w:rFonts w:ascii="Times New Roman" w:hAnsi="Times New Roman"/>
          <w:sz w:val="20"/>
        </w:rPr>
        <w:t xml:space="preserve">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39616_17"/>
      <w:bookmarkEnd w:id="18"/>
      <w:r>
        <w:rPr>
          <w:rFonts w:ascii="Times New Roman" w:hAnsi="Times New Roman"/>
          <w:b/>
          <w:sz w:val="20"/>
        </w:rPr>
        <w:t xml:space="preserve">CERTAIN RELATIONSHIPS AND RELATED PARTY TRANSACTIONS </w:t>
      </w:r>
    </w:p>
    <w:p>
      <w:pPr>
        <w:pStyle w:val="TextBody"/>
        <w:bidi w:val="0"/>
        <w:spacing w:before="240" w:after="0"/>
        <w:jc w:val="left"/>
        <w:rPr/>
      </w:pPr>
      <w:r>
        <w:rPr>
          <w:rFonts w:ascii="Times New Roman" w:hAnsi="Times New Roman"/>
          <w:sz w:val="20"/>
        </w:rPr>
        <w:t>The information contained under the caption “</w:t>
      </w:r>
      <w:r>
        <w:rPr>
          <w:rFonts w:ascii="Times New Roman" w:hAnsi="Times New Roman"/>
          <w:i/>
          <w:sz w:val="20"/>
        </w:rPr>
        <w:t>Certain Relationships and Related Party Transactions and Director Independence</w:t>
      </w:r>
      <w:r>
        <w:rPr>
          <w:rFonts w:ascii="Times New Roman" w:hAnsi="Times New Roman"/>
          <w:sz w:val="20"/>
        </w:rPr>
        <w:t xml:space="preserve">” in our most recent </w:t>
      </w:r>
      <w:r>
        <w:fldChar w:fldCharType="begin"/>
      </w:r>
      <w:r>
        <w:rPr>
          <w:rStyle w:val="InternetLink"/>
          <w:sz w:val="20"/>
          <w:rFonts w:ascii="Times New Roman" w:hAnsi="Times New Roman"/>
        </w:rPr>
        <w:instrText xml:space="preserve"> HYPERLINK "http://www.sec.gov/Archives/edgar/data/../../../ix?doc=/Archives/edgar/data/0001513363/000119312526116813/fdus-20260319.htm" \l "certain_relationship_related_transaction"</w:instrText>
      </w:r>
      <w:r>
        <w:rPr>
          <w:rStyle w:val="InternetLink"/>
          <w:sz w:val="20"/>
          <w:rFonts w:ascii="Times New Roman" w:hAnsi="Times New Roman"/>
        </w:rPr>
        <w:fldChar w:fldCharType="separate"/>
      </w:r>
      <w:r>
        <w:rPr>
          <w:rStyle w:val="InternetLink"/>
          <w:rFonts w:ascii="Times New Roman" w:hAnsi="Times New Roman"/>
          <w:sz w:val="20"/>
        </w:rPr>
        <w:t>Definitive Proxy Statement on Schedule 14A</w:t>
      </w:r>
      <w:r>
        <w:rPr>
          <w:rStyle w:val="InternetLink"/>
          <w:sz w:val="20"/>
          <w:rFonts w:ascii="Times New Roman" w:hAnsi="Times New Roman"/>
        </w:rPr>
        <w:fldChar w:fldCharType="end"/>
      </w:r>
      <w:r>
        <w:rPr>
          <w:rFonts w:ascii="Times New Roman" w:hAnsi="Times New Roman"/>
          <w:sz w:val="20"/>
        </w:rPr>
        <w:t xml:space="preserve">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139616_18"/>
      <w:bookmarkEnd w:id="19"/>
      <w:r>
        <w:rPr>
          <w:rFonts w:ascii="Times New Roman" w:hAnsi="Times New Roman"/>
          <w:b/>
          <w:sz w:val="20"/>
        </w:rPr>
        <w:t xml:space="preserve">CONTROL PERSONS AND PRINCIPAL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with respect to the beneficial ownership of our common stock as of September 8, 2026, by each of our executive officers and Independent Directors and all of our directors and executive officers as a group. As of September 8, 2026, we are not aware of any five percent beneficial owners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the securities. There is no common stock subject to options or warrants that are currently exercisable or exercisable within 60 days of the offering. Percentage of beneficial ownership is based on 39,770,605 shares of common stock outstanding as of September 8, 2026. Unless otherwise stated, the business address of each person below is 1603 Orrington Avenue, Suite 1005, Evanston, Illinois 60201. Except as otherwise described in the notes below, the following beneficial owners have sole voting power and sole investment power with respect to all shares of common stock set forth opposite their respective names.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516"/>
        <w:gridCol w:w="268"/>
        <w:gridCol w:w="83"/>
        <w:gridCol w:w="1187"/>
        <w:gridCol w:w="60"/>
        <w:gridCol w:w="268"/>
        <w:gridCol w:w="189"/>
        <w:gridCol w:w="1032"/>
        <w:gridCol w:w="275"/>
        <w:gridCol w:w="187"/>
        <w:gridCol w:w="60"/>
        <w:gridCol w:w="2383"/>
        <w:gridCol w:w="64"/>
      </w:tblGrid>
      <w:tr>
        <w:trPr/>
        <w:tc>
          <w:tcPr>
            <w:tcW w:w="2516"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5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w:t>
            </w:r>
          </w:p>
        </w:tc>
        <w:tc>
          <w:tcPr>
            <w:tcW w:w="268" w:type="dxa"/>
            <w:tcBorders/>
            <w:vAlign w:val="bottom"/>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Owned(1)</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Class</w:t>
            </w:r>
          </w:p>
        </w:tc>
        <w:tc>
          <w:tcPr>
            <w:tcW w:w="27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Dollar Range of Equity</w:t>
              <w:br/>
              <w:t>Securities Beneficially</w:t>
              <w:br/>
              <w:t>Owned(2)(3)</w:t>
            </w:r>
          </w:p>
        </w:tc>
        <w:tc>
          <w:tcPr>
            <w:tcW w:w="64" w:type="dxa"/>
            <w:tcBorders/>
            <w:vAlign w:val="bottom"/>
          </w:tcPr>
          <w:p>
            <w:pPr>
              <w:pStyle w:val="TableContents"/>
              <w:bidi w:val="0"/>
              <w:spacing w:before="0" w:after="283"/>
              <w:jc w:val="left"/>
              <w:rPr/>
            </w:pPr>
            <w:r>
              <w:rPr/>
              <w:t> </w:t>
            </w:r>
          </w:p>
        </w:tc>
      </w:tr>
      <w:tr>
        <w:trPr/>
        <w:tc>
          <w:tcPr>
            <w:tcW w:w="25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Interested Directors</w:t>
            </w:r>
          </w:p>
        </w:tc>
        <w:tc>
          <w:tcPr>
            <w:tcW w:w="26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1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3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Edward H. Ross</w:t>
            </w:r>
          </w:p>
        </w:tc>
        <w:tc>
          <w:tcPr>
            <w:tcW w:w="26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177,788</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3" w:type="dxa"/>
            <w:tcBorders/>
            <w:vAlign w:val="bottom"/>
          </w:tcPr>
          <w:p>
            <w:pPr>
              <w:pStyle w:val="TableContents"/>
              <w:bidi w:val="0"/>
              <w:spacing w:before="0" w:after="283"/>
              <w:jc w:val="center"/>
              <w:rPr/>
            </w:pPr>
            <w:r>
              <w:rPr/>
              <w:t>Over $1,000,000</w:t>
            </w:r>
          </w:p>
        </w:tc>
        <w:tc>
          <w:tcPr>
            <w:tcW w:w="64" w:type="dxa"/>
            <w:tcBorders/>
            <w:vAlign w:val="bottom"/>
          </w:tcPr>
          <w:p>
            <w:pPr>
              <w:pStyle w:val="TableContents"/>
              <w:bidi w:val="0"/>
              <w:spacing w:before="0" w:after="283"/>
              <w:jc w:val="left"/>
              <w:rPr/>
            </w:pPr>
            <w:r>
              <w:rPr/>
              <w:t> </w:t>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Thomas C. Lauer</w:t>
            </w:r>
          </w:p>
        </w:tc>
        <w:tc>
          <w:tcPr>
            <w:tcW w:w="26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81,600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83" w:type="dxa"/>
            <w:tcBorders/>
            <w:shd w:fill="CCEEFF" w:val="clear"/>
            <w:vAlign w:val="bottom"/>
          </w:tcPr>
          <w:p>
            <w:pPr>
              <w:pStyle w:val="TableContents"/>
              <w:bidi w:val="0"/>
              <w:spacing w:before="0" w:after="283"/>
              <w:jc w:val="center"/>
              <w:rPr/>
            </w:pPr>
            <w:r>
              <w:rPr/>
              <w:t>Over $1,000,000</w:t>
            </w:r>
          </w:p>
        </w:tc>
        <w:tc>
          <w:tcPr>
            <w:tcW w:w="64"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8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25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Independent Directors</w:t>
            </w:r>
          </w:p>
        </w:tc>
        <w:tc>
          <w:tcPr>
            <w:tcW w:w="26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1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3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Raymond L. Anstiss, Jr.</w:t>
            </w:r>
          </w:p>
        </w:tc>
        <w:tc>
          <w:tcPr>
            <w:tcW w:w="26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25,896</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3" w:type="dxa"/>
            <w:tcBorders/>
            <w:vAlign w:val="bottom"/>
          </w:tcPr>
          <w:p>
            <w:pPr>
              <w:pStyle w:val="TableContents"/>
              <w:bidi w:val="0"/>
              <w:spacing w:before="0" w:after="283"/>
              <w:jc w:val="center"/>
              <w:rPr/>
            </w:pPr>
            <w:r>
              <w:rPr/>
              <w:t>$500,001 - $1,000,000</w:t>
            </w:r>
          </w:p>
        </w:tc>
        <w:tc>
          <w:tcPr>
            <w:tcW w:w="64" w:type="dxa"/>
            <w:tcBorders/>
            <w:vAlign w:val="bottom"/>
          </w:tcPr>
          <w:p>
            <w:pPr>
              <w:pStyle w:val="TableContents"/>
              <w:bidi w:val="0"/>
              <w:spacing w:before="0" w:after="283"/>
              <w:jc w:val="left"/>
              <w:rPr/>
            </w:pPr>
            <w:r>
              <w:rPr/>
              <w:t> </w:t>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Kelly McNamara Corley</w:t>
            </w:r>
          </w:p>
        </w:tc>
        <w:tc>
          <w:tcPr>
            <w:tcW w:w="26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83" w:type="dxa"/>
            <w:tcBorders/>
            <w:shd w:fill="CCEEFF" w:val="clear"/>
            <w:vAlign w:val="bottom"/>
          </w:tcPr>
          <w:p>
            <w:pPr>
              <w:pStyle w:val="TableContents"/>
              <w:bidi w:val="0"/>
              <w:spacing w:before="0" w:after="283"/>
              <w:jc w:val="center"/>
              <w:rPr/>
            </w:pPr>
            <w:r>
              <w:rPr/>
              <w:t>None</w:t>
            </w:r>
          </w:p>
        </w:tc>
        <w:tc>
          <w:tcPr>
            <w:tcW w:w="64"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Edward X. Tune</w:t>
            </w:r>
          </w:p>
        </w:tc>
        <w:tc>
          <w:tcPr>
            <w:tcW w:w="26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6,000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3" w:type="dxa"/>
            <w:tcBorders/>
            <w:vAlign w:val="bottom"/>
          </w:tcPr>
          <w:p>
            <w:pPr>
              <w:pStyle w:val="TableContents"/>
              <w:bidi w:val="0"/>
              <w:spacing w:before="0" w:after="283"/>
              <w:jc w:val="center"/>
              <w:rPr/>
            </w:pPr>
            <w:r>
              <w:rPr/>
              <w:t>$100,001 - $500,000</w:t>
            </w:r>
          </w:p>
        </w:tc>
        <w:tc>
          <w:tcPr>
            <w:tcW w:w="64" w:type="dxa"/>
            <w:tcBorders/>
            <w:vAlign w:val="bottom"/>
          </w:tcPr>
          <w:p>
            <w:pPr>
              <w:pStyle w:val="TableContents"/>
              <w:bidi w:val="0"/>
              <w:spacing w:before="0" w:after="283"/>
              <w:jc w:val="left"/>
              <w:rPr/>
            </w:pPr>
            <w:r>
              <w:rPr/>
              <w:t> </w:t>
            </w:r>
          </w:p>
        </w:tc>
      </w:tr>
      <w:tr>
        <w:trPr/>
        <w:tc>
          <w:tcPr>
            <w:tcW w:w="2516" w:type="dxa"/>
            <w:tcBorders/>
            <w:shd w:fill="CCEEFF" w:val="clear"/>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1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3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2516" w:type="dxa"/>
            <w:tcBorders/>
          </w:tcPr>
          <w:p>
            <w:pPr>
              <w:pStyle w:val="TableContents"/>
              <w:bidi w:val="0"/>
              <w:spacing w:before="0" w:after="0"/>
              <w:jc w:val="left"/>
              <w:rPr>
                <w:rFonts w:ascii="Times New Roman" w:hAnsi="Times New Roman"/>
                <w:b/>
                <w:sz w:val="20"/>
              </w:rPr>
            </w:pPr>
            <w:r>
              <w:rPr>
                <w:rFonts w:ascii="Times New Roman" w:hAnsi="Times New Roman"/>
                <w:b/>
                <w:sz w:val="20"/>
              </w:rPr>
              <w:t>Executive Officers Who Are Not Directors</w:t>
            </w:r>
          </w:p>
        </w:tc>
        <w:tc>
          <w:tcPr>
            <w:tcW w:w="26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8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Shelby E. Sherard</w:t>
            </w:r>
          </w:p>
        </w:tc>
        <w:tc>
          <w:tcPr>
            <w:tcW w:w="26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31,660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83" w:type="dxa"/>
            <w:tcBorders/>
            <w:shd w:fill="CCEEFF" w:val="clear"/>
            <w:vAlign w:val="bottom"/>
          </w:tcPr>
          <w:p>
            <w:pPr>
              <w:pStyle w:val="TableContents"/>
              <w:bidi w:val="0"/>
              <w:spacing w:before="0" w:after="283"/>
              <w:jc w:val="center"/>
              <w:rPr/>
            </w:pPr>
            <w:r>
              <w:rPr/>
              <w:t>$500,001 - $1,000,000</w:t>
            </w:r>
          </w:p>
        </w:tc>
        <w:tc>
          <w:tcPr>
            <w:tcW w:w="64"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b/>
                <w:sz w:val="20"/>
              </w:rPr>
            </w:pPr>
            <w:r>
              <w:rPr>
                <w:rFonts w:ascii="Times New Roman" w:hAnsi="Times New Roman"/>
                <w:b/>
                <w:sz w:val="20"/>
              </w:rPr>
              <w:t>All Directors and Executive Officers as a Group</w:t>
            </w:r>
          </w:p>
        </w:tc>
        <w:tc>
          <w:tcPr>
            <w:tcW w:w="26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322,944</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0.8</w:t>
            </w:r>
          </w:p>
        </w:tc>
        <w:tc>
          <w:tcPr>
            <w:tcW w:w="27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3" w:type="dxa"/>
            <w:tcBorders/>
            <w:vAlign w:val="bottom"/>
          </w:tcPr>
          <w:p>
            <w:pPr>
              <w:pStyle w:val="TableContents"/>
              <w:bidi w:val="0"/>
              <w:spacing w:before="0" w:after="283"/>
              <w:jc w:val="center"/>
              <w:rPr/>
            </w:pPr>
            <w:r>
              <w:rPr/>
              <w:t>Over $1,000,000</w:t>
            </w:r>
          </w:p>
        </w:tc>
        <w:tc>
          <w:tcPr>
            <w:tcW w:w="64"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less than 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has been determined in accordance with Rule 13d-3 of the Exchange Act.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has been determined in accordance with Rule 16a-1(a)(2) of the Exchange Act.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Dollar ranges are as follows: None, $1 - $10,000, $10,001 - $50,000, $50,001 - $100,000, $100,001 - $500,000; $500,001 - $1,000,000 or Over $1,000,000. The dollar range of equity securities beneficially owned by our directors is based on a stock price of $19.62 per share as of September 8,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of our investment advisor’s investment committee members has ownership and financial interests in, and may receive compensation and/or profit distributions from, our investment advisor. Each of the members of the investment committee will receive compensation and/or profit distributions from our investment advisor. None of the members of the investment committee receives any direct compensation from us. The following table shows the dollar range of our common stock beneficially owned by each member of our investment advisor’s investment committees as of September 8,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74"/>
        <w:gridCol w:w="260"/>
        <w:gridCol w:w="2205"/>
      </w:tblGrid>
      <w:tr>
        <w:trPr/>
        <w:tc>
          <w:tcPr>
            <w:tcW w:w="4474"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r>
      <w:tr>
        <w:trPr/>
        <w:tc>
          <w:tcPr>
            <w:tcW w:w="44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Members of our Investment Advisor’s Investment</w:t>
              <w:br/>
              <w:t>Committee</w:t>
            </w:r>
          </w:p>
        </w:tc>
        <w:tc>
          <w:tcPr>
            <w:tcW w:w="260" w:type="dxa"/>
            <w:tcBorders/>
            <w:vAlign w:val="bottom"/>
          </w:tcPr>
          <w:p>
            <w:pPr>
              <w:pStyle w:val="TableContents"/>
              <w:bidi w:val="0"/>
              <w:spacing w:before="0" w:after="283"/>
              <w:jc w:val="left"/>
              <w:rPr/>
            </w:pPr>
            <w:r>
              <w:rPr/>
              <w:t>  </w:t>
            </w:r>
          </w:p>
        </w:tc>
        <w:tc>
          <w:tcPr>
            <w:tcW w:w="2205" w:type="dxa"/>
            <w:tcBorders>
              <w:bottom w:val="single" w:sz="8" w:space="0" w:color="000000"/>
            </w:tcBorders>
            <w:tcMar>
              <w:bottom w:w="28" w:type="dxa"/>
            </w:tcMar>
            <w:vAlign w:val="bottom"/>
          </w:tcPr>
          <w:p>
            <w:pPr>
              <w:pStyle w:val="TableContents"/>
              <w:bidi w:val="0"/>
              <w:spacing w:before="0" w:after="283"/>
              <w:jc w:val="center"/>
              <w:rPr>
                <w:b/>
              </w:rPr>
            </w:pPr>
            <w:r>
              <w:rPr>
                <w:b/>
              </w:rPr>
              <w:t>Dollar Range of Equity</w:t>
              <w:br/>
              <w:t>Securities in Fidus</w:t>
              <w:br/>
              <w:t>Investment</w:t>
              <w:br/>
              <w:t>Corporation(1)</w:t>
            </w:r>
          </w:p>
        </w:tc>
      </w:tr>
      <w:tr>
        <w:trPr/>
        <w:tc>
          <w:tcPr>
            <w:tcW w:w="4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Edward H. Ross</w:t>
            </w:r>
          </w:p>
        </w:tc>
        <w:tc>
          <w:tcPr>
            <w:tcW w:w="260" w:type="dxa"/>
            <w:tcBorders/>
            <w:shd w:fill="CCEEFF" w:val="clear"/>
            <w:vAlign w:val="bottom"/>
          </w:tcPr>
          <w:p>
            <w:pPr>
              <w:pStyle w:val="TableContents"/>
              <w:bidi w:val="0"/>
              <w:spacing w:before="0" w:after="283"/>
              <w:jc w:val="left"/>
              <w:rPr/>
            </w:pPr>
            <w:r>
              <w:rPr/>
              <w:t>  </w:t>
            </w:r>
          </w:p>
        </w:tc>
        <w:tc>
          <w:tcPr>
            <w:tcW w:w="2205" w:type="dxa"/>
            <w:tcBorders/>
            <w:shd w:fill="CCEEFF" w:val="clear"/>
            <w:vAlign w:val="bottom"/>
          </w:tcPr>
          <w:p>
            <w:pPr>
              <w:pStyle w:val="TableContents"/>
              <w:bidi w:val="0"/>
              <w:spacing w:before="0" w:after="283"/>
              <w:jc w:val="center"/>
              <w:rPr/>
            </w:pPr>
            <w:r>
              <w:rPr/>
              <w:t>Over $1,000,000</w:t>
            </w:r>
          </w:p>
        </w:tc>
      </w:tr>
      <w:tr>
        <w:trPr/>
        <w:tc>
          <w:tcPr>
            <w:tcW w:w="4474" w:type="dxa"/>
            <w:tcBorders/>
          </w:tcPr>
          <w:p>
            <w:pPr>
              <w:pStyle w:val="TableContents"/>
              <w:bidi w:val="0"/>
              <w:spacing w:before="0" w:after="0"/>
              <w:jc w:val="left"/>
              <w:rPr>
                <w:rFonts w:ascii="Times New Roman" w:hAnsi="Times New Roman"/>
                <w:sz w:val="20"/>
              </w:rPr>
            </w:pPr>
            <w:r>
              <w:rPr>
                <w:rFonts w:ascii="Times New Roman" w:hAnsi="Times New Roman"/>
                <w:sz w:val="20"/>
              </w:rPr>
              <w:t>John J. Ross, II</w:t>
            </w:r>
          </w:p>
        </w:tc>
        <w:tc>
          <w:tcPr>
            <w:tcW w:w="260" w:type="dxa"/>
            <w:tcBorders/>
            <w:vAlign w:val="bottom"/>
          </w:tcPr>
          <w:p>
            <w:pPr>
              <w:pStyle w:val="TableContents"/>
              <w:bidi w:val="0"/>
              <w:spacing w:before="0" w:after="283"/>
              <w:jc w:val="left"/>
              <w:rPr/>
            </w:pPr>
            <w:r>
              <w:rPr/>
              <w:t>  </w:t>
            </w:r>
          </w:p>
        </w:tc>
        <w:tc>
          <w:tcPr>
            <w:tcW w:w="2205" w:type="dxa"/>
            <w:tcBorders/>
            <w:vAlign w:val="bottom"/>
          </w:tcPr>
          <w:p>
            <w:pPr>
              <w:pStyle w:val="TableContents"/>
              <w:bidi w:val="0"/>
              <w:spacing w:before="0" w:after="283"/>
              <w:jc w:val="center"/>
              <w:rPr/>
            </w:pPr>
            <w:r>
              <w:rPr/>
              <w:t>Over $1,000,000</w:t>
            </w:r>
          </w:p>
        </w:tc>
      </w:tr>
      <w:tr>
        <w:trPr/>
        <w:tc>
          <w:tcPr>
            <w:tcW w:w="4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Thomas C. Lauer</w:t>
            </w:r>
          </w:p>
        </w:tc>
        <w:tc>
          <w:tcPr>
            <w:tcW w:w="260" w:type="dxa"/>
            <w:tcBorders/>
            <w:shd w:fill="CCEEFF" w:val="clear"/>
            <w:vAlign w:val="bottom"/>
          </w:tcPr>
          <w:p>
            <w:pPr>
              <w:pStyle w:val="TableContents"/>
              <w:bidi w:val="0"/>
              <w:spacing w:before="0" w:after="283"/>
              <w:jc w:val="left"/>
              <w:rPr/>
            </w:pPr>
            <w:r>
              <w:rPr/>
              <w:t>  </w:t>
            </w:r>
          </w:p>
        </w:tc>
        <w:tc>
          <w:tcPr>
            <w:tcW w:w="2205" w:type="dxa"/>
            <w:tcBorders/>
            <w:shd w:fill="CCEEFF" w:val="clear"/>
            <w:vAlign w:val="bottom"/>
          </w:tcPr>
          <w:p>
            <w:pPr>
              <w:pStyle w:val="TableContents"/>
              <w:bidi w:val="0"/>
              <w:spacing w:before="0" w:after="283"/>
              <w:jc w:val="center"/>
              <w:rPr/>
            </w:pPr>
            <w:r>
              <w:rPr/>
              <w:t>Over $1,000,000</w:t>
            </w:r>
          </w:p>
        </w:tc>
      </w:tr>
      <w:tr>
        <w:trPr/>
        <w:tc>
          <w:tcPr>
            <w:tcW w:w="4474" w:type="dxa"/>
            <w:tcBorders/>
          </w:tcPr>
          <w:p>
            <w:pPr>
              <w:pStyle w:val="TableContents"/>
              <w:bidi w:val="0"/>
              <w:spacing w:before="0" w:after="0"/>
              <w:jc w:val="left"/>
              <w:rPr>
                <w:rFonts w:ascii="Times New Roman" w:hAnsi="Times New Roman"/>
                <w:sz w:val="20"/>
              </w:rPr>
            </w:pPr>
            <w:r>
              <w:rPr>
                <w:rFonts w:ascii="Times New Roman" w:hAnsi="Times New Roman"/>
                <w:sz w:val="20"/>
              </w:rPr>
              <w:t>W. Andrew Worth</w:t>
            </w:r>
          </w:p>
        </w:tc>
        <w:tc>
          <w:tcPr>
            <w:tcW w:w="260" w:type="dxa"/>
            <w:tcBorders/>
            <w:vAlign w:val="bottom"/>
          </w:tcPr>
          <w:p>
            <w:pPr>
              <w:pStyle w:val="TableContents"/>
              <w:bidi w:val="0"/>
              <w:spacing w:before="0" w:after="283"/>
              <w:jc w:val="left"/>
              <w:rPr/>
            </w:pPr>
            <w:r>
              <w:rPr/>
              <w:t>  </w:t>
            </w:r>
          </w:p>
        </w:tc>
        <w:tc>
          <w:tcPr>
            <w:tcW w:w="2205" w:type="dxa"/>
            <w:tcBorders/>
            <w:vAlign w:val="bottom"/>
          </w:tcPr>
          <w:p>
            <w:pPr>
              <w:pStyle w:val="TableContents"/>
              <w:bidi w:val="0"/>
              <w:spacing w:before="0" w:after="283"/>
              <w:jc w:val="center"/>
              <w:rPr/>
            </w:pPr>
            <w:r>
              <w:rPr/>
              <w:t>$500,001 - $1,000,000</w:t>
            </w:r>
          </w:p>
        </w:tc>
      </w:tr>
      <w:tr>
        <w:trPr/>
        <w:tc>
          <w:tcPr>
            <w:tcW w:w="4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J. Miller</w:t>
            </w:r>
          </w:p>
        </w:tc>
        <w:tc>
          <w:tcPr>
            <w:tcW w:w="260" w:type="dxa"/>
            <w:tcBorders/>
            <w:shd w:fill="CCEEFF" w:val="clear"/>
            <w:vAlign w:val="bottom"/>
          </w:tcPr>
          <w:p>
            <w:pPr>
              <w:pStyle w:val="TableContents"/>
              <w:bidi w:val="0"/>
              <w:spacing w:before="0" w:after="283"/>
              <w:jc w:val="left"/>
              <w:rPr/>
            </w:pPr>
            <w:r>
              <w:rPr/>
              <w:t>  </w:t>
            </w:r>
          </w:p>
        </w:tc>
        <w:tc>
          <w:tcPr>
            <w:tcW w:w="2205" w:type="dxa"/>
            <w:tcBorders/>
            <w:shd w:fill="CCEEFF" w:val="clear"/>
            <w:vAlign w:val="bottom"/>
          </w:tcPr>
          <w:p>
            <w:pPr>
              <w:pStyle w:val="TableContents"/>
              <w:bidi w:val="0"/>
              <w:spacing w:before="0" w:after="283"/>
              <w:jc w:val="center"/>
              <w:rPr/>
            </w:pPr>
            <w:r>
              <w:rPr/>
              <w:t>$500,001 - $1,000,000</w:t>
            </w:r>
          </w:p>
        </w:tc>
      </w:tr>
      <w:tr>
        <w:trPr/>
        <w:tc>
          <w:tcPr>
            <w:tcW w:w="4474" w:type="dxa"/>
            <w:tcBorders/>
          </w:tcPr>
          <w:p>
            <w:pPr>
              <w:pStyle w:val="TableContents"/>
              <w:bidi w:val="0"/>
              <w:spacing w:before="0" w:after="0"/>
              <w:jc w:val="left"/>
              <w:rPr>
                <w:rFonts w:ascii="Times New Roman" w:hAnsi="Times New Roman"/>
                <w:sz w:val="20"/>
              </w:rPr>
            </w:pPr>
            <w:r>
              <w:rPr>
                <w:rFonts w:ascii="Times New Roman" w:hAnsi="Times New Roman"/>
                <w:sz w:val="20"/>
              </w:rPr>
              <w:t>John H. Grigg</w:t>
            </w:r>
          </w:p>
        </w:tc>
        <w:tc>
          <w:tcPr>
            <w:tcW w:w="260" w:type="dxa"/>
            <w:tcBorders/>
            <w:vAlign w:val="bottom"/>
          </w:tcPr>
          <w:p>
            <w:pPr>
              <w:pStyle w:val="TableContents"/>
              <w:bidi w:val="0"/>
              <w:spacing w:before="0" w:after="283"/>
              <w:jc w:val="left"/>
              <w:rPr/>
            </w:pPr>
            <w:r>
              <w:rPr/>
              <w:t>  </w:t>
            </w:r>
          </w:p>
        </w:tc>
        <w:tc>
          <w:tcPr>
            <w:tcW w:w="2205" w:type="dxa"/>
            <w:tcBorders/>
            <w:vAlign w:val="bottom"/>
          </w:tcPr>
          <w:p>
            <w:pPr>
              <w:pStyle w:val="TableContents"/>
              <w:bidi w:val="0"/>
              <w:spacing w:before="0" w:after="283"/>
              <w:jc w:val="center"/>
              <w:rPr/>
            </w:pPr>
            <w:r>
              <w:rPr/>
              <w:t>$500,001 - $1,000,000</w:t>
            </w:r>
          </w:p>
        </w:tc>
      </w:tr>
      <w:tr>
        <w:trPr/>
        <w:tc>
          <w:tcPr>
            <w:tcW w:w="4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G. Lesley</w:t>
            </w:r>
          </w:p>
        </w:tc>
        <w:tc>
          <w:tcPr>
            <w:tcW w:w="260" w:type="dxa"/>
            <w:tcBorders/>
            <w:shd w:fill="CCEEFF" w:val="clear"/>
            <w:vAlign w:val="bottom"/>
          </w:tcPr>
          <w:p>
            <w:pPr>
              <w:pStyle w:val="TableContents"/>
              <w:bidi w:val="0"/>
              <w:spacing w:before="0" w:after="283"/>
              <w:jc w:val="left"/>
              <w:rPr/>
            </w:pPr>
            <w:r>
              <w:rPr/>
              <w:t>  </w:t>
            </w:r>
          </w:p>
        </w:tc>
        <w:tc>
          <w:tcPr>
            <w:tcW w:w="2205" w:type="dxa"/>
            <w:tcBorders/>
            <w:shd w:fill="CCEEFF" w:val="clear"/>
            <w:vAlign w:val="bottom"/>
          </w:tcPr>
          <w:p>
            <w:pPr>
              <w:pStyle w:val="TableContents"/>
              <w:bidi w:val="0"/>
              <w:spacing w:before="0" w:after="283"/>
              <w:jc w:val="center"/>
              <w:rPr/>
            </w:pPr>
            <w:r>
              <w:rPr/>
              <w:t>$100,001 - $500,000</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Dollar ranges are as follows: None, $1 - $10,000, $10,001 - $50,000, $50,001 - $100,000, $100,001 - $500,000; $500,001 - $1,000,000 or Over $1,000,000. The dollar range of equity securities beneficially owned by our directors is based on a stock price of $19.62 per share as of September 8,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139616_19"/>
      <w:bookmarkEnd w:id="20"/>
      <w:r>
        <w:rPr>
          <w:rFonts w:ascii="Times New Roman" w:hAnsi="Times New Roman"/>
          <w:b/>
          <w:sz w:val="20"/>
        </w:rPr>
        <w:t xml:space="preserve">DESCRIPTION OF OUR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 </w:t>
      </w:r>
    </w:p>
    <w:p>
      <w:pPr>
        <w:pStyle w:val="TextBody"/>
        <w:bidi w:val="0"/>
        <w:spacing w:before="360" w:after="0"/>
        <w:jc w:val="left"/>
        <w:rPr>
          <w:rFonts w:ascii="Times New Roman" w:hAnsi="Times New Roman"/>
          <w:b/>
          <w:sz w:val="20"/>
        </w:rPr>
      </w:pPr>
      <w:r>
        <w:rPr>
          <w:rFonts w:ascii="Times New Roman" w:hAnsi="Times New Roman"/>
          <w:b/>
          <w:sz w:val="20"/>
        </w:rPr>
        <w:t xml:space="preserve">Capital Stock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100,000,000 shares of common stock, par value $0.001 per share, of which 39,770,605 shares were outstanding as of September 8, 2026. Our common stock trades on the Nasdaq Global Select Market under the ticker symbol “FDUS.” There are no outstanding options or warrants to purchase our stock. No stock has been authorized for issuance under any equity compensation plan. Under Maryland law, our stockholders generally are not personally liable for our debts or obligations. </w:t>
      </w:r>
    </w:p>
    <w:p>
      <w:pPr>
        <w:pStyle w:val="TextBody"/>
        <w:bidi w:val="0"/>
        <w:spacing w:before="240" w:after="0"/>
        <w:jc w:val="left"/>
        <w:rPr>
          <w:rFonts w:ascii="Times New Roman" w:hAnsi="Times New Roman"/>
          <w:sz w:val="20"/>
        </w:rPr>
      </w:pPr>
      <w:r>
        <w:rPr>
          <w:rFonts w:ascii="Times New Roman" w:hAnsi="Times New Roman"/>
          <w:sz w:val="20"/>
        </w:rPr>
        <w:t xml:space="preserve">Under our charter, our board of directors is authorized to classify and reclassify any unissued shares of stock into other classes or series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All shares of our common stock have equal rights as to earnings, assets, voting, and distributions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and conditions of redemption for each class or series. Thus, our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 Maryland law and any other limitations imposed by law.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description of the terms of the preferred stock we may issue from time to time. Particular terms of any preferred stock we offer will be described in the prospectus supplement relating to such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issue preferred stock, it will pay dividends to the holders of the preferred stock at either a fixed rate or a rate that will be reset frequently based on short-term interest rates, as described in a prospectus supplement accompanying each preferred share offering.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election described below, the 1940 Act requires, among other things, that (1) immediately after issuance and before any distribution is made with respect to our common stock and before any purchase of common stock is made, such preferred stock, together with all other senior securities, must not exceed an amount equal to 50.0%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Further, the 1940 Act requires that any distributions we make on preferred stock be cumulative. We believe that the availability for issuance of preferred stock will provide us with increased flexibility in structuring future financings and acquisitions. Notwithstanding the foregoing, we are currently allowed to borrow amounts such that our asset coverage, as calculated pursuant to the 1940 Act, equals at least 150% after such borrowing (i.e., we are able to borrow up to two dollars for every dollar we have in assets less all liabilities and indebtedness not represented by senior securities issued by us). </w:t>
      </w:r>
    </w:p>
    <w:p>
      <w:pPr>
        <w:pStyle w:val="TextBody"/>
        <w:bidi w:val="0"/>
        <w:spacing w:before="240" w:after="0"/>
        <w:jc w:val="left"/>
        <w:rPr>
          <w:rFonts w:ascii="Times New Roman" w:hAnsi="Times New Roman"/>
          <w:sz w:val="20"/>
        </w:rPr>
      </w:pPr>
      <w:r>
        <w:rPr>
          <w:rFonts w:ascii="Times New Roman" w:hAnsi="Times New Roman"/>
          <w:sz w:val="20"/>
        </w:rPr>
        <w:t xml:space="preserve">For any series of preferred stock that we may issue, our board of directors will determine and the prospectus supplement relating to such series will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number of shares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time at which, and the preferences and conditions under which, any distributions will be paid on shares of such series, as well as whether such distributions are participating or non-participating;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convertibility or exchangeability of the shares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and preferences, if any, of holders of shares of such series upon our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powers, if any, of the holders of shares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the redemption of the shares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our ability to pay distributions on, or acquire or redeem, other securities while shares of such series are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conditions or restrictions on our ability to issue additional shares of such series or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relative powers, preferences and participating, optional or special rights of shares of such series, and the qualifications, limitations or restrictions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preferred stock may be either fixed rate preferred stock or variable rate preferred stock, which is sometimes referred to as “auction rate” preferred stock. 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distributions, if any, thereon will be cumulative. If we issue shares of preferred stock, holders of such preferred stock will be entitled to receive cash distributions at an annual rate that will be fixed or will vary for the successive distribution periods for each series. In general, the distribution periods for fixed rate preferred stock can range from quarterly to weekly and are subject to extension. The distribution rate to be variable and determined for each distribution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Long-Term Debt </w:t>
      </w:r>
    </w:p>
    <w:p>
      <w:pPr>
        <w:pStyle w:val="TextBody"/>
        <w:bidi w:val="0"/>
        <w:spacing w:before="120" w:after="0"/>
        <w:jc w:val="left"/>
        <w:rPr>
          <w:rFonts w:ascii="Times New Roman" w:hAnsi="Times New Roman"/>
          <w:sz w:val="20"/>
        </w:rPr>
      </w:pPr>
      <w:r>
        <w:rPr>
          <w:rFonts w:ascii="Times New Roman" w:hAnsi="Times New Roman"/>
          <w:sz w:val="20"/>
        </w:rPr>
        <w:t xml:space="preserve">The SBA debentures issued by the SBIC Funds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June 30, 2026, the SBIC Funds had $296.0 million of outstanding SBA debentures. </w:t>
      </w:r>
    </w:p>
    <w:p>
      <w:pPr>
        <w:pStyle w:val="TextBody"/>
        <w:bidi w:val="0"/>
        <w:spacing w:before="360" w:after="0"/>
        <w:jc w:val="left"/>
        <w:rPr>
          <w:rFonts w:ascii="Times New Roman" w:hAnsi="Times New Roman"/>
          <w:b/>
          <w:sz w:val="20"/>
        </w:rPr>
      </w:pPr>
      <w:r>
        <w:rPr>
          <w:rFonts w:ascii="Times New Roman" w:hAnsi="Times New Roman"/>
          <w:b/>
          <w:sz w:val="20"/>
        </w:rPr>
        <w:t xml:space="preserve">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On October 16, 2025, we entered into a credit and security agreement (the “SPV Credit Agreement”) relating to the SPV Credit Facility by and among the SPV, as borrower, us, as servicer and equityholder, ING, as administrative agent (the “Administrative Agent”) and lead arranger, Western Alliance Trust Company, N.A., as custodian, collateral agent, and collateral administrator, and the lenders from time to time parties thereto. The SPV Credit Facility is secured primarily by a pledge of 100% of the equity interest in the SPV held by the Company and the SPV’s assets, which consist of certain bank loans or securities. The SPV Credit Facility provides for $175.0 million of initial commitments, and has an accordion feature that allows for an increase of the total commitments to up to $250.0 million, subject to certain conditions (including the consent of the Administrative Agent). On December 22, 2025, the total commitments available under the SPV Credit Facility was increased from $175.0 million to $225.0 million pursuant to the accordion feature. The SPV Credit Facility has a reinvestment period until October 16, 2029 and matures on October 16, 2030. The advances under the SPV Credit Facility bear interest, subject to our election, on a per annum basis equal to one-month Term SOFR plus 0.11448% and an applicable margin ranging from 2.500% to 2.675%. The SPV pays a commitment fee that varies depending on the size of the unused portion of the SPV Credit Facility: (1) if the utilized portion of the aggregate commitments as of the close of business on such day is less than 35% of the aggregate commitments (the “Minimum Utilization Amount”), the commitment fee will equal the sum of (a) the then applicable margin multiplied by (i) the Minimum Utilization Amount minus (ii) the aggregate outstanding principal balance of the advances on such day and (b) 0.50% multiplied by 65% of the commitments and (2) if the utilized portion of the aggregate commitments is greater than or equal to the Minimum Utilization Amount, the commitment fee will equal 0.50% multiplied by the unused amount of the commitments. </w:t>
      </w:r>
    </w:p>
    <w:p>
      <w:pPr>
        <w:pStyle w:val="TextBody"/>
        <w:bidi w:val="0"/>
        <w:spacing w:before="240" w:after="0"/>
        <w:jc w:val="left"/>
        <w:rPr>
          <w:rFonts w:ascii="Times New Roman" w:hAnsi="Times New Roman"/>
          <w:sz w:val="20"/>
        </w:rPr>
      </w:pPr>
      <w:r>
        <w:rPr>
          <w:rFonts w:ascii="Times New Roman" w:hAnsi="Times New Roman"/>
          <w:sz w:val="20"/>
        </w:rPr>
        <w:t xml:space="preserve">Amounts available to borrow under the SPV Credit Facility are subject to a minimum borrowing/collateral base that applies an advance rate to certain investments held by the SPV. We are subject to limitations with respect to the investments securing the SPV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 As of September 8, 2026, the remaining available borrowing capacity under the SPV Credit Facility was $144.8 million. </w:t>
      </w:r>
    </w:p>
    <w:p>
      <w:pPr>
        <w:pStyle w:val="TextBody"/>
        <w:bidi w:val="0"/>
        <w:spacing w:before="240" w:after="0"/>
        <w:jc w:val="left"/>
        <w:rPr>
          <w:rFonts w:ascii="Times New Roman" w:hAnsi="Times New Roman"/>
          <w:sz w:val="20"/>
        </w:rPr>
      </w:pPr>
      <w:r>
        <w:rPr>
          <w:rFonts w:ascii="Times New Roman" w:hAnsi="Times New Roman"/>
          <w:sz w:val="20"/>
        </w:rPr>
        <w:t xml:space="preserve">We have made customary representations and warranties and we are required to comply with various covenants, reporting requirements and other customary requirements. These covenants are subject to important limitations and exceptions that are described in the documents governing the SPV Credit Facility. As of September 8, 2026, we were in compliance in all material respects with the terms of the SPV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Outstanding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our outstanding classes of securities as of September 8,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629"/>
        <w:gridCol w:w="356"/>
        <w:gridCol w:w="140"/>
        <w:gridCol w:w="1288"/>
        <w:gridCol w:w="60"/>
        <w:gridCol w:w="356"/>
        <w:gridCol w:w="233"/>
        <w:gridCol w:w="1547"/>
        <w:gridCol w:w="60"/>
        <w:gridCol w:w="356"/>
        <w:gridCol w:w="154"/>
        <w:gridCol w:w="1325"/>
        <w:gridCol w:w="68"/>
      </w:tblGrid>
      <w:tr>
        <w:trPr/>
        <w:tc>
          <w:tcPr>
            <w:tcW w:w="2629"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62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 of Class</w:t>
            </w:r>
          </w:p>
        </w:tc>
        <w:tc>
          <w:tcPr>
            <w:tcW w:w="356" w:type="dxa"/>
            <w:tcBorders/>
            <w:vAlign w:val="bottom"/>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br/>
              <w:t>Authorized(1)</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7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Held by</w:t>
              <w:br/>
              <w:t>Company for its</w:t>
              <w:br/>
              <w:t>Account</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br/>
              <w:t>Outstanding as</w:t>
              <w:br/>
              <w:t>of September 8,</w:t>
              <w:br/>
              <w:t>2026</w:t>
            </w:r>
          </w:p>
        </w:tc>
        <w:tc>
          <w:tcPr>
            <w:tcW w:w="68" w:type="dxa"/>
            <w:tcBorders/>
            <w:vAlign w:val="bottom"/>
          </w:tcPr>
          <w:p>
            <w:pPr>
              <w:pStyle w:val="TableContents"/>
              <w:bidi w:val="0"/>
              <w:spacing w:before="0" w:after="283"/>
              <w:jc w:val="left"/>
              <w:rPr/>
            </w:pPr>
            <w:r>
              <w:rPr/>
              <w:t> </w:t>
            </w:r>
          </w:p>
        </w:tc>
      </w:tr>
      <w:tr>
        <w:trPr/>
        <w:tc>
          <w:tcPr>
            <w:tcW w:w="2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100,000,000</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5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39,770,605</w:t>
            </w:r>
          </w:p>
        </w:tc>
        <w:tc>
          <w:tcPr>
            <w:tcW w:w="68" w:type="dxa"/>
            <w:tcBorders/>
            <w:shd w:fill="CCEEFF" w:val="clear"/>
            <w:vAlign w:val="bottom"/>
          </w:tcPr>
          <w:p>
            <w:pPr>
              <w:pStyle w:val="TableContents"/>
              <w:bidi w:val="0"/>
              <w:spacing w:before="0" w:after="283"/>
              <w:jc w:val="left"/>
              <w:rPr/>
            </w:pPr>
            <w:r>
              <w:rPr/>
              <w:t> </w:t>
            </w:r>
          </w:p>
        </w:tc>
      </w:tr>
      <w:tr>
        <w:trPr/>
        <w:tc>
          <w:tcPr>
            <w:tcW w:w="2629" w:type="dxa"/>
            <w:tcBorders/>
          </w:tcPr>
          <w:p>
            <w:pPr>
              <w:pStyle w:val="TableContents"/>
              <w:bidi w:val="0"/>
              <w:spacing w:before="0" w:after="0"/>
              <w:jc w:val="left"/>
              <w:rPr>
                <w:rFonts w:ascii="Times New Roman" w:hAnsi="Times New Roman"/>
                <w:sz w:val="20"/>
              </w:rPr>
            </w:pPr>
            <w:r>
              <w:rPr>
                <w:rFonts w:ascii="Times New Roman" w:hAnsi="Times New Roman"/>
                <w:sz w:val="20"/>
              </w:rPr>
              <w:t>SBA Debentures(2)</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314,500,000</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5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25" w:type="dxa"/>
            <w:tcBorders/>
            <w:vAlign w:val="bottom"/>
          </w:tcPr>
          <w:p>
            <w:pPr>
              <w:pStyle w:val="TableContents"/>
              <w:bidi w:val="0"/>
              <w:spacing w:before="0" w:after="283"/>
              <w:jc w:val="right"/>
              <w:rPr/>
            </w:pPr>
            <w:r>
              <w:rPr/>
              <w:t>289,500,000</w:t>
            </w:r>
          </w:p>
        </w:tc>
        <w:tc>
          <w:tcPr>
            <w:tcW w:w="68" w:type="dxa"/>
            <w:tcBorders/>
            <w:vAlign w:val="bottom"/>
          </w:tcPr>
          <w:p>
            <w:pPr>
              <w:pStyle w:val="TableContents"/>
              <w:bidi w:val="0"/>
              <w:spacing w:before="0" w:after="283"/>
              <w:jc w:val="left"/>
              <w:rPr/>
            </w:pPr>
            <w:r>
              <w:rPr/>
              <w:t> </w:t>
            </w:r>
          </w:p>
        </w:tc>
      </w:tr>
      <w:tr>
        <w:trPr/>
        <w:tc>
          <w:tcPr>
            <w:tcW w:w="2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SPV Credit Facility</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225,000,000</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5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325" w:type="dxa"/>
            <w:tcBorders/>
            <w:shd w:fill="CCEEFF" w:val="clear"/>
            <w:vAlign w:val="bottom"/>
          </w:tcPr>
          <w:p>
            <w:pPr>
              <w:pStyle w:val="TableContents"/>
              <w:bidi w:val="0"/>
              <w:spacing w:before="0" w:after="283"/>
              <w:jc w:val="right"/>
              <w:rPr/>
            </w:pPr>
            <w:r>
              <w:rPr/>
              <w:t>80,250,000</w:t>
            </w:r>
          </w:p>
        </w:tc>
        <w:tc>
          <w:tcPr>
            <w:tcW w:w="68" w:type="dxa"/>
            <w:tcBorders/>
            <w:shd w:fill="CCEEFF" w:val="clear"/>
            <w:vAlign w:val="bottom"/>
          </w:tcPr>
          <w:p>
            <w:pPr>
              <w:pStyle w:val="TableContents"/>
              <w:bidi w:val="0"/>
              <w:spacing w:before="0" w:after="283"/>
              <w:jc w:val="left"/>
              <w:rPr/>
            </w:pPr>
            <w:r>
              <w:rPr/>
              <w:t> </w:t>
            </w:r>
          </w:p>
        </w:tc>
      </w:tr>
      <w:tr>
        <w:trPr/>
        <w:tc>
          <w:tcPr>
            <w:tcW w:w="2629" w:type="dxa"/>
            <w:tcBorders/>
          </w:tcPr>
          <w:p>
            <w:pPr>
              <w:pStyle w:val="TableContents"/>
              <w:bidi w:val="0"/>
              <w:spacing w:before="0" w:after="0"/>
              <w:jc w:val="left"/>
              <w:rPr>
                <w:rFonts w:ascii="Times New Roman" w:hAnsi="Times New Roman"/>
                <w:sz w:val="20"/>
              </w:rPr>
            </w:pPr>
            <w:r>
              <w:rPr>
                <w:rFonts w:ascii="Times New Roman" w:hAnsi="Times New Roman"/>
                <w:sz w:val="20"/>
              </w:rPr>
              <w:t>2030 Notes</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200,000,000</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5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25" w:type="dxa"/>
            <w:tcBorders/>
            <w:vAlign w:val="bottom"/>
          </w:tcPr>
          <w:p>
            <w:pPr>
              <w:pStyle w:val="TableContents"/>
              <w:bidi w:val="0"/>
              <w:spacing w:before="0" w:after="283"/>
              <w:jc w:val="right"/>
              <w:rPr/>
            </w:pPr>
            <w:r>
              <w:rPr/>
              <w:t>200,000,000</w:t>
            </w:r>
          </w:p>
        </w:tc>
        <w:tc>
          <w:tcPr>
            <w:tcW w:w="68" w:type="dxa"/>
            <w:tcBorders/>
            <w:vAlign w:val="bottom"/>
          </w:tcPr>
          <w:p>
            <w:pPr>
              <w:pStyle w:val="TableContents"/>
              <w:bidi w:val="0"/>
              <w:spacing w:before="0" w:after="283"/>
              <w:jc w:val="left"/>
              <w:rPr/>
            </w:pPr>
            <w:r>
              <w:rPr/>
              <w:t> </w:t>
            </w:r>
          </w:p>
        </w:tc>
      </w:tr>
      <w:tr>
        <w:trPr/>
        <w:tc>
          <w:tcPr>
            <w:tcW w:w="2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Notes</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120,000,000</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5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325" w:type="dxa"/>
            <w:tcBorders/>
            <w:shd w:fill="CCEEFF" w:val="clear"/>
            <w:vAlign w:val="bottom"/>
          </w:tcPr>
          <w:p>
            <w:pPr>
              <w:pStyle w:val="TableContents"/>
              <w:bidi w:val="0"/>
              <w:spacing w:before="0" w:after="283"/>
              <w:jc w:val="right"/>
              <w:rPr/>
            </w:pPr>
            <w:r>
              <w:rPr/>
              <w:t>120,000,000</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shown in number of shares of common stock.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pPr>
            <w:r>
              <w:rPr>
                <w:rFonts w:ascii="Times New Roman" w:hAnsi="Times New Roman"/>
                <w:sz w:val="20"/>
              </w:rPr>
              <w:t>For more information regarding our limitations as to SBA debenture issuances, see “</w:t>
            </w:r>
            <w:r>
              <w:rPr>
                <w:rFonts w:ascii="Times New Roman" w:hAnsi="Times New Roman"/>
                <w:i/>
                <w:sz w:val="20"/>
              </w:rPr>
              <w:t>Regulation—Small Business Administration Regulations</w:t>
            </w:r>
            <w:r>
              <w:rPr>
                <w:rFonts w:ascii="Times New Roman" w:hAnsi="Times New Roman"/>
                <w:sz w:val="20"/>
              </w:rPr>
              <w:t xml:space="preserve">” in our most recent </w:t>
            </w:r>
            <w:r>
              <w:fldChar w:fldCharType="begin"/>
            </w:r>
            <w:r>
              <w:rPr>
                <w:rStyle w:val="InternetLink"/>
                <w:sz w:val="20"/>
                <w:rFonts w:ascii="Times New Roman" w:hAnsi="Times New Roman"/>
              </w:rPr>
              <w:instrText xml:space="preserve"> HYPERLINK "http://www.sec.gov/Archives/edgar/data/../../../ix?doc=/Archives/edgar/data/0001513363/000119312526076572/fdus-20251231.htm" \l "item_1"</w:instrText>
            </w:r>
            <w:r>
              <w:rPr>
                <w:rStyle w:val="InternetLink"/>
                <w:sz w:val="20"/>
                <w:rFonts w:ascii="Times New Roman" w:hAnsi="Times New Roman"/>
              </w:rPr>
              <w:fldChar w:fldCharType="separate"/>
            </w:r>
            <w:r>
              <w:rPr>
                <w:rStyle w:val="InternetLink"/>
                <w:rFonts w:ascii="Times New Roman" w:hAnsi="Times New Roman"/>
                <w:sz w:val="20"/>
              </w:rPr>
              <w:t>Annual Report on Form 10-K</w:t>
            </w:r>
            <w:r>
              <w:rPr>
                <w:rStyle w:val="InternetLink"/>
                <w:sz w:val="20"/>
                <w:rFonts w:ascii="Times New Roman" w:hAnsi="Times New Roman"/>
              </w:rPr>
              <w:fldChar w:fldCharType="end"/>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Limitation on Liability of Directors and Officers; Indemnification and Advance of Expenses </w:t>
      </w:r>
    </w:p>
    <w:p>
      <w:pPr>
        <w:pStyle w:val="TextBody"/>
        <w:bidi w:val="0"/>
        <w:spacing w:before="120" w:after="0"/>
        <w:jc w:val="left"/>
        <w:rPr>
          <w:rFonts w:ascii="Times New Roman" w:hAnsi="Times New Roman"/>
          <w:sz w:val="20"/>
        </w:rPr>
      </w:pPr>
      <w:r>
        <w:rPr>
          <w:rFonts w:ascii="Times New Roman" w:hAnsi="Times New Roman"/>
          <w:sz w:val="20"/>
        </w:rPr>
        <w:t xml:space="preserve">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 </w:t>
      </w:r>
    </w:p>
    <w:p>
      <w:pPr>
        <w:pStyle w:val="TextBody"/>
        <w:bidi w:val="0"/>
        <w:spacing w:before="240" w:after="0"/>
        <w:jc w:val="left"/>
        <w:rPr>
          <w:rFonts w:ascii="Times New Roman" w:hAnsi="Times New Roman"/>
          <w:sz w:val="20"/>
        </w:rPr>
      </w:pPr>
      <w:r>
        <w:rPr>
          <w:rFonts w:ascii="Times New Roman" w:hAnsi="Times New Roman"/>
          <w:sz w:val="20"/>
        </w:rPr>
        <w:t xml:space="preserve">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our directors. The indemnification agreements provide our directors the maximum indemnification permitted under Maryland law and the 1940 Act. </w:t>
      </w:r>
    </w:p>
    <w:p>
      <w:pPr>
        <w:pStyle w:val="TextBody"/>
        <w:bidi w:val="0"/>
        <w:spacing w:before="240" w:after="0"/>
        <w:jc w:val="left"/>
        <w:rPr>
          <w:rFonts w:ascii="Times New Roman" w:hAnsi="Times New Roman"/>
          <w:sz w:val="20"/>
        </w:rPr>
      </w:pPr>
      <w:r>
        <w:rPr>
          <w:rFonts w:ascii="Times New Roman" w:hAnsi="Times New Roman"/>
          <w:sz w:val="20"/>
        </w:rPr>
        <w:t xml:space="preserve">We have purchased directors’ and officers’ insurance policies covering our directors and officers and us for any acts and omissions committed, attempted or allegedly committed by any director or officer during the policy period. The policy is subject to customary exclusions.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Provisions of the Maryland General Corporation Law and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Maryland General Corporation Law and our charter and bylaws contain provisions that could make it more difficult for a potential acquiror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 </w:t>
      </w:r>
    </w:p>
    <w:p>
      <w:pPr>
        <w:pStyle w:val="TextBody"/>
        <w:bidi w:val="0"/>
        <w:spacing w:before="360" w:after="0"/>
        <w:jc w:val="left"/>
        <w:rPr>
          <w:rFonts w:ascii="Times New Roman" w:hAnsi="Times New Roman"/>
          <w:b/>
          <w:sz w:val="20"/>
        </w:rPr>
      </w:pPr>
      <w:r>
        <w:rPr>
          <w:rFonts w:ascii="Times New Roman" w:hAnsi="Times New Roman"/>
          <w:b/>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of directors serving staggered three-year terms. The terms of the first, second and third classes expire in 2027, 2028 and 2029, respectively, and in each case, those directors will serve until their successors are elected and qualify.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 </w:t>
      </w:r>
    </w:p>
    <w:p>
      <w:pPr>
        <w:pStyle w:val="TextBody"/>
        <w:bidi w:val="0"/>
        <w:spacing w:before="360" w:after="0"/>
        <w:jc w:val="left"/>
        <w:rPr>
          <w:rFonts w:ascii="Times New Roman" w:hAnsi="Times New Roman"/>
          <w:b/>
          <w:sz w:val="20"/>
        </w:rPr>
      </w:pPr>
      <w:r>
        <w:rPr>
          <w:rFonts w:ascii="Times New Roman" w:hAnsi="Times New Roman"/>
          <w:b/>
          <w:sz w:val="20"/>
        </w:rPr>
        <w:t xml:space="preserve">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bylaws provide that the affirmative vote of the holders of a plurality of the outstanding shares of stock entitled to vote in the election of directors cast at a meeting of stockholders duly called and at which a quorum is present is required to elect a director. Pursuant to our bylaws our board of directors may amend the bylaws to alter the vote required to elect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Number of Directors; Vacancies; Removal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less than one nor more than eight.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Our charter provides that a director may be removed only for cause, as defined in our charter, and then only by the affirmative vote of at least two-thirds of the votes entitled to be cast in the election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Action by Stockholders </w:t>
      </w:r>
    </w:p>
    <w:p>
      <w:pPr>
        <w:pStyle w:val="TextBody"/>
        <w:bidi w:val="0"/>
        <w:spacing w:before="120" w:after="0"/>
        <w:jc w:val="left"/>
        <w:rPr>
          <w:rFonts w:ascii="Times New Roman" w:hAnsi="Times New Roman"/>
          <w:sz w:val="20"/>
        </w:rPr>
      </w:pPr>
      <w:r>
        <w:rPr>
          <w:rFonts w:ascii="Times New Roman" w:hAnsi="Times New Roman"/>
          <w:sz w:val="20"/>
        </w:rPr>
        <w:t xml:space="preserve">Under the Maryland General Corporation Law,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Advance Notice Provisions for Stockholder Nominations and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with respect to an annual meeting of stockholders, nominations of persons for election to the board of directors and the proposal of business to be considered by stockholders may be made only (a) pursuant to our notice of the meeting, (b) by the board of directors or (c) by a stockholder who was a stockholder of record both at the time of giving notice and at the time of the annual meeting and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of directors at a special meeting may be made only (a) pursuant to our notice of the meeting, (b) by the board of directors or (c) provided that the board of directors has determined that directors will be elected at the meeting, by a stockholder who was a stockholder of record both at the time of giving notice and at the time of the annual meeting and who is entitled to vote at the meeting and who has complied with the advance notice provisions of our bylaws.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(a) precluding a contest for the election of directors or the consideration of stockholder proposals if proper procedures are not followed and (b) discouraging or deterring a third party from conducting a solicitation of proxies to elect its own slate of directors or to approve its own proposal without regard to whether consideration of such nominees or proposals might be harmful or beneficial to us and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Calling of 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special meetings of stockholders may be called by the chairman of our board of directors, our President or our board of directors. Additionally, our bylaws provide that, subject to the satisfaction of certain procedural and informational requirements by the stockholders requesting the special meeting, a special meeting of stockholders will be called by the secretary of the corporation upon the written request of stockholders entitled to cast not less than a majority of all the votes entitled to be cast at such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Approval of Extraordinary Corporate Action; Amendment of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provides that certain charter amendments, any proposal for our conversion, whether by charter amendment, merger or otherwise, from a closed-end company to an open-end company and any proposal for our liquidation or dissolution requires the approval of the stockholders entitled to cast at least 80.0% of the votes entitled to be cast on such matter. However, if such amendment or proposal is approved by a majority of our continuing directors (in addition to approval by our board of directors), such amendment or proposal may be approved by a majority of the votes entitled to be cast on such a matter. The “continuing directors” are defined in our charter as (a) our current directors, (b) those directors whose nomination for election by the stockholders or whose election by the directors to fill vacancies is approved by a majority of our current directors then on the board of directors or (c) any successor directors whose nomination for election by the stockholders or whose election by the directors to fill vacancies is approved by a majority of the continuing directors or the successor continuing directors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Our charter and bylaws provide that the board of directors has the exclusive power to make, alter, amend or repeal any provision of our bylaws. </w:t>
      </w:r>
    </w:p>
    <w:p>
      <w:pPr>
        <w:pStyle w:val="TextBody"/>
        <w:bidi w:val="0"/>
        <w:spacing w:before="360" w:after="0"/>
        <w:jc w:val="left"/>
        <w:rPr>
          <w:rFonts w:ascii="Times New Roman" w:hAnsi="Times New Roman"/>
          <w:b/>
          <w:sz w:val="20"/>
        </w:rPr>
      </w:pPr>
      <w:r>
        <w:rPr>
          <w:rFonts w:ascii="Times New Roman" w:hAnsi="Times New Roman"/>
          <w:b/>
          <w:sz w:val="20"/>
        </w:rPr>
        <w:t xml:space="preserve">No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Except with respect to appraisal rights arising in connection with the Control Share Act discussed below, as permitted by the Maryland General Corporation Law, our charter provides that stockholders will not be entitled to exercise appraisal rights unless a majority of the board of directors shall determine such rights apply. </w:t>
      </w:r>
    </w:p>
    <w:p>
      <w:pPr>
        <w:pStyle w:val="TextBody"/>
        <w:bidi w:val="0"/>
        <w:spacing w:before="360" w:after="0"/>
        <w:jc w:val="left"/>
        <w:rPr>
          <w:rFonts w:ascii="Times New Roman" w:hAnsi="Times New Roman"/>
          <w:b/>
          <w:sz w:val="20"/>
        </w:rPr>
      </w:pPr>
      <w:r>
        <w:rPr>
          <w:rFonts w:ascii="Times New Roman" w:hAnsi="Times New Roman"/>
          <w:b/>
          <w:sz w:val="20"/>
        </w:rPr>
        <w:t xml:space="preserve">Control Share Acquisitions </w:t>
      </w:r>
    </w:p>
    <w:p>
      <w:pPr>
        <w:pStyle w:val="TextBody"/>
        <w:bidi w:val="0"/>
        <w:spacing w:before="120" w:after="0"/>
        <w:jc w:val="left"/>
        <w:rPr>
          <w:rFonts w:ascii="Times New Roman" w:hAnsi="Times New Roman"/>
          <w:sz w:val="20"/>
        </w:rPr>
      </w:pPr>
      <w:r>
        <w:rPr>
          <w:rFonts w:ascii="Times New Roman" w:hAnsi="Times New Roman"/>
          <w:sz w:val="20"/>
        </w:rPr>
        <w:t xml:space="preserve">The Maryland General Corporation Law provides that control shares of a Maryland corporation acquired in a control share acquisition have no voting rights except to the extent approved by a vote of two-thirds of the votes entitled to be cast on the matter (the “Control Share Act”).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one-tenth or more but less than one-third;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one-third or more but less than a majority;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majority or more of all voting power.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of directors determines that it would be in our best interests and if the SEC staff does not object to our determination that our being subject to the Control Share Act does not conflict with the 1940 Act.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beneficially owns 10.0% or more of the voting power of the corporation’s outstanding voting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affiliate or associate of the corporation who, at any time within the two-year period prior to the date in question, was the beneficial owner of 10.0% or more of the voting power of the then outstanding voting stock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After the five-year prohibition, any business combination between the Maryland corporation and an interested stockholder generally must be recommended by the board of directors of the corporation and approved by the affirmative vote of at least: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80.0% of the votes entitled to be cast by holders of outstanding shares of voting stock of the corporation;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statute permits various exemptions from its provisions, including business combinations that are exempted by the board of directors before the time that the interested stockholder becomes an interested stockholder. Our board of directors has adopted a resolution, subject to the provisions of the 1940 Act,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Business Combination Act only if the board of directors determines that it would be in our best interests and if the SEC staff does not object to our determination that our being subject to the Business 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 </w:t>
      </w:r>
    </w:p>
    <w:p>
      <w:pPr>
        <w:pStyle w:val="TextBody"/>
        <w:bidi w:val="0"/>
        <w:spacing w:before="360" w:after="0"/>
        <w:jc w:val="left"/>
        <w:rPr>
          <w:rFonts w:ascii="Times New Roman" w:hAnsi="Times New Roman"/>
          <w:b/>
          <w:sz w:val="20"/>
        </w:rPr>
      </w:pPr>
      <w:r>
        <w:rPr>
          <w:rFonts w:ascii="Times New Roman" w:hAnsi="Times New Roman"/>
          <w:b/>
          <w:sz w:val="20"/>
        </w:rPr>
        <w:t xml:space="preserve">Conflict with 1940 Act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if and to the extent that any provision of the Maryland General Corporation Law, including the Control Share Act (if we amend our bylaws to be subject to such Act) and the Business Combination Act, or any provision of our charter or bylaws conflicts with any provision of the 1940 Act, the applicable provision of the 1940 Act will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139616_20"/>
      <w:bookmarkEnd w:id="2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Any broker-dealer that receives Exchange Notes for its own account pursuant to the exchange offer in exchange for Restricted Notes where such Restricted Notes were acquired as a result of market-making or other trading activities must acknowledge that it will deliver a prospectus in connection with any resale or other transfer of such Exchange Notes. This prospectus, as it may be amended or supplemented from time to time, may be used by such a broker-dealer in connection with resales or other transfers of such Exchange Notes. To the extent any such broker-dealer participates in the exchange offer, we have agreed that, for a period of up to 180 days after the completion of the exchange offer, upon request of such broker-dealer, we will make this prospectus, as amended or supplemented, available to such broker-dealer for use in connection with any such resales or other transfers of Exchange Notes, and will deliver as many additional copies of this prospectus and each amendment or supplement to this prospectus and any documents incorporated by reference in this prospectus as such broker-dealer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any resales or other transfers of Exchange Notes by such broker- dealers. Exchange Notes received by such broker-dealers for their own accounts pursuant to the exchange offer may be resold from time to time in one or more transactions in the over-the-counter market, in negotiated transactions, through the writing of options on the Exchange Notes or a combination of these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or the purchasers of any such Exchange Notes. Any such broker-dealer that resells Exchange Notes that were received by it for its own account pursuant to the exchange offer and any broker or dealer that participates in a distribution of such Exchange Notes may be deemed to be an “underwriter” of the Exchange Notes within the meaning of the Securities Act, and any profit on any such resale of Exchange Notes and any commissions or concessions received by any such persons may be deemed to be underwriting compensation under the Securities Act. The accompanying Letter of Transmittal states that, by acknowledging that it will deliver and by delivering a prospectus, such broker-dealer will not be deemed to admit that it is an “underwriter” of the Exchange Notes within the meaning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139616_21"/>
      <w:bookmarkEnd w:id="22"/>
      <w:r>
        <w:rPr>
          <w:rFonts w:ascii="Times New Roman" w:hAnsi="Times New Roman"/>
          <w:b/>
          <w:sz w:val="20"/>
        </w:rPr>
        <w:t xml:space="preserve">DISTRIBUTION REINVESTMENT PLAN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a dividend reinvestment plan that provides for reinvestment of our distributions on behalf of our stockholders, unless a stockholder elects to receive cash as provided below.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w:t>
      </w:r>
    </w:p>
    <w:p>
      <w:pPr>
        <w:pStyle w:val="TextBody"/>
        <w:bidi w:val="0"/>
        <w:spacing w:before="240" w:after="0"/>
        <w:jc w:val="left"/>
        <w:rPr>
          <w:rFonts w:ascii="Times New Roman" w:hAnsi="Times New Roman"/>
          <w:sz w:val="20"/>
        </w:rPr>
      </w:pPr>
      <w:r>
        <w:rPr>
          <w:rFonts w:ascii="Times New Roman" w:hAnsi="Times New Roman"/>
          <w:sz w:val="20"/>
        </w:rPr>
        <w:t xml:space="preserve">No action is required on the part of a registered stockholder to have their cash distribution reinvested in shares of our common stock. A registered stockholder may elect to receive an entire distribution in cash by notifying Equiniti Trust Company, LLC, the plan administrator and our transfer agent and registrar, in writing so that such notice is received by the plan administrator no later than three days prior to the payment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in writing not less than three days prior to the payment date, the plan administrator will, instead of crediting shares to and/or carrying shares in the participant’s account, issue a certificate registered in the participant’s name for the number of whole shares of our common stock and a check for any fractional share. </w:t>
      </w:r>
    </w:p>
    <w:p>
      <w:pPr>
        <w:pStyle w:val="TextBody"/>
        <w:bidi w:val="0"/>
        <w:spacing w:before="240" w:after="0"/>
        <w:jc w:val="left"/>
        <w:rPr>
          <w:rFonts w:ascii="Times New Roman" w:hAnsi="Times New Roman"/>
          <w:sz w:val="20"/>
        </w:rPr>
      </w:pPr>
      <w:r>
        <w:rPr>
          <w:rFonts w:ascii="Times New Roman" w:hAnsi="Times New Roman"/>
          <w:sz w:val="20"/>
        </w:rPr>
        <w:t xml:space="preserve">Those stockholders whose shares are held by a broker or other financial intermediary may receive distributions in cash by notifying their broker or other financial intermediary of their election.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primarily newly issued shares to implement the plan, so long as our shares are trading at or above net asset value. If our shares are trading below net asset value, we intend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fixed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distribution cannot be established until the value per share at which additional shares will be issued has been determined and elections of our stockholders have been tabulated. </w:t>
      </w:r>
    </w:p>
    <w:p>
      <w:pPr>
        <w:pStyle w:val="TextBody"/>
        <w:bidi w:val="0"/>
        <w:spacing w:before="240" w:after="0"/>
        <w:jc w:val="left"/>
        <w:rPr>
          <w:rFonts w:ascii="Times New Roman" w:hAnsi="Times New Roman"/>
          <w:sz w:val="20"/>
        </w:rPr>
      </w:pPr>
      <w:r>
        <w:rPr>
          <w:rFonts w:ascii="Times New Roman" w:hAnsi="Times New Roman"/>
          <w:sz w:val="20"/>
        </w:rPr>
        <w:t xml:space="preserve">There will be no brokerage charges or other charges to stockholders who participate in the plan.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 from the proceeds. </w:t>
      </w:r>
    </w:p>
    <w:p>
      <w:pPr>
        <w:pStyle w:val="TextBody"/>
        <w:bidi w:val="0"/>
        <w:spacing w:before="240" w:after="0"/>
        <w:jc w:val="left"/>
        <w:rPr>
          <w:rFonts w:ascii="Times New Roman" w:hAnsi="Times New Roman"/>
          <w:sz w:val="20"/>
        </w:rPr>
      </w:pPr>
      <w:r>
        <w:rPr>
          <w:rFonts w:ascii="Times New Roman" w:hAnsi="Times New Roman"/>
          <w:sz w:val="20"/>
        </w:rPr>
        <w:t xml:space="preserve">Stockholders who receive distributions in the form of stock are subject to the same U.S. federal, state and local tax consequences as are stockholders who elect to receive their distributions in cash; however, since their cash distributions will be reinvested, such stockholders will not receive cash with which to pay any applicable taxes on reinvested distributions. A stockholder’s adjusted tax basis for determining gain or loss upon the sale of stock received in a distribution from us will be equal to the total dollar amount of the distribution payable to the stockholder. Any stock received in a distribution will have a new holding period for tax purposes commencing on the day following the day on which the shares are credited to the U.S. stockholder’s account. </w:t>
      </w:r>
    </w:p>
    <w:p>
      <w:pPr>
        <w:pStyle w:val="TextBody"/>
        <w:bidi w:val="0"/>
        <w:spacing w:before="240" w:after="0"/>
        <w:jc w:val="left"/>
        <w:rPr>
          <w:rFonts w:ascii="Times New Roman" w:hAnsi="Times New Roman"/>
          <w:sz w:val="20"/>
        </w:rPr>
      </w:pPr>
      <w:r>
        <w:rPr>
          <w:rFonts w:ascii="Times New Roman" w:hAnsi="Times New Roman"/>
          <w:sz w:val="20"/>
        </w:rPr>
        <w:t>Participants may terminate their accounts under the plan by notifying the plan administrator via its website at </w:t>
      </w:r>
      <w:r>
        <w:rPr>
          <w:rFonts w:ascii="Times New Roman" w:hAnsi="Times New Roman"/>
          <w:i/>
          <w:sz w:val="20"/>
        </w:rPr>
        <w:t>www.amstock.com</w:t>
      </w:r>
      <w:r>
        <w:rPr>
          <w:rFonts w:ascii="Times New Roman" w:hAnsi="Times New Roman"/>
          <w:sz w:val="20"/>
        </w:rPr>
        <w:t xml:space="preserve"> or by filling out the transaction request form located at bottom of their statement and sending it to Equiniti Trust Company, LLC, Post Office Box 922, Wall Street Station, New York, New York 10269-0560 or by calling the plan administrator’s Interactive Voice Response System at 1-877-573-4005.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plan may be terminated by us upon notice in writing mailed to each participant at least 30 days prior to any record date for the payment of any distribution by us. All correspondence concerning the plan should be directed to the plan administrator by mail or phone at the address and phone number noted above. </w:t>
      </w:r>
    </w:p>
    <w:p>
      <w:pPr>
        <w:pStyle w:val="TextBody"/>
        <w:bidi w:val="0"/>
        <w:spacing w:before="240" w:after="0"/>
        <w:jc w:val="left"/>
        <w:rPr>
          <w:rFonts w:ascii="Times New Roman" w:hAnsi="Times New Roman"/>
          <w:sz w:val="20"/>
        </w:rPr>
      </w:pPr>
      <w:r>
        <w:rPr>
          <w:rFonts w:ascii="Times New Roman" w:hAnsi="Times New Roman"/>
          <w:sz w:val="20"/>
        </w:rPr>
        <w:t xml:space="preserve">If you withdraw or the plan is terminated, you will receive the number of whole shares in your account under the plan and a cash adjustment for any fractional shares in your account.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common stock with a brokerage firm that does not participate in the plan, you will not be able to participate in the plan, and any distribution reinvestment may be effected on different terms than those described above. Consult your financial advisor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139616_22"/>
      <w:bookmarkEnd w:id="23"/>
      <w:r>
        <w:rPr>
          <w:rFonts w:ascii="Times New Roman" w:hAnsi="Times New Roman"/>
          <w:b/>
          <w:sz w:val="20"/>
        </w:rPr>
        <w:t xml:space="preserve">REGULATION </w:t>
      </w:r>
    </w:p>
    <w:p>
      <w:pPr>
        <w:pStyle w:val="TextBody"/>
        <w:bidi w:val="0"/>
        <w:spacing w:before="240" w:after="0"/>
        <w:jc w:val="left"/>
        <w:rPr/>
      </w:pPr>
      <w:r>
        <w:rPr>
          <w:rFonts w:ascii="Times New Roman" w:hAnsi="Times New Roman"/>
          <w:sz w:val="20"/>
        </w:rPr>
        <w:t>The information contained under the caption “</w:t>
      </w:r>
      <w:r>
        <w:rPr>
          <w:rFonts w:ascii="Times New Roman" w:hAnsi="Times New Roman"/>
          <w:i/>
          <w:sz w:val="20"/>
        </w:rPr>
        <w:t>Business—Regulation</w:t>
      </w:r>
      <w:r>
        <w:rPr>
          <w:rFonts w:ascii="Times New Roman" w:hAnsi="Times New Roman"/>
          <w:sz w:val="20"/>
        </w:rPr>
        <w:t xml:space="preserve">” in Part I, Item 1 of our </w:t>
      </w:r>
      <w:r>
        <w:fldChar w:fldCharType="begin"/>
      </w:r>
      <w:r>
        <w:rPr>
          <w:rStyle w:val="InternetLink"/>
          <w:sz w:val="20"/>
          <w:rFonts w:ascii="Times New Roman" w:hAnsi="Times New Roman"/>
        </w:rPr>
        <w:instrText xml:space="preserve"> HYPERLINK "http://www.sec.gov/Archives/edgar/data/../../../ix?doc=/Archives/edgar/data/0001513363/000119312526076572/fdus-20251231.htm" \l "item_1"</w:instrText>
      </w:r>
      <w:r>
        <w:rPr>
          <w:rStyle w:val="InternetLink"/>
          <w:sz w:val="20"/>
          <w:rFonts w:ascii="Times New Roman" w:hAnsi="Times New Roman"/>
        </w:rPr>
        <w:fldChar w:fldCharType="separate"/>
      </w:r>
      <w:r>
        <w:rPr>
          <w:rStyle w:val="InternetLink"/>
          <w:rFonts w:ascii="Times New Roman" w:hAnsi="Times New Roman"/>
          <w:sz w:val="20"/>
        </w:rPr>
        <w:t>Annual Report on Form 10-K</w:t>
      </w:r>
      <w:r>
        <w:rPr>
          <w:rStyle w:val="InternetLink"/>
          <w:sz w:val="20"/>
          <w:rFonts w:ascii="Times New Roman" w:hAnsi="Times New Roman"/>
        </w:rPr>
        <w:fldChar w:fldCharType="end"/>
      </w:r>
      <w:r>
        <w:rPr>
          <w:rFonts w:ascii="Times New Roman" w:hAnsi="Times New Roman"/>
          <w:sz w:val="20"/>
        </w:rPr>
        <w:t xml:space="preserve"> for the fiscal year ended December 31, 2025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139616_23"/>
      <w:bookmarkEnd w:id="24"/>
      <w:r>
        <w:rPr>
          <w:rFonts w:ascii="Times New Roman" w:hAnsi="Times New Roman"/>
          <w:b/>
          <w:sz w:val="20"/>
        </w:rPr>
        <w:t xml:space="preserve">CUSTODIAN, TRANSFER AND DISTRIBUTION PAYING AGENT AND REGISTRAR </w:t>
      </w:r>
    </w:p>
    <w:p>
      <w:pPr>
        <w:pStyle w:val="TextBody"/>
        <w:bidi w:val="0"/>
        <w:spacing w:before="240" w:after="0"/>
        <w:jc w:val="left"/>
        <w:rPr>
          <w:rFonts w:ascii="Times New Roman" w:hAnsi="Times New Roman"/>
          <w:sz w:val="20"/>
        </w:rPr>
      </w:pPr>
      <w:r>
        <w:rPr>
          <w:rFonts w:ascii="Times New Roman" w:hAnsi="Times New Roman"/>
          <w:sz w:val="20"/>
        </w:rPr>
        <w:t xml:space="preserve">Our securities (except the securities held by the SPV) are held by U.S. Bank National Association pursuant to a custody agreement. The principal business address of U.S. Bank National Association is Corporate Trust Services, One Federal Street, 3rd Floor, Boston, MA 02110, telephone: (617) 603-6538. The securities of the SPV are held by Western Alliance Trust Company, N.A. pursuant to a custodian agreement. The principal business address of Western Alliance Trust Company, N.A. is 800 Town &amp; Country, Suite 400, Houston, TX 77024. Equiniti Trust Company, LLC will serve as our transfer agent, distribution paying agent and registrar. The principal business address of Equiniti Trust Company, LLC is 6201 15th Avenue, Brooklyn, New York 11219, telephone: (800) 937-5449.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139616_24"/>
      <w:bookmarkEnd w:id="25"/>
      <w:r>
        <w:rPr>
          <w:rFonts w:ascii="Times New Roman" w:hAnsi="Times New Roman"/>
          <w:b/>
          <w:sz w:val="20"/>
        </w:rPr>
        <w:t xml:space="preserve">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assumptions and qualifications described herein and in the opinion filed as Exhibit 12, the following discussion constitutes the opinion of Eversheds Sutherland (US) LLP, tax counsel to the Company, as to the material U.S. federal income tax consequences of the exchange of Restricted Notes for Exchange Notes in this offer.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 Restricted Notes for Exchange Notes in the exchange offer will not constitute a taxable event to holders for U.S. federal income tax purposes. Consequently, you will not recognize gain or loss upon receipt of an Exchange Note, the holding period of the Exchange Note will include the holding period of the Restricted Note exchanged therefor and the basis of the Exchange Note will be the same as the basis of the Restricted Note exchanged therefor immediately before the exchange. </w:t>
      </w:r>
    </w:p>
    <w:p>
      <w:pPr>
        <w:pStyle w:val="TextBody"/>
        <w:bidi w:val="0"/>
        <w:spacing w:before="240" w:after="0"/>
        <w:jc w:val="left"/>
        <w:rPr>
          <w:rFonts w:ascii="Times New Roman" w:hAnsi="Times New Roman"/>
          <w:b/>
          <w:sz w:val="20"/>
        </w:rPr>
      </w:pPr>
      <w:r>
        <w:rPr>
          <w:rFonts w:ascii="Times New Roman" w:hAnsi="Times New Roman"/>
          <w:b/>
          <w:sz w:val="20"/>
        </w:rPr>
        <w:t xml:space="preserve">In any event, persons considering the exchange of Restricted Notes for Exchange Notes should consult their own tax advisors concerning the U.S. federal income tax consequences in light of their particular situations as well as any consequences arising under the laws of any other taxing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139616_25"/>
      <w:bookmarkEnd w:id="26"/>
      <w:r>
        <w:rPr>
          <w:rFonts w:ascii="Times New Roman" w:hAnsi="Times New Roman"/>
          <w:b/>
          <w:sz w:val="20"/>
        </w:rPr>
        <w:t xml:space="preserve">BROKERAGE ALLOCATION AND OTHER PRACTICES </w:t>
      </w:r>
    </w:p>
    <w:p>
      <w:pPr>
        <w:pStyle w:val="TextBody"/>
        <w:bidi w:val="0"/>
        <w:spacing w:before="240" w:after="0"/>
        <w:jc w:val="left"/>
        <w:rPr>
          <w:rFonts w:ascii="Times New Roman" w:hAnsi="Times New Roman"/>
          <w:sz w:val="20"/>
        </w:rPr>
      </w:pPr>
      <w:r>
        <w:rPr>
          <w:rFonts w:ascii="Times New Roman" w:hAnsi="Times New Roman"/>
          <w:sz w:val="20"/>
        </w:rPr>
        <w:t xml:space="preserve">Because we will acquire and dispose of many of our investments in privately negotiated transactions, many of the transactions that we engage in will not require the use of brokers or the payment of brokerage commissions. Subject to policies established by our board of directors, our investment advisor will be primarily responsible for selecting brokers and dealers to execute transactions with respect to the publicly-traded securities portion of our portfolio transactions and the allocation of brokerage commissions. Our investment advisor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Our investment advisor generally will seek reasonably competitive trade execution costs but will not necessarily pay the lowest spread or commission available. Subject to applicable legal requirements and consistent with Section 28(e) of the Exchange Act, our investment advisor may select a broker based upon brokerage or research services provided to our investment advisor and us and any other clients. In return for such services, we may pay a higher commission than other brokers would charge if our investment advisor determines in good faith that such commission is reasonable in relation to the services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139616_26"/>
      <w:bookmarkEnd w:id="27"/>
      <w:r>
        <w:rPr>
          <w:rFonts w:ascii="Times New Roman" w:hAnsi="Times New Roman"/>
          <w:b/>
          <w:sz w:val="20"/>
        </w:rPr>
        <w:t xml:space="preserve">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have selected RSM US LLP as our independent registered public accounting firm located at 30 South Wacker Drive, Suite 3300, Chicago, Illinois 60606.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including the senior securities table, of Fidus Investment Corporation as of December 31, 2025 and 2024 and for each of the years in the three-year period ended December 31, 2025, incorporated in this prospectus by reference from the Fidus Investment Corporation Annual Report on Form 10-K for the year ended December 31, 2025, and the effectiveness of internal control over financial reporting as of December 31, 2025 have been audited by RSM US LLP, an independent registered public accounting firm, as stated in their reports thereon, incorporated herein by reference, and have been incorporated in this prospectus and Registration Statement in reliance upon such reports and upon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139616_27"/>
      <w:bookmarkEnd w:id="2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regarding the Exchange Notes have been passed upon for us by Eversheds Sutherland (US)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139616_28"/>
      <w:bookmarkEnd w:id="29"/>
      <w:r>
        <w:rPr>
          <w:rFonts w:ascii="Times New Roman" w:hAnsi="Times New Roman"/>
          <w:b/>
          <w:sz w:val="20"/>
        </w:rPr>
        <w:t xml:space="preserve">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N-14, together with all amendments and related exhibits, under the Securities Act, with respect to the securities offered by this prospectus. The registration statement contains additional information about us and the securities being offered by this prospectus. </w:t>
      </w:r>
    </w:p>
    <w:p>
      <w:pPr>
        <w:pStyle w:val="TextBody"/>
        <w:bidi w:val="0"/>
        <w:spacing w:before="240" w:after="0"/>
        <w:jc w:val="left"/>
        <w:rPr>
          <w:rFonts w:ascii="Times New Roman" w:hAnsi="Times New Roman"/>
          <w:sz w:val="20"/>
        </w:rPr>
      </w:pPr>
      <w:r>
        <w:rPr>
          <w:rFonts w:ascii="Times New Roman" w:hAnsi="Times New Roman"/>
          <w:sz w:val="20"/>
        </w:rPr>
        <w:t>We also file with or submit to the SEC periodic and current reports, proxy statements and other information meeting the informational requirements of the Exchange Act. The SEC maintains a website that contains reports, proxy and information statements and other information filed electronically by us with the SEC, which are available free of charge on the SEC’s website (</w:t>
      </w:r>
      <w:r>
        <w:rPr>
          <w:rFonts w:ascii="Times New Roman" w:hAnsi="Times New Roman"/>
          <w:i/>
          <w:sz w:val="20"/>
        </w:rPr>
        <w:t>www.sec.gov</w:t>
      </w:r>
      <w:r>
        <w:rPr>
          <w:rFonts w:ascii="Times New Roman" w:hAnsi="Times New Roman"/>
          <w:sz w:val="20"/>
        </w:rPr>
        <w:t>). This information is also available free of charge by contacting us at 1603 Orrington Avenue, Suite 1005, Evanston, Illinois 60201, Attention: Investor Relations, and is also available on our website (</w:t>
      </w:r>
      <w:r>
        <w:rPr>
          <w:rFonts w:ascii="Times New Roman" w:hAnsi="Times New Roman"/>
          <w:i/>
          <w:sz w:val="20"/>
        </w:rPr>
        <w:t>www.fdus.com</w:t>
      </w:r>
      <w:r>
        <w:rPr>
          <w:rFonts w:ascii="Times New Roman" w:hAnsi="Times New Roman"/>
          <w:sz w:val="20"/>
        </w:rPr>
        <w:t xml:space="preserve">). Information contained on our website or on the SEC’s web site about us is not incorporated into this prospectus, except for the specific filings that are expressly incorporated by reference herein. You should not consider information contained on our website or on the SEC’s website to be part of this prospectus, except for the specific filings that are expressly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We furnish our shareholders with annual reports containing audited financial statements, quarterly reports, and such other periodic reports as we determine to be appropriate or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139616_29"/>
      <w:bookmarkEnd w:id="30"/>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have filed with the SEC. We are allowed to “incorporate by reference” the information that we file with the SEC, which means that we can disclose important information to you by referring you to such information incorporated by reference. The information incorporated by reference is considered to comprise a part of this prospectus from the date we file any such document.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our filings listed below; </w:t>
      </w:r>
      <w:r>
        <w:rPr>
          <w:rFonts w:ascii="Times New Roman" w:hAnsi="Times New Roman"/>
          <w:i/>
          <w:sz w:val="20"/>
        </w:rPr>
        <w:t>provided, however</w:t>
      </w:r>
      <w:r>
        <w:rPr>
          <w:rFonts w:ascii="Times New Roman" w:hAnsi="Times New Roman"/>
          <w:sz w:val="20"/>
        </w:rPr>
        <w:t xml:space="preserve">, that information “furnished” under Item 2.02 or Item 7.01 of Form 8-K or other information “furnished” to the SEC which is not deemed filed is not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incorporates by reference the documents set forth below that have been previously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our</w:t>
            </w:r>
            <w:hyperlink r:id="rId12">
              <w:r>
                <w:rPr>
                  <w:rStyle w:val="InternetLink"/>
                  <w:rFonts w:ascii="Times New Roman" w:hAnsi="Times New Roman"/>
                  <w:sz w:val="20"/>
                </w:rPr>
                <w:t xml:space="preserve"> Annual Report on Form 10-K</w:t>
              </w:r>
            </w:hyperlink>
            <w:r>
              <w:rPr>
                <w:rFonts w:ascii="Times New Roman" w:hAnsi="Times New Roman"/>
                <w:sz w:val="20"/>
              </w:rPr>
              <w:t xml:space="preserve"> for the fiscal year ended December 31, 2025, filed with the SEC on February 26,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13">
              <w:r>
                <w:rPr>
                  <w:rStyle w:val="InternetLink"/>
                  <w:rFonts w:ascii="Times New Roman" w:hAnsi="Times New Roman"/>
                  <w:sz w:val="20"/>
                </w:rPr>
                <w:t>Definitive Proxy Statement on Schedule 14A</w:t>
              </w:r>
            </w:hyperlink>
            <w:r>
              <w:rPr>
                <w:rFonts w:ascii="Times New Roman" w:hAnsi="Times New Roman"/>
                <w:sz w:val="20"/>
              </w:rPr>
              <w:t xml:space="preserve"> (but only with respect to information required by Part III of our Annual Report on Form 10-K for the fiscal year ended December 31, 2025), filed with the SEC on March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14">
              <w:r>
                <w:rPr>
                  <w:rStyle w:val="InternetLink"/>
                  <w:rFonts w:ascii="Times New Roman" w:hAnsi="Times New Roman"/>
                  <w:sz w:val="20"/>
                </w:rPr>
                <w:t>Quarterly Report on Form 10-Q</w:t>
              </w:r>
            </w:hyperlink>
            <w:r>
              <w:rPr>
                <w:rFonts w:ascii="Times New Roman" w:hAnsi="Times New Roman"/>
                <w:sz w:val="20"/>
              </w:rPr>
              <w:t xml:space="preserve"> for the fiscal quarter ended March 31, 2026, filed with the SEC on May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15">
              <w:r>
                <w:rPr>
                  <w:rStyle w:val="InternetLink"/>
                  <w:rFonts w:ascii="Times New Roman" w:hAnsi="Times New Roman"/>
                  <w:sz w:val="20"/>
                </w:rPr>
                <w:t>Quarterly Report on Form 10-Q</w:t>
              </w:r>
            </w:hyperlink>
            <w:r>
              <w:rPr>
                <w:rFonts w:ascii="Times New Roman" w:hAnsi="Times New Roman"/>
                <w:sz w:val="20"/>
              </w:rPr>
              <w:t xml:space="preserve"> for the fiscal quarter ended June 30, 2026, filed with the SEC on August 6,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as filed with the SEC on </w:t>
            </w:r>
            <w:hyperlink r:id="rId16">
              <w:r>
                <w:rPr>
                  <w:rStyle w:val="InternetLink"/>
                  <w:rFonts w:ascii="Times New Roman" w:hAnsi="Times New Roman"/>
                  <w:sz w:val="20"/>
                </w:rPr>
                <w:t>March 2, 2026</w:t>
              </w:r>
            </w:hyperlink>
            <w:r>
              <w:rPr>
                <w:rFonts w:ascii="Times New Roman" w:hAnsi="Times New Roman"/>
                <w:sz w:val="20"/>
              </w:rPr>
              <w:t xml:space="preserve">, </w:t>
            </w:r>
            <w:hyperlink r:id="rId17">
              <w:r>
                <w:rPr>
                  <w:rStyle w:val="InternetLink"/>
                  <w:rFonts w:ascii="Times New Roman" w:hAnsi="Times New Roman"/>
                  <w:sz w:val="20"/>
                </w:rPr>
                <w:t>May  29, 2026</w:t>
              </w:r>
            </w:hyperlink>
            <w:r>
              <w:rPr>
                <w:rFonts w:ascii="Times New Roman" w:hAnsi="Times New Roman"/>
                <w:sz w:val="20"/>
              </w:rPr>
              <w:t xml:space="preserve">, </w:t>
            </w:r>
            <w:hyperlink r:id="rId18">
              <w:r>
                <w:rPr>
                  <w:rStyle w:val="InternetLink"/>
                  <w:rFonts w:ascii="Times New Roman" w:hAnsi="Times New Roman"/>
                  <w:sz w:val="20"/>
                </w:rPr>
                <w:t>June  11, 2026</w:t>
              </w:r>
            </w:hyperlink>
            <w:r>
              <w:rPr>
                <w:rFonts w:ascii="Times New Roman" w:hAnsi="Times New Roman"/>
                <w:sz w:val="20"/>
              </w:rPr>
              <w:t xml:space="preserve">, and </w:t>
            </w:r>
            <w:hyperlink r:id="rId19">
              <w:r>
                <w:rPr>
                  <w:rStyle w:val="InternetLink"/>
                  <w:rFonts w:ascii="Times New Roman" w:hAnsi="Times New Roman"/>
                  <w:sz w:val="20"/>
                </w:rPr>
                <w:t>June 24,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See “</w:t>
      </w:r>
      <w:r>
        <w:rPr>
          <w:rFonts w:ascii="Times New Roman" w:hAnsi="Times New Roman"/>
          <w:i/>
          <w:sz w:val="20"/>
        </w:rPr>
        <w:t>Available Information</w:t>
      </w:r>
      <w:r>
        <w:rPr>
          <w:rFonts w:ascii="Times New Roman" w:hAnsi="Times New Roman"/>
          <w:sz w:val="20"/>
        </w:rPr>
        <w:t xml:space="preserve">” for information on how to obtain a copy of these filings.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48"/>
        </w:rPr>
      </w:pPr>
      <w:r>
        <w:rPr>
          <w:rFonts w:ascii="Times New Roman" w:hAnsi="Times New Roman"/>
          <w:b/>
          <w:sz w:val="48"/>
        </w:rPr>
        <w:t xml:space="preserve">FIDUS INVESTMENT CORPORATION </w:t>
      </w:r>
    </w:p>
    <w:p>
      <w:pPr>
        <w:pStyle w:val="TextBody"/>
        <w:bidi w:val="0"/>
        <w:spacing w:before="480" w:after="0"/>
        <w:jc w:val="center"/>
        <w:rPr>
          <w:rFonts w:ascii="Times New Roman" w:hAnsi="Times New Roman"/>
          <w:b/>
          <w:sz w:val="28"/>
        </w:rPr>
      </w:pPr>
      <w:r>
        <w:rPr>
          <w:rFonts w:ascii="Times New Roman" w:hAnsi="Times New Roman"/>
          <w:b/>
          <w:sz w:val="28"/>
        </w:rPr>
        <w:t xml:space="preserve">Offer to Exchange </w:t>
      </w:r>
    </w:p>
    <w:p>
      <w:pPr>
        <w:pStyle w:val="TextBody"/>
        <w:bidi w:val="0"/>
        <w:spacing w:before="240" w:after="0"/>
        <w:jc w:val="center"/>
        <w:rPr>
          <w:rFonts w:ascii="Times New Roman" w:hAnsi="Times New Roman"/>
          <w:b/>
          <w:sz w:val="28"/>
        </w:rPr>
      </w:pPr>
      <w:r>
        <w:rPr>
          <w:rFonts w:ascii="Times New Roman" w:hAnsi="Times New Roman"/>
          <w:b/>
          <w:sz w:val="28"/>
        </w:rPr>
        <w:t xml:space="preserve">$120,000,000 aggregate principal amount of 6.625% Notes </w:t>
      </w:r>
    </w:p>
    <w:p>
      <w:pPr>
        <w:pStyle w:val="TextBody"/>
        <w:bidi w:val="0"/>
        <w:spacing w:before="0" w:after="0"/>
        <w:jc w:val="center"/>
        <w:rPr>
          <w:rFonts w:ascii="Times New Roman" w:hAnsi="Times New Roman"/>
          <w:b/>
          <w:sz w:val="28"/>
        </w:rPr>
      </w:pPr>
      <w:r>
        <w:rPr>
          <w:rFonts w:ascii="Times New Roman" w:hAnsi="Times New Roman"/>
          <w:b/>
          <w:sz w:val="28"/>
        </w:rPr>
        <w:t xml:space="preserve">due 2029 </w:t>
      </w:r>
    </w:p>
    <w:p>
      <w:pPr>
        <w:pStyle w:val="TextBody"/>
        <w:bidi w:val="0"/>
        <w:spacing w:before="240" w:after="0"/>
        <w:jc w:val="center"/>
        <w:rPr>
          <w:rFonts w:ascii="Times New Roman" w:hAnsi="Times New Roman"/>
          <w:b/>
          <w:sz w:val="28"/>
        </w:rPr>
      </w:pPr>
      <w:r>
        <w:rPr>
          <w:rFonts w:ascii="Times New Roman" w:hAnsi="Times New Roman"/>
          <w:b/>
          <w:sz w:val="28"/>
        </w:rPr>
        <w:t xml:space="preserve">for </w:t>
      </w:r>
    </w:p>
    <w:p>
      <w:pPr>
        <w:pStyle w:val="TextBody"/>
        <w:bidi w:val="0"/>
        <w:spacing w:before="240" w:after="0"/>
        <w:jc w:val="center"/>
        <w:rPr>
          <w:rFonts w:ascii="Times New Roman" w:hAnsi="Times New Roman"/>
          <w:b/>
          <w:sz w:val="28"/>
        </w:rPr>
      </w:pPr>
      <w:r>
        <w:rPr>
          <w:rFonts w:ascii="Times New Roman" w:hAnsi="Times New Roman"/>
          <w:b/>
          <w:sz w:val="28"/>
        </w:rPr>
        <w:t xml:space="preserve">$120,000,000 aggregate principal amount of 6.625% Notes </w:t>
      </w:r>
    </w:p>
    <w:p>
      <w:pPr>
        <w:pStyle w:val="TextBody"/>
        <w:bidi w:val="0"/>
        <w:spacing w:before="0" w:after="0"/>
        <w:jc w:val="center"/>
        <w:rPr>
          <w:rFonts w:ascii="Times New Roman" w:hAnsi="Times New Roman"/>
          <w:b/>
          <w:sz w:val="28"/>
        </w:rPr>
      </w:pPr>
      <w:r>
        <w:rPr>
          <w:rFonts w:ascii="Times New Roman" w:hAnsi="Times New Roman"/>
          <w:b/>
          <w:sz w:val="28"/>
        </w:rPr>
        <w:t xml:space="preserve">due 2029 </w:t>
      </w:r>
    </w:p>
    <w:p>
      <w:pPr>
        <w:pStyle w:val="TextBody"/>
        <w:bidi w:val="0"/>
        <w:spacing w:before="240" w:after="0"/>
        <w:jc w:val="center"/>
        <w:rPr>
          <w:rFonts w:ascii="Times New Roman" w:hAnsi="Times New Roman"/>
          <w:b/>
          <w:sz w:val="28"/>
        </w:rPr>
      </w:pPr>
      <w:r>
        <w:rPr>
          <w:rFonts w:ascii="Times New Roman" w:hAnsi="Times New Roman"/>
          <w:b/>
          <w:sz w:val="28"/>
        </w:rPr>
        <w:t xml:space="preserve">Registered under the Securities Act of 1933, as amended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400" w:after="0"/>
        <w:jc w:val="left"/>
        <w:rPr>
          <w:rFonts w:ascii="Times New Roman" w:hAnsi="Times New Roman"/>
          <w:b/>
          <w:sz w:val="20"/>
        </w:rPr>
      </w:pPr>
      <w:r>
        <w:rPr>
          <w:rFonts w:ascii="Times New Roman" w:hAnsi="Times New Roman"/>
          <w:b/>
          <w:sz w:val="20"/>
        </w:rPr>
        <w:t xml:space="preserve">You should rely only on the information contained in this prospectus. This prospectus is not an offer to sell nor is it seeking an offer to buy these securities in any jurisdiction where the offer or sale is not permitted. The information contained in this prospectus is accurate only as of the date of this prospectus, regardless of the time of delivery of this prospectus or any sale of these securities. You should not assume that the delivery of this prospectus or that any sale made pursuant to this prospectus implies that the information contained in this prospectus will remain fully accurate and correct as of any time subsequent to the date of this 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September 16,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513363/000119312526076572/fdus-20251231.htm" TargetMode="External"/><Relationship Id="rId4" Type="http://schemas.openxmlformats.org/officeDocument/2006/relationships/hyperlink" Target="http://www.sec.gov/Archives/edgar/data/../../../ix?doc=/Archives/edgar/data/0001513363/000119312526076572/fdus-20251231.htm" TargetMode="External"/><Relationship Id="rId5" Type="http://schemas.openxmlformats.org/officeDocument/2006/relationships/hyperlink" Target="http://www.sec.gov/Archives/edgar/data/../../../ix?doc=/Archives/edgar/data/1513363/000119312526337982/fdus-20260630.htm" TargetMode="External"/><Relationship Id="rId6" Type="http://schemas.openxmlformats.org/officeDocument/2006/relationships/hyperlink" Target="http://www.sec.gov/Archives/edgar/data/../../../ix?doc=/Archives/edgar/data/1513363/000119312526337982/fdus-20260630.htm" TargetMode="External"/><Relationship Id="rId7" Type="http://schemas.openxmlformats.org/officeDocument/2006/relationships/hyperlink" Target="http://www.sec.gov/Archives/edgar/data/../../../ix?doc=/Archives/edgar/data/1513363/000119312526337982/fdus-20260630.htm" TargetMode="External"/><Relationship Id="rId8" Type="http://schemas.openxmlformats.org/officeDocument/2006/relationships/hyperlink" Target="http://www.sec.gov/Archives/edgar/data/../../../ix?doc=/Archives/edgar/data/1513363/000119312526337982/fdus-20260630.htm" TargetMode="External"/><Relationship Id="rId9" Type="http://schemas.openxmlformats.org/officeDocument/2006/relationships/hyperlink" Target="http://www.sec.gov/Archives/edgar/data/../../../ix?doc=/Archives/edgar/data/1513363/000119312526337982/fdus-20260630.htm" TargetMode="External"/><Relationship Id="rId10" Type="http://schemas.openxmlformats.org/officeDocument/2006/relationships/hyperlink" Target="http://www.sec.gov/Archives/edgar/data/../../../ix?doc=/Archives/edgar/data/1513363/000119312526337982/fdus-20260630.htm" TargetMode="External"/><Relationship Id="rId11" Type="http://schemas.openxmlformats.org/officeDocument/2006/relationships/hyperlink" Target="http://www.sec.gov/Archives/edgar/data/../../../ix?doc=/Archives/edgar/data/1513363/000119312526337982/fdus-20260630.htm" TargetMode="External"/><Relationship Id="rId12" Type="http://schemas.openxmlformats.org/officeDocument/2006/relationships/hyperlink" Target="http://www.sec.gov/Archives/edgar/data/../../../ix?doc=/Archives/edgar/data/0001513363/000119312526076572/fdus-20251231.htm" TargetMode="External"/><Relationship Id="rId13" Type="http://schemas.openxmlformats.org/officeDocument/2006/relationships/hyperlink" Target="http://www.sec.gov/Archives/edgar/data/../../../ix?doc=/Archives/edgar/data/0001513363/000119312526116813/fdus-20260319.htm" TargetMode="External"/><Relationship Id="rId14" Type="http://schemas.openxmlformats.org/officeDocument/2006/relationships/hyperlink" Target="http://www.sec.gov/Archives/edgar/data/../../../ix?doc=/Archives/edgar/data/0001513363/000119312526211915/fdus-20260331.htm" TargetMode="External"/><Relationship Id="rId15" Type="http://schemas.openxmlformats.org/officeDocument/2006/relationships/hyperlink" Target="http://www.sec.gov/Archives/edgar/data/../../../ix?doc=/Archives/edgar/data/1513363/000119312526337982/fdus-20260630.htm" TargetMode="External"/><Relationship Id="rId16" Type="http://schemas.openxmlformats.org/officeDocument/2006/relationships/hyperlink" Target="http://www.sec.gov/Archives/edgar/data/../../../ix?doc=/Archives/edgar/data/0001513363/000119312526085360/d101050d8k.htm" TargetMode="External"/><Relationship Id="rId17" Type="http://schemas.openxmlformats.org/officeDocument/2006/relationships/hyperlink" Target="http://www.sec.gov/Archives/edgar/data/../../../ix?doc=/Archives/edgar/data/0001513363/000119312526248266/d119283d8k.htm" TargetMode="External"/><Relationship Id="rId18" Type="http://schemas.openxmlformats.org/officeDocument/2006/relationships/hyperlink" Target="http://www.sec.gov/Archives/edgar/data/../../../ix?doc=/Archives/edgar/data/0001513363/000119312526267516/d131110d8k.htm" TargetMode="External"/><Relationship Id="rId19" Type="http://schemas.openxmlformats.org/officeDocument/2006/relationships/hyperlink" Target="http://www.sec.gov/Archives/edgar/data/../../../ix?doc=/Archives/edgar/data/0001513363/000119312526281224/d111631d8k.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91</Pages>
  <Words>43106</Words>
  <Characters>224164</Characters>
  <CharactersWithSpaces>275380</CharactersWithSpaces>
  <Paragraphs>14326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