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dus-20260217.htm"/>
      <w:bookmarkStart w:id="1" w:name="ksfdus20260217"/>
      <w:bookmarkEnd w:id="0"/>
      <w:bookmarkEnd w:id="1"/>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8"/>
        </w:rPr>
        <w:t>UNITED STATES</w:t>
        <w:br/>
        <w:t xml:space="preserve">SECURITIES AND EXCHANGE COMMISSION </w:t>
      </w:r>
      <w:r>
        <w:rPr>
          <w:rFonts w:ascii="Times New Roman" w:hAnsi="Times New Roman"/>
          <w:b/>
          <w:color w:val="000000"/>
          <w:sz w:val="24"/>
        </w:rPr>
        <w:br/>
      </w: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Pursuant to Section 13 or 15(d) of the Securities Exchange Act of 1934 </w:t>
      </w:r>
    </w:p>
    <w:tbl>
      <w:tblPr>
        <w:tblW w:w="5841" w:type="dxa"/>
        <w:jc w:val="left"/>
        <w:tblInd w:w="0" w:type="dxa"/>
        <w:tblLayout w:type="fixed"/>
        <w:tblCellMar>
          <w:top w:w="28" w:type="dxa"/>
          <w:left w:w="28" w:type="dxa"/>
          <w:bottom w:w="28" w:type="dxa"/>
          <w:right w:w="28" w:type="dxa"/>
        </w:tblCellMar>
      </w:tblPr>
      <w:tblGrid>
        <w:gridCol w:w="4096"/>
        <w:gridCol w:w="109"/>
        <w:gridCol w:w="1636"/>
      </w:tblGrid>
      <w:tr>
        <w:trPr/>
        <w:tc>
          <w:tcPr>
            <w:tcW w:w="4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4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Date of Report (Date of Earliest Event Reported):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17, 2026</w:t>
            </w:r>
          </w:p>
        </w:tc>
      </w:tr>
    </w:tbl>
    <w:p>
      <w:pPr>
        <w:pStyle w:val="TextBody"/>
        <w:bidi w:val="0"/>
        <w:jc w:val="center"/>
        <w:rPr>
          <w:rFonts w:ascii="Times New Roman" w:hAnsi="Times New Roman"/>
          <w:sz w:val="20"/>
        </w:rPr>
      </w:pPr>
      <w:r>
        <w:rPr>
          <w:rFonts w:ascii="Times New Roman" w:hAnsi="Times New Roman"/>
          <w:b/>
          <w:color w:val="000000"/>
          <w:sz w:val="48"/>
        </w:rPr>
        <w:t>Fidus Investment Corporation</w:t>
      </w:r>
      <w:r>
        <w:rPr>
          <w:rFonts w:ascii="Times New Roman" w:hAnsi="Times New Roman"/>
          <w:color w:val="000000"/>
          <w:sz w:val="20"/>
        </w:rPr>
        <w:t xml:space="preserve"> </w:t>
        <w:br/>
        <w:t xml:space="preserve">__________________________________________ </w:t>
        <w:br/>
        <w:t>(Exact name of registrant as specified in its charter)</w:t>
      </w:r>
    </w:p>
    <w:tbl>
      <w:tblPr>
        <w:tblW w:w="7728" w:type="dxa"/>
        <w:jc w:val="left"/>
        <w:tblInd w:w="0" w:type="dxa"/>
        <w:tblLayout w:type="fixed"/>
        <w:tblCellMar>
          <w:top w:w="28" w:type="dxa"/>
          <w:left w:w="28" w:type="dxa"/>
          <w:bottom w:w="28" w:type="dxa"/>
          <w:right w:w="28" w:type="dxa"/>
        </w:tblCellMar>
      </w:tblPr>
      <w:tblGrid>
        <w:gridCol w:w="4606"/>
        <w:gridCol w:w="1471"/>
        <w:gridCol w:w="1651"/>
      </w:tblGrid>
      <w:tr>
        <w:trPr/>
        <w:tc>
          <w:tcPr>
            <w:tcW w:w="460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Maryland</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814-00861</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27-5017321</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_____________________</w:t>
              <w:br/>
              <w:t>(State or other jurisdiction</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_____________</w:t>
              <w:br/>
              <w:t>(Commission</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w:t>
              <w:br/>
              <w:t>(I.R.S. Employer</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 Number)</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60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1603 Orrington Avenue, Suite 1005, Evanston, Illinois </w:t>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60201 </w:t>
            </w:r>
          </w:p>
        </w:tc>
      </w:tr>
      <w:tr>
        <w:trPr/>
        <w:tc>
          <w:tcPr>
            <w:tcW w:w="4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_________________________________</w:t>
              <w:br/>
              <w:t xml:space="preserve">(Address of principal executive offices) </w:t>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___________</w:t>
              <w:br/>
              <w:t xml:space="preserve">(Zip Code) </w:t>
            </w:r>
          </w:p>
        </w:tc>
      </w:tr>
    </w:tbl>
    <w:p>
      <w:pPr>
        <w:pStyle w:val="TextBody"/>
        <w:bidi w:val="0"/>
        <w:jc w:val="center"/>
        <w:rPr/>
      </w:pPr>
      <w:r>
        <w:rPr/>
        <w:t> </w:t>
      </w:r>
    </w:p>
    <w:tbl>
      <w:tblPr>
        <w:tblW w:w="5886" w:type="dxa"/>
        <w:jc w:val="left"/>
        <w:tblInd w:w="0" w:type="dxa"/>
        <w:tblLayout w:type="fixed"/>
        <w:tblCellMar>
          <w:top w:w="28" w:type="dxa"/>
          <w:left w:w="28" w:type="dxa"/>
          <w:bottom w:w="28" w:type="dxa"/>
          <w:right w:w="28" w:type="dxa"/>
        </w:tblCellMar>
      </w:tblPr>
      <w:tblGrid>
        <w:gridCol w:w="4411"/>
        <w:gridCol w:w="109"/>
        <w:gridCol w:w="1366"/>
      </w:tblGrid>
      <w:tr>
        <w:trPr/>
        <w:tc>
          <w:tcPr>
            <w:tcW w:w="4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4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Registrant’s telephone number, including area code: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847-859-3940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Not Applicable </w:t>
        <w:br/>
        <w:t>______________________________________________</w:t>
        <w:br/>
        <w:t xml:space="preserve">Former name or former address, if changed since last report </w:t>
      </w:r>
    </w:p>
    <w:p>
      <w:pPr>
        <w:pStyle w:val="TextBody"/>
        <w:bidi w:val="0"/>
        <w:spacing w:before="0" w:after="200"/>
        <w:jc w:val="center"/>
        <w:rPr>
          <w:rFonts w:ascii="sans-serif" w:hAnsi="sans-serif"/>
          <w:b/>
          <w:color w:val="000000"/>
          <w:sz w:val="22"/>
        </w:rPr>
      </w:pPr>
      <w:r>
        <w:rPr>
          <w:rFonts w:ascii="sans-serif" w:hAnsi="sans-serif"/>
          <w:b/>
          <w:color w:val="000000"/>
          <w:sz w:val="22"/>
        </w:rPr>
        <w:t>________________</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rFonts w:ascii="Times New Roman" w:hAnsi="Times New Roman"/>
          <w:color w:val="000000"/>
          <w:sz w:val="20"/>
        </w:rPr>
      </w:pPr>
      <w:r>
        <w:rPr>
          <w:rFonts w:ascii="Times New Roman" w:hAnsi="Times New Roman"/>
          <w:color w:val="000000"/>
          <w:sz w:val="20"/>
        </w:rPr>
        <w:t>[ ] Written communications pursuant to Rule 425 under the Securities Act (17 CFR 230.425)</w:t>
        <w:br/>
        <w:t>[ ] Soliciting material pursuant to Rule 14a-12 under the Exchange Act (17 CFR 240.14a-12)</w:t>
        <w:br/>
        <w:t>[ ] Pre-commencement communications pursuant to Rule 14d-2(b) under the Exchange Act (17 CFR 240.14d-2(b))</w:t>
        <w:br/>
        <w:t>[ ] Pre-commencement communications pursuant to Rule 13e-4(c) under the Exchange Act (17 CFR 240.13e-4(c))</w:t>
      </w:r>
    </w:p>
    <w:p>
      <w:pPr>
        <w:pStyle w:val="TextBody"/>
        <w:bidi w:val="0"/>
        <w:spacing w:before="90" w:after="20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FDUS</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17" w:type="dxa"/>
        <w:jc w:val="left"/>
        <w:tblInd w:w="0" w:type="dxa"/>
        <w:tblLayout w:type="fixed"/>
        <w:tblCellMar>
          <w:top w:w="28" w:type="dxa"/>
          <w:left w:w="28" w:type="dxa"/>
          <w:bottom w:w="28" w:type="dxa"/>
          <w:right w:w="28" w:type="dxa"/>
        </w:tblCellMar>
      </w:tblPr>
      <w:tblGrid>
        <w:gridCol w:w="961"/>
        <w:gridCol w:w="2356"/>
      </w:tblGrid>
      <w:tr>
        <w:trPr/>
        <w:tc>
          <w:tcPr>
            <w:tcW w:w="96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Fidus Investment Corporation issued a press release on February 17, 2026 announcing the declaration of a base dividend of $0.43 per share and a supplemental dividend of $0.09 per share which are payable on March 30, 2026 to stockholders of record as of March 20, 2026, a copy of which has been furnished as Exhibit 99.1 hereto and is incorporated by reference herein.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information disclosed under this Item 7.01, including Exhibit 99.1 attached hereto, is being furnished and shall not be deemed “filed” for purposes of Section 18 of the Securities Exchange Act of 1934, as amended (the “Exchange Act”), or otherwise subject to the liabilities of that section, and shall not be deemed incorporated by reference into any filing made under the Securities Act of 1933, as amended, or the Exchange Act, except as expressly set forth by specific reference in such filing.</w:t>
      </w:r>
    </w:p>
    <w:p>
      <w:pPr>
        <w:pStyle w:val="TextBody"/>
        <w:bidi w:val="0"/>
        <w:spacing w:before="18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Exhibit 99.1 is being furnished herewith to this Current Report on Form 8-K: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Exhibit</w:t>
      </w:r>
    </w:p>
    <w:p>
      <w:pPr>
        <w:pStyle w:val="TextBody"/>
        <w:bidi w:val="0"/>
        <w:jc w:val="left"/>
        <w:rPr>
          <w:rFonts w:ascii="Times New Roman" w:hAnsi="Times New Roman"/>
          <w:color w:val="000000"/>
          <w:sz w:val="16"/>
          <w:u w:val="single"/>
        </w:rPr>
      </w:pPr>
      <w:r>
        <w:rPr>
          <w:rFonts w:ascii="Times New Roman" w:hAnsi="Times New Roman"/>
          <w:color w:val="000000"/>
          <w:sz w:val="16"/>
          <w:u w:val="single"/>
        </w:rPr>
        <w:t xml:space="preserve">No. Description </w:t>
      </w:r>
    </w:p>
    <w:p>
      <w:pPr>
        <w:pStyle w:val="TextBody"/>
        <w:bidi w:val="0"/>
        <w:jc w:val="left"/>
        <w:rPr/>
      </w:pPr>
      <w:hyperlink w:anchor="fdus-ex99_1.htm">
        <w:r>
          <w:rPr>
            <w:rStyle w:val="InternetLink"/>
            <w:rFonts w:ascii="Times New Roman" w:hAnsi="Times New Roman"/>
            <w:color w:val="0000FF"/>
            <w:sz w:val="20"/>
            <w:u w:val="single"/>
          </w:rPr>
          <w:t>99.1 Press Release dated February 17, 2026 of Fidus Investment Corporation</w:t>
        </w:r>
      </w:hyperlink>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document)</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Date: February 17, 2026 Fidus Investment Corporation</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Shelby E. Sherard </w:t>
      </w:r>
    </w:p>
    <w:p>
      <w:pPr>
        <w:pStyle w:val="TextBody"/>
        <w:bidi w:val="0"/>
        <w:jc w:val="left"/>
        <w:rPr>
          <w:rFonts w:ascii="Times New Roman" w:hAnsi="Times New Roman"/>
          <w:color w:val="000000"/>
          <w:sz w:val="20"/>
        </w:rPr>
      </w:pPr>
      <w:r>
        <w:rPr>
          <w:rFonts w:ascii="Times New Roman" w:hAnsi="Times New Roman"/>
          <w:color w:val="000000"/>
          <w:sz w:val="20"/>
        </w:rPr>
        <w:t>Shelby E. Sherard</w:t>
      </w:r>
    </w:p>
    <w:p>
      <w:pPr>
        <w:pStyle w:val="TextBody"/>
        <w:bidi w:val="0"/>
        <w:jc w:val="left"/>
        <w:rPr>
          <w:rFonts w:ascii="Times New Roman" w:hAnsi="Times New Roman"/>
          <w:color w:val="000000"/>
          <w:sz w:val="20"/>
        </w:rPr>
      </w:pPr>
      <w:r>
        <w:rPr>
          <w:rFonts w:ascii="Times New Roman" w:hAnsi="Times New Roman"/>
          <w:color w:val="000000"/>
          <w:sz w:val="20"/>
        </w:rPr>
        <w:t>Chief Financial Officer and Secretary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fdus-ex99_1.htm"/>
      <w:bookmarkStart w:id="3" w:name="ksfdusex99_1"/>
      <w:bookmarkEnd w:id="2"/>
      <w:bookmarkEnd w:id="3"/>
      <w:r>
        <w:rPr>
          <w:rFonts w:ascii="Times New Roman" w:hAnsi="Times New Roman"/>
          <w:b/>
          <w:color w:val="000000"/>
          <w:sz w:val="24"/>
        </w:rPr>
        <w:t>Exhibit 99.1</w:t>
      </w:r>
      <w:r>
        <w:br w:type="page"/>
      </w:r>
    </w:p>
    <w:p>
      <w:pPr>
        <w:pStyle w:val="TextBody"/>
        <w:bidi w:val="0"/>
        <w:jc w:val="left"/>
        <w:rPr/>
      </w:pPr>
      <w:r>
        <w:rPr/>
        <w:drawing>
          <wp:inline distT="0" distB="0" distL="0" distR="0">
            <wp:extent cx="150495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752475"/>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FIDUS INVESTMENT CORPORATION DECLARES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FIRST QUARTER 2026 DIVIDEND</w:t>
      </w:r>
    </w:p>
    <w:p>
      <w:pPr>
        <w:pStyle w:val="TextBody"/>
        <w:bidi w:val="0"/>
        <w:jc w:val="both"/>
        <w:rPr>
          <w:rFonts w:ascii="Times New Roman" w:hAnsi="Times New Roman"/>
          <w:sz w:val="20"/>
        </w:rPr>
      </w:pPr>
      <w:r>
        <w:rPr>
          <w:rFonts w:ascii="Times New Roman" w:hAnsi="Times New Roman"/>
          <w:b/>
          <w:color w:val="000000"/>
          <w:sz w:val="18"/>
        </w:rPr>
        <w:t>EVANSTON, Ill.,</w:t>
      </w:r>
      <w:r>
        <w:rPr>
          <w:rFonts w:ascii="Times New Roman" w:hAnsi="Times New Roman"/>
          <w:color w:val="000000"/>
          <w:sz w:val="20"/>
        </w:rPr>
        <w:t xml:space="preserve"> </w:t>
      </w:r>
      <w:r>
        <w:rPr>
          <w:rFonts w:ascii="Times New Roman" w:hAnsi="Times New Roman"/>
          <w:b/>
          <w:color w:val="000000"/>
          <w:sz w:val="18"/>
        </w:rPr>
        <w:t>February 17, 2026</w:t>
      </w:r>
      <w:r>
        <w:rPr>
          <w:rFonts w:ascii="Times New Roman" w:hAnsi="Times New Roman"/>
          <w:color w:val="000000"/>
          <w:sz w:val="20"/>
        </w:rPr>
        <w:t xml:space="preserve">– </w:t>
      </w:r>
      <w:r>
        <w:rPr>
          <w:rFonts w:ascii="Times New Roman" w:hAnsi="Times New Roman"/>
          <w:color w:val="000000"/>
          <w:sz w:val="18"/>
        </w:rPr>
        <w:t>Fidus Investment Corporation (NASDAQ:FDUS) (“Fidus” or the “Company”) today announced that its Board of Directors on February 17, 2026 declared a base dividend of $0.43 per share and a supplemental dividend of $0.09 per share for the first quarter of 2026. The Company’s dividends will be payable on March 30, 2026 to stockholders of record as of March 20, 2026.</w:t>
      </w:r>
      <w:r>
        <w:rPr>
          <w:rFonts w:ascii="Times New Roman" w:hAnsi="Times New Roman"/>
          <w:color w:val="000000"/>
          <w:sz w:val="20"/>
        </w:rPr>
        <w:t xml:space="preserve"> </w:t>
      </w:r>
    </w:p>
    <w:p>
      <w:pPr>
        <w:pStyle w:val="TextBody"/>
        <w:bidi w:val="0"/>
        <w:jc w:val="both"/>
        <w:rPr>
          <w:rFonts w:ascii="Times New Roman" w:hAnsi="Times New Roman"/>
          <w:color w:val="000000"/>
          <w:sz w:val="18"/>
        </w:rPr>
      </w:pPr>
      <w:r>
        <w:rPr>
          <w:rFonts w:ascii="Times New Roman" w:hAnsi="Times New Roman"/>
          <w:color w:val="000000"/>
          <w:sz w:val="18"/>
        </w:rPr>
        <w:t>When declaring dividends, the Company’s Board of Directors reviews estimates of taxable income available for distribution, which differs from consolidated income under U.S. generally accepted accounting principles due to (i) changes in unrealized appreciation and depreciation, (ii) temporary and permanent differences in income and expense recognition, and (iii) the amount of undistributed taxable income carried over from a given year for distribution in the following year. The final determination of 2026 taxable income, as well as the tax attributes for 2026 dividends, will be made after the close of the 2026 tax year. The final tax attributes for 2026 dividends will generally include ordinary taxable income but may also include capital gains, qualified dividends and return of capital.</w:t>
      </w:r>
    </w:p>
    <w:p>
      <w:pPr>
        <w:pStyle w:val="TextBody"/>
        <w:bidi w:val="0"/>
        <w:jc w:val="both"/>
        <w:rPr>
          <w:rFonts w:ascii="Times New Roman" w:hAnsi="Times New Roman"/>
          <w:color w:val="000000"/>
          <w:sz w:val="18"/>
        </w:rPr>
      </w:pPr>
      <w:r>
        <w:rPr>
          <w:rFonts w:ascii="Times New Roman" w:hAnsi="Times New Roman"/>
          <w:color w:val="000000"/>
          <w:sz w:val="18"/>
        </w:rPr>
        <w:t>Fidus has adopted a dividend reinvestment plan (“DRIP”) that provides for reinvestment of dividends on behalf of its stockholders, unless a stockholder elects to receive cash. As a result, when the Company declares a cash dividend, stockholders who have not “opted out” of the DRIP at least two days prior to the dividend payment date will have their cash dividends automatically reinvested in additional shares of the Company’s common stock. Those stockholders whose shares are held by a broker or other financial intermediary may receive dividends in cash by notifying their broker or other financial intermediary of their election.</w:t>
      </w:r>
    </w:p>
    <w:p>
      <w:pPr>
        <w:pStyle w:val="TextBody"/>
        <w:bidi w:val="0"/>
        <w:jc w:val="both"/>
        <w:rPr>
          <w:rFonts w:ascii="Times New Roman" w:hAnsi="Times New Roman"/>
          <w:b/>
          <w:color w:val="000000"/>
          <w:sz w:val="18"/>
        </w:rPr>
      </w:pPr>
      <w:r>
        <w:rPr>
          <w:rFonts w:ascii="Times New Roman" w:hAnsi="Times New Roman"/>
          <w:b/>
          <w:color w:val="000000"/>
          <w:sz w:val="18"/>
        </w:rPr>
        <w:t>ABOUT FIDUS INVESTMENT CORPORATION</w:t>
      </w:r>
    </w:p>
    <w:p>
      <w:pPr>
        <w:pStyle w:val="TextBody"/>
        <w:bidi w:val="0"/>
        <w:jc w:val="both"/>
        <w:rPr>
          <w:rFonts w:ascii="Times New Roman" w:hAnsi="Times New Roman"/>
          <w:color w:val="000000"/>
          <w:sz w:val="18"/>
        </w:rPr>
      </w:pPr>
      <w:r>
        <w:rPr>
          <w:rFonts w:ascii="Times New Roman" w:hAnsi="Times New Roman"/>
          <w:color w:val="000000"/>
          <w:sz w:val="18"/>
        </w:rPr>
        <w:t>Fidus Investment Corporation provides customized debt and equity financing solutions to lower middle-market companies, which management generally defines as U.S. based companies with revenues between $10 million and $150 million. The Company’s investment objective is to provide attractive risk-adjusted returns by generating both current income from debt investments and capital appreciation from equity related investments. Fidus seeks to partner with business owners, management teams and financial sponsors by providing customized financing for change of ownership transactions, recapitalizations, strategic acquisitions, business expansion and other growth initiatives.</w:t>
      </w:r>
    </w:p>
    <w:p>
      <w:pPr>
        <w:pStyle w:val="TextBody"/>
        <w:bidi w:val="0"/>
        <w:jc w:val="both"/>
        <w:rPr>
          <w:rFonts w:ascii="Times New Roman" w:hAnsi="Times New Roman"/>
          <w:color w:val="000000"/>
          <w:sz w:val="18"/>
        </w:rPr>
      </w:pPr>
      <w:r>
        <w:rPr>
          <w:rFonts w:ascii="Times New Roman" w:hAnsi="Times New Roman"/>
          <w:color w:val="000000"/>
          <w:sz w:val="18"/>
        </w:rPr>
        <w:t>Fidus is an externally managed, closed-end, non-diversified management investment company that has elected to be treated as a business development company under the Investment Company Act of 1940, as amended. In addition, for tax purposes, Fidus has elected to be treated for U.S. federal income tax purposes as a regulated investment company under Subchapter M of the Internal Revenue Code of 1986, as amended. Fidus was formed in February 2011 to continue and expand the business of Fidus Mezzanine Capital, L.P., which commenced operations in May 2007 and was licensed by the U.S. Small Business Administration as a small business investment company.</w:t>
      </w:r>
    </w:p>
    <w:p>
      <w:pPr>
        <w:pStyle w:val="TextBody"/>
        <w:bidi w:val="0"/>
        <w:jc w:val="center"/>
        <w:rPr/>
      </w:pPr>
      <w:r>
        <w:rPr/>
        <w:t> </w:t>
      </w:r>
    </w:p>
    <w:p>
      <w:pPr>
        <w:pStyle w:val="TextBody"/>
        <w:bidi w:val="0"/>
        <w:jc w:val="both"/>
        <w:rPr/>
      </w:pPr>
      <w:r>
        <w:rPr/>
        <w:t> </w:t>
      </w:r>
    </w:p>
    <w:tbl>
      <w:tblPr>
        <w:tblW w:w="4922" w:type="dxa"/>
        <w:jc w:val="left"/>
        <w:tblInd w:w="0" w:type="dxa"/>
        <w:tblLayout w:type="fixed"/>
        <w:tblCellMar>
          <w:top w:w="28" w:type="dxa"/>
          <w:left w:w="28" w:type="dxa"/>
          <w:bottom w:w="28" w:type="dxa"/>
          <w:right w:w="28" w:type="dxa"/>
        </w:tblCellMar>
      </w:tblPr>
      <w:tblGrid>
        <w:gridCol w:w="2026"/>
        <w:gridCol w:w="2896"/>
      </w:tblGrid>
      <w:tr>
        <w:trPr/>
        <w:tc>
          <w:tcPr>
            <w:tcW w:w="202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Company Contact:</w:t>
            </w:r>
          </w:p>
        </w:tc>
        <w:tc>
          <w:tcPr>
            <w:tcW w:w="2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Investor Relations Contact:</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c>
          <w:tcPr>
            <w:tcW w:w="2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Jody Burfening</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Alliance Advisors IR</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(847) 859-3940</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(212) 838-3777</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ssherard@fidusinv.com</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jburfening@allianceadvisors.com</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1070</Words>
  <Characters>6193</Characters>
  <CharactersWithSpaces>7245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