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188" w:lineRule="auto"/>
        <w:rPr>
          <w:sz w:val="20"/>
          <w:szCs w:val="20"/>
          <w:color w:val="auto"/>
        </w:rPr>
      </w:pPr>
      <w:r>
        <w:rPr>
          <w:rFonts w:ascii="Arial" w:cs="Arial" w:eastAsia="Arial" w:hAnsi="Arial"/>
          <w:sz w:val="17"/>
          <w:szCs w:val="17"/>
          <w:b w:val="1"/>
          <w:bCs w:val="1"/>
          <w:color w:val="auto"/>
        </w:rPr>
        <w:t>Washington, D.C. 20549</w:t>
      </w:r>
    </w:p>
    <w:p>
      <w:pPr>
        <w:ind w:left="4880"/>
        <w:spacing w:after="0"/>
        <w:rPr>
          <w:sz w:val="20"/>
          <w:szCs w:val="20"/>
          <w:color w:val="auto"/>
        </w:rPr>
      </w:pPr>
      <w:r>
        <w:rPr>
          <w:rFonts w:ascii="Arial" w:cs="Arial" w:eastAsia="Arial" w:hAnsi="Arial"/>
          <w:sz w:val="18"/>
          <w:szCs w:val="18"/>
          <w:color w:val="auto"/>
        </w:rPr>
        <w:t>________________</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6" w:lineRule="exact"/>
        <w:rPr>
          <w:sz w:val="24"/>
          <w:szCs w:val="24"/>
          <w:color w:val="auto"/>
        </w:rPr>
      </w:pPr>
    </w:p>
    <w:p>
      <w:pPr>
        <w:ind w:left="1200" w:hanging="297"/>
        <w:spacing w:after="0"/>
        <w:tabs>
          <w:tab w:leader="none" w:pos="12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22" w:lineRule="exact"/>
        <w:rPr>
          <w:sz w:val="24"/>
          <w:szCs w:val="24"/>
          <w:color w:val="auto"/>
        </w:rPr>
      </w:pPr>
    </w:p>
    <w:p>
      <w:pPr>
        <w:ind w:left="1200" w:hanging="304"/>
        <w:spacing w:after="0"/>
        <w:tabs>
          <w:tab w:leader="none" w:pos="12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3" w:lineRule="exact"/>
        <w:rPr>
          <w:sz w:val="24"/>
          <w:szCs w:val="24"/>
          <w:color w:val="auto"/>
        </w:rPr>
      </w:pPr>
    </w:p>
    <w:tbl>
      <w:tblPr>
        <w:tblLayout w:type="fixed"/>
        <w:tblInd w:w="3440" w:type="dxa"/>
        <w:tblCellMar>
          <w:top w:w="0" w:type="dxa"/>
          <w:left w:w="0" w:type="dxa"/>
          <w:bottom w:w="0" w:type="dxa"/>
          <w:right w:w="0" w:type="dxa"/>
        </w:tblCellMar>
      </w:tblPr>
      <w:tr>
        <w:trPr>
          <w:trHeight w:val="207"/>
        </w:trPr>
        <w:tc>
          <w:tcPr>
            <w:tcW w:w="296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64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277"/>
        </w:trPr>
        <w:tc>
          <w:tcPr>
            <w:tcW w:w="3600" w:type="dxa"/>
            <w:vAlign w:val="bottom"/>
            <w:gridSpan w:val="2"/>
          </w:tcPr>
          <w:p>
            <w:pPr>
              <w:ind w:left="820"/>
              <w:spacing w:after="0"/>
              <w:rPr>
                <w:sz w:val="20"/>
                <w:szCs w:val="20"/>
                <w:color w:val="auto"/>
              </w:rPr>
            </w:pPr>
            <w:r>
              <w:rPr>
                <w:rFonts w:ascii="Arial" w:cs="Arial" w:eastAsia="Arial" w:hAnsi="Arial"/>
                <w:sz w:val="18"/>
                <w:szCs w:val="18"/>
                <w:b w:val="1"/>
                <w:bCs w:val="1"/>
                <w:color w:val="auto"/>
                <w:w w:val="91"/>
              </w:rPr>
              <w:t>Commission file number 814-00861</w:t>
            </w:r>
          </w:p>
        </w:tc>
        <w:tc>
          <w:tcPr>
            <w:tcW w:w="200" w:type="dxa"/>
            <w:vAlign w:val="bottom"/>
          </w:tcPr>
          <w:p>
            <w:pPr>
              <w:spacing w:after="0"/>
              <w:rPr>
                <w:sz w:val="24"/>
                <w:szCs w:val="24"/>
                <w:color w:val="auto"/>
              </w:rPr>
            </w:pPr>
          </w:p>
        </w:tc>
      </w:tr>
    </w:tbl>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Fidus Investment Corporation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69" w:lineRule="exact"/>
        <w:rPr>
          <w:sz w:val="24"/>
          <w:szCs w:val="24"/>
          <w:color w:val="auto"/>
        </w:rPr>
      </w:pPr>
    </w:p>
    <w:tbl>
      <w:tblPr>
        <w:tblLayout w:type="fixed"/>
        <w:tblInd w:w="2880" w:type="dxa"/>
        <w:tblCellMar>
          <w:top w:w="0" w:type="dxa"/>
          <w:left w:w="0" w:type="dxa"/>
          <w:bottom w:w="0" w:type="dxa"/>
          <w:right w:w="0" w:type="dxa"/>
        </w:tblCellMar>
      </w:tblPr>
      <w:tr>
        <w:trPr>
          <w:trHeight w:val="207"/>
        </w:trPr>
        <w:tc>
          <w:tcPr>
            <w:tcW w:w="3420" w:type="dxa"/>
            <w:vAlign w:val="bottom"/>
          </w:tcPr>
          <w:p>
            <w:pPr>
              <w:jc w:val="center"/>
              <w:ind w:right="639"/>
              <w:spacing w:after="0"/>
              <w:rPr>
                <w:sz w:val="20"/>
                <w:szCs w:val="20"/>
                <w:color w:val="auto"/>
              </w:rPr>
            </w:pPr>
            <w:r>
              <w:rPr>
                <w:rFonts w:ascii="Arial" w:cs="Arial" w:eastAsia="Arial" w:hAnsi="Arial"/>
                <w:sz w:val="18"/>
                <w:szCs w:val="18"/>
                <w:b w:val="1"/>
                <w:bCs w:val="1"/>
                <w:color w:val="auto"/>
                <w:w w:val="98"/>
              </w:rPr>
              <w:t>Maryland</w:t>
            </w:r>
          </w:p>
        </w:tc>
        <w:tc>
          <w:tcPr>
            <w:tcW w:w="1860" w:type="dxa"/>
            <w:vAlign w:val="bottom"/>
          </w:tcPr>
          <w:p>
            <w:pPr>
              <w:jc w:val="right"/>
              <w:ind w:right="61"/>
              <w:spacing w:after="0"/>
              <w:rPr>
                <w:sz w:val="20"/>
                <w:szCs w:val="20"/>
                <w:color w:val="auto"/>
              </w:rPr>
            </w:pPr>
            <w:r>
              <w:rPr>
                <w:rFonts w:ascii="Arial" w:cs="Arial" w:eastAsia="Arial" w:hAnsi="Arial"/>
                <w:sz w:val="18"/>
                <w:szCs w:val="18"/>
                <w:b w:val="1"/>
                <w:bCs w:val="1"/>
                <w:color w:val="auto"/>
              </w:rPr>
              <w:t>27-5017321</w:t>
            </w:r>
          </w:p>
        </w:tc>
        <w:tc>
          <w:tcPr>
            <w:tcW w:w="0" w:type="dxa"/>
            <w:vAlign w:val="bottom"/>
          </w:tcPr>
          <w:p>
            <w:pPr>
              <w:spacing w:after="0"/>
              <w:rPr>
                <w:sz w:val="1"/>
                <w:szCs w:val="1"/>
                <w:color w:val="auto"/>
              </w:rPr>
            </w:pPr>
          </w:p>
        </w:tc>
      </w:tr>
      <w:tr>
        <w:trPr>
          <w:trHeight w:val="144"/>
        </w:trPr>
        <w:tc>
          <w:tcPr>
            <w:tcW w:w="3420" w:type="dxa"/>
            <w:vAlign w:val="bottom"/>
          </w:tcPr>
          <w:p>
            <w:pPr>
              <w:jc w:val="center"/>
              <w:ind w:right="67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860" w:type="dxa"/>
            <w:vAlign w:val="bottom"/>
          </w:tcPr>
          <w:p>
            <w:pPr>
              <w:jc w:val="center"/>
              <w:ind w:left="621"/>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420" w:type="dxa"/>
            <w:vAlign w:val="bottom"/>
          </w:tcPr>
          <w:p>
            <w:pPr>
              <w:jc w:val="center"/>
              <w:ind w:right="639"/>
              <w:spacing w:after="0"/>
              <w:rPr>
                <w:sz w:val="20"/>
                <w:szCs w:val="20"/>
                <w:color w:val="auto"/>
              </w:rPr>
            </w:pPr>
            <w:r>
              <w:rPr>
                <w:rFonts w:ascii="Arial" w:cs="Arial" w:eastAsia="Arial" w:hAnsi="Arial"/>
                <w:sz w:val="14"/>
                <w:szCs w:val="14"/>
                <w:b w:val="1"/>
                <w:bCs w:val="1"/>
                <w:color w:val="auto"/>
                <w:w w:val="95"/>
              </w:rPr>
              <w:t>Incorporation or Organization)</w:t>
            </w:r>
          </w:p>
        </w:tc>
        <w:tc>
          <w:tcPr>
            <w:tcW w:w="1860" w:type="dxa"/>
            <w:vAlign w:val="bottom"/>
          </w:tcPr>
          <w:p>
            <w:pPr>
              <w:jc w:val="center"/>
              <w:ind w:left="66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19"/>
        </w:trPr>
        <w:tc>
          <w:tcPr>
            <w:tcW w:w="3420" w:type="dxa"/>
            <w:vAlign w:val="bottom"/>
          </w:tcPr>
          <w:p>
            <w:pPr>
              <w:jc w:val="center"/>
              <w:ind w:right="639"/>
              <w:spacing w:after="0"/>
              <w:rPr>
                <w:sz w:val="20"/>
                <w:szCs w:val="20"/>
                <w:color w:val="auto"/>
              </w:rPr>
            </w:pPr>
            <w:r>
              <w:rPr>
                <w:rFonts w:ascii="Arial" w:cs="Arial" w:eastAsia="Arial" w:hAnsi="Arial"/>
                <w:sz w:val="18"/>
                <w:szCs w:val="18"/>
                <w:b w:val="1"/>
                <w:bCs w:val="1"/>
                <w:color w:val="auto"/>
                <w:w w:val="90"/>
              </w:rPr>
              <w:t>1603 Orrington Avenue, Suite 1005</w:t>
            </w:r>
          </w:p>
        </w:tc>
        <w:tc>
          <w:tcPr>
            <w:tcW w:w="186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60201</w:t>
            </w:r>
          </w:p>
        </w:tc>
        <w:tc>
          <w:tcPr>
            <w:tcW w:w="0" w:type="dxa"/>
            <w:vAlign w:val="bottom"/>
          </w:tcPr>
          <w:p>
            <w:pPr>
              <w:spacing w:after="0"/>
              <w:rPr>
                <w:sz w:val="1"/>
                <w:szCs w:val="1"/>
                <w:color w:val="auto"/>
              </w:rPr>
            </w:pPr>
          </w:p>
        </w:tc>
      </w:tr>
      <w:tr>
        <w:trPr>
          <w:trHeight w:val="193"/>
        </w:trPr>
        <w:tc>
          <w:tcPr>
            <w:tcW w:w="3420" w:type="dxa"/>
            <w:vAlign w:val="bottom"/>
          </w:tcPr>
          <w:p>
            <w:pPr>
              <w:jc w:val="center"/>
              <w:ind w:right="639"/>
              <w:spacing w:after="0" w:line="194" w:lineRule="exact"/>
              <w:rPr>
                <w:sz w:val="20"/>
                <w:szCs w:val="20"/>
                <w:color w:val="auto"/>
              </w:rPr>
            </w:pPr>
            <w:r>
              <w:rPr>
                <w:rFonts w:ascii="Arial" w:cs="Arial" w:eastAsia="Arial" w:hAnsi="Arial"/>
                <w:sz w:val="18"/>
                <w:szCs w:val="18"/>
                <w:b w:val="1"/>
                <w:bCs w:val="1"/>
                <w:color w:val="auto"/>
                <w:w w:val="90"/>
              </w:rPr>
              <w:t>Evanston, Illinois</w:t>
            </w: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20" w:type="dxa"/>
            <w:vAlign w:val="bottom"/>
          </w:tcPr>
          <w:p>
            <w:pPr>
              <w:jc w:val="center"/>
              <w:ind w:right="6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860" w:type="dxa"/>
            <w:vAlign w:val="bottom"/>
          </w:tcPr>
          <w:p>
            <w:pPr>
              <w:jc w:val="center"/>
              <w:ind w:left="64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859-3940</w:t>
      </w:r>
    </w:p>
    <w:p>
      <w:pPr>
        <w:jc w:val="center"/>
        <w:spacing w:after="0" w:line="198" w:lineRule="auto"/>
        <w:rPr>
          <w:sz w:val="20"/>
          <w:szCs w:val="20"/>
          <w:color w:val="auto"/>
        </w:rPr>
      </w:pPr>
      <w:r>
        <w:rPr>
          <w:rFonts w:ascii="Arial" w:cs="Arial" w:eastAsia="Arial" w:hAnsi="Arial"/>
          <w:sz w:val="13"/>
          <w:szCs w:val="13"/>
          <w:i w:val="1"/>
          <w:iCs w:val="1"/>
          <w:color w:val="auto"/>
        </w:rPr>
        <w:t>(Registrant’s telephone number, including area code)</w:t>
      </w:r>
    </w:p>
    <w:p>
      <w:pPr>
        <w:ind w:left="4880"/>
        <w:spacing w:after="0" w:line="188" w:lineRule="auto"/>
        <w:rPr>
          <w:sz w:val="20"/>
          <w:szCs w:val="20"/>
          <w:color w:val="auto"/>
        </w:rPr>
      </w:pPr>
      <w:r>
        <w:rPr>
          <w:rFonts w:ascii="Arial" w:cs="Arial" w:eastAsia="Arial" w:hAnsi="Arial"/>
          <w:sz w:val="18"/>
          <w:szCs w:val="18"/>
          <w:color w:val="auto"/>
        </w:rPr>
        <w:t>________________</w:t>
      </w:r>
    </w:p>
    <w:p>
      <w:pPr>
        <w:jc w:val="center"/>
        <w:spacing w:after="0" w:line="234" w:lineRule="auto"/>
        <w:rPr>
          <w:sz w:val="20"/>
          <w:szCs w:val="20"/>
          <w:color w:val="auto"/>
        </w:rPr>
      </w:pPr>
      <w:r>
        <w:rPr>
          <w:rFonts w:ascii="Arial" w:cs="Arial" w:eastAsia="Arial" w:hAnsi="Arial"/>
          <w:sz w:val="18"/>
          <w:szCs w:val="18"/>
          <w:b w:val="1"/>
          <w:bCs w:val="1"/>
          <w:color w:val="auto"/>
        </w:rPr>
        <w:t>n/a</w:t>
      </w:r>
    </w:p>
    <w:p>
      <w:pPr>
        <w:jc w:val="center"/>
        <w:spacing w:after="0" w:line="235" w:lineRule="auto"/>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1"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93"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4400" w:type="dxa"/>
            <w:vAlign w:val="bottom"/>
            <w:tcBorders>
              <w:top w:val="single" w:sz="8" w:color="auto"/>
              <w:bottom w:val="single" w:sz="8" w:color="auto"/>
              <w:right w:val="single" w:sz="8" w:color="auto"/>
            </w:tcBorders>
          </w:tcPr>
          <w:p>
            <w:pPr>
              <w:ind w:left="86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80"/>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FDUS</w:t>
            </w:r>
          </w:p>
        </w:tc>
        <w:tc>
          <w:tcPr>
            <w:tcW w:w="440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The NASDAQ Global Select Market</w:t>
            </w:r>
          </w:p>
        </w:tc>
      </w:tr>
    </w:tbl>
    <w:p>
      <w:pPr>
        <w:spacing w:after="0" w:line="188" w:lineRule="exact"/>
        <w:rPr>
          <w:sz w:val="24"/>
          <w:szCs w:val="24"/>
          <w:color w:val="auto"/>
        </w:rPr>
      </w:pPr>
    </w:p>
    <w:p>
      <w:pPr>
        <w:ind w:left="38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19"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5" w:lineRule="exact"/>
        <w:rPr>
          <w:sz w:val="24"/>
          <w:szCs w:val="24"/>
          <w:color w:val="auto"/>
        </w:rPr>
      </w:pPr>
    </w:p>
    <w:p>
      <w:pPr>
        <w:jc w:val="both"/>
        <w:ind w:firstLine="361"/>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5" w:lineRule="exact"/>
        <w:rPr>
          <w:sz w:val="24"/>
          <w:szCs w:val="24"/>
          <w:color w:val="auto"/>
        </w:rPr>
      </w:pPr>
    </w:p>
    <w:p>
      <w:pPr>
        <w:jc w:val="both"/>
        <w:ind w:right="20" w:firstLine="36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8"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22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020" w:type="dxa"/>
            <w:vAlign w:val="bottom"/>
          </w:tcPr>
          <w:p>
            <w:pPr>
              <w:jc w:val="center"/>
              <w:spacing w:after="0"/>
              <w:rPr>
                <w:sz w:val="20"/>
                <w:szCs w:val="20"/>
                <w:color w:val="auto"/>
              </w:rPr>
            </w:pPr>
            <w:r>
              <w:rPr>
                <w:rFonts w:ascii="Arial" w:cs="Arial" w:eastAsia="Arial" w:hAnsi="Arial"/>
                <w:sz w:val="18"/>
                <w:szCs w:val="18"/>
                <w:color w:val="auto"/>
                <w:w w:val="94"/>
              </w:rPr>
              <w:t>Accelerated filer</w:t>
            </w:r>
          </w:p>
        </w:tc>
        <w:tc>
          <w:tcPr>
            <w:tcW w:w="2200" w:type="dxa"/>
            <w:vAlign w:val="bottom"/>
          </w:tcPr>
          <w:p>
            <w:pPr>
              <w:jc w:val="center"/>
              <w:ind w:left="119"/>
              <w:spacing w:after="0"/>
              <w:rPr>
                <w:sz w:val="20"/>
                <w:szCs w:val="20"/>
                <w:color w:val="auto"/>
              </w:rPr>
            </w:pPr>
            <w:r>
              <w:rPr>
                <w:rFonts w:ascii="Arial" w:cs="Arial" w:eastAsia="Arial" w:hAnsi="Arial"/>
                <w:sz w:val="18"/>
                <w:szCs w:val="18"/>
                <w:color w:val="auto"/>
                <w:w w:val="91"/>
              </w:rPr>
              <w:t>Non-accelerated filer</w:t>
            </w:r>
          </w:p>
        </w:tc>
        <w:tc>
          <w:tcPr>
            <w:tcW w:w="2340" w:type="dxa"/>
            <w:vAlign w:val="bottom"/>
          </w:tcPr>
          <w:p>
            <w:pPr>
              <w:jc w:val="center"/>
              <w:ind w:left="10"/>
              <w:spacing w:after="0"/>
              <w:rPr>
                <w:sz w:val="20"/>
                <w:szCs w:val="20"/>
                <w:color w:val="auto"/>
              </w:rPr>
            </w:pPr>
            <w:r>
              <w:rPr>
                <w:rFonts w:ascii="Arial" w:cs="Arial" w:eastAsia="Arial" w:hAnsi="Arial"/>
                <w:sz w:val="18"/>
                <w:szCs w:val="18"/>
                <w:color w:val="auto"/>
                <w:w w:val="91"/>
              </w:rPr>
              <w:t>Smaller reporting company</w:t>
            </w:r>
          </w:p>
        </w:tc>
        <w:tc>
          <w:tcPr>
            <w:tcW w:w="2100" w:type="dxa"/>
            <w:vAlign w:val="bottom"/>
          </w:tcPr>
          <w:p>
            <w:pPr>
              <w:jc w:val="center"/>
              <w:ind w:left="50"/>
              <w:spacing w:after="0"/>
              <w:rPr>
                <w:sz w:val="20"/>
                <w:szCs w:val="20"/>
                <w:color w:val="auto"/>
              </w:rPr>
            </w:pPr>
            <w:r>
              <w:rPr>
                <w:rFonts w:ascii="Arial" w:cs="Arial" w:eastAsia="Arial" w:hAnsi="Arial"/>
                <w:sz w:val="18"/>
                <w:szCs w:val="18"/>
                <w:color w:val="auto"/>
                <w:w w:val="91"/>
              </w:rPr>
              <w:t>Emerging growth company</w:t>
            </w:r>
          </w:p>
        </w:tc>
        <w:tc>
          <w:tcPr>
            <w:tcW w:w="0" w:type="dxa"/>
            <w:vAlign w:val="bottom"/>
          </w:tcPr>
          <w:p>
            <w:pPr>
              <w:spacing w:after="0"/>
              <w:rPr>
                <w:sz w:val="1"/>
                <w:szCs w:val="1"/>
                <w:color w:val="auto"/>
              </w:rPr>
            </w:pPr>
          </w:p>
        </w:tc>
      </w:tr>
      <w:tr>
        <w:trPr>
          <w:trHeight w:val="218"/>
        </w:trPr>
        <w:tc>
          <w:tcPr>
            <w:tcW w:w="2200" w:type="dxa"/>
            <w:vAlign w:val="bottom"/>
            <w:vMerge w:val="continue"/>
          </w:tcPr>
          <w:p>
            <w:pPr>
              <w:spacing w:after="0"/>
              <w:rPr>
                <w:sz w:val="18"/>
                <w:szCs w:val="18"/>
                <w:color w:val="auto"/>
              </w:rPr>
            </w:pPr>
          </w:p>
        </w:tc>
        <w:tc>
          <w:tcPr>
            <w:tcW w:w="2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200" w:type="dxa"/>
            <w:vAlign w:val="bottom"/>
          </w:tcPr>
          <w:p>
            <w:pPr>
              <w:jc w:val="center"/>
              <w:ind w:left="119"/>
              <w:spacing w:after="0" w:line="141" w:lineRule="exact"/>
              <w:rPr>
                <w:sz w:val="20"/>
                <w:szCs w:val="20"/>
                <w:color w:val="auto"/>
              </w:rPr>
            </w:pPr>
            <w:r>
              <w:rPr>
                <w:rFonts w:ascii="MS PGothic" w:cs="MS PGothic" w:eastAsia="MS PGothic" w:hAnsi="MS PGothic"/>
                <w:sz w:val="14"/>
                <w:szCs w:val="14"/>
                <w:color w:val="auto"/>
                <w:w w:val="85"/>
              </w:rPr>
              <w:t>☑</w:t>
            </w:r>
          </w:p>
        </w:tc>
        <w:tc>
          <w:tcPr>
            <w:tcW w:w="2340" w:type="dxa"/>
            <w:vAlign w:val="bottom"/>
          </w:tcPr>
          <w:p>
            <w:pPr>
              <w:jc w:val="center"/>
              <w:ind w:left="50"/>
              <w:spacing w:after="0" w:line="181" w:lineRule="exact"/>
              <w:rPr>
                <w:sz w:val="20"/>
                <w:szCs w:val="20"/>
                <w:color w:val="auto"/>
              </w:rPr>
            </w:pPr>
            <w:r>
              <w:rPr>
                <w:rFonts w:ascii="MS PGothic" w:cs="MS PGothic" w:eastAsia="MS PGothic" w:hAnsi="MS PGothic"/>
                <w:sz w:val="18"/>
                <w:szCs w:val="18"/>
                <w:color w:val="auto"/>
                <w:w w:val="88"/>
              </w:rPr>
              <w:t>☐</w:t>
            </w:r>
          </w:p>
        </w:tc>
        <w:tc>
          <w:tcPr>
            <w:tcW w:w="2100" w:type="dxa"/>
            <w:vAlign w:val="bottom"/>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(Do not check if a smaller reporting company)</w:t>
      </w:r>
    </w:p>
    <w:p>
      <w:pPr>
        <w:spacing w:after="0" w:line="182"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3" w:lineRule="exact"/>
        <w:rPr>
          <w:sz w:val="24"/>
          <w:szCs w:val="24"/>
          <w:color w:val="auto"/>
        </w:rPr>
      </w:pPr>
    </w:p>
    <w:p>
      <w:pPr>
        <w:ind w:right="2100"/>
        <w:spacing w:after="0" w:line="26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3"/>
          <w:szCs w:val="13"/>
          <w:color w:val="auto"/>
        </w:rPr>
        <w:t>☑</w:t>
      </w:r>
      <w:r>
        <w:rPr>
          <w:rFonts w:ascii="Arial" w:cs="Arial" w:eastAsia="Arial" w:hAnsi="Arial"/>
          <w:sz w:val="17"/>
          <w:szCs w:val="17"/>
          <w:color w:val="auto"/>
        </w:rPr>
        <w:t xml:space="preserve"> As of August 2, 2022, the Registrant had outstanding 24,437,400 shares of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500" w:type="dxa"/>
            <w:vAlign w:val="bottom"/>
            <w:gridSpan w:val="13"/>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FF"/>
            </w:tcBorders>
            <w:gridSpan w:val="5"/>
          </w:tcPr>
          <w:p>
            <w:pPr>
              <w:spacing w:after="0" w:line="182"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1700" w:type="dxa"/>
            <w:vAlign w:val="bottom"/>
            <w:gridSpan w:val="3"/>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9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500" w:type="dxa"/>
            <w:vAlign w:val="bottom"/>
            <w:tcBorders>
              <w:bottom w:val="single" w:sz="8" w:color="0000FF"/>
            </w:tcBorders>
            <w:gridSpan w:val="17"/>
          </w:tcPr>
          <w:p>
            <w:pPr>
              <w:spacing w:after="0" w:line="182"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Consolidated Statements of Assets and Liabilities — June 30, 2022 (unaudited) and December 31, 2021</w:t>
              </w:r>
            </w:hyperlink>
          </w:p>
        </w:tc>
        <w:tc>
          <w:tcPr>
            <w:tcW w:w="2260" w:type="dxa"/>
            <w:vAlign w:val="bottom"/>
            <w:gridSpan w:val="4"/>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760" w:type="dxa"/>
            <w:vAlign w:val="bottom"/>
            <w:gridSpan w:val="21"/>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Consolidated Statements of Operations — three and six months ended June 30, 2022 (unaudited) and 2021 (unaudited)</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Borders>
              <w:top w:val="single" w:sz="8" w:color="0000FF"/>
            </w:tcBorders>
            <w:gridSpan w:val="18"/>
          </w:tcPr>
          <w:p>
            <w:pPr>
              <w:spacing w:after="0" w:line="182"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Consolidated Statements of Changes in Net Assets — three and six months ended June 30, 2022 (unaudited) and 2021</w:t>
              </w:r>
            </w:hyperlink>
          </w:p>
        </w:tc>
        <w:tc>
          <w:tcPr>
            <w:tcW w:w="1200" w:type="dxa"/>
            <w:vAlign w:val="bottom"/>
            <w:gridSpan w:val="3"/>
          </w:tcPr>
          <w:p>
            <w:pPr>
              <w:ind w:left="20"/>
              <w:spacing w:after="0" w:line="182" w:lineRule="exact"/>
              <w:rPr>
                <w:rFonts w:ascii="Arial" w:cs="Arial" w:eastAsia="Arial" w:hAnsi="Arial"/>
                <w:sz w:val="18"/>
                <w:szCs w:val="18"/>
                <w:color w:val="0000FF"/>
              </w:rPr>
            </w:pPr>
            <w:hyperlink w:anchor="page5">
              <w:r>
                <w:rPr>
                  <w:rFonts w:ascii="Arial" w:cs="Arial" w:eastAsia="Arial" w:hAnsi="Arial"/>
                  <w:sz w:val="18"/>
                  <w:szCs w:val="18"/>
                  <w:color w:val="0000FF"/>
                </w:rPr>
                <w:t>(unaudited)</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0" w:type="dxa"/>
            <w:vAlign w:val="bottom"/>
            <w:tcBorders>
              <w:top w:val="single" w:sz="8" w:color="0000FF"/>
            </w:tcBorders>
            <w:gridSpan w:val="20"/>
          </w:tcPr>
          <w:p>
            <w:pPr>
              <w:spacing w:after="0" w:line="182" w:lineRule="exact"/>
              <w:rPr>
                <w:rFonts w:ascii="Arial" w:cs="Arial" w:eastAsia="Arial" w:hAnsi="Arial"/>
                <w:sz w:val="18"/>
                <w:szCs w:val="18"/>
                <w:color w:val="0000FF"/>
                <w:w w:val="97"/>
              </w:rPr>
            </w:pPr>
            <w:hyperlink w:anchor="page6">
              <w:r>
                <w:rPr>
                  <w:rFonts w:ascii="Arial" w:cs="Arial" w:eastAsia="Arial" w:hAnsi="Arial"/>
                  <w:sz w:val="18"/>
                  <w:szCs w:val="18"/>
                  <w:color w:val="0000FF"/>
                  <w:w w:val="97"/>
                </w:rPr>
                <w:t>Consolidated Statements of Cash Flows — three and six months ended June 30, 2022, (unaudited) and 2021 (unaudited)</w:t>
              </w:r>
            </w:hyperlink>
          </w:p>
        </w:tc>
        <w:tc>
          <w:tcPr>
            <w:tcW w:w="36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6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w:anchor="page7">
              <w:r>
                <w:rPr>
                  <w:rFonts w:ascii="Arial" w:cs="Arial" w:eastAsia="Arial" w:hAnsi="Arial"/>
                  <w:sz w:val="18"/>
                  <w:szCs w:val="18"/>
                  <w:color w:val="0000FF"/>
                </w:rPr>
                <w:t>Consolidated Schedules of Investments — June 30, 2022 (unaudited) and December 31, 2021</w:t>
              </w:r>
            </w:hyperlink>
          </w:p>
        </w:tc>
        <w:tc>
          <w:tcPr>
            <w:tcW w:w="1100" w:type="dxa"/>
            <w:vAlign w:val="bottom"/>
            <w:gridSpan w:val="2"/>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w:anchor="page15">
              <w:r>
                <w:rPr>
                  <w:rFonts w:ascii="Arial" w:cs="Arial" w:eastAsia="Arial" w:hAnsi="Arial"/>
                  <w:sz w:val="18"/>
                  <w:szCs w:val="18"/>
                  <w:color w:val="0000FF"/>
                </w:rPr>
                <w:t>Notes to Consolidated Financial Statements (unaudited)</w:t>
              </w:r>
            </w:hyperlink>
          </w:p>
        </w:tc>
        <w:tc>
          <w:tcPr>
            <w:tcW w:w="3000" w:type="dxa"/>
            <w:vAlign w:val="bottom"/>
            <w:gridSpan w:val="5"/>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5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83"/>
        </w:trPr>
        <w:tc>
          <w:tcPr>
            <w:tcW w:w="900" w:type="dxa"/>
            <w:vAlign w:val="bottom"/>
            <w:gridSpan w:val="2"/>
            <w:vMerge w:val="continue"/>
          </w:tcPr>
          <w:p>
            <w:pPr>
              <w:spacing w:after="0"/>
              <w:rPr>
                <w:sz w:val="15"/>
                <w:szCs w:val="15"/>
                <w:color w:val="auto"/>
              </w:rPr>
            </w:pPr>
          </w:p>
        </w:tc>
        <w:tc>
          <w:tcPr>
            <w:tcW w:w="9760" w:type="dxa"/>
            <w:vAlign w:val="bottom"/>
            <w:gridSpan w:val="21"/>
          </w:tcPr>
          <w:p>
            <w:pPr>
              <w:spacing w:after="0" w:line="182" w:lineRule="exact"/>
              <w:rPr>
                <w:rFonts w:ascii="Arial" w:cs="Arial" w:eastAsia="Arial" w:hAnsi="Arial"/>
                <w:sz w:val="18"/>
                <w:szCs w:val="18"/>
                <w:color w:val="0000FF"/>
              </w:rPr>
            </w:pPr>
            <w:hyperlink w:anchor="page37">
              <w:r>
                <w:rPr>
                  <w:rFonts w:ascii="Arial" w:cs="Arial" w:eastAsia="Arial" w:hAnsi="Arial"/>
                  <w:sz w:val="18"/>
                  <w:szCs w:val="18"/>
                  <w:color w:val="0000FF"/>
                </w:rPr>
                <w:t>Management’s Discussion and Analysis of Financial Condition and Results of Operations</w:t>
              </w:r>
            </w:hyperlink>
            <w:r>
              <w:rPr>
                <w:rFonts w:ascii="Arial" w:cs="Arial" w:eastAsia="Arial" w:hAnsi="Arial"/>
                <w:sz w:val="18"/>
                <w:szCs w:val="18"/>
                <w:color w:val="000000"/>
              </w:rPr>
              <w:t>.</w:t>
            </w: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w:anchor="page55">
              <w:r>
                <w:rPr>
                  <w:rFonts w:ascii="Arial" w:cs="Arial" w:eastAsia="Arial" w:hAnsi="Arial"/>
                  <w:sz w:val="18"/>
                  <w:szCs w:val="18"/>
                  <w:color w:val="0000FF"/>
                </w:rPr>
                <w:t>Quantitative and Qualitative Disclosures About Market Risk.</w:t>
              </w:r>
            </w:hyperlink>
          </w:p>
        </w:tc>
        <w:tc>
          <w:tcPr>
            <w:tcW w:w="3300" w:type="dxa"/>
            <w:vAlign w:val="bottom"/>
            <w:gridSpan w:val="7"/>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gridSpan w:val="3"/>
          </w:tcPr>
          <w:p>
            <w:pPr>
              <w:spacing w:after="0" w:line="182" w:lineRule="exact"/>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PART II —</w:t>
              </w:r>
            </w:hyperlink>
          </w:p>
        </w:tc>
        <w:tc>
          <w:tcPr>
            <w:tcW w:w="5340" w:type="dxa"/>
            <w:vAlign w:val="bottom"/>
            <w:gridSpan w:val="9"/>
          </w:tcPr>
          <w:p>
            <w:pPr>
              <w:spacing w:after="0" w:line="182" w:lineRule="exact"/>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OTHER INFORMATION</w:t>
              </w:r>
            </w:hyperlink>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3460" w:type="dxa"/>
            <w:vAlign w:val="bottom"/>
            <w:gridSpan w:val="9"/>
          </w:tcPr>
          <w:p>
            <w:pPr>
              <w:spacing w:after="0" w:line="182" w:lineRule="exact"/>
              <w:rPr>
                <w:rFonts w:ascii="Arial" w:cs="Arial" w:eastAsia="Arial" w:hAnsi="Arial"/>
                <w:sz w:val="18"/>
                <w:szCs w:val="18"/>
                <w:color w:val="0000FF"/>
              </w:rPr>
            </w:pPr>
            <w:hyperlink w:anchor="page58">
              <w:r>
                <w:rPr>
                  <w:rFonts w:ascii="Arial" w:cs="Arial" w:eastAsia="Arial" w:hAnsi="Arial"/>
                  <w:sz w:val="18"/>
                  <w:szCs w:val="18"/>
                  <w:color w:val="0000FF"/>
                </w:rPr>
                <w:t>Legal Proceedings.</w:t>
              </w:r>
            </w:hyperlink>
          </w:p>
        </w:tc>
        <w:tc>
          <w:tcPr>
            <w:tcW w:w="940" w:type="dxa"/>
            <w:vAlign w:val="bottom"/>
            <w:tcBorders>
              <w:top w:val="single" w:sz="8" w:color="0000FF"/>
            </w:tcBorders>
            <w:gridSpan w:val="2"/>
          </w:tcPr>
          <w:p>
            <w:pPr>
              <w:spacing w:after="0"/>
              <w:rPr>
                <w:sz w:val="15"/>
                <w:szCs w:val="15"/>
                <w:color w:val="auto"/>
              </w:rPr>
            </w:pPr>
          </w:p>
        </w:tc>
        <w:tc>
          <w:tcPr>
            <w:tcW w:w="2000" w:type="dxa"/>
            <w:vAlign w:val="bottom"/>
            <w:tcBorders>
              <w:top w:val="single" w:sz="8" w:color="0000FF"/>
            </w:tcBorders>
            <w:gridSpan w:val="2"/>
          </w:tcPr>
          <w:p>
            <w:pPr>
              <w:spacing w:after="0"/>
              <w:rPr>
                <w:sz w:val="15"/>
                <w:szCs w:val="15"/>
                <w:color w:val="auto"/>
              </w:rPr>
            </w:pPr>
          </w:p>
        </w:tc>
        <w:tc>
          <w:tcPr>
            <w:tcW w:w="3360" w:type="dxa"/>
            <w:vAlign w:val="bottom"/>
            <w:gridSpan w:val="8"/>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38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w:anchor="page58">
              <w:r>
                <w:rPr>
                  <w:rFonts w:ascii="Arial" w:cs="Arial" w:eastAsia="Arial" w:hAnsi="Arial"/>
                  <w:sz w:val="18"/>
                  <w:szCs w:val="18"/>
                  <w:color w:val="0000FF"/>
                </w:rPr>
                <w:t>Risk Factors.</w:t>
              </w:r>
            </w:hyperlink>
          </w:p>
        </w:tc>
        <w:tc>
          <w:tcPr>
            <w:tcW w:w="44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2020" w:type="dxa"/>
            <w:vAlign w:val="bottom"/>
            <w:gridSpan w:val="4"/>
          </w:tcPr>
          <w:p>
            <w:pPr>
              <w:spacing w:after="0"/>
              <w:rPr>
                <w:sz w:val="15"/>
                <w:szCs w:val="15"/>
                <w:color w:val="auto"/>
              </w:rPr>
            </w:pPr>
          </w:p>
        </w:tc>
        <w:tc>
          <w:tcPr>
            <w:tcW w:w="5360" w:type="dxa"/>
            <w:vAlign w:val="bottom"/>
            <w:gridSpan w:val="10"/>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2"/>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60" w:type="dxa"/>
            <w:vAlign w:val="bottom"/>
            <w:tcBorders>
              <w:top w:val="single" w:sz="8" w:color="0000FF"/>
            </w:tcBorders>
            <w:gridSpan w:val="2"/>
          </w:tcPr>
          <w:p>
            <w:pPr>
              <w:spacing w:after="0" w:line="182" w:lineRule="exact"/>
              <w:rPr>
                <w:rFonts w:ascii="Arial" w:cs="Arial" w:eastAsia="Arial" w:hAnsi="Arial"/>
                <w:sz w:val="18"/>
                <w:szCs w:val="18"/>
                <w:color w:val="0000FF"/>
                <w:w w:val="91"/>
              </w:rPr>
            </w:pPr>
            <w:hyperlink w:anchor="page58">
              <w:r>
                <w:rPr>
                  <w:rFonts w:ascii="Arial" w:cs="Arial" w:eastAsia="Arial" w:hAnsi="Arial"/>
                  <w:sz w:val="18"/>
                  <w:szCs w:val="18"/>
                  <w:color w:val="0000FF"/>
                  <w:w w:val="91"/>
                </w:rPr>
                <w:t>Unregistered</w:t>
              </w:r>
            </w:hyperlink>
          </w:p>
        </w:tc>
        <w:tc>
          <w:tcPr>
            <w:tcW w:w="8800" w:type="dxa"/>
            <w:vAlign w:val="bottom"/>
            <w:gridSpan w:val="19"/>
          </w:tcPr>
          <w:p>
            <w:pPr>
              <w:ind w:left="20"/>
              <w:spacing w:after="0" w:line="182" w:lineRule="exact"/>
              <w:rPr>
                <w:rFonts w:ascii="Arial" w:cs="Arial" w:eastAsia="Arial" w:hAnsi="Arial"/>
                <w:sz w:val="18"/>
                <w:szCs w:val="18"/>
                <w:color w:val="0000FF"/>
              </w:rPr>
            </w:pPr>
            <w:hyperlink w:anchor="page58">
              <w:r>
                <w:rPr>
                  <w:rFonts w:ascii="Arial" w:cs="Arial" w:eastAsia="Arial" w:hAnsi="Arial"/>
                  <w:sz w:val="18"/>
                  <w:szCs w:val="18"/>
                  <w:color w:val="0000FF"/>
                </w:rPr>
                <w:t>Sales of Equity Securities and Use of Proceeds.</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40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w:anchor="page58">
              <w:r>
                <w:rPr>
                  <w:rFonts w:ascii="Arial" w:cs="Arial" w:eastAsia="Arial" w:hAnsi="Arial"/>
                  <w:sz w:val="18"/>
                  <w:szCs w:val="18"/>
                  <w:color w:val="0000FF"/>
                </w:rPr>
                <w:t>Defaults Upon Senior Securities.</w:t>
              </w:r>
            </w:hyperlink>
          </w:p>
        </w:tc>
        <w:tc>
          <w:tcPr>
            <w:tcW w:w="5360" w:type="dxa"/>
            <w:vAlign w:val="bottom"/>
            <w:gridSpan w:val="10"/>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38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w:anchor="page58">
              <w:r>
                <w:rPr>
                  <w:rFonts w:ascii="Arial" w:cs="Arial" w:eastAsia="Arial" w:hAnsi="Arial"/>
                  <w:sz w:val="18"/>
                  <w:szCs w:val="18"/>
                  <w:color w:val="0000FF"/>
                </w:rPr>
                <w:t>Mine Safety Disclosures.</w:t>
              </w:r>
            </w:hyperlink>
          </w:p>
        </w:tc>
        <w:tc>
          <w:tcPr>
            <w:tcW w:w="7380" w:type="dxa"/>
            <w:vAlign w:val="bottom"/>
            <w:gridSpan w:val="14"/>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82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58">
              <w:r>
                <w:rPr>
                  <w:rFonts w:ascii="Arial" w:cs="Arial" w:eastAsia="Arial" w:hAnsi="Arial"/>
                  <w:sz w:val="18"/>
                  <w:szCs w:val="18"/>
                  <w:color w:val="0000FF"/>
                </w:rPr>
                <w:t>Other Information.</w:t>
              </w:r>
            </w:hyperlink>
          </w:p>
        </w:tc>
        <w:tc>
          <w:tcPr>
            <w:tcW w:w="7940" w:type="dxa"/>
            <w:vAlign w:val="bottom"/>
            <w:gridSpan w:val="15"/>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360" w:type="dxa"/>
            <w:vAlign w:val="bottom"/>
            <w:tcBorders>
              <w:top w:val="single" w:sz="8" w:color="0000FF"/>
            </w:tcBorders>
            <w:gridSpan w:val="3"/>
          </w:tcPr>
          <w:p>
            <w:pPr>
              <w:spacing w:after="0" w:line="182" w:lineRule="exact"/>
              <w:rPr>
                <w:rFonts w:ascii="Arial" w:cs="Arial" w:eastAsia="Arial" w:hAnsi="Arial"/>
                <w:sz w:val="18"/>
                <w:szCs w:val="18"/>
                <w:color w:val="0000FF"/>
              </w:rPr>
            </w:pPr>
            <w:hyperlink w:anchor="page59">
              <w:r>
                <w:rPr>
                  <w:rFonts w:ascii="Arial" w:cs="Arial" w:eastAsia="Arial" w:hAnsi="Arial"/>
                  <w:sz w:val="18"/>
                  <w:szCs w:val="18"/>
                  <w:color w:val="0000FF"/>
                </w:rPr>
                <w:t>Exhibits.</w:t>
              </w:r>
            </w:hyperlink>
          </w:p>
        </w:tc>
        <w:tc>
          <w:tcPr>
            <w:tcW w:w="8400" w:type="dxa"/>
            <w:vAlign w:val="bottom"/>
            <w:gridSpan w:val="18"/>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2"/>
        </w:trPr>
        <w:tc>
          <w:tcPr>
            <w:tcW w:w="900" w:type="dxa"/>
            <w:vAlign w:val="bottom"/>
            <w:gridSpan w:val="2"/>
          </w:tcPr>
          <w:p>
            <w:pPr>
              <w:spacing w:after="0" w:line="182" w:lineRule="exact"/>
              <w:rPr>
                <w:rFonts w:ascii="Arial" w:cs="Arial" w:eastAsia="Arial" w:hAnsi="Arial"/>
                <w:sz w:val="18"/>
                <w:szCs w:val="18"/>
                <w:color w:val="0000FF"/>
              </w:rPr>
            </w:pPr>
            <w:hyperlink w:anchor="page60">
              <w:r>
                <w:rPr>
                  <w:rFonts w:ascii="Arial" w:cs="Arial" w:eastAsia="Arial" w:hAnsi="Arial"/>
                  <w:sz w:val="18"/>
                  <w:szCs w:val="18"/>
                  <w:color w:val="0000FF"/>
                </w:rPr>
                <w:t>Signatures</w:t>
              </w:r>
            </w:hyperlink>
          </w:p>
        </w:tc>
        <w:tc>
          <w:tcPr>
            <w:tcW w:w="66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Exhibit Index</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86"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Assets and Liabilities</w:t>
      </w:r>
    </w:p>
    <w:p>
      <w:pPr>
        <w:ind w:left="3780"/>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center"/>
              <w:ind w:right="308"/>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7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center"/>
              <w:ind w:right="308"/>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r>
      <w:tr>
        <w:trPr>
          <w:trHeight w:val="169"/>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Investments, at fair value:</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5"/>
        </w:trPr>
        <w:tc>
          <w:tcPr>
            <w:tcW w:w="778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Control investments (cost: $6,833 and $6,833, respectively)</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2,151</w:t>
            </w:r>
          </w:p>
        </w:tc>
      </w:tr>
      <w:tr>
        <w:trPr>
          <w:trHeight w:val="176"/>
        </w:trPr>
        <w:tc>
          <w:tcPr>
            <w:tcW w:w="7780" w:type="dxa"/>
            <w:vAlign w:val="bottom"/>
          </w:tcPr>
          <w:p>
            <w:pPr>
              <w:ind w:left="220"/>
              <w:spacing w:after="0"/>
              <w:rPr>
                <w:sz w:val="20"/>
                <w:szCs w:val="20"/>
                <w:color w:val="auto"/>
              </w:rPr>
            </w:pPr>
            <w:r>
              <w:rPr>
                <w:rFonts w:ascii="Arial" w:cs="Arial" w:eastAsia="Arial" w:hAnsi="Arial"/>
                <w:sz w:val="14"/>
                <w:szCs w:val="14"/>
                <w:color w:val="auto"/>
              </w:rPr>
              <w:t>Affiliate investments (cost: $45,537 and $55,519, respectively)</w:t>
            </w:r>
          </w:p>
        </w:tc>
        <w:tc>
          <w:tcPr>
            <w:tcW w:w="24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106,374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137,284</w:t>
            </w:r>
          </w:p>
        </w:tc>
      </w:tr>
      <w:tr>
        <w:trPr>
          <w:trHeight w:val="176"/>
        </w:trPr>
        <w:tc>
          <w:tcPr>
            <w:tcW w:w="7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Non-control/non-affiliate investments (cost: $687,344 and $559,434, respectively)</w:t>
            </w:r>
          </w:p>
        </w:tc>
        <w:tc>
          <w:tcPr>
            <w:tcW w:w="2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704,146</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579,689</w:t>
            </w:r>
          </w:p>
        </w:tc>
      </w:tr>
      <w:tr>
        <w:trPr>
          <w:trHeight w:val="169"/>
        </w:trPr>
        <w:tc>
          <w:tcPr>
            <w:tcW w:w="7780" w:type="dxa"/>
            <w:vAlign w:val="bottom"/>
          </w:tcPr>
          <w:p>
            <w:pPr>
              <w:ind w:left="20"/>
              <w:spacing w:after="0"/>
              <w:rPr>
                <w:sz w:val="20"/>
                <w:szCs w:val="20"/>
                <w:color w:val="auto"/>
              </w:rPr>
            </w:pPr>
            <w:r>
              <w:rPr>
                <w:rFonts w:ascii="Arial" w:cs="Arial" w:eastAsia="Arial" w:hAnsi="Arial"/>
                <w:sz w:val="14"/>
                <w:szCs w:val="14"/>
                <w:color w:val="auto"/>
              </w:rPr>
              <w:t>Total investments, at fair value (cost: $739,714 and $621,786, respectively)</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810,520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719,124</w:t>
            </w:r>
          </w:p>
        </w:tc>
      </w:tr>
      <w:tr>
        <w:trPr>
          <w:trHeight w:val="176"/>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72,466</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169,417</w:t>
            </w: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Interest receivable</w:t>
            </w:r>
          </w:p>
        </w:tc>
        <w:tc>
          <w:tcPr>
            <w:tcW w:w="24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13,109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8,231</w:t>
            </w:r>
          </w:p>
        </w:tc>
      </w:tr>
      <w:tr>
        <w:trPr>
          <w:trHeight w:val="176"/>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receivable from investments sold</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11,895</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1,131</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413</w:t>
            </w:r>
          </w:p>
        </w:tc>
      </w:tr>
      <w:tr>
        <w:trPr>
          <w:trHeight w:val="209"/>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909,121</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897,185</w:t>
            </w:r>
          </w:p>
        </w:tc>
      </w:tr>
      <w:tr>
        <w:trPr>
          <w:trHeight w:val="156"/>
        </w:trPr>
        <w:tc>
          <w:tcPr>
            <w:tcW w:w="778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LIABILITIES</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 debentures, net of deferred financing costs (Note 6)</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124,447</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103,978</w:t>
            </w: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Notes, net of deferred financing costs (Note 6)</w:t>
            </w:r>
          </w:p>
        </w:tc>
        <w:tc>
          <w:tcPr>
            <w:tcW w:w="24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245,567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245,016</w:t>
            </w:r>
          </w:p>
        </w:tc>
      </w:tr>
      <w:tr>
        <w:trPr>
          <w:trHeight w:val="175"/>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Borrowings under Credit Facility, net of deferred financing costs (Note 6)</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(595 )</w:t>
            </w: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Secured borrowings</w:t>
            </w:r>
          </w:p>
        </w:tc>
        <w:tc>
          <w:tcPr>
            <w:tcW w:w="24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17,263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17,637</w:t>
            </w:r>
          </w:p>
        </w:tc>
      </w:tr>
      <w:tr>
        <w:trPr>
          <w:trHeight w:val="176"/>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interest and fees payable</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4,492</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4,668</w:t>
            </w: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Base management fee payable, net of base management fee waiver – due to affiliate</w:t>
            </w:r>
          </w:p>
        </w:tc>
        <w:tc>
          <w:tcPr>
            <w:tcW w:w="24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3,542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3,135</w:t>
            </w:r>
          </w:p>
        </w:tc>
      </w:tr>
      <w:tr>
        <w:trPr>
          <w:trHeight w:val="176"/>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incentive fee payable – due to affiliate</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1,183</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2,622</w:t>
            </w: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Capital gains incentive fee payable – due to affiliate</w:t>
            </w:r>
          </w:p>
        </w:tc>
        <w:tc>
          <w:tcPr>
            <w:tcW w:w="24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22,756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29,227</w:t>
            </w:r>
          </w:p>
        </w:tc>
      </w:tr>
      <w:tr>
        <w:trPr>
          <w:trHeight w:val="176"/>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Administration fee payable and other – due to affiliate</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645</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668</w:t>
            </w: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Taxes (receivable) payable</w:t>
            </w:r>
          </w:p>
        </w:tc>
        <w:tc>
          <w:tcPr>
            <w:tcW w:w="24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343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2,410</w:t>
            </w:r>
          </w:p>
        </w:tc>
      </w:tr>
      <w:tr>
        <w:trPr>
          <w:trHeight w:val="176"/>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Payables for investments purchased</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2,773</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Accounts payable and other liabilities</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2,505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w:t>
            </w:r>
          </w:p>
        </w:tc>
      </w:tr>
      <w:tr>
        <w:trPr>
          <w:trHeight w:val="169"/>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425,146</w:t>
            </w: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409,421</w:t>
            </w:r>
          </w:p>
        </w:tc>
      </w:tr>
      <w:tr>
        <w:trPr>
          <w:trHeight w:val="169"/>
        </w:trPr>
        <w:tc>
          <w:tcPr>
            <w:tcW w:w="7780" w:type="dxa"/>
            <w:vAlign w:val="bottom"/>
          </w:tcPr>
          <w:p>
            <w:pPr>
              <w:ind w:left="20"/>
              <w:spacing w:after="0"/>
              <w:rPr>
                <w:sz w:val="20"/>
                <w:szCs w:val="20"/>
                <w:color w:val="auto"/>
              </w:rPr>
            </w:pPr>
            <w:r>
              <w:rPr>
                <w:rFonts w:ascii="Arial" w:cs="Arial" w:eastAsia="Arial" w:hAnsi="Arial"/>
                <w:sz w:val="14"/>
                <w:szCs w:val="14"/>
                <w:color w:val="auto"/>
              </w:rPr>
              <w:t>Commitments and contingencies (Note 7)</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ASSETS</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Common stock, $0.001 par value (100,000,000 shares authorized, 24,437,400 and 24,437,400 shares</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5"/>
        </w:trPr>
        <w:tc>
          <w:tcPr>
            <w:tcW w:w="7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issued and outstanding at June 30, 2022 and December 31, 2021, respectively)</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24</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w:t>
            </w: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361,807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361,807</w:t>
            </w:r>
          </w:p>
        </w:tc>
      </w:tr>
      <w:tr>
        <w:trPr>
          <w:trHeight w:val="175"/>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distributable earnings</w:t>
            </w:r>
          </w:p>
        </w:tc>
        <w:tc>
          <w:tcPr>
            <w:tcW w:w="2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122,144</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125,933</w:t>
            </w:r>
          </w:p>
        </w:tc>
      </w:tr>
      <w:tr>
        <w:trPr>
          <w:trHeight w:val="169"/>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Total net assets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483,975</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487,764</w:t>
            </w:r>
          </w:p>
        </w:tc>
      </w:tr>
      <w:tr>
        <w:trPr>
          <w:trHeight w:val="209"/>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liabilities and net assets</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909,121</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897,185</w:t>
            </w:r>
          </w:p>
        </w:tc>
      </w:tr>
      <w:tr>
        <w:trPr>
          <w:trHeight w:val="156"/>
        </w:trPr>
        <w:tc>
          <w:tcPr>
            <w:tcW w:w="778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Net asset value per common share</w:t>
            </w:r>
          </w:p>
        </w:tc>
        <w:tc>
          <w:tcPr>
            <w:tcW w:w="240" w:type="dxa"/>
            <w:vAlign w:val="bottom"/>
          </w:tcPr>
          <w:p>
            <w:pPr>
              <w:jc w:val="right"/>
              <w:ind w:right="88"/>
              <w:spacing w:after="0" w:line="156" w:lineRule="exact"/>
              <w:rPr>
                <w:sz w:val="20"/>
                <w:szCs w:val="20"/>
                <w:color w:val="auto"/>
              </w:rPr>
            </w:pPr>
            <w:r>
              <w:rPr>
                <w:rFonts w:ascii="Arial" w:cs="Arial" w:eastAsia="Arial" w:hAnsi="Arial"/>
                <w:sz w:val="14"/>
                <w:szCs w:val="14"/>
                <w:color w:val="auto"/>
                <w:w w:val="76"/>
              </w:rPr>
              <w:t>$</w:t>
            </w:r>
          </w:p>
        </w:tc>
        <w:tc>
          <w:tcPr>
            <w:tcW w:w="1440" w:type="dxa"/>
            <w:vAlign w:val="bottom"/>
          </w:tcPr>
          <w:p>
            <w:pPr>
              <w:jc w:val="right"/>
              <w:ind w:right="68"/>
              <w:spacing w:after="0" w:line="156" w:lineRule="exact"/>
              <w:rPr>
                <w:sz w:val="20"/>
                <w:szCs w:val="20"/>
                <w:color w:val="auto"/>
              </w:rPr>
            </w:pPr>
            <w:r>
              <w:rPr>
                <w:rFonts w:ascii="Arial" w:cs="Arial" w:eastAsia="Arial" w:hAnsi="Arial"/>
                <w:sz w:val="14"/>
                <w:szCs w:val="14"/>
                <w:color w:val="auto"/>
              </w:rPr>
              <w:t>19.80</w:t>
            </w:r>
          </w:p>
        </w:tc>
        <w:tc>
          <w:tcPr>
            <w:tcW w:w="360" w:type="dxa"/>
            <w:vAlign w:val="bottom"/>
            <w:gridSpan w:val="2"/>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line="156" w:lineRule="exact"/>
              <w:rPr>
                <w:sz w:val="20"/>
                <w:szCs w:val="20"/>
                <w:color w:val="auto"/>
              </w:rPr>
            </w:pPr>
            <w:r>
              <w:rPr>
                <w:rFonts w:ascii="Arial" w:cs="Arial" w:eastAsia="Arial" w:hAnsi="Arial"/>
                <w:sz w:val="14"/>
                <w:szCs w:val="14"/>
                <w:color w:val="auto"/>
              </w:rPr>
              <w:t>19.96</w:t>
            </w:r>
          </w:p>
        </w:tc>
      </w:tr>
      <w:tr>
        <w:trPr>
          <w:trHeight w:val="20"/>
        </w:trPr>
        <w:tc>
          <w:tcPr>
            <w:tcW w:w="7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-3356610</wp:posOffset>
            </wp:positionV>
            <wp:extent cx="946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-2673985</wp:posOffset>
            </wp:positionV>
            <wp:extent cx="94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-2656840</wp:posOffset>
            </wp:positionV>
            <wp:extent cx="94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-1076325</wp:posOffset>
            </wp:positionV>
            <wp:extent cx="946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-399415</wp:posOffset>
            </wp:positionV>
            <wp:extent cx="9461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-162560</wp:posOffset>
            </wp:positionV>
            <wp:extent cx="94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-145415</wp:posOffset>
            </wp:positionV>
            <wp:extent cx="94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440" w:type="dxa"/>
            <w:vAlign w:val="bottom"/>
            <w:gridSpan w:val="4"/>
          </w:tcPr>
          <w:p>
            <w:pPr>
              <w:jc w:val="right"/>
              <w:ind w:right="768"/>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169"/>
        </w:trPr>
        <w:tc>
          <w:tcPr>
            <w:tcW w:w="57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Investment Income:</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r>
      <w:tr>
        <w:trPr>
          <w:trHeight w:val="176"/>
        </w:trPr>
        <w:tc>
          <w:tcPr>
            <w:tcW w:w="5780" w:type="dxa"/>
            <w:vAlign w:val="bottom"/>
          </w:tcPr>
          <w:p>
            <w:pPr>
              <w:ind w:left="16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7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Control investments</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975</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1,568</w:t>
            </w:r>
          </w:p>
        </w:tc>
      </w:tr>
      <w:tr>
        <w:trPr>
          <w:trHeight w:val="175"/>
        </w:trPr>
        <w:tc>
          <w:tcPr>
            <w:tcW w:w="5780" w:type="dxa"/>
            <w:vAlign w:val="bottom"/>
          </w:tcPr>
          <w:p>
            <w:pPr>
              <w:ind w:left="300"/>
              <w:spacing w:after="0"/>
              <w:rPr>
                <w:sz w:val="20"/>
                <w:szCs w:val="20"/>
                <w:color w:val="auto"/>
              </w:rPr>
            </w:pPr>
            <w:r>
              <w:rPr>
                <w:rFonts w:ascii="Arial" w:cs="Arial" w:eastAsia="Arial" w:hAnsi="Arial"/>
                <w:sz w:val="14"/>
                <w:szCs w:val="14"/>
                <w:color w:val="auto"/>
              </w:rPr>
              <w:t>Affiliate investments</w:t>
            </w:r>
          </w:p>
        </w:tc>
        <w:tc>
          <w:tcPr>
            <w:tcW w:w="2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657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711</w:t>
            </w: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1,541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1,559</w:t>
            </w:r>
          </w:p>
        </w:tc>
      </w:tr>
      <w:tr>
        <w:trPr>
          <w:trHeight w:val="176"/>
        </w:trPr>
        <w:tc>
          <w:tcPr>
            <w:tcW w:w="57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Non-control/non-affiliate investments</w:t>
            </w: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18,716</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16,105</w:t>
            </w: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34,913</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33,802</w:t>
            </w:r>
          </w:p>
        </w:tc>
      </w:tr>
      <w:tr>
        <w:trPr>
          <w:trHeight w:val="169"/>
        </w:trPr>
        <w:tc>
          <w:tcPr>
            <w:tcW w:w="5780" w:type="dxa"/>
            <w:vAlign w:val="bottom"/>
          </w:tcPr>
          <w:p>
            <w:pPr>
              <w:ind w:left="460"/>
              <w:spacing w:after="0"/>
              <w:rPr>
                <w:sz w:val="20"/>
                <w:szCs w:val="20"/>
                <w:color w:val="auto"/>
              </w:rPr>
            </w:pPr>
            <w:r>
              <w:rPr>
                <w:rFonts w:ascii="Arial" w:cs="Arial" w:eastAsia="Arial" w:hAnsi="Arial"/>
                <w:sz w:val="14"/>
                <w:szCs w:val="14"/>
                <w:color w:val="auto"/>
              </w:rPr>
              <w:t>Total interest income</w:t>
            </w:r>
          </w:p>
        </w:tc>
        <w:tc>
          <w:tcPr>
            <w:tcW w:w="2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19,373</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17,791</w:t>
            </w:r>
          </w:p>
        </w:tc>
        <w:tc>
          <w:tcPr>
            <w:tcW w:w="2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36,454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36,929</w:t>
            </w:r>
          </w:p>
        </w:tc>
      </w:tr>
      <w:tr>
        <w:trPr>
          <w:trHeight w:val="175"/>
        </w:trPr>
        <w:tc>
          <w:tcPr>
            <w:tcW w:w="5780" w:type="dxa"/>
            <w:vAlign w:val="bottom"/>
            <w:shd w:val="clear" w:color="auto" w:fill="CFF0FC"/>
          </w:tcPr>
          <w:p>
            <w:pPr>
              <w:ind w:left="160"/>
              <w:spacing w:after="0"/>
              <w:rPr>
                <w:sz w:val="20"/>
                <w:szCs w:val="20"/>
                <w:color w:val="auto"/>
              </w:rPr>
            </w:pPr>
            <w:r>
              <w:rPr>
                <w:rFonts w:ascii="Arial" w:cs="Arial" w:eastAsia="Arial" w:hAnsi="Arial"/>
                <w:sz w:val="14"/>
                <w:szCs w:val="14"/>
                <w:color w:val="auto"/>
              </w:rPr>
              <w:t>Payment-in-kind interest income</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176"/>
        </w:trPr>
        <w:tc>
          <w:tcPr>
            <w:tcW w:w="5780" w:type="dxa"/>
            <w:vAlign w:val="bottom"/>
          </w:tcPr>
          <w:p>
            <w:pPr>
              <w:ind w:left="300"/>
              <w:spacing w:after="0"/>
              <w:rPr>
                <w:sz w:val="20"/>
                <w:szCs w:val="20"/>
                <w:color w:val="auto"/>
              </w:rPr>
            </w:pPr>
            <w:r>
              <w:rPr>
                <w:rFonts w:ascii="Arial" w:cs="Arial" w:eastAsia="Arial" w:hAnsi="Arial"/>
                <w:sz w:val="14"/>
                <w:szCs w:val="14"/>
                <w:color w:val="auto"/>
              </w:rPr>
              <w:t>Control investments</w:t>
            </w:r>
          </w:p>
        </w:tc>
        <w:tc>
          <w:tcPr>
            <w:tcW w:w="2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596</w:t>
            </w: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937</w:t>
            </w:r>
          </w:p>
        </w:tc>
      </w:tr>
      <w:tr>
        <w:trPr>
          <w:trHeight w:val="175"/>
        </w:trPr>
        <w:tc>
          <w:tcPr>
            <w:tcW w:w="57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Affiliate investments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84</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195</w:t>
            </w:r>
          </w:p>
        </w:tc>
      </w:tr>
      <w:tr>
        <w:trPr>
          <w:trHeight w:val="176"/>
        </w:trPr>
        <w:tc>
          <w:tcPr>
            <w:tcW w:w="5780" w:type="dxa"/>
            <w:vAlign w:val="bottom"/>
          </w:tcPr>
          <w:p>
            <w:pPr>
              <w:ind w:left="300"/>
              <w:spacing w:after="0"/>
              <w:rPr>
                <w:sz w:val="20"/>
                <w:szCs w:val="20"/>
                <w:color w:val="auto"/>
              </w:rPr>
            </w:pPr>
            <w:r>
              <w:rPr>
                <w:rFonts w:ascii="Arial" w:cs="Arial" w:eastAsia="Arial" w:hAnsi="Arial"/>
                <w:sz w:val="14"/>
                <w:szCs w:val="14"/>
                <w:color w:val="auto"/>
              </w:rPr>
              <w:t>Non-control/non-affiliate investments</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367</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940</w:t>
            </w:r>
          </w:p>
        </w:tc>
      </w:tr>
      <w:tr>
        <w:trPr>
          <w:trHeight w:val="169"/>
        </w:trPr>
        <w:tc>
          <w:tcPr>
            <w:tcW w:w="5780" w:type="dxa"/>
            <w:vAlign w:val="bottom"/>
            <w:shd w:val="clear" w:color="auto" w:fill="CFF0FC"/>
          </w:tcPr>
          <w:p>
            <w:pPr>
              <w:ind w:left="460"/>
              <w:spacing w:after="0"/>
              <w:rPr>
                <w:sz w:val="20"/>
                <w:szCs w:val="20"/>
                <w:color w:val="auto"/>
              </w:rPr>
            </w:pPr>
            <w:r>
              <w:rPr>
                <w:rFonts w:ascii="Arial" w:cs="Arial" w:eastAsia="Arial" w:hAnsi="Arial"/>
                <w:sz w:val="14"/>
                <w:szCs w:val="14"/>
                <w:color w:val="auto"/>
              </w:rPr>
              <w:t>Total payment-in-kind interest income</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367</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1,104</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914</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2,072</w:t>
            </w:r>
          </w:p>
        </w:tc>
      </w:tr>
      <w:tr>
        <w:trPr>
          <w:trHeight w:val="175"/>
        </w:trPr>
        <w:tc>
          <w:tcPr>
            <w:tcW w:w="5780" w:type="dxa"/>
            <w:vAlign w:val="bottom"/>
          </w:tcPr>
          <w:p>
            <w:pPr>
              <w:ind w:left="160"/>
              <w:spacing w:after="0"/>
              <w:rPr>
                <w:sz w:val="20"/>
                <w:szCs w:val="20"/>
                <w:color w:val="auto"/>
              </w:rPr>
            </w:pPr>
            <w:r>
              <w:rPr>
                <w:rFonts w:ascii="Arial" w:cs="Arial" w:eastAsia="Arial" w:hAnsi="Arial"/>
                <w:sz w:val="14"/>
                <w:szCs w:val="14"/>
                <w:color w:val="auto"/>
              </w:rPr>
              <w:t>Dividend income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7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Control investments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568</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568</w:t>
            </w:r>
          </w:p>
        </w:tc>
      </w:tr>
      <w:tr>
        <w:trPr>
          <w:trHeight w:val="175"/>
        </w:trPr>
        <w:tc>
          <w:tcPr>
            <w:tcW w:w="5780" w:type="dxa"/>
            <w:vAlign w:val="bottom"/>
          </w:tcPr>
          <w:p>
            <w:pPr>
              <w:ind w:left="300"/>
              <w:spacing w:after="0"/>
              <w:rPr>
                <w:sz w:val="20"/>
                <w:szCs w:val="20"/>
                <w:color w:val="auto"/>
              </w:rPr>
            </w:pPr>
            <w:r>
              <w:rPr>
                <w:rFonts w:ascii="Arial" w:cs="Arial" w:eastAsia="Arial" w:hAnsi="Arial"/>
                <w:sz w:val="14"/>
                <w:szCs w:val="14"/>
                <w:color w:val="auto"/>
              </w:rPr>
              <w:t>Affiliate investments</w:t>
            </w:r>
          </w:p>
        </w:tc>
        <w:tc>
          <w:tcPr>
            <w:tcW w:w="2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725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110</w:t>
            </w:r>
          </w:p>
        </w:tc>
      </w:tr>
      <w:tr>
        <w:trPr>
          <w:trHeight w:val="176"/>
        </w:trPr>
        <w:tc>
          <w:tcPr>
            <w:tcW w:w="57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Non-control/non-affiliate investments</w:t>
            </w: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149</w:t>
            </w: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242</w:t>
            </w:r>
          </w:p>
        </w:tc>
      </w:tr>
      <w:tr>
        <w:trPr>
          <w:trHeight w:val="169"/>
        </w:trPr>
        <w:tc>
          <w:tcPr>
            <w:tcW w:w="5780" w:type="dxa"/>
            <w:vAlign w:val="bottom"/>
          </w:tcPr>
          <w:p>
            <w:pPr>
              <w:ind w:left="460"/>
              <w:spacing w:after="0"/>
              <w:rPr>
                <w:sz w:val="20"/>
                <w:szCs w:val="20"/>
                <w:color w:val="auto"/>
              </w:rPr>
            </w:pPr>
            <w:r>
              <w:rPr>
                <w:rFonts w:ascii="Arial" w:cs="Arial" w:eastAsia="Arial" w:hAnsi="Arial"/>
                <w:sz w:val="14"/>
                <w:szCs w:val="14"/>
                <w:color w:val="auto"/>
              </w:rPr>
              <w:t>Total dividend income</w:t>
            </w:r>
          </w:p>
        </w:tc>
        <w:tc>
          <w:tcPr>
            <w:tcW w:w="2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827</w:t>
            </w:r>
          </w:p>
        </w:tc>
        <w:tc>
          <w:tcPr>
            <w:tcW w:w="2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765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920</w:t>
            </w:r>
          </w:p>
        </w:tc>
      </w:tr>
      <w:tr>
        <w:trPr>
          <w:trHeight w:val="175"/>
        </w:trPr>
        <w:tc>
          <w:tcPr>
            <w:tcW w:w="5780" w:type="dxa"/>
            <w:vAlign w:val="bottom"/>
            <w:shd w:val="clear" w:color="auto" w:fill="CFF0FC"/>
          </w:tcPr>
          <w:p>
            <w:pPr>
              <w:ind w:left="160"/>
              <w:spacing w:after="0"/>
              <w:rPr>
                <w:sz w:val="20"/>
                <w:szCs w:val="20"/>
                <w:color w:val="auto"/>
              </w:rPr>
            </w:pPr>
            <w:r>
              <w:rPr>
                <w:rFonts w:ascii="Arial" w:cs="Arial" w:eastAsia="Arial" w:hAnsi="Arial"/>
                <w:sz w:val="14"/>
                <w:szCs w:val="14"/>
                <w:color w:val="auto"/>
              </w:rPr>
              <w:t>Fee income</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176"/>
        </w:trPr>
        <w:tc>
          <w:tcPr>
            <w:tcW w:w="5780" w:type="dxa"/>
            <w:vAlign w:val="bottom"/>
          </w:tcPr>
          <w:p>
            <w:pPr>
              <w:ind w:left="300"/>
              <w:spacing w:after="0"/>
              <w:rPr>
                <w:sz w:val="20"/>
                <w:szCs w:val="20"/>
                <w:color w:val="auto"/>
              </w:rPr>
            </w:pPr>
            <w:r>
              <w:rPr>
                <w:rFonts w:ascii="Arial" w:cs="Arial" w:eastAsia="Arial" w:hAnsi="Arial"/>
                <w:sz w:val="14"/>
                <w:szCs w:val="14"/>
                <w:color w:val="auto"/>
              </w:rPr>
              <w:t>Control investments</w:t>
            </w:r>
          </w:p>
        </w:tc>
        <w:tc>
          <w:tcPr>
            <w:tcW w:w="2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400</w:t>
            </w:r>
          </w:p>
        </w:tc>
      </w:tr>
      <w:tr>
        <w:trPr>
          <w:trHeight w:val="176"/>
        </w:trPr>
        <w:tc>
          <w:tcPr>
            <w:tcW w:w="57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Affiliate investments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160</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85</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268</w:t>
            </w:r>
          </w:p>
        </w:tc>
      </w:tr>
      <w:tr>
        <w:trPr>
          <w:trHeight w:val="175"/>
        </w:trPr>
        <w:tc>
          <w:tcPr>
            <w:tcW w:w="5780" w:type="dxa"/>
            <w:vAlign w:val="bottom"/>
          </w:tcPr>
          <w:p>
            <w:pPr>
              <w:ind w:left="300"/>
              <w:spacing w:after="0"/>
              <w:rPr>
                <w:sz w:val="20"/>
                <w:szCs w:val="20"/>
                <w:color w:val="auto"/>
              </w:rPr>
            </w:pPr>
            <w:r>
              <w:rPr>
                <w:rFonts w:ascii="Arial" w:cs="Arial" w:eastAsia="Arial" w:hAnsi="Arial"/>
                <w:sz w:val="14"/>
                <w:szCs w:val="14"/>
                <w:color w:val="auto"/>
              </w:rPr>
              <w:t>Non-control/non-affiliate investments</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1,176</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2,018</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3,237</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4,526</w:t>
            </w:r>
          </w:p>
        </w:tc>
      </w:tr>
      <w:tr>
        <w:trPr>
          <w:trHeight w:val="169"/>
        </w:trPr>
        <w:tc>
          <w:tcPr>
            <w:tcW w:w="5780" w:type="dxa"/>
            <w:vAlign w:val="bottom"/>
            <w:shd w:val="clear" w:color="auto" w:fill="CFF0FC"/>
          </w:tcPr>
          <w:p>
            <w:pPr>
              <w:ind w:left="460"/>
              <w:spacing w:after="0"/>
              <w:rPr>
                <w:sz w:val="20"/>
                <w:szCs w:val="20"/>
                <w:color w:val="auto"/>
              </w:rPr>
            </w:pPr>
            <w:r>
              <w:rPr>
                <w:rFonts w:ascii="Arial" w:cs="Arial" w:eastAsia="Arial" w:hAnsi="Arial"/>
                <w:sz w:val="14"/>
                <w:szCs w:val="14"/>
                <w:color w:val="auto"/>
              </w:rPr>
              <w:t>Total fee income</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1,336</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2,103</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3,534</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5,194</w:t>
            </w:r>
          </w:p>
        </w:tc>
      </w:tr>
      <w:tr>
        <w:trPr>
          <w:trHeight w:val="175"/>
        </w:trPr>
        <w:tc>
          <w:tcPr>
            <w:tcW w:w="5780" w:type="dxa"/>
            <w:vAlign w:val="bottom"/>
          </w:tcPr>
          <w:p>
            <w:pPr>
              <w:ind w:left="160"/>
              <w:spacing w:after="0"/>
              <w:rPr>
                <w:sz w:val="20"/>
                <w:szCs w:val="20"/>
                <w:color w:val="auto"/>
              </w:rPr>
            </w:pPr>
            <w:r>
              <w:rPr>
                <w:rFonts w:ascii="Arial" w:cs="Arial" w:eastAsia="Arial" w:hAnsi="Arial"/>
                <w:sz w:val="14"/>
                <w:szCs w:val="14"/>
                <w:color w:val="auto"/>
              </w:rPr>
              <w:t>Interest on idle funds</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r>
      <w:tr>
        <w:trPr>
          <w:trHeight w:val="169"/>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investment income</w:t>
            </w: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21,153</w:t>
            </w:r>
          </w:p>
        </w:tc>
        <w:tc>
          <w:tcPr>
            <w:tcW w:w="1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21,826</w:t>
            </w: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41,671</w:t>
            </w: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45,116</w:t>
            </w:r>
          </w:p>
        </w:tc>
      </w:tr>
      <w:tr>
        <w:trPr>
          <w:trHeight w:val="169"/>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5780" w:type="dxa"/>
            <w:vAlign w:val="bottom"/>
            <w:shd w:val="clear" w:color="auto" w:fill="CFF0FC"/>
          </w:tcPr>
          <w:p>
            <w:pPr>
              <w:ind w:left="160"/>
              <w:spacing w:after="0"/>
              <w:rPr>
                <w:sz w:val="20"/>
                <w:szCs w:val="20"/>
                <w:color w:val="auto"/>
              </w:rPr>
            </w:pPr>
            <w:r>
              <w:rPr>
                <w:rFonts w:ascii="Arial" w:cs="Arial" w:eastAsia="Arial" w:hAnsi="Arial"/>
                <w:sz w:val="14"/>
                <w:szCs w:val="14"/>
                <w:color w:val="auto"/>
              </w:rPr>
              <w:t>Interest and financing expenses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4,639</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4,562</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9,051</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9,756</w:t>
            </w:r>
          </w:p>
        </w:tc>
      </w:tr>
      <w:tr>
        <w:trPr>
          <w:trHeight w:val="175"/>
        </w:trPr>
        <w:tc>
          <w:tcPr>
            <w:tcW w:w="5780" w:type="dxa"/>
            <w:vAlign w:val="bottom"/>
          </w:tcPr>
          <w:p>
            <w:pPr>
              <w:ind w:left="160"/>
              <w:spacing w:after="0"/>
              <w:rPr>
                <w:sz w:val="20"/>
                <w:szCs w:val="20"/>
                <w:color w:val="auto"/>
              </w:rPr>
            </w:pPr>
            <w:r>
              <w:rPr>
                <w:rFonts w:ascii="Arial" w:cs="Arial" w:eastAsia="Arial" w:hAnsi="Arial"/>
                <w:sz w:val="14"/>
                <w:szCs w:val="14"/>
                <w:color w:val="auto"/>
              </w:rPr>
              <w:t>Base management fee</w:t>
            </w:r>
          </w:p>
        </w:tc>
        <w:tc>
          <w:tcPr>
            <w:tcW w:w="2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3,618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3,215</w:t>
            </w: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6,961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6,391</w:t>
            </w:r>
          </w:p>
        </w:tc>
      </w:tr>
      <w:tr>
        <w:trPr>
          <w:trHeight w:val="176"/>
        </w:trPr>
        <w:tc>
          <w:tcPr>
            <w:tcW w:w="5780" w:type="dxa"/>
            <w:vAlign w:val="bottom"/>
            <w:shd w:val="clear" w:color="auto" w:fill="CFF0FC"/>
          </w:tcPr>
          <w:p>
            <w:pPr>
              <w:ind w:left="160"/>
              <w:spacing w:after="0"/>
              <w:rPr>
                <w:sz w:val="20"/>
                <w:szCs w:val="20"/>
                <w:color w:val="auto"/>
              </w:rPr>
            </w:pPr>
            <w:r>
              <w:rPr>
                <w:rFonts w:ascii="Arial" w:cs="Arial" w:eastAsia="Arial" w:hAnsi="Arial"/>
                <w:sz w:val="14"/>
                <w:szCs w:val="14"/>
                <w:color w:val="auto"/>
              </w:rPr>
              <w:t>Incentive fee - income</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1,183</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2,550</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2,236</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5,219</w:t>
            </w:r>
          </w:p>
        </w:tc>
      </w:tr>
      <w:tr>
        <w:trPr>
          <w:trHeight w:val="175"/>
        </w:trPr>
        <w:tc>
          <w:tcPr>
            <w:tcW w:w="5780" w:type="dxa"/>
            <w:vAlign w:val="bottom"/>
          </w:tcPr>
          <w:p>
            <w:pPr>
              <w:ind w:left="160"/>
              <w:spacing w:after="0"/>
              <w:rPr>
                <w:sz w:val="20"/>
                <w:szCs w:val="20"/>
                <w:color w:val="auto"/>
              </w:rPr>
            </w:pPr>
            <w:r>
              <w:rPr>
                <w:rFonts w:ascii="Arial" w:cs="Arial" w:eastAsia="Arial" w:hAnsi="Arial"/>
                <w:sz w:val="14"/>
                <w:szCs w:val="14"/>
                <w:color w:val="auto"/>
              </w:rPr>
              <w:t>Incentive fee (reversal) - capital gains</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(605 )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3,883</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(335 )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3,974</w:t>
            </w:r>
          </w:p>
        </w:tc>
      </w:tr>
      <w:tr>
        <w:trPr>
          <w:trHeight w:val="175"/>
        </w:trPr>
        <w:tc>
          <w:tcPr>
            <w:tcW w:w="5780" w:type="dxa"/>
            <w:vAlign w:val="bottom"/>
            <w:shd w:val="clear" w:color="auto" w:fill="CFF0FC"/>
          </w:tcPr>
          <w:p>
            <w:pPr>
              <w:ind w:left="160"/>
              <w:spacing w:after="0"/>
              <w:rPr>
                <w:sz w:val="20"/>
                <w:szCs w:val="20"/>
                <w:color w:val="auto"/>
              </w:rPr>
            </w:pPr>
            <w:r>
              <w:rPr>
                <w:rFonts w:ascii="Arial" w:cs="Arial" w:eastAsia="Arial" w:hAnsi="Arial"/>
                <w:sz w:val="14"/>
                <w:szCs w:val="14"/>
                <w:color w:val="auto"/>
              </w:rPr>
              <w:t>Administrative service expenses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510</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430</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932</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843</w:t>
            </w:r>
          </w:p>
        </w:tc>
      </w:tr>
      <w:tr>
        <w:trPr>
          <w:trHeight w:val="175"/>
        </w:trPr>
        <w:tc>
          <w:tcPr>
            <w:tcW w:w="5780" w:type="dxa"/>
            <w:vAlign w:val="bottom"/>
          </w:tcPr>
          <w:p>
            <w:pPr>
              <w:ind w:left="160"/>
              <w:spacing w:after="0"/>
              <w:rPr>
                <w:sz w:val="20"/>
                <w:szCs w:val="20"/>
                <w:color w:val="auto"/>
              </w:rPr>
            </w:pPr>
            <w:r>
              <w:rPr>
                <w:rFonts w:ascii="Arial" w:cs="Arial" w:eastAsia="Arial" w:hAnsi="Arial"/>
                <w:sz w:val="14"/>
                <w:szCs w:val="14"/>
                <w:color w:val="auto"/>
              </w:rPr>
              <w:t>Professional fees</w:t>
            </w:r>
          </w:p>
        </w:tc>
        <w:tc>
          <w:tcPr>
            <w:tcW w:w="2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312</w:t>
            </w: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635</w:t>
            </w:r>
          </w:p>
        </w:tc>
      </w:tr>
      <w:tr>
        <w:trPr>
          <w:trHeight w:val="175"/>
        </w:trPr>
        <w:tc>
          <w:tcPr>
            <w:tcW w:w="57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4"/>
                <w:szCs w:val="14"/>
                <w:color w:val="auto"/>
              </w:rPr>
              <w:t>Other general and administrative expenses</w:t>
            </w: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531</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396</w:t>
            </w: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818</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741</w:t>
            </w:r>
          </w:p>
        </w:tc>
      </w:tr>
      <w:tr>
        <w:trPr>
          <w:trHeight w:val="169"/>
        </w:trPr>
        <w:tc>
          <w:tcPr>
            <w:tcW w:w="5780" w:type="dxa"/>
            <w:vAlign w:val="bottom"/>
          </w:tcPr>
          <w:p>
            <w:pPr>
              <w:ind w:left="20"/>
              <w:spacing w:after="0"/>
              <w:rPr>
                <w:sz w:val="20"/>
                <w:szCs w:val="20"/>
                <w:color w:val="auto"/>
              </w:rPr>
            </w:pPr>
            <w:r>
              <w:rPr>
                <w:rFonts w:ascii="Arial" w:cs="Arial" w:eastAsia="Arial" w:hAnsi="Arial"/>
                <w:sz w:val="14"/>
                <w:szCs w:val="14"/>
                <w:color w:val="auto"/>
              </w:rPr>
              <w:t>Total expenses before base management fee waiver</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10,166</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15,348</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20,468</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27,559</w:t>
            </w:r>
          </w:p>
        </w:tc>
      </w:tr>
      <w:tr>
        <w:trPr>
          <w:trHeight w:val="169"/>
        </w:trPr>
        <w:tc>
          <w:tcPr>
            <w:tcW w:w="57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4"/>
                <w:szCs w:val="14"/>
                <w:color w:val="auto"/>
              </w:rPr>
              <w:t>Base management fee waiver</w:t>
            </w: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(76 )</w:t>
            </w:r>
          </w:p>
        </w:tc>
        <w:tc>
          <w:tcPr>
            <w:tcW w:w="1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(29 )</w:t>
            </w: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(152 )</w:t>
            </w: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(29 )</w:t>
            </w:r>
          </w:p>
        </w:tc>
      </w:tr>
      <w:tr>
        <w:trPr>
          <w:trHeight w:val="169"/>
        </w:trPr>
        <w:tc>
          <w:tcPr>
            <w:tcW w:w="5780" w:type="dxa"/>
            <w:vAlign w:val="bottom"/>
          </w:tcPr>
          <w:p>
            <w:pPr>
              <w:ind w:left="20"/>
              <w:spacing w:after="0"/>
              <w:rPr>
                <w:sz w:val="20"/>
                <w:szCs w:val="20"/>
                <w:color w:val="auto"/>
              </w:rPr>
            </w:pPr>
            <w:r>
              <w:rPr>
                <w:rFonts w:ascii="Arial" w:cs="Arial" w:eastAsia="Arial" w:hAnsi="Arial"/>
                <w:sz w:val="14"/>
                <w:szCs w:val="14"/>
                <w:color w:val="auto"/>
              </w:rPr>
              <w:t>Total expenses, net of base management fee waiver</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10,090</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15,319</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20,316</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27,530</w:t>
            </w:r>
          </w:p>
        </w:tc>
      </w:tr>
      <w:tr>
        <w:trPr>
          <w:trHeight w:val="169"/>
        </w:trPr>
        <w:tc>
          <w:tcPr>
            <w:tcW w:w="5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investment income before income taxes</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11,063</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6,507</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21,355</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17,586</w:t>
            </w:r>
          </w:p>
        </w:tc>
      </w:tr>
      <w:tr>
        <w:trPr>
          <w:trHeight w:val="176"/>
        </w:trPr>
        <w:tc>
          <w:tcPr>
            <w:tcW w:w="5780" w:type="dxa"/>
            <w:vAlign w:val="bottom"/>
          </w:tcPr>
          <w:p>
            <w:pPr>
              <w:ind w:left="160"/>
              <w:spacing w:after="0"/>
              <w:rPr>
                <w:sz w:val="20"/>
                <w:szCs w:val="20"/>
                <w:color w:val="auto"/>
              </w:rPr>
            </w:pPr>
            <w:r>
              <w:rPr>
                <w:rFonts w:ascii="Arial" w:cs="Arial" w:eastAsia="Arial" w:hAnsi="Arial"/>
                <w:sz w:val="14"/>
                <w:szCs w:val="14"/>
                <w:color w:val="auto"/>
              </w:rPr>
              <w:t>Income tax provision (benefit)</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w:t>
            </w:r>
          </w:p>
        </w:tc>
      </w:tr>
      <w:tr>
        <w:trPr>
          <w:trHeight w:val="169"/>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Net investment income</w:t>
            </w: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11,008</w:t>
            </w:r>
          </w:p>
        </w:tc>
        <w:tc>
          <w:tcPr>
            <w:tcW w:w="1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6,473</w:t>
            </w: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21,346</w:t>
            </w: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17,554</w:t>
            </w:r>
          </w:p>
        </w:tc>
      </w:tr>
      <w:tr>
        <w:trPr>
          <w:trHeight w:val="169"/>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Net realized and unrealized gains (losses) on investments: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5780" w:type="dxa"/>
            <w:vAlign w:val="bottom"/>
            <w:shd w:val="clear" w:color="auto" w:fill="CFF0FC"/>
          </w:tcPr>
          <w:p>
            <w:pPr>
              <w:ind w:left="160"/>
              <w:spacing w:after="0"/>
              <w:rPr>
                <w:sz w:val="20"/>
                <w:szCs w:val="20"/>
                <w:color w:val="auto"/>
              </w:rPr>
            </w:pPr>
            <w:r>
              <w:rPr>
                <w:rFonts w:ascii="Arial" w:cs="Arial" w:eastAsia="Arial" w:hAnsi="Arial"/>
                <w:sz w:val="14"/>
                <w:szCs w:val="14"/>
                <w:color w:val="auto"/>
              </w:rPr>
              <w:t>Net realized gains (losses):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175"/>
        </w:trPr>
        <w:tc>
          <w:tcPr>
            <w:tcW w:w="5780" w:type="dxa"/>
            <w:vAlign w:val="bottom"/>
          </w:tcPr>
          <w:p>
            <w:pPr>
              <w:ind w:left="300"/>
              <w:spacing w:after="0"/>
              <w:rPr>
                <w:sz w:val="20"/>
                <w:szCs w:val="20"/>
                <w:color w:val="auto"/>
              </w:rPr>
            </w:pPr>
            <w:r>
              <w:rPr>
                <w:rFonts w:ascii="Arial" w:cs="Arial" w:eastAsia="Arial" w:hAnsi="Arial"/>
                <w:sz w:val="14"/>
                <w:szCs w:val="14"/>
                <w:color w:val="auto"/>
              </w:rPr>
              <w:t>Control investments</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(204 )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957</w:t>
            </w:r>
          </w:p>
        </w:tc>
      </w:tr>
      <w:tr>
        <w:trPr>
          <w:trHeight w:val="175"/>
        </w:trPr>
        <w:tc>
          <w:tcPr>
            <w:tcW w:w="57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Affiliate investments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15,300</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15,624</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780" w:type="dxa"/>
            <w:vAlign w:val="bottom"/>
          </w:tcPr>
          <w:p>
            <w:pPr>
              <w:ind w:left="300"/>
              <w:spacing w:after="0"/>
              <w:rPr>
                <w:sz w:val="20"/>
                <w:szCs w:val="20"/>
                <w:color w:val="auto"/>
              </w:rPr>
            </w:pPr>
            <w:r>
              <w:rPr>
                <w:rFonts w:ascii="Arial" w:cs="Arial" w:eastAsia="Arial" w:hAnsi="Arial"/>
                <w:sz w:val="14"/>
                <w:szCs w:val="14"/>
                <w:color w:val="auto"/>
              </w:rPr>
              <w:t>Non-control/non-affiliate investments</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3,212</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2,150</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9,617</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4,409</w:t>
            </w:r>
          </w:p>
        </w:tc>
      </w:tr>
      <w:tr>
        <w:trPr>
          <w:trHeight w:val="169"/>
        </w:trPr>
        <w:tc>
          <w:tcPr>
            <w:tcW w:w="57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4"/>
                <w:szCs w:val="14"/>
                <w:color w:val="auto"/>
              </w:rPr>
              <w:t>Total net realized gain (loss) on investments</w:t>
            </w: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18,308</w:t>
            </w:r>
          </w:p>
        </w:tc>
        <w:tc>
          <w:tcPr>
            <w:tcW w:w="1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2,150</w:t>
            </w: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25,176</w:t>
            </w: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5,366</w:t>
            </w:r>
          </w:p>
        </w:tc>
      </w:tr>
      <w:tr>
        <w:trPr>
          <w:trHeight w:val="169"/>
        </w:trPr>
        <w:tc>
          <w:tcPr>
            <w:tcW w:w="5780" w:type="dxa"/>
            <w:vAlign w:val="bottom"/>
          </w:tcPr>
          <w:p>
            <w:pPr>
              <w:ind w:left="160"/>
              <w:spacing w:after="0"/>
              <w:rPr>
                <w:sz w:val="20"/>
                <w:szCs w:val="20"/>
                <w:color w:val="auto"/>
              </w:rPr>
            </w:pPr>
            <w:r>
              <w:rPr>
                <w:rFonts w:ascii="Arial" w:cs="Arial" w:eastAsia="Arial" w:hAnsi="Arial"/>
                <w:sz w:val="14"/>
                <w:szCs w:val="14"/>
                <w:color w:val="auto"/>
              </w:rPr>
              <w:t>Income tax (provision) benefit from realized gains on investments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(122 )</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(121 )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780" w:type="dxa"/>
            <w:vAlign w:val="bottom"/>
            <w:shd w:val="clear" w:color="auto" w:fill="CFF0FC"/>
          </w:tcPr>
          <w:p>
            <w:pPr>
              <w:ind w:left="160"/>
              <w:spacing w:after="0"/>
              <w:rPr>
                <w:sz w:val="20"/>
                <w:szCs w:val="20"/>
                <w:color w:val="auto"/>
              </w:rPr>
            </w:pPr>
            <w:r>
              <w:rPr>
                <w:rFonts w:ascii="Arial" w:cs="Arial" w:eastAsia="Arial" w:hAnsi="Arial"/>
                <w:sz w:val="14"/>
                <w:szCs w:val="14"/>
                <w:color w:val="auto"/>
              </w:rPr>
              <w:t>Net change in unrealized appreciation (depreciation):</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175"/>
        </w:trPr>
        <w:tc>
          <w:tcPr>
            <w:tcW w:w="5780" w:type="dxa"/>
            <w:vAlign w:val="bottom"/>
          </w:tcPr>
          <w:p>
            <w:pPr>
              <w:ind w:left="300"/>
              <w:spacing w:after="0"/>
              <w:rPr>
                <w:sz w:val="20"/>
                <w:szCs w:val="20"/>
                <w:color w:val="auto"/>
              </w:rPr>
            </w:pPr>
            <w:r>
              <w:rPr>
                <w:rFonts w:ascii="Arial" w:cs="Arial" w:eastAsia="Arial" w:hAnsi="Arial"/>
                <w:sz w:val="14"/>
                <w:szCs w:val="14"/>
                <w:color w:val="auto"/>
              </w:rPr>
              <w:t>Control investments</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(2,151 )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(6,877 )</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(2,151 )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(5,985 )</w:t>
            </w:r>
          </w:p>
        </w:tc>
      </w:tr>
      <w:tr>
        <w:trPr>
          <w:trHeight w:val="175"/>
        </w:trPr>
        <w:tc>
          <w:tcPr>
            <w:tcW w:w="57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Affiliate investments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(15,049 )</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12,416</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(20,928 )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16,368</w:t>
            </w:r>
          </w:p>
        </w:tc>
      </w:tr>
      <w:tr>
        <w:trPr>
          <w:trHeight w:val="175"/>
        </w:trPr>
        <w:tc>
          <w:tcPr>
            <w:tcW w:w="5780" w:type="dxa"/>
            <w:vAlign w:val="bottom"/>
          </w:tcPr>
          <w:p>
            <w:pPr>
              <w:ind w:left="300"/>
              <w:spacing w:after="0"/>
              <w:rPr>
                <w:sz w:val="20"/>
                <w:szCs w:val="20"/>
                <w:color w:val="auto"/>
              </w:rPr>
            </w:pPr>
            <w:r>
              <w:rPr>
                <w:rFonts w:ascii="Arial" w:cs="Arial" w:eastAsia="Arial" w:hAnsi="Arial"/>
                <w:sz w:val="14"/>
                <w:szCs w:val="14"/>
                <w:color w:val="auto"/>
              </w:rPr>
              <w:t>Non-control/non-affiliate investments</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(4,013 )</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11,724</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(3,453 )</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6,301</w:t>
            </w:r>
          </w:p>
        </w:tc>
      </w:tr>
      <w:tr>
        <w:trPr>
          <w:trHeight w:val="169"/>
        </w:trPr>
        <w:tc>
          <w:tcPr>
            <w:tcW w:w="57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4"/>
                <w:szCs w:val="14"/>
                <w:color w:val="auto"/>
              </w:rPr>
              <w:t>Total net change in unrealized appreciation (depreciation) on investments</w:t>
            </w: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(21,213 )</w:t>
            </w:r>
          </w:p>
        </w:tc>
        <w:tc>
          <w:tcPr>
            <w:tcW w:w="1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17,263</w:t>
            </w: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(26,532 )</w:t>
            </w: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16,684</w:t>
            </w:r>
          </w:p>
        </w:tc>
      </w:tr>
      <w:tr>
        <w:trPr>
          <w:trHeight w:val="169"/>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Net gain (loss) on investments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(3,027 )</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19,413</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(1,477 )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22,050</w:t>
            </w:r>
          </w:p>
        </w:tc>
      </w:tr>
      <w:tr>
        <w:trPr>
          <w:trHeight w:val="176"/>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Realized losses on extinguishment of debt</w:t>
            </w: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(198 )</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(2,180 )</w:t>
            </w:r>
          </w:p>
        </w:tc>
      </w:tr>
      <w:tr>
        <w:trPr>
          <w:trHeight w:val="169"/>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net assets resulting from operations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7,981</w:t>
            </w:r>
          </w:p>
        </w:tc>
        <w:tc>
          <w:tcPr>
            <w:tcW w:w="4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25,886</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19,671</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37,424</w:t>
            </w:r>
          </w:p>
        </w:tc>
      </w:tr>
      <w:tr>
        <w:trPr>
          <w:trHeight w:val="20"/>
        </w:trPr>
        <w:tc>
          <w:tcPr>
            <w:tcW w:w="5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78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Per common share data:</w:t>
            </w: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color w:val="auto"/>
              </w:rPr>
              <w:t>Net investment income per share-basic and diluted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0.45</w:t>
            </w:r>
          </w:p>
        </w:tc>
        <w:tc>
          <w:tcPr>
            <w:tcW w:w="14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0.26</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0.87</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0.72</w:t>
            </w:r>
          </w:p>
        </w:tc>
      </w:tr>
      <w:tr>
        <w:trPr>
          <w:trHeight w:val="20"/>
        </w:trPr>
        <w:tc>
          <w:tcPr>
            <w:tcW w:w="5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78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Net increase in net assets resulting from operations per share — basic and diluted</w:t>
            </w:r>
          </w:p>
        </w:tc>
        <w:tc>
          <w:tcPr>
            <w:tcW w:w="280" w:type="dxa"/>
            <w:vAlign w:val="bottom"/>
            <w:tcBorders>
              <w:top w:val="single" w:sz="8" w:color="auto"/>
              <w:bottom w:val="single" w:sz="8" w:color="auto"/>
            </w:tcBorders>
            <w:shd w:val="clear" w:color="auto" w:fill="CFF0FC"/>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0.33</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ind w:right="28"/>
              <w:spacing w:after="0" w:line="156" w:lineRule="exact"/>
              <w:rPr>
                <w:sz w:val="20"/>
                <w:szCs w:val="20"/>
                <w:color w:val="auto"/>
              </w:rPr>
            </w:pPr>
            <w:r>
              <w:rPr>
                <w:rFonts w:ascii="Arial" w:cs="Arial" w:eastAsia="Arial" w:hAnsi="Arial"/>
                <w:sz w:val="14"/>
                <w:szCs w:val="14"/>
                <w:color w:val="auto"/>
              </w:rPr>
              <w:t>1.06</w:t>
            </w:r>
          </w:p>
        </w:tc>
        <w:tc>
          <w:tcPr>
            <w:tcW w:w="280" w:type="dxa"/>
            <w:vAlign w:val="bottom"/>
            <w:tcBorders>
              <w:top w:val="single" w:sz="8" w:color="auto"/>
              <w:bottom w:val="single" w:sz="8" w:color="auto"/>
            </w:tcBorders>
            <w:shd w:val="clear" w:color="auto" w:fill="CFF0FC"/>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0.80</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1.53</w:t>
            </w:r>
          </w:p>
        </w:tc>
      </w:tr>
      <w:tr>
        <w:trPr>
          <w:trHeight w:val="156"/>
        </w:trPr>
        <w:tc>
          <w:tcPr>
            <w:tcW w:w="5780" w:type="dxa"/>
            <w:vAlign w:val="bottom"/>
          </w:tcPr>
          <w:p>
            <w:pPr>
              <w:ind w:left="20"/>
              <w:spacing w:after="0" w:line="156" w:lineRule="exact"/>
              <w:rPr>
                <w:sz w:val="20"/>
                <w:szCs w:val="20"/>
                <w:color w:val="auto"/>
              </w:rPr>
            </w:pPr>
            <w:r>
              <w:rPr>
                <w:rFonts w:ascii="Arial" w:cs="Arial" w:eastAsia="Arial" w:hAnsi="Arial"/>
                <w:sz w:val="14"/>
                <w:szCs w:val="14"/>
                <w:color w:val="auto"/>
              </w:rPr>
              <w:t>Dividends declared per share</w:t>
            </w:r>
          </w:p>
        </w:tc>
        <w:tc>
          <w:tcPr>
            <w:tcW w:w="280" w:type="dxa"/>
            <w:vAlign w:val="bottom"/>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line="156" w:lineRule="exact"/>
              <w:rPr>
                <w:sz w:val="20"/>
                <w:szCs w:val="20"/>
                <w:color w:val="auto"/>
              </w:rPr>
            </w:pPr>
            <w:r>
              <w:rPr>
                <w:rFonts w:ascii="Arial" w:cs="Arial" w:eastAsia="Arial" w:hAnsi="Arial"/>
                <w:sz w:val="14"/>
                <w:szCs w:val="14"/>
                <w:color w:val="auto"/>
              </w:rPr>
              <w:t>0.43</w:t>
            </w:r>
          </w:p>
        </w:tc>
        <w:tc>
          <w:tcPr>
            <w:tcW w:w="420" w:type="dxa"/>
            <w:vAlign w:val="bottom"/>
            <w:gridSpan w:val="2"/>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line="156" w:lineRule="exact"/>
              <w:rPr>
                <w:sz w:val="20"/>
                <w:szCs w:val="20"/>
                <w:color w:val="auto"/>
              </w:rPr>
            </w:pPr>
            <w:r>
              <w:rPr>
                <w:rFonts w:ascii="Arial" w:cs="Arial" w:eastAsia="Arial" w:hAnsi="Arial"/>
                <w:sz w:val="14"/>
                <w:szCs w:val="14"/>
                <w:color w:val="auto"/>
              </w:rPr>
              <w:t>0.39</w:t>
            </w:r>
          </w:p>
        </w:tc>
        <w:tc>
          <w:tcPr>
            <w:tcW w:w="280" w:type="dxa"/>
            <w:vAlign w:val="bottom"/>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line="156" w:lineRule="exact"/>
              <w:rPr>
                <w:sz w:val="20"/>
                <w:szCs w:val="20"/>
                <w:color w:val="auto"/>
              </w:rPr>
            </w:pPr>
            <w:r>
              <w:rPr>
                <w:rFonts w:ascii="Arial" w:cs="Arial" w:eastAsia="Arial" w:hAnsi="Arial"/>
                <w:sz w:val="14"/>
                <w:szCs w:val="14"/>
                <w:color w:val="auto"/>
              </w:rPr>
              <w:t>0.96</w:t>
            </w:r>
          </w:p>
        </w:tc>
        <w:tc>
          <w:tcPr>
            <w:tcW w:w="420" w:type="dxa"/>
            <w:vAlign w:val="bottom"/>
            <w:gridSpan w:val="2"/>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line="156" w:lineRule="exact"/>
              <w:rPr>
                <w:sz w:val="20"/>
                <w:szCs w:val="20"/>
                <w:color w:val="auto"/>
              </w:rPr>
            </w:pPr>
            <w:r>
              <w:rPr>
                <w:rFonts w:ascii="Arial" w:cs="Arial" w:eastAsia="Arial" w:hAnsi="Arial"/>
                <w:sz w:val="14"/>
                <w:szCs w:val="14"/>
                <w:color w:val="auto"/>
              </w:rPr>
              <w:t>0.77</w:t>
            </w:r>
          </w:p>
        </w:tc>
      </w:tr>
      <w:tr>
        <w:trPr>
          <w:trHeight w:val="20"/>
        </w:trPr>
        <w:tc>
          <w:tcPr>
            <w:tcW w:w="5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78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Weighted average number of shares outstanding — basic and diluted</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24,437,400</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28"/>
              <w:spacing w:after="0" w:line="156" w:lineRule="exact"/>
              <w:rPr>
                <w:sz w:val="20"/>
                <w:szCs w:val="20"/>
                <w:color w:val="auto"/>
              </w:rPr>
            </w:pPr>
            <w:r>
              <w:rPr>
                <w:rFonts w:ascii="Arial" w:cs="Arial" w:eastAsia="Arial" w:hAnsi="Arial"/>
                <w:sz w:val="14"/>
                <w:szCs w:val="14"/>
                <w:color w:val="auto"/>
              </w:rPr>
              <w:t>24,437,400</w:t>
            </w: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24,437,400</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24,437,400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-6065520</wp:posOffset>
            </wp:positionV>
            <wp:extent cx="8572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-6065520</wp:posOffset>
            </wp:positionV>
            <wp:extent cx="7747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-4933950</wp:posOffset>
            </wp:positionV>
            <wp:extent cx="8572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-4933950</wp:posOffset>
            </wp:positionV>
            <wp:extent cx="7747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-4017010</wp:posOffset>
            </wp:positionV>
            <wp:extent cx="8572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-4017010</wp:posOffset>
            </wp:positionV>
            <wp:extent cx="7747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-3116580</wp:posOffset>
            </wp:positionV>
            <wp:extent cx="8572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-3116580</wp:posOffset>
            </wp:positionV>
            <wp:extent cx="7747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-2876550</wp:posOffset>
            </wp:positionV>
            <wp:extent cx="8572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-2876550</wp:posOffset>
            </wp:positionV>
            <wp:extent cx="7747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-2405380</wp:posOffset>
            </wp:positionV>
            <wp:extent cx="8572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-2405380</wp:posOffset>
            </wp:positionV>
            <wp:extent cx="7747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-1719580</wp:posOffset>
            </wp:positionV>
            <wp:extent cx="8572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-1719580</wp:posOffset>
            </wp:positionV>
            <wp:extent cx="7747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-1033780</wp:posOffset>
            </wp:positionV>
            <wp:extent cx="8572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-1033780</wp:posOffset>
            </wp:positionV>
            <wp:extent cx="7747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-802005</wp:posOffset>
            </wp:positionV>
            <wp:extent cx="8572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-802005</wp:posOffset>
            </wp:positionV>
            <wp:extent cx="7747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-299720</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-281940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-299720</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-281940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85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400" w:type="dxa"/>
            <w:vAlign w:val="bottom"/>
          </w:tcPr>
          <w:p>
            <w:pPr>
              <w:spacing w:after="0"/>
              <w:rPr>
                <w:sz w:val="21"/>
                <w:szCs w:val="21"/>
                <w:color w:val="auto"/>
              </w:rPr>
            </w:pPr>
          </w:p>
        </w:tc>
        <w:tc>
          <w:tcPr>
            <w:tcW w:w="26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Common Stock</w:t>
            </w: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6"/>
                <w:szCs w:val="16"/>
                <w:color w:val="auto"/>
              </w:rPr>
            </w:pPr>
          </w:p>
        </w:tc>
        <w:tc>
          <w:tcPr>
            <w:tcW w:w="1380" w:type="dxa"/>
            <w:vAlign w:val="bottom"/>
          </w:tcPr>
          <w:p>
            <w:pPr>
              <w:jc w:val="right"/>
              <w:ind w:right="250"/>
              <w:spacing w:after="0" w:line="184" w:lineRule="exact"/>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6"/>
                <w:szCs w:val="16"/>
                <w:color w:val="auto"/>
              </w:rPr>
            </w:pPr>
          </w:p>
        </w:tc>
        <w:tc>
          <w:tcPr>
            <w:tcW w:w="1100" w:type="dxa"/>
            <w:vAlign w:val="bottom"/>
          </w:tcPr>
          <w:p>
            <w:pPr>
              <w:jc w:val="right"/>
              <w:ind w:right="150"/>
              <w:spacing w:after="0" w:line="184" w:lineRule="exact"/>
              <w:rPr>
                <w:sz w:val="20"/>
                <w:szCs w:val="20"/>
                <w:color w:val="auto"/>
              </w:rPr>
            </w:pPr>
            <w:r>
              <w:rPr>
                <w:rFonts w:ascii="Arial" w:cs="Arial" w:eastAsia="Arial" w:hAnsi="Arial"/>
                <w:sz w:val="18"/>
                <w:szCs w:val="18"/>
                <w:b w:val="1"/>
                <w:bCs w:val="1"/>
                <w:color w:val="auto"/>
              </w:rPr>
              <w:t>Par</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210"/>
              <w:spacing w:after="0" w:line="184" w:lineRule="exact"/>
              <w:rPr>
                <w:sz w:val="20"/>
                <w:szCs w:val="20"/>
                <w:color w:val="auto"/>
              </w:rPr>
            </w:pPr>
            <w:r>
              <w:rPr>
                <w:rFonts w:ascii="Arial" w:cs="Arial" w:eastAsia="Arial" w:hAnsi="Arial"/>
                <w:sz w:val="18"/>
                <w:szCs w:val="18"/>
                <w:b w:val="1"/>
                <w:bCs w:val="1"/>
                <w:color w:val="auto"/>
                <w:w w:val="94"/>
              </w:rPr>
              <w:t>paid-in</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170"/>
              <w:spacing w:after="0" w:line="184" w:lineRule="exact"/>
              <w:rPr>
                <w:sz w:val="20"/>
                <w:szCs w:val="20"/>
                <w:color w:val="auto"/>
              </w:rPr>
            </w:pPr>
            <w:r>
              <w:rPr>
                <w:rFonts w:ascii="Arial" w:cs="Arial" w:eastAsia="Arial" w:hAnsi="Arial"/>
                <w:sz w:val="18"/>
                <w:szCs w:val="18"/>
                <w:b w:val="1"/>
                <w:bCs w:val="1"/>
                <w:color w:val="auto"/>
                <w:w w:val="90"/>
              </w:rPr>
              <w:t>distributable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90"/>
              <w:spacing w:after="0" w:line="184" w:lineRule="exact"/>
              <w:rPr>
                <w:sz w:val="20"/>
                <w:szCs w:val="20"/>
                <w:color w:val="auto"/>
              </w:rPr>
            </w:pPr>
            <w:r>
              <w:rPr>
                <w:rFonts w:ascii="Arial" w:cs="Arial" w:eastAsia="Arial" w:hAnsi="Arial"/>
                <w:sz w:val="18"/>
                <w:szCs w:val="18"/>
                <w:b w:val="1"/>
                <w:bCs w:val="1"/>
                <w:color w:val="auto"/>
              </w:rPr>
              <w:t>Total net</w:t>
            </w:r>
          </w:p>
        </w:tc>
        <w:tc>
          <w:tcPr>
            <w:tcW w:w="0" w:type="dxa"/>
            <w:vAlign w:val="bottom"/>
          </w:tcPr>
          <w:p>
            <w:pPr>
              <w:spacing w:after="0"/>
              <w:rPr>
                <w:sz w:val="1"/>
                <w:szCs w:val="1"/>
                <w:color w:val="auto"/>
              </w:rPr>
            </w:pPr>
          </w:p>
        </w:tc>
      </w:tr>
      <w:tr>
        <w:trPr>
          <w:trHeight w:val="241"/>
        </w:trPr>
        <w:tc>
          <w:tcPr>
            <w:tcW w:w="340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value</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capital</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earnings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Balances at December 31, 2020</w:t>
            </w:r>
          </w:p>
        </w:tc>
        <w:tc>
          <w:tcPr>
            <w:tcW w:w="13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24,437,400</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91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363,751</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46,985</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410,760</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line="202" w:lineRule="exact"/>
              <w:rPr>
                <w:sz w:val="20"/>
                <w:szCs w:val="20"/>
                <w:color w:val="auto"/>
              </w:rPr>
            </w:pPr>
            <w:r>
              <w:rPr>
                <w:rFonts w:ascii="Arial" w:cs="Arial" w:eastAsia="Arial" w:hAnsi="Arial"/>
                <w:sz w:val="18"/>
                <w:szCs w:val="18"/>
                <w:color w:val="auto"/>
              </w:rPr>
              <w:t>Net investment income</w:t>
            </w:r>
          </w:p>
        </w:tc>
        <w:tc>
          <w:tcPr>
            <w:tcW w:w="1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11,081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11,081</w:t>
            </w: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7"/>
              </w:rPr>
              <w:t>Net realized gain (loss) on investments, net</w:t>
            </w:r>
          </w:p>
        </w:tc>
        <w:tc>
          <w:tcPr>
            <w:tcW w:w="138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3,216</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 taxes</w:t>
            </w:r>
          </w:p>
        </w:tc>
        <w:tc>
          <w:tcPr>
            <w:tcW w:w="13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20"/>
              <w:spacing w:after="0" w:line="162" w:lineRule="exact"/>
              <w:rPr>
                <w:sz w:val="20"/>
                <w:szCs w:val="20"/>
                <w:color w:val="auto"/>
              </w:rPr>
            </w:pPr>
            <w:r>
              <w:rPr>
                <w:rFonts w:ascii="Arial" w:cs="Arial" w:eastAsia="Arial" w:hAnsi="Arial"/>
                <w:sz w:val="18"/>
                <w:szCs w:val="18"/>
                <w:color w:val="auto"/>
              </w:rPr>
              <w:t>Net unrealized appreciation (depreciation)</w:t>
            </w:r>
          </w:p>
        </w:tc>
        <w:tc>
          <w:tcPr>
            <w:tcW w:w="13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(579 )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(579 )</w:t>
            </w: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on investments</w:t>
            </w:r>
          </w:p>
        </w:tc>
        <w:tc>
          <w:tcPr>
            <w:tcW w:w="1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Realized losses on extinguishment of debt</w:t>
            </w:r>
          </w:p>
        </w:tc>
        <w:tc>
          <w:tcPr>
            <w:tcW w:w="13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(2,180 )</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(2,180 )</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line="202" w:lineRule="exact"/>
              <w:rPr>
                <w:sz w:val="20"/>
                <w:szCs w:val="20"/>
                <w:color w:val="auto"/>
              </w:rPr>
            </w:pPr>
            <w:r>
              <w:rPr>
                <w:rFonts w:ascii="Arial" w:cs="Arial" w:eastAsia="Arial" w:hAnsi="Arial"/>
                <w:sz w:val="18"/>
                <w:szCs w:val="18"/>
                <w:color w:val="auto"/>
              </w:rPr>
              <w:t>Dividends declared</w:t>
            </w:r>
          </w:p>
        </w:tc>
        <w:tc>
          <w:tcPr>
            <w:tcW w:w="13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(9,286 )</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(9,286 )</w:t>
            </w:r>
          </w:p>
        </w:tc>
        <w:tc>
          <w:tcPr>
            <w:tcW w:w="0" w:type="dxa"/>
            <w:vAlign w:val="bottom"/>
          </w:tcPr>
          <w:p>
            <w:pPr>
              <w:spacing w:after="0"/>
              <w:rPr>
                <w:sz w:val="1"/>
                <w:szCs w:val="1"/>
                <w:color w:val="auto"/>
              </w:rPr>
            </w:pPr>
          </w:p>
        </w:tc>
      </w:tr>
      <w:tr>
        <w:trPr>
          <w:trHeight w:val="241"/>
        </w:trPr>
        <w:tc>
          <w:tcPr>
            <w:tcW w:w="3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Balances at March 31, 2021</w:t>
            </w:r>
          </w:p>
        </w:tc>
        <w:tc>
          <w:tcPr>
            <w:tcW w:w="138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24,437,400</w:t>
            </w:r>
          </w:p>
        </w:tc>
        <w:tc>
          <w:tcPr>
            <w:tcW w:w="1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24</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363,751</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49,237</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413,012</w:t>
            </w:r>
          </w:p>
        </w:tc>
        <w:tc>
          <w:tcPr>
            <w:tcW w:w="0" w:type="dxa"/>
            <w:vAlign w:val="bottom"/>
          </w:tcPr>
          <w:p>
            <w:pPr>
              <w:spacing w:after="0"/>
              <w:rPr>
                <w:sz w:val="1"/>
                <w:szCs w:val="1"/>
                <w:color w:val="auto"/>
              </w:rPr>
            </w:pPr>
          </w:p>
        </w:tc>
      </w:tr>
      <w:tr>
        <w:trPr>
          <w:trHeight w:val="183"/>
        </w:trPr>
        <w:tc>
          <w:tcPr>
            <w:tcW w:w="340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Net investment income</w:t>
            </w:r>
          </w:p>
        </w:tc>
        <w:tc>
          <w:tcPr>
            <w:tcW w:w="1380" w:type="dxa"/>
            <w:vAlign w:val="bottom"/>
            <w:tcBorders>
              <w:top w:val="single" w:sz="8" w:color="auto"/>
            </w:tcBorders>
          </w:tcPr>
          <w:p>
            <w:pPr>
              <w:jc w:val="right"/>
              <w:ind w:right="50"/>
              <w:spacing w:after="0" w:line="18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6,473</w:t>
            </w: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6,473</w:t>
            </w: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7"/>
              </w:rPr>
              <w:t>Net realized gain (loss) on investments, net</w:t>
            </w:r>
          </w:p>
        </w:tc>
        <w:tc>
          <w:tcPr>
            <w:tcW w:w="138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 taxes</w:t>
            </w:r>
          </w:p>
        </w:tc>
        <w:tc>
          <w:tcPr>
            <w:tcW w:w="13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20"/>
              <w:spacing w:after="0" w:line="162" w:lineRule="exact"/>
              <w:rPr>
                <w:sz w:val="20"/>
                <w:szCs w:val="20"/>
                <w:color w:val="auto"/>
              </w:rPr>
            </w:pPr>
            <w:r>
              <w:rPr>
                <w:rFonts w:ascii="Arial" w:cs="Arial" w:eastAsia="Arial" w:hAnsi="Arial"/>
                <w:sz w:val="18"/>
                <w:szCs w:val="18"/>
                <w:color w:val="auto"/>
              </w:rPr>
              <w:t>Net unrealized appreciation (depreciation)</w:t>
            </w:r>
          </w:p>
        </w:tc>
        <w:tc>
          <w:tcPr>
            <w:tcW w:w="13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color w:val="auto"/>
              </w:rPr>
              <w:t>17,263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17,263</w:t>
            </w: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on investments</w:t>
            </w:r>
          </w:p>
        </w:tc>
        <w:tc>
          <w:tcPr>
            <w:tcW w:w="1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Realized losses on extinguishment of debt</w:t>
            </w:r>
          </w:p>
        </w:tc>
        <w:tc>
          <w:tcPr>
            <w:tcW w:w="13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line="202" w:lineRule="exact"/>
              <w:rPr>
                <w:sz w:val="20"/>
                <w:szCs w:val="20"/>
                <w:color w:val="auto"/>
              </w:rPr>
            </w:pPr>
            <w:r>
              <w:rPr>
                <w:rFonts w:ascii="Arial" w:cs="Arial" w:eastAsia="Arial" w:hAnsi="Arial"/>
                <w:sz w:val="18"/>
                <w:szCs w:val="18"/>
                <w:color w:val="auto"/>
              </w:rPr>
              <w:t>Dividends declared</w:t>
            </w:r>
          </w:p>
        </w:tc>
        <w:tc>
          <w:tcPr>
            <w:tcW w:w="13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(9,531 )</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(9,531 )</w:t>
            </w:r>
          </w:p>
        </w:tc>
        <w:tc>
          <w:tcPr>
            <w:tcW w:w="0" w:type="dxa"/>
            <w:vAlign w:val="bottom"/>
          </w:tcPr>
          <w:p>
            <w:pPr>
              <w:spacing w:after="0"/>
              <w:rPr>
                <w:sz w:val="1"/>
                <w:szCs w:val="1"/>
                <w:color w:val="auto"/>
              </w:rPr>
            </w:pPr>
          </w:p>
        </w:tc>
      </w:tr>
      <w:tr>
        <w:trPr>
          <w:trHeight w:val="236"/>
        </w:trPr>
        <w:tc>
          <w:tcPr>
            <w:tcW w:w="3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Balances at June 30, 2021</w:t>
            </w:r>
          </w:p>
        </w:tc>
        <w:tc>
          <w:tcPr>
            <w:tcW w:w="138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24,437,400</w:t>
            </w:r>
          </w:p>
        </w:tc>
        <w:tc>
          <w:tcPr>
            <w:tcW w:w="1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24</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363,751</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65,592</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429,367</w:t>
            </w:r>
          </w:p>
        </w:tc>
        <w:tc>
          <w:tcPr>
            <w:tcW w:w="0" w:type="dxa"/>
            <w:vAlign w:val="bottom"/>
          </w:tcPr>
          <w:p>
            <w:pPr>
              <w:spacing w:after="0"/>
              <w:rPr>
                <w:sz w:val="1"/>
                <w:szCs w:val="1"/>
                <w:color w:val="auto"/>
              </w:rPr>
            </w:pPr>
          </w:p>
        </w:tc>
      </w:tr>
      <w:tr>
        <w:trPr>
          <w:trHeight w:val="183"/>
        </w:trPr>
        <w:tc>
          <w:tcPr>
            <w:tcW w:w="340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Balances at December 31, 2021</w:t>
            </w:r>
          </w:p>
        </w:tc>
        <w:tc>
          <w:tcPr>
            <w:tcW w:w="1380" w:type="dxa"/>
            <w:vAlign w:val="bottom"/>
          </w:tcPr>
          <w:p>
            <w:pPr>
              <w:jc w:val="right"/>
              <w:ind w:right="50"/>
              <w:spacing w:after="0" w:line="183" w:lineRule="exact"/>
              <w:rPr>
                <w:sz w:val="20"/>
                <w:szCs w:val="20"/>
                <w:color w:val="auto"/>
              </w:rPr>
            </w:pPr>
            <w:r>
              <w:rPr>
                <w:rFonts w:ascii="Arial" w:cs="Arial" w:eastAsia="Arial" w:hAnsi="Arial"/>
                <w:sz w:val="18"/>
                <w:szCs w:val="18"/>
                <w:color w:val="auto"/>
              </w:rPr>
              <w:t>24,437,400</w:t>
            </w:r>
          </w:p>
        </w:tc>
        <w:tc>
          <w:tcPr>
            <w:tcW w:w="1240" w:type="dxa"/>
            <w:vAlign w:val="bottom"/>
            <w:gridSpan w:val="2"/>
          </w:tcPr>
          <w:p>
            <w:pPr>
              <w:jc w:val="right"/>
              <w:ind w:right="910"/>
              <w:spacing w:after="0" w:line="183"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line="183" w:lineRule="exact"/>
              <w:rPr>
                <w:sz w:val="20"/>
                <w:szCs w:val="20"/>
                <w:color w:val="auto"/>
              </w:rPr>
            </w:pPr>
            <w:r>
              <w:rPr>
                <w:rFonts w:ascii="Arial" w:cs="Arial" w:eastAsia="Arial" w:hAnsi="Arial"/>
                <w:sz w:val="18"/>
                <w:szCs w:val="18"/>
                <w:color w:val="auto"/>
              </w:rPr>
              <w:t>24</w:t>
            </w:r>
          </w:p>
        </w:tc>
        <w:tc>
          <w:tcPr>
            <w:tcW w:w="3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line="183" w:lineRule="exact"/>
              <w:rPr>
                <w:sz w:val="20"/>
                <w:szCs w:val="20"/>
                <w:color w:val="auto"/>
              </w:rPr>
            </w:pPr>
            <w:r>
              <w:rPr>
                <w:rFonts w:ascii="Arial" w:cs="Arial" w:eastAsia="Arial" w:hAnsi="Arial"/>
                <w:sz w:val="18"/>
                <w:szCs w:val="18"/>
                <w:color w:val="auto"/>
              </w:rPr>
              <w:t>361,807</w:t>
            </w:r>
          </w:p>
        </w:tc>
        <w:tc>
          <w:tcPr>
            <w:tcW w:w="3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line="183" w:lineRule="exact"/>
              <w:rPr>
                <w:sz w:val="20"/>
                <w:szCs w:val="20"/>
                <w:color w:val="auto"/>
              </w:rPr>
            </w:pPr>
            <w:r>
              <w:rPr>
                <w:rFonts w:ascii="Arial" w:cs="Arial" w:eastAsia="Arial" w:hAnsi="Arial"/>
                <w:sz w:val="18"/>
                <w:szCs w:val="18"/>
                <w:color w:val="auto"/>
              </w:rPr>
              <w:t>125,933</w:t>
            </w:r>
          </w:p>
        </w:tc>
        <w:tc>
          <w:tcPr>
            <w:tcW w:w="3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183" w:lineRule="exact"/>
              <w:rPr>
                <w:sz w:val="20"/>
                <w:szCs w:val="20"/>
                <w:color w:val="auto"/>
              </w:rPr>
            </w:pPr>
            <w:r>
              <w:rPr>
                <w:rFonts w:ascii="Arial" w:cs="Arial" w:eastAsia="Arial" w:hAnsi="Arial"/>
                <w:sz w:val="18"/>
                <w:szCs w:val="18"/>
                <w:color w:val="auto"/>
              </w:rPr>
              <w:t>487,764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investment income</w:t>
            </w:r>
          </w:p>
        </w:tc>
        <w:tc>
          <w:tcPr>
            <w:tcW w:w="1380" w:type="dxa"/>
            <w:vAlign w:val="bottom"/>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10,338</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10,338</w:t>
            </w:r>
          </w:p>
        </w:tc>
        <w:tc>
          <w:tcPr>
            <w:tcW w:w="0" w:type="dxa"/>
            <w:vAlign w:val="bottom"/>
          </w:tcPr>
          <w:p>
            <w:pPr>
              <w:spacing w:after="0"/>
              <w:rPr>
                <w:sz w:val="1"/>
                <w:szCs w:val="1"/>
                <w:color w:val="auto"/>
              </w:rPr>
            </w:pPr>
          </w:p>
        </w:tc>
      </w:tr>
      <w:tr>
        <w:trPr>
          <w:trHeight w:val="162"/>
        </w:trPr>
        <w:tc>
          <w:tcPr>
            <w:tcW w:w="3400" w:type="dxa"/>
            <w:vAlign w:val="bottom"/>
          </w:tcPr>
          <w:p>
            <w:pPr>
              <w:ind w:left="20"/>
              <w:spacing w:after="0" w:line="162" w:lineRule="exact"/>
              <w:rPr>
                <w:sz w:val="20"/>
                <w:szCs w:val="20"/>
                <w:color w:val="auto"/>
              </w:rPr>
            </w:pPr>
            <w:r>
              <w:rPr>
                <w:rFonts w:ascii="Arial" w:cs="Arial" w:eastAsia="Arial" w:hAnsi="Arial"/>
                <w:sz w:val="18"/>
                <w:szCs w:val="18"/>
                <w:color w:val="auto"/>
                <w:w w:val="97"/>
              </w:rPr>
              <w:t>Net realized gain (loss) on investments, net</w:t>
            </w:r>
          </w:p>
        </w:tc>
        <w:tc>
          <w:tcPr>
            <w:tcW w:w="13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color w:val="auto"/>
              </w:rPr>
              <w:t>6,869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of taxes</w:t>
            </w:r>
          </w:p>
        </w:tc>
        <w:tc>
          <w:tcPr>
            <w:tcW w:w="1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Net unrealized appreciation (depreciation)</w:t>
            </w:r>
          </w:p>
        </w:tc>
        <w:tc>
          <w:tcPr>
            <w:tcW w:w="138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(5,319 )</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(5,319 )</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on investments</w:t>
            </w:r>
          </w:p>
        </w:tc>
        <w:tc>
          <w:tcPr>
            <w:tcW w:w="13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line="202" w:lineRule="exact"/>
              <w:rPr>
                <w:sz w:val="20"/>
                <w:szCs w:val="20"/>
                <w:color w:val="auto"/>
              </w:rPr>
            </w:pPr>
            <w:r>
              <w:rPr>
                <w:rFonts w:ascii="Arial" w:cs="Arial" w:eastAsia="Arial" w:hAnsi="Arial"/>
                <w:sz w:val="18"/>
                <w:szCs w:val="18"/>
                <w:color w:val="auto"/>
                <w:w w:val="99"/>
              </w:rPr>
              <w:t>Realized losses on extinguishment of debt</w:t>
            </w:r>
          </w:p>
        </w:tc>
        <w:tc>
          <w:tcPr>
            <w:tcW w:w="1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(198 )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03"/>
        </w:trPr>
        <w:tc>
          <w:tcPr>
            <w:tcW w:w="34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Dividends declared</w:t>
            </w:r>
          </w:p>
        </w:tc>
        <w:tc>
          <w:tcPr>
            <w:tcW w:w="138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(12,952 )</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(12,952 )</w:t>
            </w:r>
          </w:p>
        </w:tc>
        <w:tc>
          <w:tcPr>
            <w:tcW w:w="0" w:type="dxa"/>
            <w:vAlign w:val="bottom"/>
          </w:tcPr>
          <w:p>
            <w:pPr>
              <w:spacing w:after="0"/>
              <w:rPr>
                <w:sz w:val="1"/>
                <w:szCs w:val="1"/>
                <w:color w:val="auto"/>
              </w:rPr>
            </w:pPr>
          </w:p>
        </w:tc>
      </w:tr>
      <w:tr>
        <w:trPr>
          <w:trHeight w:val="196"/>
        </w:trPr>
        <w:tc>
          <w:tcPr>
            <w:tcW w:w="3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Balances at March 31, 2022</w:t>
            </w:r>
          </w:p>
        </w:tc>
        <w:tc>
          <w:tcPr>
            <w:tcW w:w="13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24,437,400</w:t>
            </w:r>
          </w:p>
        </w:tc>
        <w:tc>
          <w:tcPr>
            <w:tcW w:w="1240" w:type="dxa"/>
            <w:vAlign w:val="bottom"/>
            <w:gridSpan w:val="2"/>
          </w:tcPr>
          <w:p>
            <w:pPr>
              <w:jc w:val="right"/>
              <w:ind w:right="910"/>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24</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361,807</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124,671</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486,502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investment income</w:t>
            </w:r>
          </w:p>
        </w:tc>
        <w:tc>
          <w:tcPr>
            <w:tcW w:w="1380" w:type="dxa"/>
            <w:vAlign w:val="bottom"/>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11,008</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11,008</w:t>
            </w:r>
          </w:p>
        </w:tc>
        <w:tc>
          <w:tcPr>
            <w:tcW w:w="0" w:type="dxa"/>
            <w:vAlign w:val="bottom"/>
          </w:tcPr>
          <w:p>
            <w:pPr>
              <w:spacing w:after="0"/>
              <w:rPr>
                <w:sz w:val="1"/>
                <w:szCs w:val="1"/>
                <w:color w:val="auto"/>
              </w:rPr>
            </w:pPr>
          </w:p>
        </w:tc>
      </w:tr>
      <w:tr>
        <w:trPr>
          <w:trHeight w:val="162"/>
        </w:trPr>
        <w:tc>
          <w:tcPr>
            <w:tcW w:w="3400" w:type="dxa"/>
            <w:vAlign w:val="bottom"/>
          </w:tcPr>
          <w:p>
            <w:pPr>
              <w:ind w:left="20"/>
              <w:spacing w:after="0" w:line="162" w:lineRule="exact"/>
              <w:rPr>
                <w:sz w:val="20"/>
                <w:szCs w:val="20"/>
                <w:color w:val="auto"/>
              </w:rPr>
            </w:pPr>
            <w:r>
              <w:rPr>
                <w:rFonts w:ascii="Arial" w:cs="Arial" w:eastAsia="Arial" w:hAnsi="Arial"/>
                <w:sz w:val="18"/>
                <w:szCs w:val="18"/>
                <w:color w:val="auto"/>
                <w:w w:val="97"/>
              </w:rPr>
              <w:t>Net realized gain (loss) on investments, net</w:t>
            </w:r>
          </w:p>
        </w:tc>
        <w:tc>
          <w:tcPr>
            <w:tcW w:w="13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color w:val="auto"/>
              </w:rPr>
              <w:t>18,186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18,186</w:t>
            </w: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of taxes</w:t>
            </w:r>
          </w:p>
        </w:tc>
        <w:tc>
          <w:tcPr>
            <w:tcW w:w="1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Net unrealized appreciation (depreciation)</w:t>
            </w:r>
          </w:p>
        </w:tc>
        <w:tc>
          <w:tcPr>
            <w:tcW w:w="138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(21,213 )</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(21,213 )</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on investments</w:t>
            </w:r>
          </w:p>
        </w:tc>
        <w:tc>
          <w:tcPr>
            <w:tcW w:w="13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line="202" w:lineRule="exact"/>
              <w:rPr>
                <w:sz w:val="20"/>
                <w:szCs w:val="20"/>
                <w:color w:val="auto"/>
              </w:rPr>
            </w:pPr>
            <w:r>
              <w:rPr>
                <w:rFonts w:ascii="Arial" w:cs="Arial" w:eastAsia="Arial" w:hAnsi="Arial"/>
                <w:sz w:val="18"/>
                <w:szCs w:val="18"/>
                <w:color w:val="auto"/>
                <w:w w:val="99"/>
              </w:rPr>
              <w:t>Realized losses on extinguishment of debt</w:t>
            </w:r>
          </w:p>
        </w:tc>
        <w:tc>
          <w:tcPr>
            <w:tcW w:w="1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Dividends declared</w:t>
            </w:r>
          </w:p>
        </w:tc>
        <w:tc>
          <w:tcPr>
            <w:tcW w:w="138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(10,508 )</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(10,508 )</w:t>
            </w:r>
          </w:p>
        </w:tc>
        <w:tc>
          <w:tcPr>
            <w:tcW w:w="0" w:type="dxa"/>
            <w:vAlign w:val="bottom"/>
          </w:tcPr>
          <w:p>
            <w:pPr>
              <w:spacing w:after="0"/>
              <w:rPr>
                <w:sz w:val="1"/>
                <w:szCs w:val="1"/>
                <w:color w:val="auto"/>
              </w:rPr>
            </w:pPr>
          </w:p>
        </w:tc>
      </w:tr>
      <w:tr>
        <w:trPr>
          <w:trHeight w:val="196"/>
        </w:trPr>
        <w:tc>
          <w:tcPr>
            <w:tcW w:w="3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Balances at June 30, 2022</w:t>
            </w:r>
          </w:p>
        </w:tc>
        <w:tc>
          <w:tcPr>
            <w:tcW w:w="13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24,437,400</w:t>
            </w:r>
          </w:p>
        </w:tc>
        <w:tc>
          <w:tcPr>
            <w:tcW w:w="1240" w:type="dxa"/>
            <w:vAlign w:val="bottom"/>
            <w:gridSpan w:val="2"/>
          </w:tcPr>
          <w:p>
            <w:pPr>
              <w:jc w:val="right"/>
              <w:ind w:right="910"/>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24</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361,807</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122,144</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483,975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-3245485</wp:posOffset>
            </wp:positionV>
            <wp:extent cx="9461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-3265170</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-3248660</wp:posOffset>
            </wp:positionV>
            <wp:extent cx="85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-3265170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-3248660</wp:posOffset>
            </wp:positionV>
            <wp:extent cx="85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-3265170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-3248660</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-2236470</wp:posOffset>
            </wp:positionV>
            <wp:extent cx="946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-2219960</wp:posOffset>
            </wp:positionV>
            <wp:extent cx="946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-2236470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-2219960</wp:posOffset>
            </wp:positionV>
            <wp:extent cx="85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-2236470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-2219960</wp:posOffset>
            </wp:positionV>
            <wp:extent cx="85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-2236470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-2219960</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-1188085</wp:posOffset>
            </wp:positionV>
            <wp:extent cx="9461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-1188085</wp:posOffset>
            </wp:positionV>
            <wp:extent cx="8572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-1188085</wp:posOffset>
            </wp:positionV>
            <wp:extent cx="8572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-1188085</wp:posOffset>
            </wp:positionV>
            <wp:extent cx="7683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-159385</wp:posOffset>
            </wp:positionV>
            <wp:extent cx="9461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-159385</wp:posOffset>
            </wp:positionV>
            <wp:extent cx="8572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-159385</wp:posOffset>
            </wp:positionV>
            <wp:extent cx="8572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-159385</wp:posOffset>
            </wp:positionV>
            <wp:extent cx="7683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jc w:val="center"/>
        <w:ind w:right="120"/>
        <w:spacing w:after="0"/>
        <w:rPr>
          <w:sz w:val="20"/>
          <w:szCs w:val="20"/>
          <w:color w:val="auto"/>
        </w:rPr>
      </w:pPr>
      <w:r>
        <w:rPr>
          <w:rFonts w:ascii="Arial" w:cs="Arial" w:eastAsia="Arial" w:hAnsi="Arial"/>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6"/>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83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83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8300" w:type="dxa"/>
            <w:vAlign w:val="bottom"/>
          </w:tcPr>
          <w:p>
            <w:pPr>
              <w:ind w:left="200"/>
              <w:spacing w:after="0"/>
              <w:rPr>
                <w:sz w:val="20"/>
                <w:szCs w:val="20"/>
                <w:color w:val="auto"/>
              </w:rPr>
            </w:pPr>
            <w:r>
              <w:rPr>
                <w:rFonts w:ascii="Arial" w:cs="Arial" w:eastAsia="Arial" w:hAnsi="Arial"/>
                <w:sz w:val="14"/>
                <w:szCs w:val="14"/>
                <w:color w:val="auto"/>
              </w:rPr>
              <w:t>Net increase (decrease)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19,671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37,424</w:t>
            </w:r>
          </w:p>
        </w:tc>
        <w:tc>
          <w:tcPr>
            <w:tcW w:w="100" w:type="dxa"/>
            <w:vAlign w:val="bottom"/>
          </w:tcPr>
          <w:p>
            <w:pPr>
              <w:spacing w:after="0"/>
              <w:rPr>
                <w:sz w:val="15"/>
                <w:szCs w:val="15"/>
                <w:color w:val="auto"/>
              </w:rPr>
            </w:pPr>
          </w:p>
        </w:tc>
      </w:tr>
      <w:tr>
        <w:trPr>
          <w:trHeight w:val="176"/>
        </w:trPr>
        <w:tc>
          <w:tcPr>
            <w:tcW w:w="8300" w:type="dxa"/>
            <w:vAlign w:val="bottom"/>
            <w:shd w:val="clear" w:color="auto" w:fill="CFF0FC"/>
          </w:tcPr>
          <w:p>
            <w:pPr>
              <w:ind w:left="20"/>
              <w:spacing w:after="0"/>
              <w:rPr>
                <w:sz w:val="20"/>
                <w:szCs w:val="20"/>
                <w:color w:val="auto"/>
              </w:rPr>
            </w:pPr>
            <w:r>
              <w:rPr>
                <w:rFonts w:ascii="Arial" w:cs="Arial" w:eastAsia="Arial" w:hAnsi="Arial"/>
                <w:sz w:val="14"/>
                <w:szCs w:val="14"/>
                <w:color w:val="auto"/>
                <w:w w:val="93"/>
              </w:rPr>
              <w:t>Adjustments to reconcile net increase (decrease) in net assets resulting from operations to net cash provided by (used for) operating activities:</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8300" w:type="dxa"/>
            <w:vAlign w:val="bottom"/>
          </w:tcPr>
          <w:p>
            <w:pPr>
              <w:ind w:left="38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26,532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(16,684 )</w:t>
            </w:r>
          </w:p>
        </w:tc>
      </w:tr>
      <w:tr>
        <w:trPr>
          <w:trHeight w:val="175"/>
        </w:trPr>
        <w:tc>
          <w:tcPr>
            <w:tcW w:w="83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realized (gain) loss on investments</w:t>
            </w:r>
          </w:p>
        </w:tc>
        <w:tc>
          <w:tcPr>
            <w:tcW w:w="2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(25,176 )</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(5,366 )</w:t>
            </w:r>
          </w:p>
        </w:tc>
      </w:tr>
      <w:tr>
        <w:trPr>
          <w:trHeight w:val="176"/>
        </w:trPr>
        <w:tc>
          <w:tcPr>
            <w:tcW w:w="8300" w:type="dxa"/>
            <w:vAlign w:val="bottom"/>
          </w:tcPr>
          <w:p>
            <w:pPr>
              <w:ind w:left="380"/>
              <w:spacing w:after="0"/>
              <w:rPr>
                <w:sz w:val="20"/>
                <w:szCs w:val="20"/>
                <w:color w:val="auto"/>
              </w:rPr>
            </w:pPr>
            <w:r>
              <w:rPr>
                <w:rFonts w:ascii="Arial" w:cs="Arial" w:eastAsia="Arial" w:hAnsi="Arial"/>
                <w:sz w:val="14"/>
                <w:szCs w:val="14"/>
                <w:color w:val="auto"/>
              </w:rPr>
              <w:t>Interest and dividend income paid-in-kind</w:t>
            </w:r>
          </w:p>
        </w:tc>
        <w:tc>
          <w:tcPr>
            <w:tcW w:w="2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(914 )</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(2,177 )</w:t>
            </w:r>
          </w:p>
        </w:tc>
      </w:tr>
      <w:tr>
        <w:trPr>
          <w:trHeight w:val="175"/>
        </w:trPr>
        <w:tc>
          <w:tcPr>
            <w:tcW w:w="83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Accretion of original issue discount</w:t>
            </w:r>
          </w:p>
        </w:tc>
        <w:tc>
          <w:tcPr>
            <w:tcW w:w="2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(60 )</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(605 )</w:t>
            </w:r>
          </w:p>
        </w:tc>
      </w:tr>
      <w:tr>
        <w:trPr>
          <w:trHeight w:val="176"/>
        </w:trPr>
        <w:tc>
          <w:tcPr>
            <w:tcW w:w="8300" w:type="dxa"/>
            <w:vAlign w:val="bottom"/>
          </w:tcPr>
          <w:p>
            <w:pPr>
              <w:ind w:left="380"/>
              <w:spacing w:after="0"/>
              <w:rPr>
                <w:sz w:val="20"/>
                <w:szCs w:val="20"/>
                <w:color w:val="auto"/>
              </w:rPr>
            </w:pPr>
            <w:r>
              <w:rPr>
                <w:rFonts w:ascii="Arial" w:cs="Arial" w:eastAsia="Arial" w:hAnsi="Arial"/>
                <w:sz w:val="14"/>
                <w:szCs w:val="14"/>
                <w:color w:val="auto"/>
              </w:rPr>
              <w:t>Accretion of loan origination fees</w:t>
            </w:r>
          </w:p>
        </w:tc>
        <w:tc>
          <w:tcPr>
            <w:tcW w:w="2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(711 )</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(1,139 )</w:t>
            </w:r>
          </w:p>
        </w:tc>
      </w:tr>
      <w:tr>
        <w:trPr>
          <w:trHeight w:val="176"/>
        </w:trPr>
        <w:tc>
          <w:tcPr>
            <w:tcW w:w="83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 of investments</w:t>
            </w:r>
          </w:p>
        </w:tc>
        <w:tc>
          <w:tcPr>
            <w:tcW w:w="2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(160,098 )</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(167,349 )</w:t>
            </w:r>
          </w:p>
        </w:tc>
      </w:tr>
      <w:tr>
        <w:trPr>
          <w:trHeight w:val="175"/>
        </w:trPr>
        <w:tc>
          <w:tcPr>
            <w:tcW w:w="8300" w:type="dxa"/>
            <w:vAlign w:val="bottom"/>
          </w:tcPr>
          <w:p>
            <w:pPr>
              <w:ind w:left="380"/>
              <w:spacing w:after="0"/>
              <w:rPr>
                <w:sz w:val="20"/>
                <w:szCs w:val="20"/>
                <w:color w:val="auto"/>
              </w:rPr>
            </w:pPr>
            <w:r>
              <w:rPr>
                <w:rFonts w:ascii="Arial" w:cs="Arial" w:eastAsia="Arial" w:hAnsi="Arial"/>
                <w:sz w:val="14"/>
                <w:szCs w:val="14"/>
                <w:color w:val="auto"/>
              </w:rPr>
              <w:t>Proceeds from sales and repayments of investments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68,008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191,560</w:t>
            </w:r>
          </w:p>
        </w:tc>
        <w:tc>
          <w:tcPr>
            <w:tcW w:w="100" w:type="dxa"/>
            <w:vAlign w:val="bottom"/>
          </w:tcPr>
          <w:p>
            <w:pPr>
              <w:spacing w:after="0"/>
              <w:rPr>
                <w:sz w:val="15"/>
                <w:szCs w:val="15"/>
                <w:color w:val="auto"/>
              </w:rPr>
            </w:pPr>
          </w:p>
        </w:tc>
      </w:tr>
      <w:tr>
        <w:trPr>
          <w:trHeight w:val="176"/>
        </w:trPr>
        <w:tc>
          <w:tcPr>
            <w:tcW w:w="83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loan origination fees</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1,023</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1,171</w:t>
            </w:r>
          </w:p>
        </w:tc>
        <w:tc>
          <w:tcPr>
            <w:tcW w:w="100" w:type="dxa"/>
            <w:vAlign w:val="bottom"/>
            <w:shd w:val="clear" w:color="auto" w:fill="CFF0FC"/>
          </w:tcPr>
          <w:p>
            <w:pPr>
              <w:spacing w:after="0"/>
              <w:rPr>
                <w:sz w:val="15"/>
                <w:szCs w:val="15"/>
                <w:color w:val="auto"/>
              </w:rPr>
            </w:pPr>
          </w:p>
        </w:tc>
      </w:tr>
      <w:tr>
        <w:trPr>
          <w:trHeight w:val="175"/>
        </w:trPr>
        <w:tc>
          <w:tcPr>
            <w:tcW w:w="8300" w:type="dxa"/>
            <w:vAlign w:val="bottom"/>
          </w:tcPr>
          <w:p>
            <w:pPr>
              <w:ind w:left="380"/>
              <w:spacing w:after="0"/>
              <w:rPr>
                <w:sz w:val="20"/>
                <w:szCs w:val="20"/>
                <w:color w:val="auto"/>
              </w:rPr>
            </w:pPr>
            <w:r>
              <w:rPr>
                <w:rFonts w:ascii="Arial" w:cs="Arial" w:eastAsia="Arial" w:hAnsi="Arial"/>
                <w:sz w:val="14"/>
                <w:szCs w:val="14"/>
                <w:color w:val="auto"/>
              </w:rPr>
              <w:t>Realized losses on extinguishment of debt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2,180</w:t>
            </w:r>
          </w:p>
        </w:tc>
        <w:tc>
          <w:tcPr>
            <w:tcW w:w="100" w:type="dxa"/>
            <w:vAlign w:val="bottom"/>
          </w:tcPr>
          <w:p>
            <w:pPr>
              <w:spacing w:after="0"/>
              <w:rPr>
                <w:sz w:val="15"/>
                <w:szCs w:val="15"/>
                <w:color w:val="auto"/>
              </w:rPr>
            </w:pPr>
          </w:p>
        </w:tc>
      </w:tr>
      <w:tr>
        <w:trPr>
          <w:trHeight w:val="176"/>
        </w:trPr>
        <w:tc>
          <w:tcPr>
            <w:tcW w:w="83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deferred financing costs</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1,058</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1,117</w:t>
            </w:r>
          </w:p>
        </w:tc>
        <w:tc>
          <w:tcPr>
            <w:tcW w:w="100" w:type="dxa"/>
            <w:vAlign w:val="bottom"/>
            <w:shd w:val="clear" w:color="auto" w:fill="CFF0FC"/>
          </w:tcPr>
          <w:p>
            <w:pPr>
              <w:spacing w:after="0"/>
              <w:rPr>
                <w:sz w:val="15"/>
                <w:szCs w:val="15"/>
                <w:color w:val="auto"/>
              </w:rPr>
            </w:pPr>
          </w:p>
        </w:tc>
      </w:tr>
      <w:tr>
        <w:trPr>
          <w:trHeight w:val="175"/>
        </w:trPr>
        <w:tc>
          <w:tcPr>
            <w:tcW w:w="830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3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Interest receivable</w:t>
            </w:r>
          </w:p>
        </w:tc>
        <w:tc>
          <w:tcPr>
            <w:tcW w:w="2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(4,878 )</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(219 )</w:t>
            </w:r>
          </w:p>
        </w:tc>
      </w:tr>
      <w:tr>
        <w:trPr>
          <w:trHeight w:val="176"/>
        </w:trPr>
        <w:tc>
          <w:tcPr>
            <w:tcW w:w="8300" w:type="dxa"/>
            <w:vAlign w:val="bottom"/>
          </w:tcPr>
          <w:p>
            <w:pPr>
              <w:ind w:left="560"/>
              <w:spacing w:after="0"/>
              <w:rPr>
                <w:sz w:val="20"/>
                <w:szCs w:val="20"/>
                <w:color w:val="auto"/>
              </w:rPr>
            </w:pPr>
            <w:r>
              <w:rPr>
                <w:rFonts w:ascii="Arial" w:cs="Arial" w:eastAsia="Arial" w:hAnsi="Arial"/>
                <w:sz w:val="14"/>
                <w:szCs w:val="14"/>
                <w:color w:val="auto"/>
              </w:rPr>
              <w:t>Receivables from investments sold</w:t>
            </w:r>
          </w:p>
        </w:tc>
        <w:tc>
          <w:tcPr>
            <w:tcW w:w="2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(11,895 )</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83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(718 )</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(1,164 )</w:t>
            </w:r>
          </w:p>
        </w:tc>
      </w:tr>
      <w:tr>
        <w:trPr>
          <w:trHeight w:val="176"/>
        </w:trPr>
        <w:tc>
          <w:tcPr>
            <w:tcW w:w="8300" w:type="dxa"/>
            <w:vAlign w:val="bottom"/>
          </w:tcPr>
          <w:p>
            <w:pPr>
              <w:ind w:left="560"/>
              <w:spacing w:after="0"/>
              <w:rPr>
                <w:sz w:val="20"/>
                <w:szCs w:val="20"/>
                <w:color w:val="auto"/>
              </w:rPr>
            </w:pPr>
            <w:r>
              <w:rPr>
                <w:rFonts w:ascii="Arial" w:cs="Arial" w:eastAsia="Arial" w:hAnsi="Arial"/>
                <w:sz w:val="14"/>
                <w:szCs w:val="14"/>
                <w:color w:val="auto"/>
              </w:rPr>
              <w:t>Accrued interest and fees payable</w:t>
            </w:r>
          </w:p>
        </w:tc>
        <w:tc>
          <w:tcPr>
            <w:tcW w:w="2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(176 )</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1,976</w:t>
            </w:r>
          </w:p>
        </w:tc>
        <w:tc>
          <w:tcPr>
            <w:tcW w:w="100" w:type="dxa"/>
            <w:vAlign w:val="bottom"/>
          </w:tcPr>
          <w:p>
            <w:pPr>
              <w:spacing w:after="0"/>
              <w:rPr>
                <w:sz w:val="15"/>
                <w:szCs w:val="15"/>
                <w:color w:val="auto"/>
              </w:rPr>
            </w:pPr>
          </w:p>
        </w:tc>
      </w:tr>
      <w:tr>
        <w:trPr>
          <w:trHeight w:val="175"/>
        </w:trPr>
        <w:tc>
          <w:tcPr>
            <w:tcW w:w="83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Base management fee payable, net of base management fee waiver – due to affiliate</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(58 )</w:t>
            </w:r>
          </w:p>
        </w:tc>
      </w:tr>
      <w:tr>
        <w:trPr>
          <w:trHeight w:val="176"/>
        </w:trPr>
        <w:tc>
          <w:tcPr>
            <w:tcW w:w="8300" w:type="dxa"/>
            <w:vAlign w:val="bottom"/>
          </w:tcPr>
          <w:p>
            <w:pPr>
              <w:ind w:left="560"/>
              <w:spacing w:after="0"/>
              <w:rPr>
                <w:sz w:val="20"/>
                <w:szCs w:val="20"/>
                <w:color w:val="auto"/>
              </w:rPr>
            </w:pPr>
            <w:r>
              <w:rPr>
                <w:rFonts w:ascii="Arial" w:cs="Arial" w:eastAsia="Arial" w:hAnsi="Arial"/>
                <w:sz w:val="14"/>
                <w:szCs w:val="14"/>
                <w:color w:val="auto"/>
              </w:rPr>
              <w:t>Income incentive fee payable – due to affiliate</w:t>
            </w:r>
          </w:p>
        </w:tc>
        <w:tc>
          <w:tcPr>
            <w:tcW w:w="2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(1,439 )</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(60 )</w:t>
            </w:r>
          </w:p>
        </w:tc>
      </w:tr>
      <w:tr>
        <w:trPr>
          <w:trHeight w:val="176"/>
        </w:trPr>
        <w:tc>
          <w:tcPr>
            <w:tcW w:w="83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Capital gains incentive fee (reversal) – due to (from) affiliate</w:t>
            </w:r>
          </w:p>
        </w:tc>
        <w:tc>
          <w:tcPr>
            <w:tcW w:w="2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(6,471 )</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3,974</w:t>
            </w:r>
          </w:p>
        </w:tc>
        <w:tc>
          <w:tcPr>
            <w:tcW w:w="100" w:type="dxa"/>
            <w:vAlign w:val="bottom"/>
            <w:shd w:val="clear" w:color="auto" w:fill="CFF0FC"/>
          </w:tcPr>
          <w:p>
            <w:pPr>
              <w:spacing w:after="0"/>
              <w:rPr>
                <w:sz w:val="15"/>
                <w:szCs w:val="15"/>
                <w:color w:val="auto"/>
              </w:rPr>
            </w:pPr>
          </w:p>
        </w:tc>
      </w:tr>
      <w:tr>
        <w:trPr>
          <w:trHeight w:val="175"/>
        </w:trPr>
        <w:tc>
          <w:tcPr>
            <w:tcW w:w="8300" w:type="dxa"/>
            <w:vAlign w:val="bottom"/>
          </w:tcPr>
          <w:p>
            <w:pPr>
              <w:ind w:left="560"/>
              <w:spacing w:after="0"/>
              <w:rPr>
                <w:sz w:val="20"/>
                <w:szCs w:val="20"/>
                <w:color w:val="auto"/>
              </w:rPr>
            </w:pPr>
            <w:r>
              <w:rPr>
                <w:rFonts w:ascii="Arial" w:cs="Arial" w:eastAsia="Arial" w:hAnsi="Arial"/>
                <w:sz w:val="14"/>
                <w:szCs w:val="14"/>
                <w:color w:val="auto"/>
              </w:rPr>
              <w:t>Administration fee payable and other – due to affiliate</w:t>
            </w:r>
          </w:p>
        </w:tc>
        <w:tc>
          <w:tcPr>
            <w:tcW w:w="2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(23 )</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(393 )</w:t>
            </w:r>
          </w:p>
        </w:tc>
      </w:tr>
      <w:tr>
        <w:trPr>
          <w:trHeight w:val="176"/>
        </w:trPr>
        <w:tc>
          <w:tcPr>
            <w:tcW w:w="83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Payables for investments purchased</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2,773</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8300" w:type="dxa"/>
            <w:vAlign w:val="bottom"/>
          </w:tcPr>
          <w:p>
            <w:pPr>
              <w:ind w:left="560"/>
              <w:spacing w:after="0"/>
              <w:rPr>
                <w:sz w:val="20"/>
                <w:szCs w:val="20"/>
                <w:color w:val="auto"/>
              </w:rPr>
            </w:pPr>
            <w:r>
              <w:rPr>
                <w:rFonts w:ascii="Arial" w:cs="Arial" w:eastAsia="Arial" w:hAnsi="Arial"/>
                <w:sz w:val="14"/>
                <w:szCs w:val="14"/>
                <w:color w:val="auto"/>
              </w:rPr>
              <w:t>Taxes payable</w:t>
            </w:r>
          </w:p>
        </w:tc>
        <w:tc>
          <w:tcPr>
            <w:tcW w:w="2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(2,067 )</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(700 )</w:t>
            </w:r>
          </w:p>
        </w:tc>
      </w:tr>
      <w:tr>
        <w:trPr>
          <w:trHeight w:val="176"/>
        </w:trPr>
        <w:tc>
          <w:tcPr>
            <w:tcW w:w="83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Accounts payable and other liabilities</w:t>
            </w: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1,850</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300" w:type="dxa"/>
            <w:vAlign w:val="bottom"/>
          </w:tcPr>
          <w:p>
            <w:pPr>
              <w:ind w:left="740"/>
              <w:spacing w:after="0"/>
              <w:rPr>
                <w:sz w:val="20"/>
                <w:szCs w:val="20"/>
                <w:color w:val="auto"/>
              </w:rPr>
            </w:pPr>
            <w:r>
              <w:rPr>
                <w:rFonts w:ascii="Arial" w:cs="Arial" w:eastAsia="Arial" w:hAnsi="Arial"/>
                <w:sz w:val="14"/>
                <w:szCs w:val="14"/>
                <w:b w:val="1"/>
                <w:bCs w:val="1"/>
                <w:color w:val="auto"/>
              </w:rPr>
              <w:t>Net cash provided by (used for) operating activities</w:t>
            </w:r>
          </w:p>
        </w:tc>
        <w:tc>
          <w:tcPr>
            <w:tcW w:w="2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(93,106 )</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43,951</w:t>
            </w:r>
          </w:p>
        </w:tc>
        <w:tc>
          <w:tcPr>
            <w:tcW w:w="100" w:type="dxa"/>
            <w:vAlign w:val="bottom"/>
          </w:tcPr>
          <w:p>
            <w:pPr>
              <w:spacing w:after="0"/>
              <w:rPr>
                <w:sz w:val="14"/>
                <w:szCs w:val="14"/>
                <w:color w:val="auto"/>
              </w:rPr>
            </w:pPr>
          </w:p>
        </w:tc>
      </w:tr>
      <w:tr>
        <w:trPr>
          <w:trHeight w:val="169"/>
        </w:trPr>
        <w:tc>
          <w:tcPr>
            <w:tcW w:w="83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8300" w:type="dxa"/>
            <w:vAlign w:val="bottom"/>
          </w:tcPr>
          <w:p>
            <w:pPr>
              <w:ind w:left="380"/>
              <w:spacing w:after="0"/>
              <w:rPr>
                <w:sz w:val="20"/>
                <w:szCs w:val="20"/>
                <w:color w:val="auto"/>
              </w:rPr>
            </w:pPr>
            <w:r>
              <w:rPr>
                <w:rFonts w:ascii="Arial" w:cs="Arial" w:eastAsia="Arial" w:hAnsi="Arial"/>
                <w:sz w:val="14"/>
                <w:szCs w:val="14"/>
                <w:color w:val="auto"/>
              </w:rPr>
              <w:t>Proceeds received from SBA debentures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41,500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11,500</w:t>
            </w:r>
          </w:p>
        </w:tc>
        <w:tc>
          <w:tcPr>
            <w:tcW w:w="100" w:type="dxa"/>
            <w:vAlign w:val="bottom"/>
          </w:tcPr>
          <w:p>
            <w:pPr>
              <w:spacing w:after="0"/>
              <w:rPr>
                <w:sz w:val="15"/>
                <w:szCs w:val="15"/>
                <w:color w:val="auto"/>
              </w:rPr>
            </w:pPr>
          </w:p>
        </w:tc>
      </w:tr>
      <w:tr>
        <w:trPr>
          <w:trHeight w:val="175"/>
        </w:trPr>
        <w:tc>
          <w:tcPr>
            <w:tcW w:w="83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Repayments of SBA debentures</w:t>
            </w:r>
          </w:p>
        </w:tc>
        <w:tc>
          <w:tcPr>
            <w:tcW w:w="2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(20,000 )</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(19,200 )</w:t>
            </w:r>
          </w:p>
        </w:tc>
      </w:tr>
      <w:tr>
        <w:trPr>
          <w:trHeight w:val="175"/>
        </w:trPr>
        <w:tc>
          <w:tcPr>
            <w:tcW w:w="8300" w:type="dxa"/>
            <w:vAlign w:val="bottom"/>
          </w:tcPr>
          <w:p>
            <w:pPr>
              <w:ind w:left="380"/>
              <w:spacing w:after="0"/>
              <w:rPr>
                <w:sz w:val="20"/>
                <w:szCs w:val="20"/>
                <w:color w:val="auto"/>
              </w:rPr>
            </w:pPr>
            <w:r>
              <w:rPr>
                <w:rFonts w:ascii="Arial" w:cs="Arial" w:eastAsia="Arial" w:hAnsi="Arial"/>
                <w:sz w:val="14"/>
                <w:szCs w:val="14"/>
                <w:color w:val="auto"/>
              </w:rPr>
              <w:t>Principal payments on Notes</w:t>
            </w:r>
          </w:p>
        </w:tc>
        <w:tc>
          <w:tcPr>
            <w:tcW w:w="280" w:type="dxa"/>
            <w:vAlign w:val="bottom"/>
          </w:tcPr>
          <w:p>
            <w:pPr>
              <w:spacing w:after="0"/>
              <w:rPr>
                <w:sz w:val="15"/>
                <w:szCs w:val="15"/>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(100,000 )</w:t>
            </w:r>
          </w:p>
        </w:tc>
      </w:tr>
      <w:tr>
        <w:trPr>
          <w:trHeight w:val="176"/>
        </w:trPr>
        <w:tc>
          <w:tcPr>
            <w:tcW w:w="83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received from (repayments of) borrowings under Credit Facility, net</w:t>
            </w:r>
          </w:p>
        </w:tc>
        <w:tc>
          <w:tcPr>
            <w:tcW w:w="28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8300" w:type="dxa"/>
            <w:vAlign w:val="bottom"/>
          </w:tcPr>
          <w:p>
            <w:pPr>
              <w:ind w:left="380"/>
              <w:spacing w:after="0"/>
              <w:rPr>
                <w:sz w:val="20"/>
                <w:szCs w:val="20"/>
                <w:color w:val="auto"/>
              </w:rPr>
            </w:pPr>
            <w:r>
              <w:rPr>
                <w:rFonts w:ascii="Arial" w:cs="Arial" w:eastAsia="Arial" w:hAnsi="Arial"/>
                <w:sz w:val="14"/>
                <w:szCs w:val="14"/>
                <w:color w:val="auto"/>
              </w:rPr>
              <w:t>Proceeds received from (repayments of) Secured Borrowings, net</w:t>
            </w:r>
          </w:p>
        </w:tc>
        <w:tc>
          <w:tcPr>
            <w:tcW w:w="2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(374 )</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13,500</w:t>
            </w:r>
          </w:p>
        </w:tc>
        <w:tc>
          <w:tcPr>
            <w:tcW w:w="100" w:type="dxa"/>
            <w:vAlign w:val="bottom"/>
          </w:tcPr>
          <w:p>
            <w:pPr>
              <w:spacing w:after="0"/>
              <w:rPr>
                <w:sz w:val="15"/>
                <w:szCs w:val="15"/>
                <w:color w:val="auto"/>
              </w:rPr>
            </w:pPr>
          </w:p>
        </w:tc>
      </w:tr>
      <w:tr>
        <w:trPr>
          <w:trHeight w:val="175"/>
        </w:trPr>
        <w:tc>
          <w:tcPr>
            <w:tcW w:w="83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Payment of deferred financing costs</w:t>
            </w:r>
          </w:p>
        </w:tc>
        <w:tc>
          <w:tcPr>
            <w:tcW w:w="2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(1,511 )</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(1,031 )</w:t>
            </w:r>
          </w:p>
        </w:tc>
      </w:tr>
      <w:tr>
        <w:trPr>
          <w:trHeight w:val="175"/>
        </w:trPr>
        <w:tc>
          <w:tcPr>
            <w:tcW w:w="8300" w:type="dxa"/>
            <w:vAlign w:val="bottom"/>
          </w:tcPr>
          <w:p>
            <w:pPr>
              <w:ind w:left="380"/>
              <w:spacing w:after="0"/>
              <w:rPr>
                <w:sz w:val="20"/>
                <w:szCs w:val="20"/>
                <w:color w:val="auto"/>
              </w:rPr>
            </w:pPr>
            <w:r>
              <w:rPr>
                <w:rFonts w:ascii="Arial" w:cs="Arial" w:eastAsia="Arial" w:hAnsi="Arial"/>
                <w:sz w:val="14"/>
                <w:szCs w:val="14"/>
                <w:color w:val="auto"/>
              </w:rPr>
              <w:t>Dividends paid to stockholders, including expenses</w:t>
            </w:r>
          </w:p>
        </w:tc>
        <w:tc>
          <w:tcPr>
            <w:tcW w:w="2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(23,460 )</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(18,817 )</w:t>
            </w:r>
          </w:p>
        </w:tc>
      </w:tr>
      <w:tr>
        <w:trPr>
          <w:trHeight w:val="155"/>
        </w:trPr>
        <w:tc>
          <w:tcPr>
            <w:tcW w:w="8300" w:type="dxa"/>
            <w:vAlign w:val="bottom"/>
            <w:tcBorders>
              <w:top w:val="single" w:sz="8" w:color="CFF0FC"/>
              <w:bottom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cash provided by (used for) financing activities</w:t>
            </w: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(3,845</w:t>
            </w:r>
          </w:p>
        </w:tc>
        <w:tc>
          <w:tcPr>
            <w:tcW w:w="120" w:type="dxa"/>
            <w:vAlign w:val="bottom"/>
            <w:tcBorders>
              <w:top w:val="single" w:sz="8" w:color="CFF0FC"/>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(114,048</w:t>
            </w:r>
          </w:p>
        </w:tc>
        <w:tc>
          <w:tcPr>
            <w:tcW w:w="100" w:type="dxa"/>
            <w:vAlign w:val="bottom"/>
            <w:tcBorders>
              <w:top w:val="single" w:sz="8" w:color="CFF0FC"/>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69"/>
        </w:trPr>
        <w:tc>
          <w:tcPr>
            <w:tcW w:w="8300" w:type="dxa"/>
            <w:vAlign w:val="bottom"/>
          </w:tcPr>
          <w:p>
            <w:pPr>
              <w:ind w:left="74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2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(96,951 )</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(70,097 )</w:t>
            </w:r>
          </w:p>
        </w:tc>
      </w:tr>
      <w:tr>
        <w:trPr>
          <w:trHeight w:val="175"/>
        </w:trPr>
        <w:tc>
          <w:tcPr>
            <w:tcW w:w="83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8300" w:type="dxa"/>
            <w:vAlign w:val="bottom"/>
          </w:tcPr>
          <w:p>
            <w:pPr>
              <w:ind w:left="380"/>
              <w:spacing w:after="0"/>
              <w:rPr>
                <w:sz w:val="20"/>
                <w:szCs w:val="20"/>
                <w:color w:val="auto"/>
              </w:rPr>
            </w:pPr>
            <w:r>
              <w:rPr>
                <w:rFonts w:ascii="Arial" w:cs="Arial" w:eastAsia="Arial" w:hAnsi="Arial"/>
                <w:sz w:val="14"/>
                <w:szCs w:val="14"/>
                <w:color w:val="auto"/>
              </w:rPr>
              <w:t>Beginning of period</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169,417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124,308</w:t>
            </w:r>
          </w:p>
        </w:tc>
        <w:tc>
          <w:tcPr>
            <w:tcW w:w="100" w:type="dxa"/>
            <w:vAlign w:val="bottom"/>
          </w:tcPr>
          <w:p>
            <w:pPr>
              <w:spacing w:after="0"/>
              <w:rPr>
                <w:sz w:val="15"/>
                <w:szCs w:val="15"/>
                <w:color w:val="auto"/>
              </w:rPr>
            </w:pPr>
          </w:p>
        </w:tc>
      </w:tr>
      <w:tr>
        <w:trPr>
          <w:trHeight w:val="209"/>
        </w:trPr>
        <w:tc>
          <w:tcPr>
            <w:tcW w:w="83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End of period</w:t>
            </w: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72,466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54,211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830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flow information</w:t>
            </w: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83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Cash payments for interest</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8,169</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6,663</w:t>
            </w:r>
          </w:p>
        </w:tc>
        <w:tc>
          <w:tcPr>
            <w:tcW w:w="100" w:type="dxa"/>
            <w:vAlign w:val="bottom"/>
            <w:shd w:val="clear" w:color="auto" w:fill="CFF0FC"/>
          </w:tcPr>
          <w:p>
            <w:pPr>
              <w:spacing w:after="0"/>
              <w:rPr>
                <w:sz w:val="15"/>
                <w:szCs w:val="15"/>
                <w:color w:val="auto"/>
              </w:rPr>
            </w:pPr>
          </w:p>
        </w:tc>
      </w:tr>
      <w:tr>
        <w:trPr>
          <w:trHeight w:val="182"/>
        </w:trPr>
        <w:tc>
          <w:tcPr>
            <w:tcW w:w="8300" w:type="dxa"/>
            <w:vAlign w:val="bottom"/>
          </w:tcPr>
          <w:p>
            <w:pPr>
              <w:ind w:left="380"/>
              <w:spacing w:after="0"/>
              <w:rPr>
                <w:sz w:val="20"/>
                <w:szCs w:val="20"/>
                <w:color w:val="auto"/>
              </w:rPr>
            </w:pPr>
            <w:r>
              <w:rPr>
                <w:rFonts w:ascii="Arial" w:cs="Arial" w:eastAsia="Arial" w:hAnsi="Arial"/>
                <w:sz w:val="14"/>
                <w:szCs w:val="14"/>
                <w:color w:val="auto"/>
              </w:rPr>
              <w:t>Cash payments for taxes, net of tax refunds received</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2,197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-1955165</wp:posOffset>
            </wp:positionV>
            <wp:extent cx="7747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-1955165</wp:posOffset>
            </wp:positionV>
            <wp:extent cx="685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-950595</wp:posOffset>
            </wp:positionV>
            <wp:extent cx="10287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-950595</wp:posOffset>
            </wp:positionV>
            <wp:extent cx="9398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-363855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-346710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-363855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-346710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jc w:val="center"/>
        <w:spacing w:after="0" w:line="234" w:lineRule="auto"/>
        <w:rPr>
          <w:sz w:val="20"/>
          <w:szCs w:val="20"/>
          <w:color w:val="auto"/>
        </w:rPr>
      </w:pPr>
      <w:r>
        <w:rPr>
          <w:rFonts w:ascii="Arial" w:cs="Arial" w:eastAsia="Arial" w:hAnsi="Arial"/>
          <w:sz w:val="18"/>
          <w:szCs w:val="18"/>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2480" w:type="dxa"/>
            <w:vAlign w:val="bottom"/>
            <w:gridSpan w:val="3"/>
          </w:tcPr>
          <w:p>
            <w:pPr>
              <w:ind w:left="20"/>
              <w:spacing w:after="0"/>
              <w:rPr>
                <w:sz w:val="20"/>
                <w:szCs w:val="20"/>
                <w:color w:val="auto"/>
              </w:rPr>
            </w:pPr>
            <w:r>
              <w:rPr>
                <w:rFonts w:ascii="Arial" w:cs="Arial" w:eastAsia="Arial" w:hAnsi="Arial"/>
                <w:sz w:val="9"/>
                <w:szCs w:val="9"/>
                <w:b w:val="1"/>
                <w:bCs w:val="1"/>
                <w:color w:val="auto"/>
              </w:rPr>
              <w:t>Portfolio Company (a)(b)</w:t>
            </w:r>
          </w:p>
        </w:tc>
        <w:tc>
          <w:tcPr>
            <w:tcW w:w="1720" w:type="dxa"/>
            <w:vAlign w:val="bottom"/>
          </w:tcPr>
          <w:p>
            <w:pPr>
              <w:spacing w:after="0"/>
              <w:rPr>
                <w:sz w:val="9"/>
                <w:szCs w:val="9"/>
                <w:color w:val="auto"/>
              </w:rPr>
            </w:pPr>
          </w:p>
        </w:tc>
        <w:tc>
          <w:tcPr>
            <w:tcW w:w="1280" w:type="dxa"/>
            <w:vAlign w:val="bottom"/>
          </w:tcPr>
          <w:p>
            <w:pPr>
              <w:ind w:left="300"/>
              <w:spacing w:after="0"/>
              <w:rPr>
                <w:sz w:val="20"/>
                <w:szCs w:val="20"/>
                <w:color w:val="auto"/>
              </w:rPr>
            </w:pPr>
            <w:r>
              <w:rPr>
                <w:rFonts w:ascii="Arial" w:cs="Arial" w:eastAsia="Arial" w:hAnsi="Arial"/>
                <w:sz w:val="9"/>
                <w:szCs w:val="9"/>
                <w:b w:val="1"/>
                <w:bCs w:val="1"/>
                <w:color w:val="auto"/>
              </w:rPr>
              <w:t>Variable Index</w:t>
            </w:r>
          </w:p>
        </w:tc>
        <w:tc>
          <w:tcPr>
            <w:tcW w:w="900" w:type="dxa"/>
            <w:vAlign w:val="bottom"/>
          </w:tcPr>
          <w:p>
            <w:pPr>
              <w:ind w:left="180"/>
              <w:spacing w:after="0"/>
              <w:rPr>
                <w:sz w:val="20"/>
                <w:szCs w:val="20"/>
                <w:color w:val="auto"/>
              </w:rPr>
            </w:pPr>
            <w:r>
              <w:rPr>
                <w:rFonts w:ascii="Arial" w:cs="Arial" w:eastAsia="Arial" w:hAnsi="Arial"/>
                <w:sz w:val="9"/>
                <w:szCs w:val="9"/>
                <w:b w:val="1"/>
                <w:bCs w:val="1"/>
                <w:color w:val="auto"/>
              </w:rPr>
              <w:t>Rate (e)</w:t>
            </w:r>
          </w:p>
        </w:tc>
        <w:tc>
          <w:tcPr>
            <w:tcW w:w="780" w:type="dxa"/>
            <w:vAlign w:val="bottom"/>
          </w:tcPr>
          <w:p>
            <w:pPr>
              <w:ind w:left="180"/>
              <w:spacing w:after="0"/>
              <w:rPr>
                <w:sz w:val="20"/>
                <w:szCs w:val="20"/>
                <w:color w:val="auto"/>
              </w:rPr>
            </w:pPr>
            <w:r>
              <w:rPr>
                <w:rFonts w:ascii="Arial" w:cs="Arial" w:eastAsia="Arial" w:hAnsi="Arial"/>
                <w:sz w:val="9"/>
                <w:szCs w:val="9"/>
                <w:b w:val="1"/>
                <w:bCs w:val="1"/>
                <w:color w:val="auto"/>
              </w:rPr>
              <w:t>Investment</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jc w:val="right"/>
              <w:ind w:right="335"/>
              <w:spacing w:after="0"/>
              <w:rPr>
                <w:sz w:val="20"/>
                <w:szCs w:val="20"/>
                <w:color w:val="auto"/>
              </w:rPr>
            </w:pPr>
            <w:r>
              <w:rPr>
                <w:rFonts w:ascii="Arial" w:cs="Arial" w:eastAsia="Arial" w:hAnsi="Arial"/>
                <w:sz w:val="9"/>
                <w:szCs w:val="9"/>
                <w:b w:val="1"/>
                <w:bCs w:val="1"/>
                <w:color w:val="auto"/>
              </w:rPr>
              <w:t>Principal</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315"/>
              <w:spacing w:after="0"/>
              <w:rPr>
                <w:sz w:val="20"/>
                <w:szCs w:val="20"/>
                <w:color w:val="auto"/>
              </w:rPr>
            </w:pPr>
            <w:r>
              <w:rPr>
                <w:rFonts w:ascii="Arial" w:cs="Arial" w:eastAsia="Arial" w:hAnsi="Arial"/>
                <w:sz w:val="9"/>
                <w:szCs w:val="9"/>
                <w:b w:val="1"/>
                <w:bCs w:val="1"/>
                <w:color w:val="auto"/>
              </w:rPr>
              <w:t>Fair</w:t>
            </w:r>
          </w:p>
        </w:tc>
        <w:tc>
          <w:tcPr>
            <w:tcW w:w="720" w:type="dxa"/>
            <w:vAlign w:val="bottom"/>
          </w:tcPr>
          <w:p>
            <w:pPr>
              <w:jc w:val="right"/>
              <w:ind w:right="175"/>
              <w:spacing w:after="0"/>
              <w:rPr>
                <w:sz w:val="20"/>
                <w:szCs w:val="20"/>
                <w:color w:val="auto"/>
              </w:rPr>
            </w:pPr>
            <w:r>
              <w:rPr>
                <w:rFonts w:ascii="Arial" w:cs="Arial" w:eastAsia="Arial" w:hAnsi="Arial"/>
                <w:sz w:val="9"/>
                <w:szCs w:val="9"/>
                <w:b w:val="1"/>
                <w:bCs w:val="1"/>
                <w:color w:val="auto"/>
              </w:rPr>
              <w:t>Percent of</w:t>
            </w:r>
          </w:p>
        </w:tc>
      </w:tr>
      <w:tr>
        <w:trPr>
          <w:trHeight w:val="117"/>
        </w:trPr>
        <w:tc>
          <w:tcPr>
            <w:tcW w:w="2480" w:type="dxa"/>
            <w:vAlign w:val="bottom"/>
            <w:tcBorders>
              <w:bottom w:val="single" w:sz="8" w:color="auto"/>
            </w:tcBorders>
            <w:gridSpan w:val="3"/>
          </w:tcPr>
          <w:p>
            <w:pPr>
              <w:ind w:left="20"/>
              <w:spacing w:after="0"/>
              <w:rPr>
                <w:sz w:val="20"/>
                <w:szCs w:val="20"/>
                <w:color w:val="auto"/>
              </w:rPr>
            </w:pPr>
            <w:r>
              <w:rPr>
                <w:rFonts w:ascii="Arial" w:cs="Arial" w:eastAsia="Arial" w:hAnsi="Arial"/>
                <w:sz w:val="9"/>
                <w:szCs w:val="9"/>
                <w:b w:val="1"/>
                <w:bCs w:val="1"/>
                <w:color w:val="auto"/>
              </w:rPr>
              <w:t>Investment Type (c)</w:t>
            </w: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Industry</w:t>
            </w: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9"/>
                <w:szCs w:val="9"/>
                <w:b w:val="1"/>
                <w:bCs w:val="1"/>
                <w:color w:val="auto"/>
              </w:rPr>
              <w:t>Spread / Floor (d)</w:t>
            </w: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9"/>
                <w:szCs w:val="9"/>
                <w:b w:val="1"/>
                <w:bCs w:val="1"/>
                <w:color w:val="auto"/>
              </w:rPr>
              <w:t>Cash/PIK</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9"/>
                <w:szCs w:val="9"/>
                <w:b w:val="1"/>
                <w:bCs w:val="1"/>
                <w:color w:val="auto"/>
              </w:rPr>
              <w:t>Date (f)</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9"/>
                <w:szCs w:val="9"/>
                <w:b w:val="1"/>
                <w:bCs w:val="1"/>
                <w:color w:val="auto"/>
              </w:rPr>
              <w:t>Maturity</w:t>
            </w: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55"/>
              <w:spacing w:after="0"/>
              <w:rPr>
                <w:sz w:val="20"/>
                <w:szCs w:val="20"/>
                <w:color w:val="auto"/>
              </w:rPr>
            </w:pPr>
            <w:r>
              <w:rPr>
                <w:rFonts w:ascii="Arial" w:cs="Arial" w:eastAsia="Arial" w:hAnsi="Arial"/>
                <w:sz w:val="9"/>
                <w:szCs w:val="9"/>
                <w:b w:val="1"/>
                <w:bCs w:val="1"/>
                <w:color w:val="auto"/>
              </w:rPr>
              <w:t>Amount</w:t>
            </w: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95"/>
              <w:spacing w:after="0"/>
              <w:rPr>
                <w:sz w:val="20"/>
                <w:szCs w:val="20"/>
                <w:color w:val="auto"/>
              </w:rPr>
            </w:pPr>
            <w:r>
              <w:rPr>
                <w:rFonts w:ascii="Arial" w:cs="Arial" w:eastAsia="Arial" w:hAnsi="Arial"/>
                <w:sz w:val="9"/>
                <w:szCs w:val="9"/>
                <w:b w:val="1"/>
                <w:bCs w:val="1"/>
                <w:color w:val="auto"/>
              </w:rPr>
              <w:t>Cost</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9"/>
                <w:szCs w:val="9"/>
                <w:b w:val="1"/>
                <w:bCs w:val="1"/>
                <w:color w:val="auto"/>
                <w:w w:val="94"/>
              </w:rPr>
              <w:t>Value (g)</w:t>
            </w: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9"/>
                <w:szCs w:val="9"/>
                <w:b w:val="1"/>
                <w:bCs w:val="1"/>
                <w:color w:val="auto"/>
              </w:rPr>
              <w:t>Net Assets</w:t>
            </w:r>
          </w:p>
        </w:tc>
      </w:tr>
      <w:tr>
        <w:trPr>
          <w:trHeight w:val="102"/>
        </w:trPr>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94"/>
        </w:trPr>
        <w:tc>
          <w:tcPr>
            <w:tcW w:w="920" w:type="dxa"/>
            <w:vAlign w:val="bottom"/>
            <w:tcBorders>
              <w:left w:val="single" w:sz="8" w:color="CFF0FC"/>
              <w:bottom w:val="single" w:sz="8" w:color="auto"/>
            </w:tcBorders>
            <w:shd w:val="clear" w:color="auto" w:fill="CFF0FC"/>
          </w:tcPr>
          <w:p>
            <w:pPr>
              <w:ind w:left="20"/>
              <w:spacing w:after="0" w:line="95" w:lineRule="exact"/>
              <w:rPr>
                <w:sz w:val="20"/>
                <w:szCs w:val="20"/>
                <w:color w:val="auto"/>
              </w:rPr>
            </w:pPr>
            <w:r>
              <w:rPr>
                <w:rFonts w:ascii="Arial" w:cs="Arial" w:eastAsia="Arial" w:hAnsi="Arial"/>
                <w:sz w:val="9"/>
                <w:szCs w:val="9"/>
                <w:b w:val="1"/>
                <w:bCs w:val="1"/>
                <w:color w:val="auto"/>
                <w:w w:val="89"/>
              </w:rPr>
              <w:t>Control Investments (t)</w:t>
            </w:r>
          </w:p>
        </w:tc>
        <w:tc>
          <w:tcPr>
            <w:tcW w:w="1560" w:type="dxa"/>
            <w:vAlign w:val="bottom"/>
            <w:tcBorders>
              <w:bottom w:val="single" w:sz="8" w:color="CFF0FC"/>
            </w:tcBorders>
            <w:gridSpan w:val="2"/>
            <w:shd w:val="clear" w:color="auto" w:fill="CFF0FC"/>
          </w:tcPr>
          <w:p>
            <w:pPr>
              <w:spacing w:after="0"/>
              <w:rPr>
                <w:sz w:val="8"/>
                <w:szCs w:val="8"/>
                <w:color w:val="auto"/>
              </w:rPr>
            </w:pPr>
          </w:p>
        </w:tc>
        <w:tc>
          <w:tcPr>
            <w:tcW w:w="1720" w:type="dxa"/>
            <w:vAlign w:val="bottom"/>
            <w:tcBorders>
              <w:bottom w:val="single" w:sz="8" w:color="CFF0FC"/>
            </w:tcBorders>
            <w:shd w:val="clear" w:color="auto" w:fill="CFF0FC"/>
          </w:tcPr>
          <w:p>
            <w:pPr>
              <w:spacing w:after="0"/>
              <w:rPr>
                <w:sz w:val="8"/>
                <w:szCs w:val="8"/>
                <w:color w:val="auto"/>
              </w:rPr>
            </w:pPr>
          </w:p>
        </w:tc>
        <w:tc>
          <w:tcPr>
            <w:tcW w:w="128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shd w:val="clear" w:color="auto" w:fill="CFF0FC"/>
          </w:tcPr>
          <w:p>
            <w:pPr>
              <w:spacing w:after="0"/>
              <w:rPr>
                <w:sz w:val="8"/>
                <w:szCs w:val="8"/>
                <w:color w:val="auto"/>
              </w:rPr>
            </w:pPr>
          </w:p>
        </w:tc>
        <w:tc>
          <w:tcPr>
            <w:tcW w:w="780" w:type="dxa"/>
            <w:vAlign w:val="bottom"/>
            <w:tcBorders>
              <w:bottom w:val="single" w:sz="8" w:color="CFF0FC"/>
            </w:tcBorders>
            <w:shd w:val="clear" w:color="auto" w:fill="CFF0FC"/>
          </w:tcPr>
          <w:p>
            <w:pPr>
              <w:spacing w:after="0"/>
              <w:rPr>
                <w:sz w:val="8"/>
                <w:szCs w:val="8"/>
                <w:color w:val="auto"/>
              </w:rPr>
            </w:pPr>
          </w:p>
        </w:tc>
        <w:tc>
          <w:tcPr>
            <w:tcW w:w="7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CFF0FC"/>
            </w:tcBorders>
            <w:shd w:val="clear" w:color="auto" w:fill="CFF0FC"/>
          </w:tcPr>
          <w:p>
            <w:pPr>
              <w:spacing w:after="0"/>
              <w:rPr>
                <w:sz w:val="8"/>
                <w:szCs w:val="8"/>
                <w:color w:val="auto"/>
              </w:rPr>
            </w:pPr>
          </w:p>
        </w:tc>
        <w:tc>
          <w:tcPr>
            <w:tcW w:w="800" w:type="dxa"/>
            <w:vAlign w:val="bottom"/>
            <w:tcBorders>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60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CFF0FC"/>
            </w:tcBorders>
            <w:shd w:val="clear" w:color="auto" w:fill="CFF0FC"/>
          </w:tcPr>
          <w:p>
            <w:pPr>
              <w:spacing w:after="0"/>
              <w:rPr>
                <w:sz w:val="8"/>
                <w:szCs w:val="8"/>
                <w:color w:val="auto"/>
              </w:rPr>
            </w:pPr>
          </w:p>
        </w:tc>
        <w:tc>
          <w:tcPr>
            <w:tcW w:w="720" w:type="dxa"/>
            <w:vAlign w:val="bottom"/>
            <w:tcBorders>
              <w:bottom w:val="single" w:sz="8" w:color="CFF0FC"/>
            </w:tcBorders>
            <w:shd w:val="clear" w:color="auto" w:fill="CFF0FC"/>
          </w:tcPr>
          <w:p>
            <w:pPr>
              <w:spacing w:after="0"/>
              <w:rPr>
                <w:sz w:val="8"/>
                <w:szCs w:val="8"/>
                <w:color w:val="auto"/>
              </w:rPr>
            </w:pPr>
          </w:p>
        </w:tc>
      </w:tr>
      <w:tr>
        <w:trPr>
          <w:trHeight w:val="102"/>
        </w:trPr>
        <w:tc>
          <w:tcPr>
            <w:tcW w:w="2480" w:type="dxa"/>
            <w:vAlign w:val="bottom"/>
            <w:gridSpan w:val="3"/>
          </w:tcPr>
          <w:p>
            <w:pPr>
              <w:ind w:left="20"/>
              <w:spacing w:after="0" w:line="102" w:lineRule="exact"/>
              <w:rPr>
                <w:sz w:val="20"/>
                <w:szCs w:val="20"/>
                <w:color w:val="auto"/>
              </w:rPr>
            </w:pPr>
            <w:r>
              <w:rPr>
                <w:rFonts w:ascii="Arial" w:cs="Arial" w:eastAsia="Arial" w:hAnsi="Arial"/>
                <w:sz w:val="9"/>
                <w:szCs w:val="9"/>
                <w:i w:val="1"/>
                <w:iCs w:val="1"/>
                <w:color w:val="auto"/>
              </w:rPr>
              <w:t>Hilco Plastics Holdings, LLC (dba Hilco Technologies) (n)</w:t>
            </w:r>
          </w:p>
        </w:tc>
        <w:tc>
          <w:tcPr>
            <w:tcW w:w="1720" w:type="dxa"/>
            <w:vAlign w:val="bottom"/>
          </w:tcPr>
          <w:p>
            <w:pPr>
              <w:ind w:left="60"/>
              <w:spacing w:after="0" w:line="102" w:lineRule="exact"/>
              <w:rPr>
                <w:sz w:val="20"/>
                <w:szCs w:val="20"/>
                <w:color w:val="auto"/>
              </w:rPr>
            </w:pPr>
            <w:r>
              <w:rPr>
                <w:rFonts w:ascii="Arial" w:cs="Arial" w:eastAsia="Arial" w:hAnsi="Arial"/>
                <w:sz w:val="9"/>
                <w:szCs w:val="9"/>
                <w:color w:val="auto"/>
              </w:rPr>
              <w:t>Component Manufacturing</w:t>
            </w:r>
          </w:p>
        </w:tc>
        <w:tc>
          <w:tcPr>
            <w:tcW w:w="1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(Units N/A) (j)</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4/6/2021</w:t>
            </w: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jc w:val="right"/>
              <w:ind w:right="3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200" w:type="dxa"/>
            <w:vAlign w:val="bottom"/>
            <w:gridSpan w:val="2"/>
            <w:shd w:val="clear" w:color="auto" w:fill="CFF0FC"/>
          </w:tcPr>
          <w:p>
            <w:pPr>
              <w:jc w:val="right"/>
              <w:ind w:right="15"/>
              <w:spacing w:after="0"/>
              <w:rPr>
                <w:sz w:val="20"/>
                <w:szCs w:val="20"/>
                <w:color w:val="auto"/>
              </w:rPr>
            </w:pPr>
            <w:r>
              <w:rPr>
                <w:rFonts w:ascii="Arial" w:cs="Arial" w:eastAsia="Arial" w:hAnsi="Arial"/>
                <w:sz w:val="9"/>
                <w:szCs w:val="9"/>
                <w:color w:val="auto"/>
              </w:rPr>
              <w:t>$</w:t>
            </w: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Mesa Line Services, LLC (n)</w:t>
            </w:r>
          </w:p>
        </w:tc>
        <w:tc>
          <w:tcPr>
            <w:tcW w:w="1720" w:type="dxa"/>
            <w:vAlign w:val="bottom"/>
            <w:shd w:val="clear" w:color="auto" w:fill="CFF0FC"/>
          </w:tcPr>
          <w:p>
            <w:pPr>
              <w:ind w:left="60"/>
              <w:spacing w:after="0"/>
              <w:rPr>
                <w:sz w:val="20"/>
                <w:szCs w:val="20"/>
                <w:color w:val="auto"/>
              </w:rPr>
            </w:pPr>
            <w:r>
              <w:rPr>
                <w:rFonts w:ascii="Arial" w:cs="Arial" w:eastAsia="Arial" w:hAnsi="Arial"/>
                <w:sz w:val="9"/>
                <w:szCs w:val="9"/>
                <w:color w:val="auto"/>
              </w:rPr>
              <w:t>Utilities: Services</w:t>
            </w: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Common Equity (10 shares) (j)</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4/22/2021</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20"/>
              <w:spacing w:after="0"/>
              <w:rPr>
                <w:sz w:val="20"/>
                <w:szCs w:val="20"/>
                <w:color w:val="auto"/>
              </w:rPr>
            </w:pPr>
            <w:r>
              <w:rPr>
                <w:rFonts w:ascii="Arial" w:cs="Arial" w:eastAsia="Arial" w:hAnsi="Arial"/>
                <w:sz w:val="9"/>
                <w:szCs w:val="9"/>
                <w:i w:val="1"/>
                <w:iCs w:val="1"/>
                <w:color w:val="auto"/>
              </w:rPr>
              <w:t>US GreenFiber, LLC (n)</w:t>
            </w:r>
          </w:p>
        </w:tc>
        <w:tc>
          <w:tcPr>
            <w:tcW w:w="1720" w:type="dxa"/>
            <w:vAlign w:val="bottom"/>
          </w:tcPr>
          <w:p>
            <w:pPr>
              <w:ind w:left="60"/>
              <w:spacing w:after="0"/>
              <w:rPr>
                <w:sz w:val="20"/>
                <w:szCs w:val="20"/>
                <w:color w:val="auto"/>
              </w:rPr>
            </w:pPr>
            <w:r>
              <w:rPr>
                <w:rFonts w:ascii="Arial" w:cs="Arial" w:eastAsia="Arial" w:hAnsi="Arial"/>
                <w:sz w:val="9"/>
                <w:szCs w:val="9"/>
                <w:color w:val="auto"/>
              </w:rPr>
              <w:t>Building Products Manufacturing</w:t>
            </w: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Second Lien Debt (j)(y)</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ind w:left="180"/>
              <w:spacing w:after="0"/>
              <w:rPr>
                <w:sz w:val="20"/>
                <w:szCs w:val="20"/>
                <w:color w:val="auto"/>
              </w:rPr>
            </w:pPr>
            <w:r>
              <w:rPr>
                <w:rFonts w:ascii="Arial" w:cs="Arial" w:eastAsia="Arial" w:hAnsi="Arial"/>
                <w:sz w:val="9"/>
                <w:szCs w:val="9"/>
                <w:color w:val="auto"/>
              </w:rPr>
              <w:t>10.00%/3.00%</w:t>
            </w: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7/3/2014</w:t>
            </w:r>
          </w:p>
        </w:tc>
        <w:tc>
          <w:tcPr>
            <w:tcW w:w="720" w:type="dxa"/>
            <w:vAlign w:val="bottom"/>
            <w:shd w:val="clear" w:color="auto" w:fill="CFF0FC"/>
          </w:tcPr>
          <w:p>
            <w:pPr>
              <w:ind w:left="160"/>
              <w:spacing w:after="0"/>
              <w:rPr>
                <w:sz w:val="20"/>
                <w:szCs w:val="20"/>
                <w:color w:val="auto"/>
              </w:rPr>
            </w:pPr>
            <w:r>
              <w:rPr>
                <w:rFonts w:ascii="Arial" w:cs="Arial" w:eastAsia="Arial" w:hAnsi="Arial"/>
                <w:sz w:val="9"/>
                <w:szCs w:val="9"/>
                <w:color w:val="auto"/>
              </w:rPr>
              <w:t>8/30/2024</w:t>
            </w:r>
          </w:p>
        </w:tc>
        <w:tc>
          <w:tcPr>
            <w:tcW w:w="26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80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5,226</w:t>
            </w: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5,223</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Common Equity (2,522 units) (h)(j)</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7/3/2014</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586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(425,508 units) (j)</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8/30/2019</w:t>
            </w: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Common Equity (1,022,813 units) (h)(j)</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7/1/2020</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1,023</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tcPr>
          <w:p>
            <w:pPr>
              <w:spacing w:after="0"/>
              <w:rPr>
                <w:sz w:val="9"/>
                <w:szCs w:val="9"/>
                <w:color w:val="auto"/>
              </w:rPr>
            </w:pPr>
          </w:p>
        </w:tc>
      </w:tr>
      <w:tr>
        <w:trPr>
          <w:trHeight w:val="102"/>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720" w:type="dxa"/>
            <w:vAlign w:val="bottom"/>
            <w:shd w:val="clear" w:color="auto" w:fill="CFF0FC"/>
          </w:tcPr>
          <w:p>
            <w:pPr>
              <w:spacing w:after="0"/>
              <w:rPr>
                <w:sz w:val="8"/>
                <w:szCs w:val="8"/>
                <w:color w:val="auto"/>
              </w:rPr>
            </w:pPr>
          </w:p>
        </w:tc>
        <w:tc>
          <w:tcPr>
            <w:tcW w:w="128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6,833</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0 %</w:t>
            </w:r>
          </w:p>
        </w:tc>
      </w:tr>
      <w:tr>
        <w:trPr>
          <w:trHeight w:val="108"/>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42"/>
        </w:trPr>
        <w:tc>
          <w:tcPr>
            <w:tcW w:w="2480" w:type="dxa"/>
            <w:vAlign w:val="bottom"/>
            <w:tcBorders>
              <w:left w:val="single" w:sz="8" w:color="CFF0FC"/>
              <w:bottom w:val="single" w:sz="8" w:color="CFF0FC"/>
            </w:tcBorders>
            <w:gridSpan w:val="3"/>
            <w:shd w:val="clear" w:color="auto" w:fill="CFF0FC"/>
          </w:tcPr>
          <w:p>
            <w:pPr>
              <w:ind w:left="20"/>
              <w:spacing w:after="0" w:line="102" w:lineRule="exact"/>
              <w:rPr>
                <w:sz w:val="20"/>
                <w:szCs w:val="20"/>
                <w:color w:val="auto"/>
              </w:rPr>
            </w:pPr>
            <w:r>
              <w:rPr>
                <w:rFonts w:ascii="Arial" w:cs="Arial" w:eastAsia="Arial" w:hAnsi="Arial"/>
                <w:sz w:val="9"/>
                <w:szCs w:val="9"/>
                <w:b w:val="1"/>
                <w:bCs w:val="1"/>
                <w:color w:val="auto"/>
              </w:rPr>
              <w:t>Total Control Investments</w:t>
            </w:r>
          </w:p>
        </w:tc>
        <w:tc>
          <w:tcPr>
            <w:tcW w:w="172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35"/>
              <w:spacing w:after="0" w:line="102" w:lineRule="exact"/>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6,833</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15"/>
              <w:spacing w:after="0" w:line="102" w:lineRule="exact"/>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w:t>
            </w:r>
          </w:p>
        </w:tc>
        <w:tc>
          <w:tcPr>
            <w:tcW w:w="720" w:type="dxa"/>
            <w:vAlign w:val="bottom"/>
            <w:tcBorders>
              <w:bottom w:val="single" w:sz="8" w:color="CFF0FC"/>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0 %</w:t>
            </w:r>
          </w:p>
        </w:tc>
      </w:tr>
      <w:tr>
        <w:trPr>
          <w:trHeight w:val="88"/>
        </w:trPr>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95"/>
        </w:trPr>
        <w:tc>
          <w:tcPr>
            <w:tcW w:w="2480" w:type="dxa"/>
            <w:vAlign w:val="bottom"/>
            <w:tcBorders>
              <w:left w:val="single" w:sz="8" w:color="CFF0FC"/>
            </w:tcBorders>
            <w:gridSpan w:val="3"/>
            <w:shd w:val="clear" w:color="auto" w:fill="CFF0FC"/>
          </w:tcPr>
          <w:p>
            <w:pPr>
              <w:ind w:left="20"/>
              <w:spacing w:after="0" w:line="95" w:lineRule="exact"/>
              <w:rPr>
                <w:sz w:val="20"/>
                <w:szCs w:val="20"/>
                <w:color w:val="auto"/>
              </w:rPr>
            </w:pPr>
            <w:r>
              <w:rPr>
                <w:rFonts w:ascii="Arial" w:cs="Arial" w:eastAsia="Arial" w:hAnsi="Arial"/>
                <w:sz w:val="9"/>
                <w:szCs w:val="9"/>
                <w:b w:val="1"/>
                <w:bCs w:val="1"/>
                <w:color w:val="auto"/>
              </w:rPr>
              <w:t>Affiliate Investments (l)</w:t>
            </w:r>
          </w:p>
        </w:tc>
        <w:tc>
          <w:tcPr>
            <w:tcW w:w="1720" w:type="dxa"/>
            <w:vAlign w:val="bottom"/>
            <w:shd w:val="clear" w:color="auto" w:fill="CFF0FC"/>
          </w:tcPr>
          <w:p>
            <w:pPr>
              <w:spacing w:after="0"/>
              <w:rPr>
                <w:sz w:val="8"/>
                <w:szCs w:val="8"/>
                <w:color w:val="auto"/>
              </w:rPr>
            </w:pPr>
          </w:p>
        </w:tc>
        <w:tc>
          <w:tcPr>
            <w:tcW w:w="128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r>
      <w:tr>
        <w:trPr>
          <w:trHeight w:val="20"/>
        </w:trPr>
        <w:tc>
          <w:tcPr>
            <w:tcW w:w="920" w:type="dxa"/>
            <w:vAlign w:val="bottom"/>
            <w:tcBorders>
              <w:left w:val="single" w:sz="8" w:color="CFF0FC"/>
            </w:tcBorders>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r>
      <w:tr>
        <w:trPr>
          <w:trHeight w:val="101"/>
        </w:trPr>
        <w:tc>
          <w:tcPr>
            <w:tcW w:w="2480" w:type="dxa"/>
            <w:vAlign w:val="bottom"/>
            <w:gridSpan w:val="3"/>
          </w:tcPr>
          <w:p>
            <w:pPr>
              <w:ind w:left="20"/>
              <w:spacing w:after="0" w:line="102" w:lineRule="exact"/>
              <w:rPr>
                <w:sz w:val="20"/>
                <w:szCs w:val="20"/>
                <w:color w:val="auto"/>
              </w:rPr>
            </w:pPr>
            <w:r>
              <w:rPr>
                <w:rFonts w:ascii="Arial" w:cs="Arial" w:eastAsia="Arial" w:hAnsi="Arial"/>
                <w:sz w:val="9"/>
                <w:szCs w:val="9"/>
                <w:i w:val="1"/>
                <w:iCs w:val="1"/>
                <w:color w:val="auto"/>
                <w:w w:val="93"/>
              </w:rPr>
              <w:t>Applegate Greenfiber Intermediate Inc. (fka US GreenFiber, LLC)</w:t>
            </w:r>
          </w:p>
        </w:tc>
        <w:tc>
          <w:tcPr>
            <w:tcW w:w="1720" w:type="dxa"/>
            <w:vAlign w:val="bottom"/>
          </w:tcPr>
          <w:p>
            <w:pPr>
              <w:ind w:left="60"/>
              <w:spacing w:after="0" w:line="102" w:lineRule="exact"/>
              <w:rPr>
                <w:sz w:val="20"/>
                <w:szCs w:val="20"/>
                <w:color w:val="auto"/>
              </w:rPr>
            </w:pPr>
            <w:r>
              <w:rPr>
                <w:rFonts w:ascii="Arial" w:cs="Arial" w:eastAsia="Arial" w:hAnsi="Arial"/>
                <w:sz w:val="9"/>
                <w:szCs w:val="9"/>
                <w:color w:val="auto"/>
              </w:rPr>
              <w:t>Building Products Manufacturing</w:t>
            </w:r>
          </w:p>
        </w:tc>
        <w:tc>
          <w:tcPr>
            <w:tcW w:w="1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Subordinated Debt (j)</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ind w:left="180"/>
              <w:spacing w:after="0"/>
              <w:rPr>
                <w:sz w:val="20"/>
                <w:szCs w:val="20"/>
                <w:color w:val="auto"/>
              </w:rPr>
            </w:pPr>
            <w:r>
              <w:rPr>
                <w:rFonts w:ascii="Arial" w:cs="Arial" w:eastAsia="Arial" w:hAnsi="Arial"/>
                <w:sz w:val="9"/>
                <w:szCs w:val="9"/>
                <w:color w:val="auto"/>
              </w:rPr>
              <w:t>10.00%/0.00%</w:t>
            </w: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12/31/2021</w:t>
            </w:r>
          </w:p>
        </w:tc>
        <w:tc>
          <w:tcPr>
            <w:tcW w:w="720" w:type="dxa"/>
            <w:vAlign w:val="bottom"/>
            <w:shd w:val="clear" w:color="auto" w:fill="CFF0FC"/>
          </w:tcPr>
          <w:p>
            <w:pPr>
              <w:ind w:left="160"/>
              <w:spacing w:after="0"/>
              <w:rPr>
                <w:sz w:val="20"/>
                <w:szCs w:val="20"/>
                <w:color w:val="auto"/>
              </w:rPr>
            </w:pPr>
            <w:r>
              <w:rPr>
                <w:rFonts w:ascii="Arial" w:cs="Arial" w:eastAsia="Arial" w:hAnsi="Arial"/>
                <w:sz w:val="9"/>
                <w:szCs w:val="9"/>
                <w:color w:val="auto"/>
              </w:rPr>
              <w:t>12/31/2027</w:t>
            </w:r>
          </w:p>
        </w:tc>
        <w:tc>
          <w:tcPr>
            <w:tcW w:w="26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80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9,602</w:t>
            </w:r>
          </w:p>
        </w:tc>
        <w:tc>
          <w:tcPr>
            <w:tcW w:w="140" w:type="dxa"/>
            <w:vAlign w:val="bottom"/>
            <w:shd w:val="clear" w:color="auto" w:fill="CFF0FC"/>
          </w:tcPr>
          <w:p>
            <w:pPr>
              <w:jc w:val="right"/>
              <w:ind w:right="3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9,602</w:t>
            </w:r>
          </w:p>
        </w:tc>
        <w:tc>
          <w:tcPr>
            <w:tcW w:w="200" w:type="dxa"/>
            <w:vAlign w:val="bottom"/>
            <w:gridSpan w:val="2"/>
            <w:shd w:val="clear" w:color="auto" w:fill="CFF0FC"/>
          </w:tcPr>
          <w:p>
            <w:pPr>
              <w:jc w:val="right"/>
              <w:ind w:right="15"/>
              <w:spacing w:after="0"/>
              <w:rPr>
                <w:sz w:val="20"/>
                <w:szCs w:val="20"/>
                <w:color w:val="auto"/>
              </w:rPr>
            </w:pPr>
            <w:r>
              <w:rPr>
                <w:rFonts w:ascii="Arial" w:cs="Arial" w:eastAsia="Arial" w:hAnsi="Arial"/>
                <w:sz w:val="9"/>
                <w:szCs w:val="9"/>
                <w:color w:val="auto"/>
              </w:rPr>
              <w:t>$</w:t>
            </w: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9,602</w:t>
            </w: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Common Equity (5,690units) (h) (j)</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12/31/2021</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5,690.00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5,690.00</w:t>
            </w: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(7,113 units) (h) (j)</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12/31/2021</w:t>
            </w: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7,113.00</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7,113.00</w:t>
            </w: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Common Equity (2,012units) (h) (j)</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12/31/2021</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tcPr>
          <w:p>
            <w:pPr>
              <w:spacing w:after="0"/>
              <w:rPr>
                <w:sz w:val="9"/>
                <w:szCs w:val="9"/>
                <w:color w:val="auto"/>
              </w:rPr>
            </w:pPr>
          </w:p>
        </w:tc>
      </w:tr>
      <w:tr>
        <w:trPr>
          <w:trHeight w:val="101"/>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720" w:type="dxa"/>
            <w:vAlign w:val="bottom"/>
            <w:shd w:val="clear" w:color="auto" w:fill="CFF0FC"/>
          </w:tcPr>
          <w:p>
            <w:pPr>
              <w:spacing w:after="0"/>
              <w:rPr>
                <w:sz w:val="8"/>
                <w:szCs w:val="8"/>
                <w:color w:val="auto"/>
              </w:rPr>
            </w:pPr>
          </w:p>
        </w:tc>
        <w:tc>
          <w:tcPr>
            <w:tcW w:w="128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22,405</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22,405</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4 %</w:t>
            </w:r>
          </w:p>
        </w:tc>
      </w:tr>
      <w:tr>
        <w:trPr>
          <w:trHeight w:val="108"/>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FAR Research Inc. (n)</w:t>
            </w:r>
          </w:p>
        </w:tc>
        <w:tc>
          <w:tcPr>
            <w:tcW w:w="1720" w:type="dxa"/>
            <w:vAlign w:val="bottom"/>
            <w:shd w:val="clear" w:color="auto" w:fill="CFF0FC"/>
          </w:tcPr>
          <w:p>
            <w:pPr>
              <w:ind w:left="60"/>
              <w:spacing w:after="0"/>
              <w:rPr>
                <w:sz w:val="20"/>
                <w:szCs w:val="20"/>
                <w:color w:val="auto"/>
              </w:rPr>
            </w:pPr>
            <w:r>
              <w:rPr>
                <w:rFonts w:ascii="Arial" w:cs="Arial" w:eastAsia="Arial" w:hAnsi="Arial"/>
                <w:sz w:val="9"/>
                <w:szCs w:val="9"/>
                <w:color w:val="auto"/>
              </w:rPr>
              <w:t>Specialty Chemicals</w:t>
            </w: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Common Equity (1,396 units)</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3/31/2014</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28</w:t>
            </w:r>
          </w:p>
        </w:tc>
        <w:tc>
          <w:tcPr>
            <w:tcW w:w="720" w:type="dxa"/>
            <w:vAlign w:val="bottom"/>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20"/>
              <w:spacing w:after="0"/>
              <w:rPr>
                <w:sz w:val="20"/>
                <w:szCs w:val="20"/>
                <w:color w:val="auto"/>
              </w:rPr>
            </w:pPr>
            <w:r>
              <w:rPr>
                <w:rFonts w:ascii="Arial" w:cs="Arial" w:eastAsia="Arial" w:hAnsi="Arial"/>
                <w:sz w:val="9"/>
                <w:szCs w:val="9"/>
                <w:i w:val="1"/>
                <w:iCs w:val="1"/>
                <w:color w:val="auto"/>
              </w:rPr>
              <w:t>Medsurant Holdings, LLC</w:t>
            </w:r>
          </w:p>
        </w:tc>
        <w:tc>
          <w:tcPr>
            <w:tcW w:w="1720" w:type="dxa"/>
            <w:vAlign w:val="bottom"/>
          </w:tcPr>
          <w:p>
            <w:pPr>
              <w:ind w:left="60"/>
              <w:spacing w:after="0"/>
              <w:rPr>
                <w:sz w:val="20"/>
                <w:szCs w:val="20"/>
                <w:color w:val="auto"/>
              </w:rPr>
            </w:pPr>
            <w:r>
              <w:rPr>
                <w:rFonts w:ascii="Arial" w:cs="Arial" w:eastAsia="Arial" w:hAnsi="Arial"/>
                <w:sz w:val="9"/>
                <w:szCs w:val="9"/>
                <w:color w:val="auto"/>
              </w:rPr>
              <w:t>Healthcare Services</w:t>
            </w: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Preferred Equity (84,997 units) (h)(j)</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4/12/2011</w:t>
            </w: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716</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743</w:t>
            </w: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Warrant (252,588 units) (h)(j)(m)</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4/12/2011</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2,258</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2,493</w:t>
            </w:r>
          </w:p>
        </w:tc>
        <w:tc>
          <w:tcPr>
            <w:tcW w:w="720" w:type="dxa"/>
            <w:vAlign w:val="bottom"/>
          </w:tcPr>
          <w:p>
            <w:pPr>
              <w:spacing w:after="0"/>
              <w:rPr>
                <w:sz w:val="9"/>
                <w:szCs w:val="9"/>
                <w:color w:val="auto"/>
              </w:rPr>
            </w:pPr>
          </w:p>
        </w:tc>
      </w:tr>
      <w:tr>
        <w:trPr>
          <w:trHeight w:val="101"/>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720" w:type="dxa"/>
            <w:vAlign w:val="bottom"/>
            <w:shd w:val="clear" w:color="auto" w:fill="CFF0FC"/>
          </w:tcPr>
          <w:p>
            <w:pPr>
              <w:spacing w:after="0"/>
              <w:rPr>
                <w:sz w:val="8"/>
                <w:szCs w:val="8"/>
                <w:color w:val="auto"/>
              </w:rPr>
            </w:pPr>
          </w:p>
        </w:tc>
        <w:tc>
          <w:tcPr>
            <w:tcW w:w="128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2,974</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3,236</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1 %</w:t>
            </w:r>
          </w:p>
        </w:tc>
      </w:tr>
      <w:tr>
        <w:trPr>
          <w:trHeight w:val="108"/>
        </w:trPr>
        <w:tc>
          <w:tcPr>
            <w:tcW w:w="2480" w:type="dxa"/>
            <w:vAlign w:val="bottom"/>
            <w:gridSpan w:val="3"/>
          </w:tcPr>
          <w:p>
            <w:pPr>
              <w:ind w:left="20"/>
              <w:spacing w:after="0"/>
              <w:rPr>
                <w:sz w:val="20"/>
                <w:szCs w:val="20"/>
                <w:color w:val="auto"/>
              </w:rPr>
            </w:pPr>
            <w:r>
              <w:rPr>
                <w:rFonts w:ascii="Arial" w:cs="Arial" w:eastAsia="Arial" w:hAnsi="Arial"/>
                <w:sz w:val="9"/>
                <w:szCs w:val="9"/>
                <w:i w:val="1"/>
                <w:iCs w:val="1"/>
                <w:color w:val="auto"/>
              </w:rPr>
              <w:t>Mirage Trailers LLC (n)</w:t>
            </w:r>
          </w:p>
        </w:tc>
        <w:tc>
          <w:tcPr>
            <w:tcW w:w="1720" w:type="dxa"/>
            <w:vAlign w:val="bottom"/>
          </w:tcPr>
          <w:p>
            <w:pPr>
              <w:ind w:left="60"/>
              <w:spacing w:after="0"/>
              <w:rPr>
                <w:sz w:val="20"/>
                <w:szCs w:val="20"/>
                <w:color w:val="auto"/>
              </w:rPr>
            </w:pPr>
            <w:r>
              <w:rPr>
                <w:rFonts w:ascii="Arial" w:cs="Arial" w:eastAsia="Arial" w:hAnsi="Arial"/>
                <w:sz w:val="9"/>
                <w:szCs w:val="9"/>
                <w:color w:val="auto"/>
              </w:rPr>
              <w:t>Utility Equipment Manufacturing</w:t>
            </w: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(2,500,000 shares)</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11/25/2015</w:t>
            </w: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Pfanstiehl, Inc.</w:t>
            </w:r>
          </w:p>
        </w:tc>
        <w:tc>
          <w:tcPr>
            <w:tcW w:w="1720" w:type="dxa"/>
            <w:vAlign w:val="bottom"/>
            <w:shd w:val="clear" w:color="auto" w:fill="CFF0FC"/>
          </w:tcPr>
          <w:p>
            <w:pPr>
              <w:ind w:left="60"/>
              <w:spacing w:after="0"/>
              <w:rPr>
                <w:sz w:val="20"/>
                <w:szCs w:val="20"/>
                <w:color w:val="auto"/>
              </w:rPr>
            </w:pPr>
            <w:r>
              <w:rPr>
                <w:rFonts w:ascii="Arial" w:cs="Arial" w:eastAsia="Arial" w:hAnsi="Arial"/>
                <w:sz w:val="9"/>
                <w:szCs w:val="9"/>
                <w:color w:val="auto"/>
              </w:rPr>
              <w:t>Healthcare Products</w:t>
            </w: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Common Equity (4,250 units) (j)</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3/29/2013</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425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61,274</w:t>
            </w:r>
          </w:p>
        </w:tc>
        <w:tc>
          <w:tcPr>
            <w:tcW w:w="720" w:type="dxa"/>
            <w:vAlign w:val="bottom"/>
          </w:tcPr>
          <w:p>
            <w:pPr>
              <w:jc w:val="right"/>
              <w:spacing w:after="0"/>
              <w:rPr>
                <w:sz w:val="20"/>
                <w:szCs w:val="20"/>
                <w:color w:val="auto"/>
              </w:rPr>
            </w:pPr>
            <w:r>
              <w:rPr>
                <w:rFonts w:ascii="Arial" w:cs="Arial" w:eastAsia="Arial" w:hAnsi="Arial"/>
                <w:sz w:val="9"/>
                <w:szCs w:val="9"/>
                <w:color w:val="auto"/>
              </w:rPr>
              <w:t>13 %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20"/>
              <w:spacing w:after="0"/>
              <w:rPr>
                <w:sz w:val="20"/>
                <w:szCs w:val="20"/>
                <w:color w:val="auto"/>
              </w:rPr>
            </w:pPr>
            <w:r>
              <w:rPr>
                <w:rFonts w:ascii="Arial" w:cs="Arial" w:eastAsia="Arial" w:hAnsi="Arial"/>
                <w:sz w:val="9"/>
                <w:szCs w:val="9"/>
                <w:i w:val="1"/>
                <w:iCs w:val="1"/>
                <w:color w:val="auto"/>
              </w:rPr>
              <w:t>Spectra A&amp;D Acquisition, Inc. (fka FDS Avionics Corp.)</w:t>
            </w:r>
          </w:p>
        </w:tc>
        <w:tc>
          <w:tcPr>
            <w:tcW w:w="1720" w:type="dxa"/>
            <w:vAlign w:val="bottom"/>
          </w:tcPr>
          <w:p>
            <w:pPr>
              <w:ind w:left="60"/>
              <w:spacing w:after="0"/>
              <w:rPr>
                <w:sz w:val="20"/>
                <w:szCs w:val="20"/>
                <w:color w:val="auto"/>
              </w:rPr>
            </w:pPr>
            <w:r>
              <w:rPr>
                <w:rFonts w:ascii="Arial" w:cs="Arial" w:eastAsia="Arial" w:hAnsi="Arial"/>
                <w:sz w:val="9"/>
                <w:szCs w:val="9"/>
                <w:color w:val="auto"/>
              </w:rPr>
              <w:t>Aerospace &amp; Defense Manufacturing</w:t>
            </w: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(k)(ag)</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ind w:left="300"/>
              <w:spacing w:after="0"/>
              <w:rPr>
                <w:sz w:val="20"/>
                <w:szCs w:val="20"/>
                <w:color w:val="auto"/>
              </w:rPr>
            </w:pPr>
            <w:r>
              <w:rPr>
                <w:rFonts w:ascii="Arial" w:cs="Arial" w:eastAsia="Arial" w:hAnsi="Arial"/>
                <w:sz w:val="9"/>
                <w:szCs w:val="9"/>
                <w:color w:val="auto"/>
              </w:rPr>
              <w:t>(L + 5.50%) / (1.00%)</w:t>
            </w:r>
          </w:p>
        </w:tc>
        <w:tc>
          <w:tcPr>
            <w:tcW w:w="900" w:type="dxa"/>
            <w:vAlign w:val="bottom"/>
            <w:shd w:val="clear" w:color="auto" w:fill="CFF0FC"/>
          </w:tcPr>
          <w:p>
            <w:pPr>
              <w:ind w:left="180"/>
              <w:spacing w:after="0"/>
              <w:rPr>
                <w:sz w:val="20"/>
                <w:szCs w:val="20"/>
                <w:color w:val="auto"/>
              </w:rPr>
            </w:pPr>
            <w:r>
              <w:rPr>
                <w:rFonts w:ascii="Arial" w:cs="Arial" w:eastAsia="Arial" w:hAnsi="Arial"/>
                <w:sz w:val="9"/>
                <w:szCs w:val="9"/>
                <w:color w:val="auto"/>
              </w:rPr>
              <w:t>7.75%/0.00%</w:t>
            </w: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2/12/2021</w:t>
            </w:r>
          </w:p>
        </w:tc>
        <w:tc>
          <w:tcPr>
            <w:tcW w:w="720" w:type="dxa"/>
            <w:vAlign w:val="bottom"/>
            <w:shd w:val="clear" w:color="auto" w:fill="CFF0FC"/>
          </w:tcPr>
          <w:p>
            <w:pPr>
              <w:ind w:left="160"/>
              <w:spacing w:after="0"/>
              <w:rPr>
                <w:sz w:val="20"/>
                <w:szCs w:val="20"/>
                <w:color w:val="auto"/>
              </w:rPr>
            </w:pPr>
            <w:r>
              <w:rPr>
                <w:rFonts w:ascii="Arial" w:cs="Arial" w:eastAsia="Arial" w:hAnsi="Arial"/>
                <w:sz w:val="9"/>
                <w:szCs w:val="9"/>
                <w:color w:val="auto"/>
              </w:rPr>
              <w:t>2/11/2026</w:t>
            </w: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15,000</w:t>
            </w: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14,920</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15,000</w:t>
            </w: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Common Equity (41,290 units) (j)</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2/12/2021</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2,609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(12,035 units) (j)</w:t>
            </w:r>
          </w:p>
        </w:tc>
        <w:tc>
          <w:tcPr>
            <w:tcW w:w="1720" w:type="dxa"/>
            <w:vAlign w:val="bottom"/>
            <w:tcBorders>
              <w:bottom w:val="single" w:sz="8" w:color="CFF0FC"/>
            </w:tcBorders>
            <w:shd w:val="clear" w:color="auto" w:fill="CFF0FC"/>
          </w:tcPr>
          <w:p>
            <w:pPr>
              <w:spacing w:after="0"/>
              <w:rPr>
                <w:sz w:val="9"/>
                <w:szCs w:val="9"/>
                <w:color w:val="auto"/>
              </w:rPr>
            </w:pPr>
          </w:p>
        </w:tc>
        <w:tc>
          <w:tcPr>
            <w:tcW w:w="1280" w:type="dxa"/>
            <w:vAlign w:val="bottom"/>
            <w:tcBorders>
              <w:bottom w:val="single" w:sz="8" w:color="CFF0FC"/>
            </w:tcBorders>
            <w:shd w:val="clear" w:color="auto" w:fill="CFF0FC"/>
          </w:tcPr>
          <w:p>
            <w:pPr>
              <w:spacing w:after="0"/>
              <w:rPr>
                <w:sz w:val="9"/>
                <w:szCs w:val="9"/>
                <w:color w:val="auto"/>
              </w:rPr>
            </w:pPr>
          </w:p>
        </w:tc>
        <w:tc>
          <w:tcPr>
            <w:tcW w:w="900" w:type="dxa"/>
            <w:vAlign w:val="bottom"/>
            <w:tcBorders>
              <w:bottom w:val="single" w:sz="8" w:color="CFF0FC"/>
            </w:tcBorders>
            <w:shd w:val="clear" w:color="auto" w:fill="CFF0FC"/>
          </w:tcPr>
          <w:p>
            <w:pPr>
              <w:spacing w:after="0"/>
              <w:rPr>
                <w:sz w:val="9"/>
                <w:szCs w:val="9"/>
                <w:color w:val="auto"/>
              </w:rPr>
            </w:pPr>
          </w:p>
        </w:tc>
        <w:tc>
          <w:tcPr>
            <w:tcW w:w="7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8/25/2021</w:t>
            </w:r>
          </w:p>
        </w:tc>
        <w:tc>
          <w:tcPr>
            <w:tcW w:w="72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1,204</w:t>
            </w:r>
          </w:p>
        </w:tc>
        <w:tc>
          <w:tcPr>
            <w:tcW w:w="8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945</w:t>
            </w:r>
          </w:p>
        </w:tc>
        <w:tc>
          <w:tcPr>
            <w:tcW w:w="720" w:type="dxa"/>
            <w:vAlign w:val="bottom"/>
            <w:tcBorders>
              <w:bottom w:val="single" w:sz="8" w:color="CFF0FC"/>
            </w:tcBorders>
            <w:shd w:val="clear" w:color="auto" w:fill="CFF0FC"/>
          </w:tcPr>
          <w:p>
            <w:pPr>
              <w:spacing w:after="0"/>
              <w:rPr>
                <w:sz w:val="9"/>
                <w:szCs w:val="9"/>
                <w:color w:val="auto"/>
              </w:rPr>
            </w:pPr>
          </w:p>
        </w:tc>
      </w:tr>
      <w:tr>
        <w:trPr>
          <w:trHeight w:val="102"/>
        </w:trPr>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jc w:val="right"/>
              <w:ind w:right="75"/>
              <w:spacing w:after="0" w:line="102" w:lineRule="exact"/>
              <w:rPr>
                <w:sz w:val="20"/>
                <w:szCs w:val="20"/>
                <w:color w:val="auto"/>
              </w:rPr>
            </w:pPr>
            <w:r>
              <w:rPr>
                <w:rFonts w:ascii="Arial" w:cs="Arial" w:eastAsia="Arial" w:hAnsi="Arial"/>
                <w:sz w:val="9"/>
                <w:szCs w:val="9"/>
                <w:color w:val="auto"/>
              </w:rPr>
              <w:t>18,733</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ind w:right="95"/>
              <w:spacing w:after="0" w:line="102" w:lineRule="exact"/>
              <w:rPr>
                <w:sz w:val="20"/>
                <w:szCs w:val="20"/>
                <w:color w:val="auto"/>
              </w:rPr>
            </w:pPr>
            <w:r>
              <w:rPr>
                <w:rFonts w:ascii="Arial" w:cs="Arial" w:eastAsia="Arial" w:hAnsi="Arial"/>
                <w:sz w:val="9"/>
                <w:szCs w:val="9"/>
                <w:color w:val="auto"/>
              </w:rPr>
              <w:t>15,945</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3 %</w:t>
            </w:r>
          </w:p>
        </w:tc>
      </w:tr>
      <w:tr>
        <w:trPr>
          <w:trHeight w:val="108"/>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Steward Holding LLC (dba Steward Advanced Materials)</w:t>
            </w:r>
          </w:p>
        </w:tc>
        <w:tc>
          <w:tcPr>
            <w:tcW w:w="1720" w:type="dxa"/>
            <w:vAlign w:val="bottom"/>
            <w:shd w:val="clear" w:color="auto" w:fill="CFF0FC"/>
          </w:tcPr>
          <w:p>
            <w:pPr>
              <w:ind w:left="60"/>
              <w:spacing w:after="0"/>
              <w:rPr>
                <w:sz w:val="20"/>
                <w:szCs w:val="20"/>
                <w:color w:val="auto"/>
              </w:rPr>
            </w:pPr>
            <w:r>
              <w:rPr>
                <w:rFonts w:ascii="Arial" w:cs="Arial" w:eastAsia="Arial" w:hAnsi="Arial"/>
                <w:sz w:val="9"/>
                <w:szCs w:val="9"/>
                <w:color w:val="auto"/>
              </w:rPr>
              <w:t>Aerospace &amp; Defense Manufacturing</w:t>
            </w: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Common Equity (1,000,000 units)</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11/12/2015</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1,000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3,486</w:t>
            </w:r>
          </w:p>
        </w:tc>
        <w:tc>
          <w:tcPr>
            <w:tcW w:w="720" w:type="dxa"/>
            <w:vAlign w:val="bottom"/>
          </w:tcPr>
          <w:p>
            <w:pPr>
              <w:jc w:val="right"/>
              <w:spacing w:after="0"/>
              <w:rPr>
                <w:sz w:val="20"/>
                <w:szCs w:val="20"/>
                <w:color w:val="auto"/>
              </w:rPr>
            </w:pPr>
            <w:r>
              <w:rPr>
                <w:rFonts w:ascii="Arial" w:cs="Arial" w:eastAsia="Arial" w:hAnsi="Arial"/>
                <w:sz w:val="9"/>
                <w:szCs w:val="9"/>
                <w:color w:val="auto"/>
              </w:rPr>
              <w:t>1 %</w:t>
            </w:r>
          </w:p>
        </w:tc>
      </w:tr>
      <w:tr>
        <w:trPr>
          <w:trHeight w:val="108"/>
        </w:trPr>
        <w:tc>
          <w:tcPr>
            <w:tcW w:w="920" w:type="dxa"/>
            <w:vAlign w:val="bottom"/>
            <w:tcBorders>
              <w:left w:val="single" w:sz="8" w:color="CFF0FC"/>
              <w:bottom w:val="single" w:sz="8" w:color="CFF0FC"/>
            </w:tcBorders>
            <w:shd w:val="clear" w:color="auto" w:fill="CFF0FC"/>
          </w:tcPr>
          <w:p>
            <w:pPr>
              <w:spacing w:after="0"/>
              <w:rPr>
                <w:sz w:val="9"/>
                <w:szCs w:val="9"/>
                <w:color w:val="auto"/>
              </w:rPr>
            </w:pPr>
          </w:p>
        </w:tc>
        <w:tc>
          <w:tcPr>
            <w:tcW w:w="560" w:type="dxa"/>
            <w:vAlign w:val="bottom"/>
            <w:tcBorders>
              <w:bottom w:val="single" w:sz="8" w:color="CFF0FC"/>
            </w:tcBorders>
            <w:shd w:val="clear" w:color="auto" w:fill="CFF0FC"/>
          </w:tcPr>
          <w:p>
            <w:pPr>
              <w:spacing w:after="0"/>
              <w:rPr>
                <w:sz w:val="9"/>
                <w:szCs w:val="9"/>
                <w:color w:val="auto"/>
              </w:rPr>
            </w:pPr>
          </w:p>
        </w:tc>
        <w:tc>
          <w:tcPr>
            <w:tcW w:w="1000" w:type="dxa"/>
            <w:vAlign w:val="bottom"/>
            <w:tcBorders>
              <w:bottom w:val="single" w:sz="8" w:color="CFF0FC"/>
            </w:tcBorders>
            <w:shd w:val="clear" w:color="auto" w:fill="CFF0FC"/>
          </w:tcPr>
          <w:p>
            <w:pPr>
              <w:spacing w:after="0"/>
              <w:rPr>
                <w:sz w:val="9"/>
                <w:szCs w:val="9"/>
                <w:color w:val="auto"/>
              </w:rPr>
            </w:pPr>
          </w:p>
        </w:tc>
        <w:tc>
          <w:tcPr>
            <w:tcW w:w="1720" w:type="dxa"/>
            <w:vAlign w:val="bottom"/>
            <w:tcBorders>
              <w:bottom w:val="single" w:sz="8" w:color="CFF0FC"/>
            </w:tcBorders>
            <w:shd w:val="clear" w:color="auto" w:fill="CFF0FC"/>
          </w:tcPr>
          <w:p>
            <w:pPr>
              <w:spacing w:after="0"/>
              <w:rPr>
                <w:sz w:val="9"/>
                <w:szCs w:val="9"/>
                <w:color w:val="auto"/>
              </w:rPr>
            </w:pPr>
          </w:p>
        </w:tc>
        <w:tc>
          <w:tcPr>
            <w:tcW w:w="1280" w:type="dxa"/>
            <w:vAlign w:val="bottom"/>
            <w:tcBorders>
              <w:bottom w:val="single" w:sz="8" w:color="CFF0FC"/>
            </w:tcBorders>
            <w:shd w:val="clear" w:color="auto" w:fill="CFF0FC"/>
          </w:tcPr>
          <w:p>
            <w:pPr>
              <w:spacing w:after="0"/>
              <w:rPr>
                <w:sz w:val="9"/>
                <w:szCs w:val="9"/>
                <w:color w:val="auto"/>
              </w:rPr>
            </w:pPr>
          </w:p>
        </w:tc>
        <w:tc>
          <w:tcPr>
            <w:tcW w:w="900" w:type="dxa"/>
            <w:vAlign w:val="bottom"/>
            <w:tcBorders>
              <w:bottom w:val="single" w:sz="8" w:color="CFF0FC"/>
            </w:tcBorders>
            <w:shd w:val="clear" w:color="auto" w:fill="CFF0FC"/>
          </w:tcPr>
          <w:p>
            <w:pPr>
              <w:spacing w:after="0"/>
              <w:rPr>
                <w:sz w:val="9"/>
                <w:szCs w:val="9"/>
                <w:color w:val="auto"/>
              </w:rPr>
            </w:pPr>
          </w:p>
        </w:tc>
        <w:tc>
          <w:tcPr>
            <w:tcW w:w="780" w:type="dxa"/>
            <w:vAlign w:val="bottom"/>
            <w:tcBorders>
              <w:bottom w:val="single" w:sz="8" w:color="CFF0FC"/>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spacing w:after="0"/>
              <w:rPr>
                <w:sz w:val="9"/>
                <w:szCs w:val="9"/>
                <w:color w:val="auto"/>
              </w:rPr>
            </w:pPr>
          </w:p>
        </w:tc>
      </w:tr>
      <w:tr>
        <w:trPr>
          <w:trHeight w:val="101"/>
        </w:trPr>
        <w:tc>
          <w:tcPr>
            <w:tcW w:w="2480" w:type="dxa"/>
            <w:vAlign w:val="bottom"/>
            <w:gridSpan w:val="3"/>
          </w:tcPr>
          <w:p>
            <w:pPr>
              <w:ind w:left="20"/>
              <w:spacing w:after="0" w:line="102" w:lineRule="exact"/>
              <w:rPr>
                <w:sz w:val="20"/>
                <w:szCs w:val="20"/>
                <w:color w:val="auto"/>
              </w:rPr>
            </w:pPr>
            <w:r>
              <w:rPr>
                <w:rFonts w:ascii="Arial" w:cs="Arial" w:eastAsia="Arial" w:hAnsi="Arial"/>
                <w:sz w:val="9"/>
                <w:szCs w:val="9"/>
                <w:b w:val="1"/>
                <w:bCs w:val="1"/>
                <w:color w:val="auto"/>
              </w:rPr>
              <w:t>Total Affiliate Investments</w:t>
            </w:r>
          </w:p>
        </w:tc>
        <w:tc>
          <w:tcPr>
            <w:tcW w:w="1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jc w:val="right"/>
              <w:ind w:right="35"/>
              <w:spacing w:after="0" w:line="102" w:lineRule="exact"/>
              <w:rPr>
                <w:sz w:val="20"/>
                <w:szCs w:val="20"/>
                <w:color w:val="auto"/>
              </w:rPr>
            </w:pPr>
            <w:r>
              <w:rPr>
                <w:rFonts w:ascii="Arial" w:cs="Arial" w:eastAsia="Arial" w:hAnsi="Arial"/>
                <w:sz w:val="9"/>
                <w:szCs w:val="9"/>
                <w:color w:val="auto"/>
                <w:w w:val="78"/>
              </w:rPr>
              <w:t>$</w:t>
            </w:r>
          </w:p>
        </w:tc>
        <w:tc>
          <w:tcPr>
            <w:tcW w:w="600" w:type="dxa"/>
            <w:vAlign w:val="bottom"/>
          </w:tcPr>
          <w:p>
            <w:pPr>
              <w:jc w:val="right"/>
              <w:ind w:right="75"/>
              <w:spacing w:after="0" w:line="102" w:lineRule="exact"/>
              <w:rPr>
                <w:sz w:val="20"/>
                <w:szCs w:val="20"/>
                <w:color w:val="auto"/>
              </w:rPr>
            </w:pPr>
            <w:r>
              <w:rPr>
                <w:rFonts w:ascii="Arial" w:cs="Arial" w:eastAsia="Arial" w:hAnsi="Arial"/>
                <w:sz w:val="9"/>
                <w:szCs w:val="9"/>
                <w:color w:val="auto"/>
              </w:rPr>
              <w:t>45,537</w:t>
            </w:r>
          </w:p>
        </w:tc>
        <w:tc>
          <w:tcPr>
            <w:tcW w:w="200" w:type="dxa"/>
            <w:vAlign w:val="bottom"/>
            <w:gridSpan w:val="2"/>
          </w:tcPr>
          <w:p>
            <w:pPr>
              <w:jc w:val="right"/>
              <w:ind w:right="15"/>
              <w:spacing w:after="0" w:line="102" w:lineRule="exact"/>
              <w:rPr>
                <w:sz w:val="20"/>
                <w:szCs w:val="20"/>
                <w:color w:val="auto"/>
              </w:rPr>
            </w:pPr>
            <w:r>
              <w:rPr>
                <w:rFonts w:ascii="Arial" w:cs="Arial" w:eastAsia="Arial" w:hAnsi="Arial"/>
                <w:sz w:val="9"/>
                <w:szCs w:val="9"/>
                <w:color w:val="auto"/>
              </w:rPr>
              <w:t>$</w:t>
            </w:r>
          </w:p>
        </w:tc>
        <w:tc>
          <w:tcPr>
            <w:tcW w:w="640" w:type="dxa"/>
            <w:vAlign w:val="bottom"/>
          </w:tcPr>
          <w:p>
            <w:pPr>
              <w:jc w:val="right"/>
              <w:ind w:right="95"/>
              <w:spacing w:after="0" w:line="102" w:lineRule="exact"/>
              <w:rPr>
                <w:sz w:val="20"/>
                <w:szCs w:val="20"/>
                <w:color w:val="auto"/>
              </w:rPr>
            </w:pPr>
            <w:r>
              <w:rPr>
                <w:rFonts w:ascii="Arial" w:cs="Arial" w:eastAsia="Arial" w:hAnsi="Arial"/>
                <w:sz w:val="9"/>
                <w:szCs w:val="9"/>
                <w:color w:val="auto"/>
              </w:rPr>
              <w:t>106,374</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22 %</w:t>
            </w:r>
          </w:p>
        </w:tc>
      </w:tr>
      <w:tr>
        <w:trPr>
          <w:trHeight w:val="20"/>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89"/>
        </w:trPr>
        <w:tc>
          <w:tcPr>
            <w:tcW w:w="920" w:type="dxa"/>
            <w:vAlign w:val="bottom"/>
            <w:tcBorders>
              <w:left w:val="single" w:sz="8" w:color="CFF0FC"/>
            </w:tcBorders>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1720" w:type="dxa"/>
            <w:vAlign w:val="bottom"/>
            <w:shd w:val="clear" w:color="auto" w:fill="CFF0FC"/>
          </w:tcPr>
          <w:p>
            <w:pPr>
              <w:spacing w:after="0"/>
              <w:rPr>
                <w:sz w:val="7"/>
                <w:szCs w:val="7"/>
                <w:color w:val="auto"/>
              </w:rPr>
            </w:pPr>
          </w:p>
        </w:tc>
        <w:tc>
          <w:tcPr>
            <w:tcW w:w="128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r>
      <w:tr>
        <w:trPr>
          <w:trHeight w:val="94"/>
        </w:trPr>
        <w:tc>
          <w:tcPr>
            <w:tcW w:w="1480" w:type="dxa"/>
            <w:vAlign w:val="bottom"/>
            <w:tcBorders>
              <w:bottom w:val="single" w:sz="8" w:color="auto"/>
            </w:tcBorders>
            <w:gridSpan w:val="2"/>
          </w:tcPr>
          <w:p>
            <w:pPr>
              <w:ind w:left="20"/>
              <w:spacing w:after="0" w:line="95" w:lineRule="exact"/>
              <w:rPr>
                <w:sz w:val="20"/>
                <w:szCs w:val="20"/>
                <w:color w:val="auto"/>
              </w:rPr>
            </w:pPr>
            <w:r>
              <w:rPr>
                <w:rFonts w:ascii="Arial" w:cs="Arial" w:eastAsia="Arial" w:hAnsi="Arial"/>
                <w:sz w:val="9"/>
                <w:szCs w:val="9"/>
                <w:b w:val="1"/>
                <w:bCs w:val="1"/>
                <w:color w:val="auto"/>
                <w:w w:val="89"/>
              </w:rPr>
              <w:t>Non-control/Non-affiliate Investments</w:t>
            </w:r>
          </w:p>
        </w:tc>
        <w:tc>
          <w:tcPr>
            <w:tcW w:w="1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02"/>
        </w:trPr>
        <w:tc>
          <w:tcPr>
            <w:tcW w:w="2480" w:type="dxa"/>
            <w:vAlign w:val="bottom"/>
            <w:tcBorders>
              <w:left w:val="single" w:sz="8" w:color="CFF0FC"/>
            </w:tcBorders>
            <w:gridSpan w:val="3"/>
            <w:shd w:val="clear" w:color="auto" w:fill="CFF0FC"/>
          </w:tcPr>
          <w:p>
            <w:pPr>
              <w:ind w:left="20"/>
              <w:spacing w:after="0" w:line="102" w:lineRule="exact"/>
              <w:rPr>
                <w:sz w:val="20"/>
                <w:szCs w:val="20"/>
                <w:color w:val="auto"/>
              </w:rPr>
            </w:pPr>
            <w:r>
              <w:rPr>
                <w:rFonts w:ascii="Arial" w:cs="Arial" w:eastAsia="Arial" w:hAnsi="Arial"/>
                <w:sz w:val="9"/>
                <w:szCs w:val="9"/>
                <w:i w:val="1"/>
                <w:iCs w:val="1"/>
                <w:color w:val="auto"/>
              </w:rPr>
              <w:t>2KDirect, Inc. (dba iPromote)</w:t>
            </w:r>
          </w:p>
        </w:tc>
        <w:tc>
          <w:tcPr>
            <w:tcW w:w="1720" w:type="dxa"/>
            <w:vAlign w:val="bottom"/>
            <w:shd w:val="clear" w:color="auto" w:fill="CFF0FC"/>
          </w:tcPr>
          <w:p>
            <w:pPr>
              <w:ind w:left="60"/>
              <w:spacing w:after="0" w:line="102" w:lineRule="exact"/>
              <w:rPr>
                <w:sz w:val="20"/>
                <w:szCs w:val="20"/>
                <w:color w:val="auto"/>
              </w:rPr>
            </w:pPr>
            <w:r>
              <w:rPr>
                <w:rFonts w:ascii="Arial" w:cs="Arial" w:eastAsia="Arial" w:hAnsi="Arial"/>
                <w:sz w:val="9"/>
                <w:szCs w:val="9"/>
                <w:color w:val="auto"/>
              </w:rPr>
              <w:t>Information Technology Services</w:t>
            </w:r>
          </w:p>
        </w:tc>
        <w:tc>
          <w:tcPr>
            <w:tcW w:w="128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First Lien Debt (k)(at)</w:t>
            </w:r>
          </w:p>
        </w:tc>
        <w:tc>
          <w:tcPr>
            <w:tcW w:w="1720" w:type="dxa"/>
            <w:vAlign w:val="bottom"/>
          </w:tcPr>
          <w:p>
            <w:pPr>
              <w:spacing w:after="0"/>
              <w:rPr>
                <w:sz w:val="9"/>
                <w:szCs w:val="9"/>
                <w:color w:val="auto"/>
              </w:rPr>
            </w:pPr>
          </w:p>
        </w:tc>
        <w:tc>
          <w:tcPr>
            <w:tcW w:w="1280" w:type="dxa"/>
            <w:vAlign w:val="bottom"/>
          </w:tcPr>
          <w:p>
            <w:pPr>
              <w:ind w:left="300"/>
              <w:spacing w:after="0"/>
              <w:rPr>
                <w:sz w:val="20"/>
                <w:szCs w:val="20"/>
                <w:color w:val="auto"/>
              </w:rPr>
            </w:pPr>
            <w:r>
              <w:rPr>
                <w:rFonts w:ascii="Arial" w:cs="Arial" w:eastAsia="Arial" w:hAnsi="Arial"/>
                <w:sz w:val="9"/>
                <w:szCs w:val="9"/>
                <w:color w:val="auto"/>
              </w:rPr>
              <w:t>(L + 6.75%) / (0.50%)</w:t>
            </w:r>
          </w:p>
        </w:tc>
        <w:tc>
          <w:tcPr>
            <w:tcW w:w="900" w:type="dxa"/>
            <w:vAlign w:val="bottom"/>
          </w:tcPr>
          <w:p>
            <w:pPr>
              <w:ind w:left="180"/>
              <w:spacing w:after="0"/>
              <w:rPr>
                <w:sz w:val="20"/>
                <w:szCs w:val="20"/>
                <w:color w:val="auto"/>
              </w:rPr>
            </w:pPr>
            <w:r>
              <w:rPr>
                <w:rFonts w:ascii="Arial" w:cs="Arial" w:eastAsia="Arial" w:hAnsi="Arial"/>
                <w:sz w:val="9"/>
                <w:szCs w:val="9"/>
                <w:color w:val="auto"/>
              </w:rPr>
              <w:t>8.93%/0.00%</w:t>
            </w:r>
          </w:p>
        </w:tc>
        <w:tc>
          <w:tcPr>
            <w:tcW w:w="780" w:type="dxa"/>
            <w:vAlign w:val="bottom"/>
          </w:tcPr>
          <w:p>
            <w:pPr>
              <w:ind w:left="180"/>
              <w:spacing w:after="0"/>
              <w:rPr>
                <w:sz w:val="20"/>
                <w:szCs w:val="20"/>
                <w:color w:val="auto"/>
              </w:rPr>
            </w:pPr>
            <w:r>
              <w:rPr>
                <w:rFonts w:ascii="Arial" w:cs="Arial" w:eastAsia="Arial" w:hAnsi="Arial"/>
                <w:sz w:val="9"/>
                <w:szCs w:val="9"/>
                <w:color w:val="auto"/>
              </w:rPr>
              <w:t>6/25/2021</w:t>
            </w:r>
          </w:p>
        </w:tc>
        <w:tc>
          <w:tcPr>
            <w:tcW w:w="720" w:type="dxa"/>
            <w:vAlign w:val="bottom"/>
          </w:tcPr>
          <w:p>
            <w:pPr>
              <w:ind w:left="160"/>
              <w:spacing w:after="0"/>
              <w:rPr>
                <w:sz w:val="20"/>
                <w:szCs w:val="20"/>
                <w:color w:val="auto"/>
              </w:rPr>
            </w:pPr>
            <w:r>
              <w:rPr>
                <w:rFonts w:ascii="Arial" w:cs="Arial" w:eastAsia="Arial" w:hAnsi="Arial"/>
                <w:sz w:val="9"/>
                <w:szCs w:val="9"/>
                <w:color w:val="auto"/>
              </w:rPr>
              <w:t>6/25/2026</w:t>
            </w: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800" w:type="dxa"/>
            <w:vAlign w:val="bottom"/>
          </w:tcPr>
          <w:p>
            <w:pPr>
              <w:jc w:val="right"/>
              <w:ind w:right="195"/>
              <w:spacing w:after="0"/>
              <w:rPr>
                <w:sz w:val="20"/>
                <w:szCs w:val="20"/>
                <w:color w:val="auto"/>
              </w:rPr>
            </w:pPr>
            <w:r>
              <w:rPr>
                <w:rFonts w:ascii="Arial" w:cs="Arial" w:eastAsia="Arial" w:hAnsi="Arial"/>
                <w:sz w:val="9"/>
                <w:szCs w:val="9"/>
                <w:color w:val="auto"/>
              </w:rPr>
              <w:t>12,254</w:t>
            </w:r>
          </w:p>
        </w:tc>
        <w:tc>
          <w:tcPr>
            <w:tcW w:w="140" w:type="dxa"/>
            <w:vAlign w:val="bottom"/>
          </w:tcPr>
          <w:p>
            <w:pPr>
              <w:jc w:val="right"/>
              <w:ind w:right="35"/>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12,185</w:t>
            </w:r>
          </w:p>
        </w:tc>
        <w:tc>
          <w:tcPr>
            <w:tcW w:w="200" w:type="dxa"/>
            <w:vAlign w:val="bottom"/>
            <w:gridSpan w:val="2"/>
          </w:tcPr>
          <w:p>
            <w:pPr>
              <w:jc w:val="right"/>
              <w:ind w:right="15"/>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12,254</w:t>
            </w: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(j)(aa)</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ind w:left="300"/>
              <w:spacing w:after="0"/>
              <w:rPr>
                <w:sz w:val="20"/>
                <w:szCs w:val="20"/>
                <w:color w:val="auto"/>
              </w:rPr>
            </w:pPr>
            <w:r>
              <w:rPr>
                <w:rFonts w:ascii="Arial" w:cs="Arial" w:eastAsia="Arial" w:hAnsi="Arial"/>
                <w:sz w:val="9"/>
                <w:szCs w:val="9"/>
                <w:color w:val="auto"/>
              </w:rPr>
              <w:t>(L + 6.75%) / (0.50%)</w:t>
            </w:r>
          </w:p>
        </w:tc>
        <w:tc>
          <w:tcPr>
            <w:tcW w:w="900" w:type="dxa"/>
            <w:vAlign w:val="bottom"/>
            <w:shd w:val="clear" w:color="auto" w:fill="CFF0FC"/>
          </w:tcPr>
          <w:p>
            <w:pPr>
              <w:ind w:left="180"/>
              <w:spacing w:after="0"/>
              <w:rPr>
                <w:sz w:val="20"/>
                <w:szCs w:val="20"/>
                <w:color w:val="auto"/>
              </w:rPr>
            </w:pPr>
            <w:r>
              <w:rPr>
                <w:rFonts w:ascii="Arial" w:cs="Arial" w:eastAsia="Arial" w:hAnsi="Arial"/>
                <w:sz w:val="9"/>
                <w:szCs w:val="9"/>
                <w:color w:val="auto"/>
              </w:rPr>
              <w:t>5.68%/0.00%</w:t>
            </w: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7/30/2021</w:t>
            </w:r>
          </w:p>
        </w:tc>
        <w:tc>
          <w:tcPr>
            <w:tcW w:w="720" w:type="dxa"/>
            <w:vAlign w:val="bottom"/>
            <w:shd w:val="clear" w:color="auto" w:fill="CFF0FC"/>
          </w:tcPr>
          <w:p>
            <w:pPr>
              <w:ind w:left="160"/>
              <w:spacing w:after="0"/>
              <w:rPr>
                <w:sz w:val="20"/>
                <w:szCs w:val="20"/>
                <w:color w:val="auto"/>
              </w:rPr>
            </w:pPr>
            <w:r>
              <w:rPr>
                <w:rFonts w:ascii="Arial" w:cs="Arial" w:eastAsia="Arial" w:hAnsi="Arial"/>
                <w:sz w:val="9"/>
                <w:szCs w:val="9"/>
                <w:color w:val="auto"/>
              </w:rPr>
              <w:t>6/25/2026</w:t>
            </w: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3,770</w:t>
            </w: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3,770</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3,771</w:t>
            </w: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Common Equity (1,000,000 units)</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6/25/2021</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1,000</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596</w:t>
            </w:r>
          </w:p>
        </w:tc>
        <w:tc>
          <w:tcPr>
            <w:tcW w:w="720" w:type="dxa"/>
            <w:vAlign w:val="bottom"/>
          </w:tcPr>
          <w:p>
            <w:pPr>
              <w:spacing w:after="0"/>
              <w:rPr>
                <w:sz w:val="9"/>
                <w:szCs w:val="9"/>
                <w:color w:val="auto"/>
              </w:rPr>
            </w:pPr>
          </w:p>
        </w:tc>
      </w:tr>
      <w:tr>
        <w:trPr>
          <w:trHeight w:val="101"/>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720" w:type="dxa"/>
            <w:vAlign w:val="bottom"/>
            <w:shd w:val="clear" w:color="auto" w:fill="CFF0FC"/>
          </w:tcPr>
          <w:p>
            <w:pPr>
              <w:spacing w:after="0"/>
              <w:rPr>
                <w:sz w:val="8"/>
                <w:szCs w:val="8"/>
                <w:color w:val="auto"/>
              </w:rPr>
            </w:pPr>
          </w:p>
        </w:tc>
        <w:tc>
          <w:tcPr>
            <w:tcW w:w="128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16,955</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16,621</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3 %</w:t>
            </w:r>
          </w:p>
        </w:tc>
      </w:tr>
      <w:tr>
        <w:trPr>
          <w:trHeight w:val="108"/>
        </w:trPr>
        <w:tc>
          <w:tcPr>
            <w:tcW w:w="2480" w:type="dxa"/>
            <w:vAlign w:val="bottom"/>
            <w:gridSpan w:val="3"/>
          </w:tcPr>
          <w:p>
            <w:pPr>
              <w:ind w:left="20"/>
              <w:spacing w:after="0"/>
              <w:rPr>
                <w:sz w:val="20"/>
                <w:szCs w:val="20"/>
                <w:color w:val="auto"/>
              </w:rPr>
            </w:pPr>
            <w:r>
              <w:rPr>
                <w:rFonts w:ascii="Arial" w:cs="Arial" w:eastAsia="Arial" w:hAnsi="Arial"/>
                <w:sz w:val="9"/>
                <w:szCs w:val="9"/>
                <w:i w:val="1"/>
                <w:iCs w:val="1"/>
                <w:color w:val="auto"/>
              </w:rPr>
              <w:t>Acendre Midco, Inc.</w:t>
            </w:r>
          </w:p>
        </w:tc>
        <w:tc>
          <w:tcPr>
            <w:tcW w:w="1720" w:type="dxa"/>
            <w:vAlign w:val="bottom"/>
          </w:tcPr>
          <w:p>
            <w:pPr>
              <w:ind w:left="60"/>
              <w:spacing w:after="0"/>
              <w:rPr>
                <w:sz w:val="20"/>
                <w:szCs w:val="20"/>
                <w:color w:val="auto"/>
              </w:rPr>
            </w:pPr>
            <w:r>
              <w:rPr>
                <w:rFonts w:ascii="Arial" w:cs="Arial" w:eastAsia="Arial" w:hAnsi="Arial"/>
                <w:sz w:val="9"/>
                <w:szCs w:val="9"/>
                <w:color w:val="auto"/>
              </w:rPr>
              <w:t>Information Technology Services</w:t>
            </w: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(j)</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ind w:left="300"/>
              <w:spacing w:after="0"/>
              <w:rPr>
                <w:sz w:val="20"/>
                <w:szCs w:val="20"/>
                <w:color w:val="auto"/>
              </w:rPr>
            </w:pPr>
            <w:r>
              <w:rPr>
                <w:rFonts w:ascii="Arial" w:cs="Arial" w:eastAsia="Arial" w:hAnsi="Arial"/>
                <w:sz w:val="9"/>
                <w:szCs w:val="9"/>
                <w:color w:val="auto"/>
              </w:rPr>
              <w:t>(L + 7.75%) / (0.50%)</w:t>
            </w:r>
          </w:p>
        </w:tc>
        <w:tc>
          <w:tcPr>
            <w:tcW w:w="900" w:type="dxa"/>
            <w:vAlign w:val="bottom"/>
            <w:shd w:val="clear" w:color="auto" w:fill="CFF0FC"/>
          </w:tcPr>
          <w:p>
            <w:pPr>
              <w:ind w:left="180"/>
              <w:spacing w:after="0"/>
              <w:rPr>
                <w:sz w:val="20"/>
                <w:szCs w:val="20"/>
                <w:color w:val="auto"/>
              </w:rPr>
            </w:pPr>
            <w:r>
              <w:rPr>
                <w:rFonts w:ascii="Arial" w:cs="Arial" w:eastAsia="Arial" w:hAnsi="Arial"/>
                <w:sz w:val="9"/>
                <w:szCs w:val="9"/>
                <w:color w:val="auto"/>
              </w:rPr>
              <w:t>8.72%/0.00%</w:t>
            </w: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10/6/2021</w:t>
            </w:r>
          </w:p>
        </w:tc>
        <w:tc>
          <w:tcPr>
            <w:tcW w:w="720" w:type="dxa"/>
            <w:vAlign w:val="bottom"/>
            <w:shd w:val="clear" w:color="auto" w:fill="CFF0FC"/>
          </w:tcPr>
          <w:p>
            <w:pPr>
              <w:ind w:left="160"/>
              <w:spacing w:after="0"/>
              <w:rPr>
                <w:sz w:val="20"/>
                <w:szCs w:val="20"/>
                <w:color w:val="auto"/>
              </w:rPr>
            </w:pPr>
            <w:r>
              <w:rPr>
                <w:rFonts w:ascii="Arial" w:cs="Arial" w:eastAsia="Arial" w:hAnsi="Arial"/>
                <w:sz w:val="9"/>
                <w:szCs w:val="9"/>
                <w:color w:val="auto"/>
              </w:rPr>
              <w:t>10/6/2026</w:t>
            </w: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5,500</w:t>
            </w: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5,486</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5,500</w:t>
            </w: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First Lien Debt (j)</w:t>
            </w:r>
          </w:p>
        </w:tc>
        <w:tc>
          <w:tcPr>
            <w:tcW w:w="1720" w:type="dxa"/>
            <w:vAlign w:val="bottom"/>
          </w:tcPr>
          <w:p>
            <w:pPr>
              <w:spacing w:after="0"/>
              <w:rPr>
                <w:sz w:val="9"/>
                <w:szCs w:val="9"/>
                <w:color w:val="auto"/>
              </w:rPr>
            </w:pPr>
          </w:p>
        </w:tc>
        <w:tc>
          <w:tcPr>
            <w:tcW w:w="1280" w:type="dxa"/>
            <w:vAlign w:val="bottom"/>
          </w:tcPr>
          <w:p>
            <w:pPr>
              <w:ind w:left="300"/>
              <w:spacing w:after="0"/>
              <w:rPr>
                <w:sz w:val="20"/>
                <w:szCs w:val="20"/>
                <w:color w:val="auto"/>
              </w:rPr>
            </w:pPr>
            <w:r>
              <w:rPr>
                <w:rFonts w:ascii="Arial" w:cs="Arial" w:eastAsia="Arial" w:hAnsi="Arial"/>
                <w:sz w:val="9"/>
                <w:szCs w:val="9"/>
                <w:color w:val="auto"/>
              </w:rPr>
              <w:t>(L + 7.75%) / (0.50%)</w:t>
            </w:r>
          </w:p>
        </w:tc>
        <w:tc>
          <w:tcPr>
            <w:tcW w:w="900" w:type="dxa"/>
            <w:vAlign w:val="bottom"/>
          </w:tcPr>
          <w:p>
            <w:pPr>
              <w:ind w:left="180"/>
              <w:spacing w:after="0"/>
              <w:rPr>
                <w:sz w:val="20"/>
                <w:szCs w:val="20"/>
                <w:color w:val="auto"/>
              </w:rPr>
            </w:pPr>
            <w:r>
              <w:rPr>
                <w:rFonts w:ascii="Arial" w:cs="Arial" w:eastAsia="Arial" w:hAnsi="Arial"/>
                <w:sz w:val="9"/>
                <w:szCs w:val="9"/>
                <w:color w:val="auto"/>
              </w:rPr>
              <w:t>8.72%/0.00%</w:t>
            </w:r>
          </w:p>
        </w:tc>
        <w:tc>
          <w:tcPr>
            <w:tcW w:w="780" w:type="dxa"/>
            <w:vAlign w:val="bottom"/>
          </w:tcPr>
          <w:p>
            <w:pPr>
              <w:ind w:left="180"/>
              <w:spacing w:after="0"/>
              <w:rPr>
                <w:sz w:val="20"/>
                <w:szCs w:val="20"/>
                <w:color w:val="auto"/>
              </w:rPr>
            </w:pPr>
            <w:r>
              <w:rPr>
                <w:rFonts w:ascii="Arial" w:cs="Arial" w:eastAsia="Arial" w:hAnsi="Arial"/>
                <w:sz w:val="9"/>
                <w:szCs w:val="9"/>
                <w:color w:val="auto"/>
              </w:rPr>
              <w:t>10/6/2021</w:t>
            </w:r>
          </w:p>
        </w:tc>
        <w:tc>
          <w:tcPr>
            <w:tcW w:w="720" w:type="dxa"/>
            <w:vAlign w:val="bottom"/>
          </w:tcPr>
          <w:p>
            <w:pPr>
              <w:ind w:left="160"/>
              <w:spacing w:after="0"/>
              <w:rPr>
                <w:sz w:val="20"/>
                <w:szCs w:val="20"/>
                <w:color w:val="auto"/>
              </w:rPr>
            </w:pPr>
            <w:r>
              <w:rPr>
                <w:rFonts w:ascii="Arial" w:cs="Arial" w:eastAsia="Arial" w:hAnsi="Arial"/>
                <w:sz w:val="9"/>
                <w:szCs w:val="9"/>
                <w:color w:val="auto"/>
              </w:rPr>
              <w:t>10/6/2026</w:t>
            </w:r>
          </w:p>
        </w:tc>
        <w:tc>
          <w:tcPr>
            <w:tcW w:w="260" w:type="dxa"/>
            <w:vAlign w:val="bottom"/>
          </w:tcPr>
          <w:p>
            <w:pPr>
              <w:spacing w:after="0"/>
              <w:rPr>
                <w:sz w:val="9"/>
                <w:szCs w:val="9"/>
                <w:color w:val="auto"/>
              </w:rPr>
            </w:pPr>
          </w:p>
        </w:tc>
        <w:tc>
          <w:tcPr>
            <w:tcW w:w="800" w:type="dxa"/>
            <w:vAlign w:val="bottom"/>
          </w:tcPr>
          <w:p>
            <w:pPr>
              <w:jc w:val="right"/>
              <w:ind w:right="195"/>
              <w:spacing w:after="0"/>
              <w:rPr>
                <w:sz w:val="20"/>
                <w:szCs w:val="20"/>
                <w:color w:val="auto"/>
              </w:rPr>
            </w:pPr>
            <w:r>
              <w:rPr>
                <w:rFonts w:ascii="Arial" w:cs="Arial" w:eastAsia="Arial" w:hAnsi="Arial"/>
                <w:sz w:val="9"/>
                <w:szCs w:val="9"/>
                <w:color w:val="auto"/>
              </w:rPr>
              <w:t>12,500</w:t>
            </w: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12,443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12,500</w:t>
            </w: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Revolving Loan ($1,000 unfunded commitment) (j)(i)</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ind w:left="300"/>
              <w:spacing w:after="0"/>
              <w:rPr>
                <w:sz w:val="20"/>
                <w:szCs w:val="20"/>
                <w:color w:val="auto"/>
              </w:rPr>
            </w:pPr>
            <w:r>
              <w:rPr>
                <w:rFonts w:ascii="Arial" w:cs="Arial" w:eastAsia="Arial" w:hAnsi="Arial"/>
                <w:sz w:val="9"/>
                <w:szCs w:val="9"/>
                <w:color w:val="auto"/>
              </w:rPr>
              <w:t>(L + 7.50%) / (0.50%)</w:t>
            </w: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10/6/2021</w:t>
            </w: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Common Equity (500,000 shares) (j)</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10/6/2021</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371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557</w:t>
            </w: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Warrant (150,000 shares) (j)(m)</w:t>
            </w:r>
          </w:p>
        </w:tc>
        <w:tc>
          <w:tcPr>
            <w:tcW w:w="1720" w:type="dxa"/>
            <w:vAlign w:val="bottom"/>
            <w:tcBorders>
              <w:bottom w:val="single" w:sz="8" w:color="CFF0FC"/>
            </w:tcBorders>
            <w:shd w:val="clear" w:color="auto" w:fill="CFF0FC"/>
          </w:tcPr>
          <w:p>
            <w:pPr>
              <w:spacing w:after="0"/>
              <w:rPr>
                <w:sz w:val="9"/>
                <w:szCs w:val="9"/>
                <w:color w:val="auto"/>
              </w:rPr>
            </w:pPr>
          </w:p>
        </w:tc>
        <w:tc>
          <w:tcPr>
            <w:tcW w:w="1280" w:type="dxa"/>
            <w:vAlign w:val="bottom"/>
            <w:tcBorders>
              <w:bottom w:val="single" w:sz="8" w:color="CFF0FC"/>
            </w:tcBorders>
            <w:shd w:val="clear" w:color="auto" w:fill="CFF0FC"/>
          </w:tcPr>
          <w:p>
            <w:pPr>
              <w:spacing w:after="0"/>
              <w:rPr>
                <w:sz w:val="9"/>
                <w:szCs w:val="9"/>
                <w:color w:val="auto"/>
              </w:rPr>
            </w:pPr>
          </w:p>
        </w:tc>
        <w:tc>
          <w:tcPr>
            <w:tcW w:w="900" w:type="dxa"/>
            <w:vAlign w:val="bottom"/>
            <w:tcBorders>
              <w:bottom w:val="single" w:sz="8" w:color="CFF0FC"/>
            </w:tcBorders>
            <w:shd w:val="clear" w:color="auto" w:fill="CFF0FC"/>
          </w:tcPr>
          <w:p>
            <w:pPr>
              <w:spacing w:after="0"/>
              <w:rPr>
                <w:sz w:val="9"/>
                <w:szCs w:val="9"/>
                <w:color w:val="auto"/>
              </w:rPr>
            </w:pPr>
          </w:p>
        </w:tc>
        <w:tc>
          <w:tcPr>
            <w:tcW w:w="7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10/6/2021</w:t>
            </w:r>
          </w:p>
        </w:tc>
        <w:tc>
          <w:tcPr>
            <w:tcW w:w="72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129</w:t>
            </w:r>
          </w:p>
        </w:tc>
        <w:tc>
          <w:tcPr>
            <w:tcW w:w="8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167</w:t>
            </w:r>
          </w:p>
        </w:tc>
        <w:tc>
          <w:tcPr>
            <w:tcW w:w="720" w:type="dxa"/>
            <w:vAlign w:val="bottom"/>
            <w:tcBorders>
              <w:bottom w:val="single" w:sz="8" w:color="CFF0FC"/>
            </w:tcBorders>
            <w:shd w:val="clear" w:color="auto" w:fill="CFF0FC"/>
          </w:tcPr>
          <w:p>
            <w:pPr>
              <w:spacing w:after="0"/>
              <w:rPr>
                <w:sz w:val="9"/>
                <w:szCs w:val="9"/>
                <w:color w:val="auto"/>
              </w:rPr>
            </w:pPr>
          </w:p>
        </w:tc>
      </w:tr>
      <w:tr>
        <w:trPr>
          <w:trHeight w:val="102"/>
        </w:trPr>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jc w:val="right"/>
              <w:ind w:right="75"/>
              <w:spacing w:after="0" w:line="102" w:lineRule="exact"/>
              <w:rPr>
                <w:sz w:val="20"/>
                <w:szCs w:val="20"/>
                <w:color w:val="auto"/>
              </w:rPr>
            </w:pPr>
            <w:r>
              <w:rPr>
                <w:rFonts w:ascii="Arial" w:cs="Arial" w:eastAsia="Arial" w:hAnsi="Arial"/>
                <w:sz w:val="9"/>
                <w:szCs w:val="9"/>
                <w:color w:val="auto"/>
              </w:rPr>
              <w:t>18,429</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ind w:right="95"/>
              <w:spacing w:after="0" w:line="102" w:lineRule="exact"/>
              <w:rPr>
                <w:sz w:val="20"/>
                <w:szCs w:val="20"/>
                <w:color w:val="auto"/>
              </w:rPr>
            </w:pPr>
            <w:r>
              <w:rPr>
                <w:rFonts w:ascii="Arial" w:cs="Arial" w:eastAsia="Arial" w:hAnsi="Arial"/>
                <w:sz w:val="9"/>
                <w:szCs w:val="9"/>
                <w:color w:val="auto"/>
              </w:rPr>
              <w:t>18,724</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4 %</w:t>
            </w:r>
          </w:p>
        </w:tc>
      </w:tr>
      <w:tr>
        <w:trPr>
          <w:trHeight w:val="108"/>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Aeronix Inc.</w:t>
            </w:r>
          </w:p>
        </w:tc>
        <w:tc>
          <w:tcPr>
            <w:tcW w:w="1720" w:type="dxa"/>
            <w:vAlign w:val="bottom"/>
            <w:shd w:val="clear" w:color="auto" w:fill="CFF0FC"/>
          </w:tcPr>
          <w:p>
            <w:pPr>
              <w:ind w:left="60"/>
              <w:spacing w:after="0"/>
              <w:rPr>
                <w:sz w:val="20"/>
                <w:szCs w:val="20"/>
                <w:color w:val="auto"/>
              </w:rPr>
            </w:pPr>
            <w:r>
              <w:rPr>
                <w:rFonts w:ascii="Arial" w:cs="Arial" w:eastAsia="Arial" w:hAnsi="Arial"/>
                <w:sz w:val="9"/>
                <w:szCs w:val="9"/>
                <w:color w:val="auto"/>
              </w:rPr>
              <w:t>Aerospace &amp; Defense Manufacturing</w:t>
            </w: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First Lien Debt (ai)</w:t>
            </w:r>
          </w:p>
        </w:tc>
        <w:tc>
          <w:tcPr>
            <w:tcW w:w="1720" w:type="dxa"/>
            <w:vAlign w:val="bottom"/>
          </w:tcPr>
          <w:p>
            <w:pPr>
              <w:spacing w:after="0"/>
              <w:rPr>
                <w:sz w:val="9"/>
                <w:szCs w:val="9"/>
                <w:color w:val="auto"/>
              </w:rPr>
            </w:pPr>
          </w:p>
        </w:tc>
        <w:tc>
          <w:tcPr>
            <w:tcW w:w="1280" w:type="dxa"/>
            <w:vAlign w:val="bottom"/>
          </w:tcPr>
          <w:p>
            <w:pPr>
              <w:ind w:left="300"/>
              <w:spacing w:after="0"/>
              <w:rPr>
                <w:sz w:val="20"/>
                <w:szCs w:val="20"/>
                <w:color w:val="auto"/>
              </w:rPr>
            </w:pPr>
            <w:r>
              <w:rPr>
                <w:rFonts w:ascii="Arial" w:cs="Arial" w:eastAsia="Arial" w:hAnsi="Arial"/>
                <w:sz w:val="9"/>
                <w:szCs w:val="9"/>
                <w:color w:val="auto"/>
              </w:rPr>
              <w:t>(L + 5.88%) / (0.50%)</w:t>
            </w:r>
          </w:p>
        </w:tc>
        <w:tc>
          <w:tcPr>
            <w:tcW w:w="900" w:type="dxa"/>
            <w:vAlign w:val="bottom"/>
          </w:tcPr>
          <w:p>
            <w:pPr>
              <w:ind w:left="180"/>
              <w:spacing w:after="0"/>
              <w:rPr>
                <w:sz w:val="20"/>
                <w:szCs w:val="20"/>
                <w:color w:val="auto"/>
              </w:rPr>
            </w:pPr>
            <w:r>
              <w:rPr>
                <w:rFonts w:ascii="Arial" w:cs="Arial" w:eastAsia="Arial" w:hAnsi="Arial"/>
                <w:sz w:val="9"/>
                <w:szCs w:val="9"/>
                <w:color w:val="auto"/>
              </w:rPr>
              <w:t>8.13%/0.00%</w:t>
            </w:r>
          </w:p>
        </w:tc>
        <w:tc>
          <w:tcPr>
            <w:tcW w:w="780" w:type="dxa"/>
            <w:vAlign w:val="bottom"/>
          </w:tcPr>
          <w:p>
            <w:pPr>
              <w:ind w:left="180"/>
              <w:spacing w:after="0"/>
              <w:rPr>
                <w:sz w:val="20"/>
                <w:szCs w:val="20"/>
                <w:color w:val="auto"/>
              </w:rPr>
            </w:pPr>
            <w:r>
              <w:rPr>
                <w:rFonts w:ascii="Arial" w:cs="Arial" w:eastAsia="Arial" w:hAnsi="Arial"/>
                <w:sz w:val="9"/>
                <w:szCs w:val="9"/>
                <w:color w:val="auto"/>
              </w:rPr>
              <w:t>6/11/2021</w:t>
            </w:r>
          </w:p>
        </w:tc>
        <w:tc>
          <w:tcPr>
            <w:tcW w:w="720" w:type="dxa"/>
            <w:vAlign w:val="bottom"/>
          </w:tcPr>
          <w:p>
            <w:pPr>
              <w:ind w:left="160"/>
              <w:spacing w:after="0"/>
              <w:rPr>
                <w:sz w:val="20"/>
                <w:szCs w:val="20"/>
                <w:color w:val="auto"/>
              </w:rPr>
            </w:pPr>
            <w:r>
              <w:rPr>
                <w:rFonts w:ascii="Arial" w:cs="Arial" w:eastAsia="Arial" w:hAnsi="Arial"/>
                <w:sz w:val="9"/>
                <w:szCs w:val="9"/>
                <w:color w:val="auto"/>
              </w:rPr>
              <w:t>6/11/2026</w:t>
            </w:r>
          </w:p>
        </w:tc>
        <w:tc>
          <w:tcPr>
            <w:tcW w:w="260" w:type="dxa"/>
            <w:vAlign w:val="bottom"/>
          </w:tcPr>
          <w:p>
            <w:pPr>
              <w:spacing w:after="0"/>
              <w:rPr>
                <w:sz w:val="9"/>
                <w:szCs w:val="9"/>
                <w:color w:val="auto"/>
              </w:rPr>
            </w:pPr>
          </w:p>
        </w:tc>
        <w:tc>
          <w:tcPr>
            <w:tcW w:w="800" w:type="dxa"/>
            <w:vAlign w:val="bottom"/>
          </w:tcPr>
          <w:p>
            <w:pPr>
              <w:jc w:val="right"/>
              <w:ind w:right="195"/>
              <w:spacing w:after="0"/>
              <w:rPr>
                <w:sz w:val="20"/>
                <w:szCs w:val="20"/>
                <w:color w:val="auto"/>
              </w:rPr>
            </w:pPr>
            <w:r>
              <w:rPr>
                <w:rFonts w:ascii="Arial" w:cs="Arial" w:eastAsia="Arial" w:hAnsi="Arial"/>
                <w:sz w:val="9"/>
                <w:szCs w:val="9"/>
                <w:color w:val="auto"/>
              </w:rPr>
              <w:t>14,250</w:t>
            </w: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14,175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14,250</w:t>
            </w: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(549 units)</w:t>
            </w:r>
          </w:p>
        </w:tc>
        <w:tc>
          <w:tcPr>
            <w:tcW w:w="1720" w:type="dxa"/>
            <w:vAlign w:val="bottom"/>
            <w:tcBorders>
              <w:bottom w:val="single" w:sz="8" w:color="CFF0FC"/>
            </w:tcBorders>
            <w:shd w:val="clear" w:color="auto" w:fill="CFF0FC"/>
          </w:tcPr>
          <w:p>
            <w:pPr>
              <w:spacing w:after="0"/>
              <w:rPr>
                <w:sz w:val="9"/>
                <w:szCs w:val="9"/>
                <w:color w:val="auto"/>
              </w:rPr>
            </w:pPr>
          </w:p>
        </w:tc>
        <w:tc>
          <w:tcPr>
            <w:tcW w:w="1280" w:type="dxa"/>
            <w:vAlign w:val="bottom"/>
            <w:tcBorders>
              <w:bottom w:val="single" w:sz="8" w:color="CFF0FC"/>
            </w:tcBorders>
            <w:shd w:val="clear" w:color="auto" w:fill="CFF0FC"/>
          </w:tcPr>
          <w:p>
            <w:pPr>
              <w:spacing w:after="0"/>
              <w:rPr>
                <w:sz w:val="9"/>
                <w:szCs w:val="9"/>
                <w:color w:val="auto"/>
              </w:rPr>
            </w:pPr>
          </w:p>
        </w:tc>
        <w:tc>
          <w:tcPr>
            <w:tcW w:w="900" w:type="dxa"/>
            <w:vAlign w:val="bottom"/>
            <w:tcBorders>
              <w:bottom w:val="single" w:sz="8" w:color="CFF0FC"/>
            </w:tcBorders>
            <w:shd w:val="clear" w:color="auto" w:fill="CFF0FC"/>
          </w:tcPr>
          <w:p>
            <w:pPr>
              <w:spacing w:after="0"/>
              <w:rPr>
                <w:sz w:val="9"/>
                <w:szCs w:val="9"/>
                <w:color w:val="auto"/>
              </w:rPr>
            </w:pPr>
          </w:p>
        </w:tc>
        <w:tc>
          <w:tcPr>
            <w:tcW w:w="7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6/11/2021</w:t>
            </w:r>
          </w:p>
        </w:tc>
        <w:tc>
          <w:tcPr>
            <w:tcW w:w="72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593</w:t>
            </w:r>
          </w:p>
        </w:tc>
        <w:tc>
          <w:tcPr>
            <w:tcW w:w="8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902</w:t>
            </w:r>
          </w:p>
        </w:tc>
        <w:tc>
          <w:tcPr>
            <w:tcW w:w="720" w:type="dxa"/>
            <w:vAlign w:val="bottom"/>
            <w:tcBorders>
              <w:bottom w:val="single" w:sz="8" w:color="CFF0FC"/>
            </w:tcBorders>
            <w:shd w:val="clear" w:color="auto" w:fill="CFF0FC"/>
          </w:tcPr>
          <w:p>
            <w:pPr>
              <w:spacing w:after="0"/>
              <w:rPr>
                <w:sz w:val="9"/>
                <w:szCs w:val="9"/>
                <w:color w:val="auto"/>
              </w:rPr>
            </w:pPr>
          </w:p>
        </w:tc>
      </w:tr>
      <w:tr>
        <w:trPr>
          <w:trHeight w:val="102"/>
        </w:trPr>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jc w:val="right"/>
              <w:ind w:right="75"/>
              <w:spacing w:after="0" w:line="102" w:lineRule="exact"/>
              <w:rPr>
                <w:sz w:val="20"/>
                <w:szCs w:val="20"/>
                <w:color w:val="auto"/>
              </w:rPr>
            </w:pPr>
            <w:r>
              <w:rPr>
                <w:rFonts w:ascii="Arial" w:cs="Arial" w:eastAsia="Arial" w:hAnsi="Arial"/>
                <w:sz w:val="9"/>
                <w:szCs w:val="9"/>
                <w:color w:val="auto"/>
              </w:rPr>
              <w:t>14,768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ind w:right="95"/>
              <w:spacing w:after="0" w:line="102" w:lineRule="exact"/>
              <w:rPr>
                <w:sz w:val="20"/>
                <w:szCs w:val="20"/>
                <w:color w:val="auto"/>
              </w:rPr>
            </w:pPr>
            <w:r>
              <w:rPr>
                <w:rFonts w:ascii="Arial" w:cs="Arial" w:eastAsia="Arial" w:hAnsi="Arial"/>
                <w:sz w:val="9"/>
                <w:szCs w:val="9"/>
                <w:color w:val="auto"/>
              </w:rPr>
              <w:t>15,152</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3 %</w:t>
            </w:r>
          </w:p>
        </w:tc>
      </w:tr>
      <w:tr>
        <w:trPr>
          <w:trHeight w:val="108"/>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Allredi, LLC (fka Marco Group International OpCo, LLC)</w:t>
            </w:r>
          </w:p>
        </w:tc>
        <w:tc>
          <w:tcPr>
            <w:tcW w:w="1720" w:type="dxa"/>
            <w:vAlign w:val="bottom"/>
            <w:shd w:val="clear" w:color="auto" w:fill="CFF0FC"/>
          </w:tcPr>
          <w:p>
            <w:pPr>
              <w:ind w:left="60"/>
              <w:spacing w:after="0"/>
              <w:rPr>
                <w:sz w:val="20"/>
                <w:szCs w:val="20"/>
                <w:color w:val="auto"/>
              </w:rPr>
            </w:pPr>
            <w:r>
              <w:rPr>
                <w:rFonts w:ascii="Arial" w:cs="Arial" w:eastAsia="Arial" w:hAnsi="Arial"/>
                <w:sz w:val="9"/>
                <w:szCs w:val="9"/>
                <w:color w:val="auto"/>
              </w:rPr>
              <w:t>Industrial Cleaning &amp; Coatings</w:t>
            </w: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Second Lien Debt</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ind w:left="180"/>
              <w:spacing w:after="0"/>
              <w:rPr>
                <w:sz w:val="20"/>
                <w:szCs w:val="20"/>
                <w:color w:val="auto"/>
              </w:rPr>
            </w:pPr>
            <w:r>
              <w:rPr>
                <w:rFonts w:ascii="Arial" w:cs="Arial" w:eastAsia="Arial" w:hAnsi="Arial"/>
                <w:sz w:val="9"/>
                <w:szCs w:val="9"/>
                <w:color w:val="auto"/>
              </w:rPr>
              <w:t>10.50%/0.75%</w:t>
            </w:r>
          </w:p>
        </w:tc>
        <w:tc>
          <w:tcPr>
            <w:tcW w:w="780" w:type="dxa"/>
            <w:vAlign w:val="bottom"/>
          </w:tcPr>
          <w:p>
            <w:pPr>
              <w:ind w:left="180"/>
              <w:spacing w:after="0"/>
              <w:rPr>
                <w:sz w:val="20"/>
                <w:szCs w:val="20"/>
                <w:color w:val="auto"/>
              </w:rPr>
            </w:pPr>
            <w:r>
              <w:rPr>
                <w:rFonts w:ascii="Arial" w:cs="Arial" w:eastAsia="Arial" w:hAnsi="Arial"/>
                <w:sz w:val="9"/>
                <w:szCs w:val="9"/>
                <w:color w:val="auto"/>
              </w:rPr>
              <w:t>3/2/2020</w:t>
            </w:r>
          </w:p>
        </w:tc>
        <w:tc>
          <w:tcPr>
            <w:tcW w:w="720" w:type="dxa"/>
            <w:vAlign w:val="bottom"/>
          </w:tcPr>
          <w:p>
            <w:pPr>
              <w:ind w:left="160"/>
              <w:spacing w:after="0"/>
              <w:rPr>
                <w:sz w:val="20"/>
                <w:szCs w:val="20"/>
                <w:color w:val="auto"/>
              </w:rPr>
            </w:pPr>
            <w:r>
              <w:rPr>
                <w:rFonts w:ascii="Arial" w:cs="Arial" w:eastAsia="Arial" w:hAnsi="Arial"/>
                <w:sz w:val="9"/>
                <w:szCs w:val="9"/>
                <w:color w:val="auto"/>
              </w:rPr>
              <w:t>9/2/2026</w:t>
            </w:r>
          </w:p>
        </w:tc>
        <w:tc>
          <w:tcPr>
            <w:tcW w:w="260" w:type="dxa"/>
            <w:vAlign w:val="bottom"/>
          </w:tcPr>
          <w:p>
            <w:pPr>
              <w:spacing w:after="0"/>
              <w:rPr>
                <w:sz w:val="9"/>
                <w:szCs w:val="9"/>
                <w:color w:val="auto"/>
              </w:rPr>
            </w:pPr>
          </w:p>
        </w:tc>
        <w:tc>
          <w:tcPr>
            <w:tcW w:w="800" w:type="dxa"/>
            <w:vAlign w:val="bottom"/>
          </w:tcPr>
          <w:p>
            <w:pPr>
              <w:jc w:val="right"/>
              <w:ind w:right="195"/>
              <w:spacing w:after="0"/>
              <w:rPr>
                <w:sz w:val="20"/>
                <w:szCs w:val="20"/>
                <w:color w:val="auto"/>
              </w:rPr>
            </w:pPr>
            <w:r>
              <w:rPr>
                <w:rFonts w:ascii="Arial" w:cs="Arial" w:eastAsia="Arial" w:hAnsi="Arial"/>
                <w:sz w:val="9"/>
                <w:szCs w:val="9"/>
                <w:color w:val="auto"/>
              </w:rPr>
              <w:t>10,345</w:t>
            </w: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10,281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8,129</w:t>
            </w: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(570,636 units) (h)(j)</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7/21/2017</w:t>
            </w: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637</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Common Equity (39,443 units) (h)(j)</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11/24/2021</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22</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42</w:t>
            </w:r>
          </w:p>
        </w:tc>
        <w:tc>
          <w:tcPr>
            <w:tcW w:w="720" w:type="dxa"/>
            <w:vAlign w:val="bottom"/>
          </w:tcPr>
          <w:p>
            <w:pPr>
              <w:spacing w:after="0"/>
              <w:rPr>
                <w:sz w:val="9"/>
                <w:szCs w:val="9"/>
                <w:color w:val="auto"/>
              </w:rPr>
            </w:pPr>
          </w:p>
        </w:tc>
      </w:tr>
      <w:tr>
        <w:trPr>
          <w:trHeight w:val="101"/>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720" w:type="dxa"/>
            <w:vAlign w:val="bottom"/>
            <w:shd w:val="clear" w:color="auto" w:fill="CFF0FC"/>
          </w:tcPr>
          <w:p>
            <w:pPr>
              <w:spacing w:after="0"/>
              <w:rPr>
                <w:sz w:val="8"/>
                <w:szCs w:val="8"/>
                <w:color w:val="auto"/>
              </w:rPr>
            </w:pPr>
          </w:p>
        </w:tc>
        <w:tc>
          <w:tcPr>
            <w:tcW w:w="128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10,940</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8,171</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r>
      <w:tr>
        <w:trPr>
          <w:trHeight w:val="108"/>
        </w:trPr>
        <w:tc>
          <w:tcPr>
            <w:tcW w:w="2480" w:type="dxa"/>
            <w:vAlign w:val="bottom"/>
            <w:gridSpan w:val="3"/>
          </w:tcPr>
          <w:p>
            <w:pPr>
              <w:ind w:left="20"/>
              <w:spacing w:after="0"/>
              <w:rPr>
                <w:sz w:val="20"/>
                <w:szCs w:val="20"/>
                <w:color w:val="auto"/>
              </w:rPr>
            </w:pPr>
            <w:r>
              <w:rPr>
                <w:rFonts w:ascii="Arial" w:cs="Arial" w:eastAsia="Arial" w:hAnsi="Arial"/>
                <w:sz w:val="9"/>
                <w:szCs w:val="9"/>
                <w:i w:val="1"/>
                <w:iCs w:val="1"/>
                <w:color w:val="auto"/>
                <w:w w:val="98"/>
              </w:rPr>
              <w:t>American AllWaste LLC (dba WasteWater Transport Services)</w:t>
            </w:r>
          </w:p>
        </w:tc>
        <w:tc>
          <w:tcPr>
            <w:tcW w:w="1720" w:type="dxa"/>
            <w:vAlign w:val="bottom"/>
          </w:tcPr>
          <w:p>
            <w:pPr>
              <w:ind w:left="60"/>
              <w:spacing w:after="0"/>
              <w:rPr>
                <w:sz w:val="20"/>
                <w:szCs w:val="20"/>
                <w:color w:val="auto"/>
              </w:rPr>
            </w:pPr>
            <w:r>
              <w:rPr>
                <w:rFonts w:ascii="Arial" w:cs="Arial" w:eastAsia="Arial" w:hAnsi="Arial"/>
                <w:sz w:val="9"/>
                <w:szCs w:val="9"/>
                <w:color w:val="auto"/>
              </w:rPr>
              <w:t>Environmental Industries</w:t>
            </w: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(j)(p)</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ind w:left="300"/>
              <w:spacing w:after="0"/>
              <w:rPr>
                <w:sz w:val="20"/>
                <w:szCs w:val="20"/>
                <w:color w:val="auto"/>
              </w:rPr>
            </w:pPr>
            <w:r>
              <w:rPr>
                <w:rFonts w:ascii="Arial" w:cs="Arial" w:eastAsia="Arial" w:hAnsi="Arial"/>
                <w:sz w:val="9"/>
                <w:szCs w:val="9"/>
                <w:color w:val="auto"/>
              </w:rPr>
              <w:t>(L + 6.15%) / (1.00%)</w:t>
            </w:r>
          </w:p>
        </w:tc>
        <w:tc>
          <w:tcPr>
            <w:tcW w:w="900" w:type="dxa"/>
            <w:vAlign w:val="bottom"/>
            <w:shd w:val="clear" w:color="auto" w:fill="CFF0FC"/>
          </w:tcPr>
          <w:p>
            <w:pPr>
              <w:ind w:left="180"/>
              <w:spacing w:after="0"/>
              <w:rPr>
                <w:sz w:val="20"/>
                <w:szCs w:val="20"/>
                <w:color w:val="auto"/>
              </w:rPr>
            </w:pPr>
            <w:r>
              <w:rPr>
                <w:rFonts w:ascii="Arial" w:cs="Arial" w:eastAsia="Arial" w:hAnsi="Arial"/>
                <w:sz w:val="9"/>
                <w:szCs w:val="9"/>
                <w:color w:val="auto"/>
              </w:rPr>
              <w:t>7.15%/0.00%</w:t>
            </w: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6/28/2021</w:t>
            </w:r>
          </w:p>
        </w:tc>
        <w:tc>
          <w:tcPr>
            <w:tcW w:w="720" w:type="dxa"/>
            <w:vAlign w:val="bottom"/>
            <w:shd w:val="clear" w:color="auto" w:fill="CFF0FC"/>
          </w:tcPr>
          <w:p>
            <w:pPr>
              <w:ind w:left="160"/>
              <w:spacing w:after="0"/>
              <w:rPr>
                <w:sz w:val="20"/>
                <w:szCs w:val="20"/>
                <w:color w:val="auto"/>
              </w:rPr>
            </w:pPr>
            <w:r>
              <w:rPr>
                <w:rFonts w:ascii="Arial" w:cs="Arial" w:eastAsia="Arial" w:hAnsi="Arial"/>
                <w:sz w:val="9"/>
                <w:szCs w:val="9"/>
                <w:color w:val="auto"/>
              </w:rPr>
              <w:t>6/28/2026</w:t>
            </w: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20,500</w:t>
            </w: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20,305</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20,500</w:t>
            </w: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First Lien Debt (j)(o)</w:t>
            </w:r>
          </w:p>
        </w:tc>
        <w:tc>
          <w:tcPr>
            <w:tcW w:w="1720" w:type="dxa"/>
            <w:vAlign w:val="bottom"/>
          </w:tcPr>
          <w:p>
            <w:pPr>
              <w:spacing w:after="0"/>
              <w:rPr>
                <w:sz w:val="9"/>
                <w:szCs w:val="9"/>
                <w:color w:val="auto"/>
              </w:rPr>
            </w:pPr>
          </w:p>
        </w:tc>
        <w:tc>
          <w:tcPr>
            <w:tcW w:w="1280" w:type="dxa"/>
            <w:vAlign w:val="bottom"/>
          </w:tcPr>
          <w:p>
            <w:pPr>
              <w:ind w:left="300"/>
              <w:spacing w:after="0"/>
              <w:rPr>
                <w:sz w:val="20"/>
                <w:szCs w:val="20"/>
                <w:color w:val="auto"/>
              </w:rPr>
            </w:pPr>
            <w:r>
              <w:rPr>
                <w:rFonts w:ascii="Arial" w:cs="Arial" w:eastAsia="Arial" w:hAnsi="Arial"/>
                <w:sz w:val="9"/>
                <w:szCs w:val="9"/>
                <w:color w:val="auto"/>
              </w:rPr>
              <w:t>(L + 3.75%) / (1.00%)</w:t>
            </w:r>
          </w:p>
        </w:tc>
        <w:tc>
          <w:tcPr>
            <w:tcW w:w="900" w:type="dxa"/>
            <w:vAlign w:val="bottom"/>
          </w:tcPr>
          <w:p>
            <w:pPr>
              <w:ind w:left="180"/>
              <w:spacing w:after="0"/>
              <w:rPr>
                <w:sz w:val="20"/>
                <w:szCs w:val="20"/>
                <w:color w:val="auto"/>
              </w:rPr>
            </w:pPr>
            <w:r>
              <w:rPr>
                <w:rFonts w:ascii="Arial" w:cs="Arial" w:eastAsia="Arial" w:hAnsi="Arial"/>
                <w:sz w:val="9"/>
                <w:szCs w:val="9"/>
                <w:color w:val="auto"/>
              </w:rPr>
              <w:t>4.75%/0.00%</w:t>
            </w:r>
          </w:p>
        </w:tc>
        <w:tc>
          <w:tcPr>
            <w:tcW w:w="780" w:type="dxa"/>
            <w:vAlign w:val="bottom"/>
          </w:tcPr>
          <w:p>
            <w:pPr>
              <w:ind w:left="180"/>
              <w:spacing w:after="0"/>
              <w:rPr>
                <w:sz w:val="20"/>
                <w:szCs w:val="20"/>
                <w:color w:val="auto"/>
              </w:rPr>
            </w:pPr>
            <w:r>
              <w:rPr>
                <w:rFonts w:ascii="Arial" w:cs="Arial" w:eastAsia="Arial" w:hAnsi="Arial"/>
                <w:sz w:val="9"/>
                <w:szCs w:val="9"/>
                <w:color w:val="auto"/>
              </w:rPr>
              <w:t>6/28/2021</w:t>
            </w:r>
          </w:p>
        </w:tc>
        <w:tc>
          <w:tcPr>
            <w:tcW w:w="720" w:type="dxa"/>
            <w:vAlign w:val="bottom"/>
          </w:tcPr>
          <w:p>
            <w:pPr>
              <w:ind w:left="160"/>
              <w:spacing w:after="0"/>
              <w:rPr>
                <w:sz w:val="20"/>
                <w:szCs w:val="20"/>
                <w:color w:val="auto"/>
              </w:rPr>
            </w:pPr>
            <w:r>
              <w:rPr>
                <w:rFonts w:ascii="Arial" w:cs="Arial" w:eastAsia="Arial" w:hAnsi="Arial"/>
                <w:sz w:val="9"/>
                <w:szCs w:val="9"/>
                <w:color w:val="auto"/>
              </w:rPr>
              <w:t>6/28/2026</w:t>
            </w:r>
          </w:p>
        </w:tc>
        <w:tc>
          <w:tcPr>
            <w:tcW w:w="260" w:type="dxa"/>
            <w:vAlign w:val="bottom"/>
          </w:tcPr>
          <w:p>
            <w:pPr>
              <w:spacing w:after="0"/>
              <w:rPr>
                <w:sz w:val="9"/>
                <w:szCs w:val="9"/>
                <w:color w:val="auto"/>
              </w:rPr>
            </w:pPr>
          </w:p>
        </w:tc>
        <w:tc>
          <w:tcPr>
            <w:tcW w:w="800" w:type="dxa"/>
            <w:vAlign w:val="bottom"/>
          </w:tcPr>
          <w:p>
            <w:pPr>
              <w:jc w:val="right"/>
              <w:ind w:right="195"/>
              <w:spacing w:after="0"/>
              <w:rPr>
                <w:sz w:val="20"/>
                <w:szCs w:val="20"/>
                <w:color w:val="auto"/>
              </w:rPr>
            </w:pPr>
            <w:r>
              <w:rPr>
                <w:rFonts w:ascii="Arial" w:cs="Arial" w:eastAsia="Arial" w:hAnsi="Arial"/>
                <w:sz w:val="9"/>
                <w:szCs w:val="9"/>
                <w:color w:val="auto"/>
              </w:rPr>
              <w:t>330</w:t>
            </w: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330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330</w:t>
            </w: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Preferred Equity (500 units) (h)(j)</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5/31/2018</w:t>
            </w: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500</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386</w:t>
            </w: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Preferred Equity (207 units) (h)(j)</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8/6/2019</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250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166</w:t>
            </w: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Preferred Equity (141 units) (h)(j)</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11/2/2020</w:t>
            </w: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171</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113</w:t>
            </w: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Preferred Equity (74 units) (h)(j)</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12/29/2021</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97</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64</w:t>
            </w:r>
          </w:p>
        </w:tc>
        <w:tc>
          <w:tcPr>
            <w:tcW w:w="720" w:type="dxa"/>
            <w:vAlign w:val="bottom"/>
          </w:tcPr>
          <w:p>
            <w:pPr>
              <w:spacing w:after="0"/>
              <w:rPr>
                <w:sz w:val="9"/>
                <w:szCs w:val="9"/>
                <w:color w:val="auto"/>
              </w:rPr>
            </w:pPr>
          </w:p>
        </w:tc>
      </w:tr>
      <w:tr>
        <w:trPr>
          <w:trHeight w:val="101"/>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720" w:type="dxa"/>
            <w:vAlign w:val="bottom"/>
            <w:shd w:val="clear" w:color="auto" w:fill="CFF0FC"/>
          </w:tcPr>
          <w:p>
            <w:pPr>
              <w:spacing w:after="0"/>
              <w:rPr>
                <w:sz w:val="8"/>
                <w:szCs w:val="8"/>
                <w:color w:val="auto"/>
              </w:rPr>
            </w:pPr>
          </w:p>
        </w:tc>
        <w:tc>
          <w:tcPr>
            <w:tcW w:w="128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21,653</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21,559</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4 %</w:t>
            </w:r>
          </w:p>
        </w:tc>
      </w:tr>
      <w:tr>
        <w:trPr>
          <w:trHeight w:val="108"/>
        </w:trPr>
        <w:tc>
          <w:tcPr>
            <w:tcW w:w="2480" w:type="dxa"/>
            <w:vAlign w:val="bottom"/>
            <w:gridSpan w:val="3"/>
          </w:tcPr>
          <w:p>
            <w:pPr>
              <w:ind w:left="20"/>
              <w:spacing w:after="0"/>
              <w:rPr>
                <w:sz w:val="20"/>
                <w:szCs w:val="20"/>
                <w:color w:val="auto"/>
              </w:rPr>
            </w:pPr>
            <w:r>
              <w:rPr>
                <w:rFonts w:ascii="Arial" w:cs="Arial" w:eastAsia="Arial" w:hAnsi="Arial"/>
                <w:sz w:val="9"/>
                <w:szCs w:val="9"/>
                <w:i w:val="1"/>
                <w:iCs w:val="1"/>
                <w:color w:val="auto"/>
              </w:rPr>
              <w:t>AOM Intermediate Holdco, LLC (dba AllOver Media)</w:t>
            </w:r>
          </w:p>
        </w:tc>
        <w:tc>
          <w:tcPr>
            <w:tcW w:w="1720" w:type="dxa"/>
            <w:vAlign w:val="bottom"/>
          </w:tcPr>
          <w:p>
            <w:pPr>
              <w:ind w:left="60"/>
              <w:spacing w:after="0"/>
              <w:rPr>
                <w:sz w:val="20"/>
                <w:szCs w:val="20"/>
                <w:color w:val="auto"/>
              </w:rPr>
            </w:pPr>
            <w:r>
              <w:rPr>
                <w:rFonts w:ascii="Arial" w:cs="Arial" w:eastAsia="Arial" w:hAnsi="Arial"/>
                <w:sz w:val="9"/>
                <w:szCs w:val="9"/>
                <w:color w:val="auto"/>
              </w:rPr>
              <w:t>Information Technology Services</w:t>
            </w: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(aq)</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ind w:left="300"/>
              <w:spacing w:after="0"/>
              <w:rPr>
                <w:sz w:val="20"/>
                <w:szCs w:val="20"/>
                <w:color w:val="auto"/>
              </w:rPr>
            </w:pPr>
            <w:r>
              <w:rPr>
                <w:rFonts w:ascii="Arial" w:cs="Arial" w:eastAsia="Arial" w:hAnsi="Arial"/>
                <w:sz w:val="9"/>
                <w:szCs w:val="9"/>
                <w:color w:val="auto"/>
              </w:rPr>
              <w:t>(S + 6.50%) / (0.75%)</w:t>
            </w:r>
          </w:p>
        </w:tc>
        <w:tc>
          <w:tcPr>
            <w:tcW w:w="900" w:type="dxa"/>
            <w:vAlign w:val="bottom"/>
            <w:shd w:val="clear" w:color="auto" w:fill="CFF0FC"/>
          </w:tcPr>
          <w:p>
            <w:pPr>
              <w:ind w:left="180"/>
              <w:spacing w:after="0"/>
              <w:rPr>
                <w:sz w:val="20"/>
                <w:szCs w:val="20"/>
                <w:color w:val="auto"/>
              </w:rPr>
            </w:pPr>
            <w:r>
              <w:rPr>
                <w:rFonts w:ascii="Arial" w:cs="Arial" w:eastAsia="Arial" w:hAnsi="Arial"/>
                <w:sz w:val="9"/>
                <w:szCs w:val="9"/>
                <w:color w:val="auto"/>
              </w:rPr>
              <w:t>7.40%/0.00%</w:t>
            </w: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2/1/2022</w:t>
            </w:r>
          </w:p>
        </w:tc>
        <w:tc>
          <w:tcPr>
            <w:tcW w:w="720" w:type="dxa"/>
            <w:vAlign w:val="bottom"/>
            <w:shd w:val="clear" w:color="auto" w:fill="CFF0FC"/>
          </w:tcPr>
          <w:p>
            <w:pPr>
              <w:ind w:left="160"/>
              <w:spacing w:after="0"/>
              <w:rPr>
                <w:sz w:val="20"/>
                <w:szCs w:val="20"/>
                <w:color w:val="auto"/>
              </w:rPr>
            </w:pPr>
            <w:r>
              <w:rPr>
                <w:rFonts w:ascii="Arial" w:cs="Arial" w:eastAsia="Arial" w:hAnsi="Arial"/>
                <w:sz w:val="9"/>
                <w:szCs w:val="9"/>
                <w:color w:val="auto"/>
              </w:rPr>
              <w:t>2/1/2027</w:t>
            </w: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10,000</w:t>
            </w: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9,931</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9,931</w:t>
            </w: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Common Equity (750 units) (h)(j)</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2/1/2022</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750</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750</w:t>
            </w:r>
          </w:p>
        </w:tc>
        <w:tc>
          <w:tcPr>
            <w:tcW w:w="720" w:type="dxa"/>
            <w:vAlign w:val="bottom"/>
          </w:tcPr>
          <w:p>
            <w:pPr>
              <w:spacing w:after="0"/>
              <w:rPr>
                <w:sz w:val="9"/>
                <w:szCs w:val="9"/>
                <w:color w:val="auto"/>
              </w:rPr>
            </w:pPr>
          </w:p>
        </w:tc>
      </w:tr>
      <w:tr>
        <w:trPr>
          <w:trHeight w:val="101"/>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720" w:type="dxa"/>
            <w:vAlign w:val="bottom"/>
            <w:shd w:val="clear" w:color="auto" w:fill="CFF0FC"/>
          </w:tcPr>
          <w:p>
            <w:pPr>
              <w:spacing w:after="0"/>
              <w:rPr>
                <w:sz w:val="8"/>
                <w:szCs w:val="8"/>
                <w:color w:val="auto"/>
              </w:rPr>
            </w:pPr>
          </w:p>
        </w:tc>
        <w:tc>
          <w:tcPr>
            <w:tcW w:w="128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10,681</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10,681</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r>
      <w:tr>
        <w:trPr>
          <w:trHeight w:val="108"/>
        </w:trPr>
        <w:tc>
          <w:tcPr>
            <w:tcW w:w="2480" w:type="dxa"/>
            <w:vAlign w:val="bottom"/>
            <w:gridSpan w:val="3"/>
          </w:tcPr>
          <w:p>
            <w:pPr>
              <w:ind w:left="20"/>
              <w:spacing w:after="0"/>
              <w:rPr>
                <w:sz w:val="20"/>
                <w:szCs w:val="20"/>
                <w:color w:val="auto"/>
              </w:rPr>
            </w:pPr>
            <w:r>
              <w:rPr>
                <w:rFonts w:ascii="Arial" w:cs="Arial" w:eastAsia="Arial" w:hAnsi="Arial"/>
                <w:sz w:val="9"/>
                <w:szCs w:val="9"/>
                <w:i w:val="1"/>
                <w:iCs w:val="1"/>
                <w:color w:val="auto"/>
              </w:rPr>
              <w:t>Applied Data Corporation</w:t>
            </w:r>
          </w:p>
        </w:tc>
        <w:tc>
          <w:tcPr>
            <w:tcW w:w="1720" w:type="dxa"/>
            <w:vAlign w:val="bottom"/>
          </w:tcPr>
          <w:p>
            <w:pPr>
              <w:ind w:left="60"/>
              <w:spacing w:after="0"/>
              <w:rPr>
                <w:sz w:val="20"/>
                <w:szCs w:val="20"/>
                <w:color w:val="auto"/>
              </w:rPr>
            </w:pPr>
            <w:r>
              <w:rPr>
                <w:rFonts w:ascii="Arial" w:cs="Arial" w:eastAsia="Arial" w:hAnsi="Arial"/>
                <w:sz w:val="9"/>
                <w:szCs w:val="9"/>
                <w:color w:val="auto"/>
              </w:rPr>
              <w:t>Information Technology Services</w:t>
            </w: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(k)(v)</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ind w:left="300"/>
              <w:spacing w:after="0"/>
              <w:rPr>
                <w:sz w:val="20"/>
                <w:szCs w:val="20"/>
                <w:color w:val="auto"/>
              </w:rPr>
            </w:pPr>
            <w:r>
              <w:rPr>
                <w:rFonts w:ascii="Arial" w:cs="Arial" w:eastAsia="Arial" w:hAnsi="Arial"/>
                <w:sz w:val="9"/>
                <w:szCs w:val="9"/>
                <w:color w:val="auto"/>
              </w:rPr>
              <w:t>(L + 6.25%) / (1.50%)</w:t>
            </w:r>
          </w:p>
        </w:tc>
        <w:tc>
          <w:tcPr>
            <w:tcW w:w="900" w:type="dxa"/>
            <w:vAlign w:val="bottom"/>
            <w:shd w:val="clear" w:color="auto" w:fill="CFF0FC"/>
          </w:tcPr>
          <w:p>
            <w:pPr>
              <w:ind w:left="180"/>
              <w:spacing w:after="0"/>
              <w:rPr>
                <w:sz w:val="20"/>
                <w:szCs w:val="20"/>
                <w:color w:val="auto"/>
              </w:rPr>
            </w:pPr>
            <w:r>
              <w:rPr>
                <w:rFonts w:ascii="Arial" w:cs="Arial" w:eastAsia="Arial" w:hAnsi="Arial"/>
                <w:sz w:val="9"/>
                <w:szCs w:val="9"/>
                <w:color w:val="auto"/>
              </w:rPr>
              <w:t>7.75%/0.00%</w:t>
            </w: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11/6/2020</w:t>
            </w:r>
          </w:p>
        </w:tc>
        <w:tc>
          <w:tcPr>
            <w:tcW w:w="720" w:type="dxa"/>
            <w:vAlign w:val="bottom"/>
            <w:shd w:val="clear" w:color="auto" w:fill="CFF0FC"/>
          </w:tcPr>
          <w:p>
            <w:pPr>
              <w:ind w:left="160"/>
              <w:spacing w:after="0"/>
              <w:rPr>
                <w:sz w:val="20"/>
                <w:szCs w:val="20"/>
                <w:color w:val="auto"/>
              </w:rPr>
            </w:pPr>
            <w:r>
              <w:rPr>
                <w:rFonts w:ascii="Arial" w:cs="Arial" w:eastAsia="Arial" w:hAnsi="Arial"/>
                <w:sz w:val="9"/>
                <w:szCs w:val="9"/>
                <w:color w:val="auto"/>
              </w:rPr>
              <w:t>11/6/2025</w:t>
            </w: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11,500</w:t>
            </w: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11,448</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11,500</w:t>
            </w: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Common Equity (22 units)</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11/6/2020</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15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77</w:t>
            </w: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Preferred Equity (1,104,539 units)</w:t>
            </w:r>
          </w:p>
        </w:tc>
        <w:tc>
          <w:tcPr>
            <w:tcW w:w="1720" w:type="dxa"/>
            <w:vAlign w:val="bottom"/>
            <w:tcBorders>
              <w:bottom w:val="single" w:sz="8" w:color="CFF0FC"/>
            </w:tcBorders>
            <w:shd w:val="clear" w:color="auto" w:fill="CFF0FC"/>
          </w:tcPr>
          <w:p>
            <w:pPr>
              <w:spacing w:after="0"/>
              <w:rPr>
                <w:sz w:val="9"/>
                <w:szCs w:val="9"/>
                <w:color w:val="auto"/>
              </w:rPr>
            </w:pPr>
          </w:p>
        </w:tc>
        <w:tc>
          <w:tcPr>
            <w:tcW w:w="1280" w:type="dxa"/>
            <w:vAlign w:val="bottom"/>
            <w:tcBorders>
              <w:bottom w:val="single" w:sz="8" w:color="CFF0FC"/>
            </w:tcBorders>
            <w:shd w:val="clear" w:color="auto" w:fill="CFF0FC"/>
          </w:tcPr>
          <w:p>
            <w:pPr>
              <w:spacing w:after="0"/>
              <w:rPr>
                <w:sz w:val="9"/>
                <w:szCs w:val="9"/>
                <w:color w:val="auto"/>
              </w:rPr>
            </w:pPr>
          </w:p>
        </w:tc>
        <w:tc>
          <w:tcPr>
            <w:tcW w:w="900" w:type="dxa"/>
            <w:vAlign w:val="bottom"/>
            <w:tcBorders>
              <w:bottom w:val="single" w:sz="8" w:color="CFF0FC"/>
            </w:tcBorders>
            <w:shd w:val="clear" w:color="auto" w:fill="CFF0FC"/>
          </w:tcPr>
          <w:p>
            <w:pPr>
              <w:spacing w:after="0"/>
              <w:rPr>
                <w:sz w:val="9"/>
                <w:szCs w:val="9"/>
                <w:color w:val="auto"/>
              </w:rPr>
            </w:pPr>
          </w:p>
        </w:tc>
        <w:tc>
          <w:tcPr>
            <w:tcW w:w="7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11/6/2020</w:t>
            </w:r>
          </w:p>
        </w:tc>
        <w:tc>
          <w:tcPr>
            <w:tcW w:w="72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1,105</w:t>
            </w:r>
          </w:p>
        </w:tc>
        <w:tc>
          <w:tcPr>
            <w:tcW w:w="8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1,246</w:t>
            </w:r>
          </w:p>
        </w:tc>
        <w:tc>
          <w:tcPr>
            <w:tcW w:w="720" w:type="dxa"/>
            <w:vAlign w:val="bottom"/>
            <w:tcBorders>
              <w:bottom w:val="single" w:sz="8" w:color="CFF0FC"/>
            </w:tcBorders>
            <w:shd w:val="clear" w:color="auto" w:fill="CFF0FC"/>
          </w:tcPr>
          <w:p>
            <w:pPr>
              <w:spacing w:after="0"/>
              <w:rPr>
                <w:sz w:val="9"/>
                <w:szCs w:val="9"/>
                <w:color w:val="auto"/>
              </w:rPr>
            </w:pPr>
          </w:p>
        </w:tc>
      </w:tr>
      <w:tr>
        <w:trPr>
          <w:trHeight w:val="102"/>
        </w:trPr>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jc w:val="right"/>
              <w:ind w:right="75"/>
              <w:spacing w:after="0" w:line="102" w:lineRule="exact"/>
              <w:rPr>
                <w:sz w:val="20"/>
                <w:szCs w:val="20"/>
                <w:color w:val="auto"/>
              </w:rPr>
            </w:pPr>
            <w:r>
              <w:rPr>
                <w:rFonts w:ascii="Arial" w:cs="Arial" w:eastAsia="Arial" w:hAnsi="Arial"/>
                <w:sz w:val="9"/>
                <w:szCs w:val="9"/>
                <w:color w:val="auto"/>
              </w:rPr>
              <w:t>12,568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ind w:right="95"/>
              <w:spacing w:after="0" w:line="102" w:lineRule="exact"/>
              <w:rPr>
                <w:sz w:val="20"/>
                <w:szCs w:val="20"/>
                <w:color w:val="auto"/>
              </w:rPr>
            </w:pPr>
            <w:r>
              <w:rPr>
                <w:rFonts w:ascii="Arial" w:cs="Arial" w:eastAsia="Arial" w:hAnsi="Arial"/>
                <w:sz w:val="9"/>
                <w:szCs w:val="9"/>
                <w:color w:val="auto"/>
              </w:rPr>
              <w:t>12,823</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3 %</w:t>
            </w:r>
          </w:p>
        </w:tc>
      </w:tr>
      <w:tr>
        <w:trPr>
          <w:trHeight w:val="108"/>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Auto CRM LLC (dba Dealer Holdings)</w:t>
            </w:r>
          </w:p>
        </w:tc>
        <w:tc>
          <w:tcPr>
            <w:tcW w:w="1720" w:type="dxa"/>
            <w:vAlign w:val="bottom"/>
            <w:shd w:val="clear" w:color="auto" w:fill="CFF0FC"/>
          </w:tcPr>
          <w:p>
            <w:pPr>
              <w:ind w:left="60"/>
              <w:spacing w:after="0"/>
              <w:rPr>
                <w:sz w:val="20"/>
                <w:szCs w:val="20"/>
                <w:color w:val="auto"/>
              </w:rPr>
            </w:pPr>
            <w:r>
              <w:rPr>
                <w:rFonts w:ascii="Arial" w:cs="Arial" w:eastAsia="Arial" w:hAnsi="Arial"/>
                <w:sz w:val="9"/>
                <w:szCs w:val="9"/>
                <w:color w:val="auto"/>
              </w:rPr>
              <w:t>Information Technology Services</w:t>
            </w: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First Lien Debt (au)</w:t>
            </w:r>
          </w:p>
        </w:tc>
        <w:tc>
          <w:tcPr>
            <w:tcW w:w="1720" w:type="dxa"/>
            <w:vAlign w:val="bottom"/>
          </w:tcPr>
          <w:p>
            <w:pPr>
              <w:spacing w:after="0"/>
              <w:rPr>
                <w:sz w:val="9"/>
                <w:szCs w:val="9"/>
                <w:color w:val="auto"/>
              </w:rPr>
            </w:pPr>
          </w:p>
        </w:tc>
        <w:tc>
          <w:tcPr>
            <w:tcW w:w="1280" w:type="dxa"/>
            <w:vAlign w:val="bottom"/>
          </w:tcPr>
          <w:p>
            <w:pPr>
              <w:ind w:left="300"/>
              <w:spacing w:after="0"/>
              <w:rPr>
                <w:sz w:val="20"/>
                <w:szCs w:val="20"/>
                <w:color w:val="auto"/>
              </w:rPr>
            </w:pPr>
            <w:r>
              <w:rPr>
                <w:rFonts w:ascii="Arial" w:cs="Arial" w:eastAsia="Arial" w:hAnsi="Arial"/>
                <w:sz w:val="9"/>
                <w:szCs w:val="9"/>
                <w:color w:val="auto"/>
              </w:rPr>
              <w:t>(P + 5.50%) / (3.25%)</w:t>
            </w:r>
          </w:p>
        </w:tc>
        <w:tc>
          <w:tcPr>
            <w:tcW w:w="900" w:type="dxa"/>
            <w:vAlign w:val="bottom"/>
          </w:tcPr>
          <w:p>
            <w:pPr>
              <w:ind w:left="180"/>
              <w:spacing w:after="0"/>
              <w:rPr>
                <w:sz w:val="20"/>
                <w:szCs w:val="20"/>
                <w:color w:val="auto"/>
              </w:rPr>
            </w:pPr>
            <w:r>
              <w:rPr>
                <w:rFonts w:ascii="Arial" w:cs="Arial" w:eastAsia="Arial" w:hAnsi="Arial"/>
                <w:sz w:val="9"/>
                <w:szCs w:val="9"/>
                <w:color w:val="auto"/>
              </w:rPr>
              <w:t>10.25%/0.85%</w:t>
            </w:r>
          </w:p>
        </w:tc>
        <w:tc>
          <w:tcPr>
            <w:tcW w:w="780" w:type="dxa"/>
            <w:vAlign w:val="bottom"/>
          </w:tcPr>
          <w:p>
            <w:pPr>
              <w:ind w:left="180"/>
              <w:spacing w:after="0"/>
              <w:rPr>
                <w:sz w:val="20"/>
                <w:szCs w:val="20"/>
                <w:color w:val="auto"/>
              </w:rPr>
            </w:pPr>
            <w:r>
              <w:rPr>
                <w:rFonts w:ascii="Arial" w:cs="Arial" w:eastAsia="Arial" w:hAnsi="Arial"/>
                <w:sz w:val="9"/>
                <w:szCs w:val="9"/>
                <w:color w:val="auto"/>
              </w:rPr>
              <w:t>10/1/2021</w:t>
            </w:r>
          </w:p>
        </w:tc>
        <w:tc>
          <w:tcPr>
            <w:tcW w:w="720" w:type="dxa"/>
            <w:vAlign w:val="bottom"/>
          </w:tcPr>
          <w:p>
            <w:pPr>
              <w:ind w:left="160"/>
              <w:spacing w:after="0"/>
              <w:rPr>
                <w:sz w:val="20"/>
                <w:szCs w:val="20"/>
                <w:color w:val="auto"/>
              </w:rPr>
            </w:pPr>
            <w:r>
              <w:rPr>
                <w:rFonts w:ascii="Arial" w:cs="Arial" w:eastAsia="Arial" w:hAnsi="Arial"/>
                <w:sz w:val="9"/>
                <w:szCs w:val="9"/>
                <w:color w:val="auto"/>
              </w:rPr>
              <w:t>10/1/2026</w:t>
            </w:r>
          </w:p>
        </w:tc>
        <w:tc>
          <w:tcPr>
            <w:tcW w:w="260" w:type="dxa"/>
            <w:vAlign w:val="bottom"/>
          </w:tcPr>
          <w:p>
            <w:pPr>
              <w:spacing w:after="0"/>
              <w:rPr>
                <w:sz w:val="9"/>
                <w:szCs w:val="9"/>
                <w:color w:val="auto"/>
              </w:rPr>
            </w:pPr>
          </w:p>
        </w:tc>
        <w:tc>
          <w:tcPr>
            <w:tcW w:w="800" w:type="dxa"/>
            <w:vAlign w:val="bottom"/>
          </w:tcPr>
          <w:p>
            <w:pPr>
              <w:jc w:val="right"/>
              <w:ind w:right="195"/>
              <w:spacing w:after="0"/>
              <w:rPr>
                <w:sz w:val="20"/>
                <w:szCs w:val="20"/>
                <w:color w:val="auto"/>
              </w:rPr>
            </w:pPr>
            <w:r>
              <w:rPr>
                <w:rFonts w:ascii="Arial" w:cs="Arial" w:eastAsia="Arial" w:hAnsi="Arial"/>
                <w:sz w:val="9"/>
                <w:szCs w:val="9"/>
                <w:color w:val="auto"/>
              </w:rPr>
              <w:t>7,548</w:t>
            </w: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7,485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7,549</w:t>
            </w: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Subordinated Debt</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ind w:left="180"/>
              <w:spacing w:after="0"/>
              <w:rPr>
                <w:sz w:val="20"/>
                <w:szCs w:val="20"/>
                <w:color w:val="auto"/>
              </w:rPr>
            </w:pPr>
            <w:r>
              <w:rPr>
                <w:rFonts w:ascii="Arial" w:cs="Arial" w:eastAsia="Arial" w:hAnsi="Arial"/>
                <w:sz w:val="9"/>
                <w:szCs w:val="9"/>
                <w:color w:val="auto"/>
              </w:rPr>
              <w:t>0.00%/12.75%</w:t>
            </w: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10/1/2021</w:t>
            </w:r>
          </w:p>
        </w:tc>
        <w:tc>
          <w:tcPr>
            <w:tcW w:w="720" w:type="dxa"/>
            <w:vAlign w:val="bottom"/>
            <w:shd w:val="clear" w:color="auto" w:fill="CFF0FC"/>
          </w:tcPr>
          <w:p>
            <w:pPr>
              <w:ind w:left="160"/>
              <w:spacing w:after="0"/>
              <w:rPr>
                <w:sz w:val="20"/>
                <w:szCs w:val="20"/>
                <w:color w:val="auto"/>
              </w:rPr>
            </w:pPr>
            <w:r>
              <w:rPr>
                <w:rFonts w:ascii="Arial" w:cs="Arial" w:eastAsia="Arial" w:hAnsi="Arial"/>
                <w:sz w:val="9"/>
                <w:szCs w:val="9"/>
                <w:color w:val="auto"/>
              </w:rPr>
              <w:t>12/31/2026</w:t>
            </w: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550</w:t>
            </w: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546</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550</w:t>
            </w: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Common Equity (500 units) (j)</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10/1/2021</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500</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496</w:t>
            </w:r>
          </w:p>
        </w:tc>
        <w:tc>
          <w:tcPr>
            <w:tcW w:w="720" w:type="dxa"/>
            <w:vAlign w:val="bottom"/>
          </w:tcPr>
          <w:p>
            <w:pPr>
              <w:spacing w:after="0"/>
              <w:rPr>
                <w:sz w:val="9"/>
                <w:szCs w:val="9"/>
                <w:color w:val="auto"/>
              </w:rPr>
            </w:pPr>
          </w:p>
        </w:tc>
      </w:tr>
      <w:tr>
        <w:trPr>
          <w:trHeight w:val="102"/>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720" w:type="dxa"/>
            <w:vAlign w:val="bottom"/>
            <w:shd w:val="clear" w:color="auto" w:fill="CFF0FC"/>
          </w:tcPr>
          <w:p>
            <w:pPr>
              <w:spacing w:after="0"/>
              <w:rPr>
                <w:sz w:val="8"/>
                <w:szCs w:val="8"/>
                <w:color w:val="auto"/>
              </w:rPr>
            </w:pPr>
          </w:p>
        </w:tc>
        <w:tc>
          <w:tcPr>
            <w:tcW w:w="128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8,531</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8,595</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r>
      <w:tr>
        <w:trPr>
          <w:trHeight w:val="108"/>
        </w:trPr>
        <w:tc>
          <w:tcPr>
            <w:tcW w:w="2480" w:type="dxa"/>
            <w:vAlign w:val="bottom"/>
            <w:gridSpan w:val="3"/>
          </w:tcPr>
          <w:p>
            <w:pPr>
              <w:ind w:left="20"/>
              <w:spacing w:after="0"/>
              <w:rPr>
                <w:sz w:val="20"/>
                <w:szCs w:val="20"/>
                <w:color w:val="auto"/>
              </w:rPr>
            </w:pPr>
            <w:r>
              <w:rPr>
                <w:rFonts w:ascii="Arial" w:cs="Arial" w:eastAsia="Arial" w:hAnsi="Arial"/>
                <w:sz w:val="9"/>
                <w:szCs w:val="9"/>
                <w:i w:val="1"/>
                <w:iCs w:val="1"/>
                <w:color w:val="auto"/>
              </w:rPr>
              <w:t>AVC Investors, LLC (dba Auveco) (n)</w:t>
            </w:r>
          </w:p>
        </w:tc>
        <w:tc>
          <w:tcPr>
            <w:tcW w:w="1720" w:type="dxa"/>
            <w:vAlign w:val="bottom"/>
          </w:tcPr>
          <w:p>
            <w:pPr>
              <w:ind w:left="60"/>
              <w:spacing w:after="0"/>
              <w:rPr>
                <w:sz w:val="20"/>
                <w:szCs w:val="20"/>
                <w:color w:val="auto"/>
              </w:rPr>
            </w:pPr>
            <w:r>
              <w:rPr>
                <w:rFonts w:ascii="Arial" w:cs="Arial" w:eastAsia="Arial" w:hAnsi="Arial"/>
                <w:sz w:val="9"/>
                <w:szCs w:val="9"/>
                <w:color w:val="auto"/>
              </w:rPr>
              <w:t>Specialty Distribution</w:t>
            </w: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(5,000 units) (j)</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1/3/2018</w:t>
            </w: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9</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B&amp;B Roadway and Security Solutions, LLC (n)</w:t>
            </w:r>
          </w:p>
        </w:tc>
        <w:tc>
          <w:tcPr>
            <w:tcW w:w="1720" w:type="dxa"/>
            <w:vAlign w:val="bottom"/>
            <w:shd w:val="clear" w:color="auto" w:fill="CFF0FC"/>
          </w:tcPr>
          <w:p>
            <w:pPr>
              <w:ind w:left="60"/>
              <w:spacing w:after="0"/>
              <w:rPr>
                <w:sz w:val="20"/>
                <w:szCs w:val="20"/>
                <w:color w:val="auto"/>
              </w:rPr>
            </w:pPr>
            <w:r>
              <w:rPr>
                <w:rFonts w:ascii="Arial" w:cs="Arial" w:eastAsia="Arial" w:hAnsi="Arial"/>
                <w:sz w:val="9"/>
                <w:szCs w:val="9"/>
                <w:color w:val="auto"/>
              </w:rPr>
              <w:t>Component Manufacturing</w:t>
            </w: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Common Equity (50,000 units) (h)(j)</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ind w:left="180"/>
              <w:spacing w:after="0"/>
              <w:rPr>
                <w:sz w:val="20"/>
                <w:szCs w:val="20"/>
                <w:color w:val="auto"/>
              </w:rPr>
            </w:pPr>
            <w:r>
              <w:rPr>
                <w:rFonts w:ascii="Arial" w:cs="Arial" w:eastAsia="Arial" w:hAnsi="Arial"/>
                <w:sz w:val="9"/>
                <w:szCs w:val="9"/>
                <w:color w:val="auto"/>
              </w:rPr>
              <w:t>2/27/2018</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20"/>
              <w:spacing w:after="0"/>
              <w:rPr>
                <w:sz w:val="20"/>
                <w:szCs w:val="20"/>
                <w:color w:val="auto"/>
              </w:rPr>
            </w:pPr>
            <w:r>
              <w:rPr>
                <w:rFonts w:ascii="Arial" w:cs="Arial" w:eastAsia="Arial" w:hAnsi="Arial"/>
                <w:sz w:val="9"/>
                <w:szCs w:val="9"/>
                <w:i w:val="1"/>
                <w:iCs w:val="1"/>
                <w:color w:val="auto"/>
              </w:rPr>
              <w:t>Bandon Fitness (Texas), Inc.</w:t>
            </w:r>
          </w:p>
        </w:tc>
        <w:tc>
          <w:tcPr>
            <w:tcW w:w="1720" w:type="dxa"/>
            <w:vAlign w:val="bottom"/>
          </w:tcPr>
          <w:p>
            <w:pPr>
              <w:ind w:left="60"/>
              <w:spacing w:after="0"/>
              <w:rPr>
                <w:sz w:val="20"/>
                <w:szCs w:val="20"/>
                <w:color w:val="auto"/>
              </w:rPr>
            </w:pPr>
            <w:r>
              <w:rPr>
                <w:rFonts w:ascii="Arial" w:cs="Arial" w:eastAsia="Arial" w:hAnsi="Arial"/>
                <w:sz w:val="9"/>
                <w:szCs w:val="9"/>
                <w:color w:val="auto"/>
              </w:rPr>
              <w:t>Retail</w:t>
            </w: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(545,810 units) (j)</w:t>
            </w: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9"/>
                <w:szCs w:val="9"/>
                <w:color w:val="auto"/>
              </w:rPr>
              <w:t>8/9/2019</w:t>
            </w: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931</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3,902</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1 %</w:t>
            </w:r>
          </w:p>
        </w:tc>
      </w:tr>
      <w:tr>
        <w:trPr>
          <w:trHeight w:val="108"/>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08"/>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BCM One Group Holdings, Inc.</w:t>
            </w:r>
          </w:p>
        </w:tc>
        <w:tc>
          <w:tcPr>
            <w:tcW w:w="1720" w:type="dxa"/>
            <w:vAlign w:val="bottom"/>
            <w:shd w:val="clear" w:color="auto" w:fill="CFF0FC"/>
          </w:tcPr>
          <w:p>
            <w:pPr>
              <w:ind w:left="60"/>
              <w:spacing w:after="0"/>
              <w:rPr>
                <w:sz w:val="20"/>
                <w:szCs w:val="20"/>
                <w:color w:val="auto"/>
              </w:rPr>
            </w:pPr>
            <w:r>
              <w:rPr>
                <w:rFonts w:ascii="Arial" w:cs="Arial" w:eastAsia="Arial" w:hAnsi="Arial"/>
                <w:sz w:val="9"/>
                <w:szCs w:val="9"/>
                <w:color w:val="auto"/>
              </w:rPr>
              <w:t>Information Technology Services</w:t>
            </w: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r>
      <w:tr>
        <w:trPr>
          <w:trHeight w:val="108"/>
        </w:trPr>
        <w:tc>
          <w:tcPr>
            <w:tcW w:w="2480" w:type="dxa"/>
            <w:vAlign w:val="bottom"/>
            <w:gridSpan w:val="3"/>
          </w:tcPr>
          <w:p>
            <w:pPr>
              <w:ind w:left="160"/>
              <w:spacing w:after="0"/>
              <w:rPr>
                <w:sz w:val="20"/>
                <w:szCs w:val="20"/>
                <w:color w:val="auto"/>
              </w:rPr>
            </w:pPr>
            <w:r>
              <w:rPr>
                <w:rFonts w:ascii="Arial" w:cs="Arial" w:eastAsia="Arial" w:hAnsi="Arial"/>
                <w:sz w:val="9"/>
                <w:szCs w:val="9"/>
                <w:color w:val="auto"/>
              </w:rPr>
              <w:t>Subordinated Debt (j)</w:t>
            </w:r>
          </w:p>
        </w:tc>
        <w:tc>
          <w:tcPr>
            <w:tcW w:w="1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0" w:type="dxa"/>
            <w:vAlign w:val="bottom"/>
          </w:tcPr>
          <w:p>
            <w:pPr>
              <w:ind w:left="180"/>
              <w:spacing w:after="0"/>
              <w:rPr>
                <w:sz w:val="20"/>
                <w:szCs w:val="20"/>
                <w:color w:val="auto"/>
              </w:rPr>
            </w:pPr>
            <w:r>
              <w:rPr>
                <w:rFonts w:ascii="Arial" w:cs="Arial" w:eastAsia="Arial" w:hAnsi="Arial"/>
                <w:sz w:val="9"/>
                <w:szCs w:val="9"/>
                <w:color w:val="auto"/>
              </w:rPr>
              <w:t>10.25%/0.00%</w:t>
            </w:r>
          </w:p>
        </w:tc>
        <w:tc>
          <w:tcPr>
            <w:tcW w:w="780" w:type="dxa"/>
            <w:vAlign w:val="bottom"/>
          </w:tcPr>
          <w:p>
            <w:pPr>
              <w:ind w:left="180"/>
              <w:spacing w:after="0"/>
              <w:rPr>
                <w:sz w:val="20"/>
                <w:szCs w:val="20"/>
                <w:color w:val="auto"/>
              </w:rPr>
            </w:pPr>
            <w:r>
              <w:rPr>
                <w:rFonts w:ascii="Arial" w:cs="Arial" w:eastAsia="Arial" w:hAnsi="Arial"/>
                <w:sz w:val="9"/>
                <w:szCs w:val="9"/>
                <w:color w:val="auto"/>
              </w:rPr>
              <w:t>11/17/2021</w:t>
            </w:r>
          </w:p>
        </w:tc>
        <w:tc>
          <w:tcPr>
            <w:tcW w:w="720" w:type="dxa"/>
            <w:vAlign w:val="bottom"/>
          </w:tcPr>
          <w:p>
            <w:pPr>
              <w:ind w:left="160"/>
              <w:spacing w:after="0"/>
              <w:rPr>
                <w:sz w:val="20"/>
                <w:szCs w:val="20"/>
                <w:color w:val="auto"/>
              </w:rPr>
            </w:pPr>
            <w:r>
              <w:rPr>
                <w:rFonts w:ascii="Arial" w:cs="Arial" w:eastAsia="Arial" w:hAnsi="Arial"/>
                <w:sz w:val="9"/>
                <w:szCs w:val="9"/>
                <w:color w:val="auto"/>
              </w:rPr>
              <w:t>11/17/2028</w:t>
            </w:r>
          </w:p>
        </w:tc>
        <w:tc>
          <w:tcPr>
            <w:tcW w:w="260" w:type="dxa"/>
            <w:vAlign w:val="bottom"/>
          </w:tcPr>
          <w:p>
            <w:pPr>
              <w:spacing w:after="0"/>
              <w:rPr>
                <w:sz w:val="9"/>
                <w:szCs w:val="9"/>
                <w:color w:val="auto"/>
              </w:rPr>
            </w:pPr>
          </w:p>
        </w:tc>
        <w:tc>
          <w:tcPr>
            <w:tcW w:w="800" w:type="dxa"/>
            <w:vAlign w:val="bottom"/>
          </w:tcPr>
          <w:p>
            <w:pPr>
              <w:jc w:val="right"/>
              <w:ind w:right="195"/>
              <w:spacing w:after="0"/>
              <w:rPr>
                <w:sz w:val="20"/>
                <w:szCs w:val="20"/>
                <w:color w:val="auto"/>
              </w:rPr>
            </w:pPr>
            <w:r>
              <w:rPr>
                <w:rFonts w:ascii="Arial" w:cs="Arial" w:eastAsia="Arial" w:hAnsi="Arial"/>
                <w:sz w:val="9"/>
                <w:szCs w:val="9"/>
                <w:color w:val="auto"/>
              </w:rPr>
              <w:t>11,333</w:t>
            </w:r>
          </w:p>
        </w:tc>
        <w:tc>
          <w:tcPr>
            <w:tcW w:w="140" w:type="dxa"/>
            <w:vAlign w:val="bottom"/>
          </w:tcPr>
          <w:p>
            <w:pPr>
              <w:spacing w:after="0"/>
              <w:rPr>
                <w:sz w:val="9"/>
                <w:szCs w:val="9"/>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11,275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11,333</w:t>
            </w:r>
          </w:p>
        </w:tc>
        <w:tc>
          <w:tcPr>
            <w:tcW w:w="720" w:type="dxa"/>
            <w:vAlign w:val="bottom"/>
          </w:tcPr>
          <w:p>
            <w:pPr>
              <w:jc w:val="right"/>
              <w:spacing w:after="0"/>
              <w:rPr>
                <w:sz w:val="20"/>
                <w:szCs w:val="20"/>
                <w:color w:val="auto"/>
              </w:rPr>
            </w:pPr>
            <w:r>
              <w:rPr>
                <w:rFonts w:ascii="Arial" w:cs="Arial" w:eastAsia="Arial" w:hAnsi="Arial"/>
                <w:sz w:val="9"/>
                <w:szCs w:val="9"/>
                <w:color w:val="auto"/>
              </w:rPr>
              <w:t>2 %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7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-6188710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-6171565</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-6188710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-6171565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-4359910</wp:posOffset>
            </wp:positionV>
            <wp:extent cx="6032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-4359910</wp:posOffset>
            </wp:positionV>
            <wp:extent cx="39433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-4076700</wp:posOffset>
            </wp:positionV>
            <wp:extent cx="6032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-4076700</wp:posOffset>
            </wp:positionV>
            <wp:extent cx="3943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-3074035</wp:posOffset>
            </wp:positionV>
            <wp:extent cx="6032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-3074035</wp:posOffset>
            </wp:positionV>
            <wp:extent cx="3943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-2790825</wp:posOffset>
            </wp:positionV>
            <wp:extent cx="6032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-2790825</wp:posOffset>
            </wp:positionV>
            <wp:extent cx="39433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-1247775</wp:posOffset>
            </wp:positionV>
            <wp:extent cx="6032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-1247775</wp:posOffset>
            </wp:positionV>
            <wp:extent cx="39433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4335"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15"/>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Bedford Precision Parts LLC</w:t>
            </w:r>
          </w:p>
        </w:tc>
        <w:tc>
          <w:tcPr>
            <w:tcW w:w="2980" w:type="dxa"/>
            <w:vAlign w:val="bottom"/>
          </w:tcPr>
          <w:p>
            <w:pPr>
              <w:ind w:left="20"/>
              <w:spacing w:after="0"/>
              <w:rPr>
                <w:sz w:val="20"/>
                <w:szCs w:val="20"/>
                <w:color w:val="auto"/>
              </w:rPr>
            </w:pPr>
            <w:r>
              <w:rPr>
                <w:rFonts w:ascii="Arial" w:cs="Arial" w:eastAsia="Arial" w:hAnsi="Arial"/>
                <w:sz w:val="9"/>
                <w:szCs w:val="9"/>
                <w:color w:val="auto"/>
              </w:rPr>
              <w:t>Specialty Distribution</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(j)(s)</w:t>
            </w:r>
          </w:p>
        </w:tc>
        <w:tc>
          <w:tcPr>
            <w:tcW w:w="2980" w:type="dxa"/>
            <w:vAlign w:val="bottom"/>
            <w:shd w:val="clear" w:color="auto" w:fill="CFF0FC"/>
          </w:tcPr>
          <w:p>
            <w:pPr>
              <w:ind w:left="1980"/>
              <w:spacing w:after="0"/>
              <w:rPr>
                <w:sz w:val="20"/>
                <w:szCs w:val="20"/>
                <w:color w:val="auto"/>
              </w:rPr>
            </w:pPr>
            <w:r>
              <w:rPr>
                <w:rFonts w:ascii="Arial" w:cs="Arial" w:eastAsia="Arial" w:hAnsi="Arial"/>
                <w:sz w:val="9"/>
                <w:szCs w:val="9"/>
                <w:color w:val="auto"/>
              </w:rPr>
              <w:t>(L + 6.25%) / (1.00%)</w:t>
            </w: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7.92%/0.00%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3/12/2019</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3/12/2024</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4,472</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4,459</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4,472</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Common Equity (500,000 units) (h)(j)</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3/12/2019</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488</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403</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20" w:type="dxa"/>
            <w:vAlign w:val="bottom"/>
            <w:shd w:val="clear" w:color="auto" w:fill="CFF0FC"/>
          </w:tcPr>
          <w:p>
            <w:pPr>
              <w:spacing w:after="0"/>
              <w:rPr>
                <w:sz w:val="8"/>
                <w:szCs w:val="8"/>
                <w:color w:val="auto"/>
              </w:rPr>
            </w:pPr>
          </w:p>
        </w:tc>
        <w:tc>
          <w:tcPr>
            <w:tcW w:w="298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4,947</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4,875</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Cardback Intermediate, LLC (dba Chargeback Gurus)</w:t>
            </w:r>
          </w:p>
        </w:tc>
        <w:tc>
          <w:tcPr>
            <w:tcW w:w="2980" w:type="dxa"/>
            <w:vAlign w:val="bottom"/>
          </w:tcPr>
          <w:p>
            <w:pPr>
              <w:ind w:left="20"/>
              <w:spacing w:after="0"/>
              <w:rPr>
                <w:sz w:val="20"/>
                <w:szCs w:val="20"/>
                <w:color w:val="auto"/>
              </w:rPr>
            </w:pPr>
            <w:r>
              <w:rPr>
                <w:rFonts w:ascii="Arial" w:cs="Arial" w:eastAsia="Arial" w:hAnsi="Arial"/>
                <w:sz w:val="9"/>
                <w:szCs w:val="9"/>
                <w:color w:val="auto"/>
              </w:rPr>
              <w:t>Information Technology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(j)(ah)</w:t>
            </w:r>
          </w:p>
        </w:tc>
        <w:tc>
          <w:tcPr>
            <w:tcW w:w="2980" w:type="dxa"/>
            <w:vAlign w:val="bottom"/>
            <w:shd w:val="clear" w:color="auto" w:fill="CFF0FC"/>
          </w:tcPr>
          <w:p>
            <w:pPr>
              <w:ind w:left="1980"/>
              <w:spacing w:after="0"/>
              <w:rPr>
                <w:sz w:val="20"/>
                <w:szCs w:val="20"/>
                <w:color w:val="auto"/>
              </w:rPr>
            </w:pPr>
            <w:r>
              <w:rPr>
                <w:rFonts w:ascii="Arial" w:cs="Arial" w:eastAsia="Arial" w:hAnsi="Arial"/>
                <w:sz w:val="9"/>
                <w:szCs w:val="9"/>
                <w:color w:val="auto"/>
              </w:rPr>
              <w:t>(L + 6.50%) / (0.75%)</w:t>
            </w: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7.47%/0.00%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8/10/2021</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8/10/2026</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13,144</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13,080</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13,144</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Common Equity (495 shares) (j)</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8/10/2021</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125</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13</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Preferred Equity (495 shares) (j)</w:t>
            </w:r>
          </w:p>
        </w:tc>
        <w:tc>
          <w:tcPr>
            <w:tcW w:w="2980" w:type="dxa"/>
            <w:vAlign w:val="bottom"/>
            <w:tcBorders>
              <w:bottom w:val="single" w:sz="8" w:color="CFF0FC"/>
            </w:tcBorders>
            <w:shd w:val="clear" w:color="auto" w:fill="CFF0FC"/>
          </w:tcPr>
          <w:p>
            <w:pPr>
              <w:spacing w:after="0"/>
              <w:rPr>
                <w:sz w:val="9"/>
                <w:szCs w:val="9"/>
                <w:color w:val="auto"/>
              </w:rPr>
            </w:pPr>
          </w:p>
        </w:tc>
        <w:tc>
          <w:tcPr>
            <w:tcW w:w="8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8/10/2021</w:t>
            </w:r>
          </w:p>
        </w:tc>
        <w:tc>
          <w:tcPr>
            <w:tcW w:w="94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125</w:t>
            </w:r>
          </w:p>
        </w:tc>
        <w:tc>
          <w:tcPr>
            <w:tcW w:w="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268</w:t>
            </w:r>
          </w:p>
        </w:tc>
        <w:tc>
          <w:tcPr>
            <w:tcW w:w="7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jc w:val="right"/>
              <w:ind w:right="75"/>
              <w:spacing w:after="0" w:line="102" w:lineRule="exact"/>
              <w:rPr>
                <w:sz w:val="20"/>
                <w:szCs w:val="20"/>
                <w:color w:val="auto"/>
              </w:rPr>
            </w:pPr>
            <w:r>
              <w:rPr>
                <w:rFonts w:ascii="Arial" w:cs="Arial" w:eastAsia="Arial" w:hAnsi="Arial"/>
                <w:sz w:val="9"/>
                <w:szCs w:val="9"/>
                <w:color w:val="auto"/>
              </w:rPr>
              <w:t>13,330</w:t>
            </w:r>
          </w:p>
        </w:tc>
        <w:tc>
          <w:tcPr>
            <w:tcW w:w="840" w:type="dxa"/>
            <w:vAlign w:val="bottom"/>
            <w:gridSpan w:val="2"/>
          </w:tcPr>
          <w:p>
            <w:pPr>
              <w:jc w:val="right"/>
              <w:ind w:right="95"/>
              <w:spacing w:after="0" w:line="102" w:lineRule="exact"/>
              <w:rPr>
                <w:sz w:val="20"/>
                <w:szCs w:val="20"/>
                <w:color w:val="auto"/>
              </w:rPr>
            </w:pPr>
            <w:r>
              <w:rPr>
                <w:rFonts w:ascii="Arial" w:cs="Arial" w:eastAsia="Arial" w:hAnsi="Arial"/>
                <w:sz w:val="9"/>
                <w:szCs w:val="9"/>
                <w:color w:val="auto"/>
              </w:rPr>
              <w:t>13,425</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Cardboard Box LLC (dba Anthony's Coal Fired Pizza)</w:t>
            </w:r>
          </w:p>
        </w:tc>
        <w:tc>
          <w:tcPr>
            <w:tcW w:w="2980" w:type="dxa"/>
            <w:vAlign w:val="bottom"/>
            <w:shd w:val="clear" w:color="auto" w:fill="CFF0FC"/>
          </w:tcPr>
          <w:p>
            <w:pPr>
              <w:ind w:left="20"/>
              <w:spacing w:after="0"/>
              <w:rPr>
                <w:sz w:val="20"/>
                <w:szCs w:val="20"/>
                <w:color w:val="auto"/>
              </w:rPr>
            </w:pPr>
            <w:r>
              <w:rPr>
                <w:rFonts w:ascii="Arial" w:cs="Arial" w:eastAsia="Arial" w:hAnsi="Arial"/>
                <w:sz w:val="9"/>
                <w:szCs w:val="9"/>
                <w:color w:val="auto"/>
              </w:rPr>
              <w:t>Restaurants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Common Equity (521,021 units) (j)(ao)</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12/15/2015</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521</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42</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Preferred Equity (1,043,133 units) (j)(ao)</w:t>
            </w:r>
          </w:p>
        </w:tc>
        <w:tc>
          <w:tcPr>
            <w:tcW w:w="2980" w:type="dxa"/>
            <w:vAlign w:val="bottom"/>
            <w:tcBorders>
              <w:bottom w:val="single" w:sz="8" w:color="CFF0FC"/>
            </w:tcBorders>
            <w:shd w:val="clear" w:color="auto" w:fill="CFF0FC"/>
          </w:tcPr>
          <w:p>
            <w:pPr>
              <w:spacing w:after="0"/>
              <w:rPr>
                <w:sz w:val="9"/>
                <w:szCs w:val="9"/>
                <w:color w:val="auto"/>
              </w:rPr>
            </w:pPr>
          </w:p>
        </w:tc>
        <w:tc>
          <w:tcPr>
            <w:tcW w:w="8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12/6/2019</w:t>
            </w:r>
          </w:p>
        </w:tc>
        <w:tc>
          <w:tcPr>
            <w:tcW w:w="94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96</w:t>
            </w:r>
          </w:p>
        </w:tc>
        <w:tc>
          <w:tcPr>
            <w:tcW w:w="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283</w:t>
            </w:r>
          </w:p>
        </w:tc>
        <w:tc>
          <w:tcPr>
            <w:tcW w:w="7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jc w:val="right"/>
              <w:ind w:right="75"/>
              <w:spacing w:after="0" w:line="102" w:lineRule="exact"/>
              <w:rPr>
                <w:sz w:val="20"/>
                <w:szCs w:val="20"/>
                <w:color w:val="auto"/>
              </w:rPr>
            </w:pPr>
            <w:r>
              <w:rPr>
                <w:rFonts w:ascii="Arial" w:cs="Arial" w:eastAsia="Arial" w:hAnsi="Arial"/>
                <w:sz w:val="9"/>
                <w:szCs w:val="9"/>
                <w:color w:val="auto"/>
              </w:rPr>
              <w:t>617</w:t>
            </w:r>
          </w:p>
        </w:tc>
        <w:tc>
          <w:tcPr>
            <w:tcW w:w="840" w:type="dxa"/>
            <w:vAlign w:val="bottom"/>
            <w:gridSpan w:val="2"/>
          </w:tcPr>
          <w:p>
            <w:pPr>
              <w:jc w:val="right"/>
              <w:ind w:right="95"/>
              <w:spacing w:after="0" w:line="102" w:lineRule="exact"/>
              <w:rPr>
                <w:sz w:val="20"/>
                <w:szCs w:val="20"/>
                <w:color w:val="auto"/>
              </w:rPr>
            </w:pPr>
            <w:r>
              <w:rPr>
                <w:rFonts w:ascii="Arial" w:cs="Arial" w:eastAsia="Arial" w:hAnsi="Arial"/>
                <w:sz w:val="9"/>
                <w:szCs w:val="9"/>
                <w:color w:val="auto"/>
              </w:rPr>
              <w:t>325</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81"/>
        </w:trPr>
        <w:tc>
          <w:tcPr>
            <w:tcW w:w="2520" w:type="dxa"/>
            <w:vAlign w:val="bottom"/>
            <w:shd w:val="clear" w:color="auto" w:fill="CFF0FC"/>
          </w:tcPr>
          <w:p>
            <w:pPr>
              <w:ind w:left="20"/>
              <w:spacing w:after="0" w:line="81" w:lineRule="exact"/>
              <w:rPr>
                <w:sz w:val="20"/>
                <w:szCs w:val="20"/>
                <w:color w:val="auto"/>
              </w:rPr>
            </w:pPr>
            <w:r>
              <w:rPr>
                <w:rFonts w:ascii="Arial" w:cs="Arial" w:eastAsia="Arial" w:hAnsi="Arial"/>
                <w:sz w:val="9"/>
                <w:szCs w:val="9"/>
                <w:i w:val="1"/>
                <w:iCs w:val="1"/>
                <w:color w:val="auto"/>
                <w:w w:val="91"/>
              </w:rPr>
              <w:t>Choice Technology Solutions, LLC (dba Choice Merchant Solutions,</w:t>
            </w:r>
          </w:p>
        </w:tc>
        <w:tc>
          <w:tcPr>
            <w:tcW w:w="2980" w:type="dxa"/>
            <w:vAlign w:val="bottom"/>
            <w:vMerge w:val="restart"/>
            <w:shd w:val="clear" w:color="auto" w:fill="CFF0FC"/>
          </w:tcPr>
          <w:p>
            <w:pPr>
              <w:ind w:left="20"/>
              <w:spacing w:after="0"/>
              <w:rPr>
                <w:sz w:val="20"/>
                <w:szCs w:val="20"/>
                <w:color w:val="auto"/>
              </w:rPr>
            </w:pPr>
            <w:r>
              <w:rPr>
                <w:rFonts w:ascii="Arial" w:cs="Arial" w:eastAsia="Arial" w:hAnsi="Arial"/>
                <w:sz w:val="9"/>
                <w:szCs w:val="9"/>
                <w:color w:val="auto"/>
              </w:rPr>
              <w:t>Information Technology Services</w:t>
            </w:r>
          </w:p>
        </w:tc>
        <w:tc>
          <w:tcPr>
            <w:tcW w:w="88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LLC)</w:t>
            </w:r>
          </w:p>
        </w:tc>
        <w:tc>
          <w:tcPr>
            <w:tcW w:w="2980" w:type="dxa"/>
            <w:vAlign w:val="bottom"/>
            <w:vMerge w:val="continue"/>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First Lien Debt (j)</w:t>
            </w:r>
          </w:p>
        </w:tc>
        <w:tc>
          <w:tcPr>
            <w:tcW w:w="2980" w:type="dxa"/>
            <w:vAlign w:val="bottom"/>
          </w:tcPr>
          <w:p>
            <w:pPr>
              <w:ind w:left="1980"/>
              <w:spacing w:after="0"/>
              <w:rPr>
                <w:sz w:val="20"/>
                <w:szCs w:val="20"/>
                <w:color w:val="auto"/>
              </w:rPr>
            </w:pPr>
            <w:r>
              <w:rPr>
                <w:rFonts w:ascii="Arial" w:cs="Arial" w:eastAsia="Arial" w:hAnsi="Arial"/>
                <w:sz w:val="9"/>
                <w:szCs w:val="9"/>
                <w:color w:val="auto"/>
              </w:rPr>
              <w:t>(S + 7.25%) / (1.00%)</w:t>
            </w: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4/1/2022</w:t>
            </w:r>
          </w:p>
        </w:tc>
        <w:tc>
          <w:tcPr>
            <w:tcW w:w="940" w:type="dxa"/>
            <w:vAlign w:val="bottom"/>
          </w:tcPr>
          <w:p>
            <w:pPr>
              <w:ind w:left="180"/>
              <w:spacing w:after="0"/>
              <w:rPr>
                <w:sz w:val="20"/>
                <w:szCs w:val="20"/>
                <w:color w:val="auto"/>
              </w:rPr>
            </w:pPr>
            <w:r>
              <w:rPr>
                <w:rFonts w:ascii="Arial" w:cs="Arial" w:eastAsia="Arial" w:hAnsi="Arial"/>
                <w:sz w:val="9"/>
                <w:szCs w:val="9"/>
                <w:color w:val="auto"/>
              </w:rPr>
              <w:t>4/1/2027</w:t>
            </w:r>
          </w:p>
        </w:tc>
        <w:tc>
          <w:tcPr>
            <w:tcW w:w="860" w:type="dxa"/>
            <w:vAlign w:val="bottom"/>
          </w:tcPr>
          <w:p>
            <w:pPr>
              <w:jc w:val="right"/>
              <w:ind w:right="195"/>
              <w:spacing w:after="0"/>
              <w:rPr>
                <w:sz w:val="20"/>
                <w:szCs w:val="20"/>
                <w:color w:val="auto"/>
              </w:rPr>
            </w:pPr>
            <w:r>
              <w:rPr>
                <w:rFonts w:ascii="Arial" w:cs="Arial" w:eastAsia="Arial" w:hAnsi="Arial"/>
                <w:sz w:val="9"/>
                <w:szCs w:val="9"/>
                <w:color w:val="auto"/>
              </w:rPr>
              <w:t>8,500</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8,455</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8,455</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Revolving Loan ($1,000 unfunded commitment) (i)(j)</w:t>
            </w:r>
          </w:p>
        </w:tc>
        <w:tc>
          <w:tcPr>
            <w:tcW w:w="2980" w:type="dxa"/>
            <w:vAlign w:val="bottom"/>
            <w:tcBorders>
              <w:bottom w:val="single" w:sz="8" w:color="CFF0FC"/>
            </w:tcBorders>
            <w:shd w:val="clear" w:color="auto" w:fill="CFF0FC"/>
          </w:tcPr>
          <w:p>
            <w:pPr>
              <w:ind w:left="1980"/>
              <w:spacing w:after="0"/>
              <w:rPr>
                <w:sz w:val="20"/>
                <w:szCs w:val="20"/>
                <w:color w:val="auto"/>
              </w:rPr>
            </w:pPr>
            <w:r>
              <w:rPr>
                <w:rFonts w:ascii="Arial" w:cs="Arial" w:eastAsia="Arial" w:hAnsi="Arial"/>
                <w:sz w:val="9"/>
                <w:szCs w:val="9"/>
                <w:color w:val="auto"/>
              </w:rPr>
              <w:t>(S + 6.25%) / (1.00%)</w:t>
            </w:r>
          </w:p>
        </w:tc>
        <w:tc>
          <w:tcPr>
            <w:tcW w:w="8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4/1/2022</w:t>
            </w:r>
          </w:p>
        </w:tc>
        <w:tc>
          <w:tcPr>
            <w:tcW w:w="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4/1/2027</w:t>
            </w:r>
          </w:p>
        </w:tc>
        <w:tc>
          <w:tcPr>
            <w:tcW w:w="860" w:type="dxa"/>
            <w:vAlign w:val="bottom"/>
            <w:tcBorders>
              <w:bottom w:val="single" w:sz="8" w:color="CFF0FC"/>
            </w:tcBorders>
            <w:shd w:val="clear" w:color="auto" w:fill="CFF0FC"/>
          </w:tcPr>
          <w:p>
            <w:pPr>
              <w:jc w:val="right"/>
              <w:ind w:right="195"/>
              <w:spacing w:after="0"/>
              <w:rPr>
                <w:sz w:val="20"/>
                <w:szCs w:val="20"/>
                <w:color w:val="auto"/>
              </w:rPr>
            </w:pPr>
            <w:r>
              <w:rPr>
                <w:rFonts w:ascii="Arial" w:cs="Arial" w:eastAsia="Arial" w:hAnsi="Arial"/>
                <w:sz w:val="9"/>
                <w:szCs w:val="9"/>
                <w:color w:val="auto"/>
              </w:rPr>
              <w:t>—</w:t>
            </w: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jc w:val="right"/>
              <w:ind w:right="75"/>
              <w:spacing w:after="0" w:line="102" w:lineRule="exact"/>
              <w:rPr>
                <w:sz w:val="20"/>
                <w:szCs w:val="20"/>
                <w:color w:val="auto"/>
              </w:rPr>
            </w:pPr>
            <w:r>
              <w:rPr>
                <w:rFonts w:ascii="Arial" w:cs="Arial" w:eastAsia="Arial" w:hAnsi="Arial"/>
                <w:sz w:val="9"/>
                <w:szCs w:val="9"/>
                <w:color w:val="auto"/>
              </w:rPr>
              <w:t>8,455</w:t>
            </w:r>
          </w:p>
        </w:tc>
        <w:tc>
          <w:tcPr>
            <w:tcW w:w="840" w:type="dxa"/>
            <w:vAlign w:val="bottom"/>
            <w:gridSpan w:val="2"/>
          </w:tcPr>
          <w:p>
            <w:pPr>
              <w:jc w:val="right"/>
              <w:ind w:right="95"/>
              <w:spacing w:after="0" w:line="102" w:lineRule="exact"/>
              <w:rPr>
                <w:sz w:val="20"/>
                <w:szCs w:val="20"/>
                <w:color w:val="auto"/>
              </w:rPr>
            </w:pPr>
            <w:r>
              <w:rPr>
                <w:rFonts w:ascii="Arial" w:cs="Arial" w:eastAsia="Arial" w:hAnsi="Arial"/>
                <w:sz w:val="9"/>
                <w:szCs w:val="9"/>
                <w:color w:val="auto"/>
              </w:rPr>
              <w:t>8,455</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CIH Intermediate, LLC</w:t>
            </w:r>
          </w:p>
        </w:tc>
        <w:tc>
          <w:tcPr>
            <w:tcW w:w="2980" w:type="dxa"/>
            <w:vAlign w:val="bottom"/>
            <w:shd w:val="clear" w:color="auto" w:fill="CFF0FC"/>
          </w:tcPr>
          <w:p>
            <w:pPr>
              <w:ind w:left="20"/>
              <w:spacing w:after="0"/>
              <w:rPr>
                <w:sz w:val="20"/>
                <w:szCs w:val="20"/>
                <w:color w:val="auto"/>
              </w:rPr>
            </w:pPr>
            <w:r>
              <w:rPr>
                <w:rFonts w:ascii="Arial" w:cs="Arial" w:eastAsia="Arial" w:hAnsi="Arial"/>
                <w:sz w:val="9"/>
                <w:szCs w:val="9"/>
                <w:color w:val="auto"/>
              </w:rPr>
              <w:t>Business Services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Subordinated Debt (k)</w:t>
            </w:r>
          </w:p>
        </w:tc>
        <w:tc>
          <w:tcPr>
            <w:tcW w:w="2980" w:type="dxa"/>
            <w:vAlign w:val="bottom"/>
          </w:tcPr>
          <w:p>
            <w:pPr>
              <w:spacing w:after="0"/>
              <w:rPr>
                <w:sz w:val="9"/>
                <w:szCs w:val="9"/>
                <w:color w:val="auto"/>
              </w:rPr>
            </w:pPr>
          </w:p>
        </w:tc>
        <w:tc>
          <w:tcPr>
            <w:tcW w:w="880" w:type="dxa"/>
            <w:vAlign w:val="bottom"/>
          </w:tcPr>
          <w:p>
            <w:pPr>
              <w:ind w:left="160"/>
              <w:spacing w:after="0"/>
              <w:rPr>
                <w:sz w:val="20"/>
                <w:szCs w:val="20"/>
                <w:color w:val="auto"/>
              </w:rPr>
            </w:pPr>
            <w:r>
              <w:rPr>
                <w:rFonts w:ascii="Arial" w:cs="Arial" w:eastAsia="Arial" w:hAnsi="Arial"/>
                <w:sz w:val="9"/>
                <w:szCs w:val="9"/>
                <w:color w:val="auto"/>
              </w:rPr>
              <w:t>10.00%/1.00%</w:t>
            </w:r>
          </w:p>
        </w:tc>
        <w:tc>
          <w:tcPr>
            <w:tcW w:w="760" w:type="dxa"/>
            <w:vAlign w:val="bottom"/>
          </w:tcPr>
          <w:p>
            <w:pPr>
              <w:ind w:left="180"/>
              <w:spacing w:after="0"/>
              <w:rPr>
                <w:sz w:val="20"/>
                <w:szCs w:val="20"/>
                <w:color w:val="auto"/>
              </w:rPr>
            </w:pPr>
            <w:r>
              <w:rPr>
                <w:rFonts w:ascii="Arial" w:cs="Arial" w:eastAsia="Arial" w:hAnsi="Arial"/>
                <w:sz w:val="9"/>
                <w:szCs w:val="9"/>
                <w:color w:val="auto"/>
              </w:rPr>
              <w:t>3/3/2022</w:t>
            </w:r>
          </w:p>
        </w:tc>
        <w:tc>
          <w:tcPr>
            <w:tcW w:w="940" w:type="dxa"/>
            <w:vAlign w:val="bottom"/>
          </w:tcPr>
          <w:p>
            <w:pPr>
              <w:ind w:left="180"/>
              <w:spacing w:after="0"/>
              <w:rPr>
                <w:sz w:val="20"/>
                <w:szCs w:val="20"/>
                <w:color w:val="auto"/>
              </w:rPr>
            </w:pPr>
            <w:r>
              <w:rPr>
                <w:rFonts w:ascii="Arial" w:cs="Arial" w:eastAsia="Arial" w:hAnsi="Arial"/>
                <w:sz w:val="9"/>
                <w:szCs w:val="9"/>
                <w:color w:val="auto"/>
              </w:rPr>
              <w:t>3/3/2028</w:t>
            </w:r>
          </w:p>
        </w:tc>
        <w:tc>
          <w:tcPr>
            <w:tcW w:w="860" w:type="dxa"/>
            <w:vAlign w:val="bottom"/>
          </w:tcPr>
          <w:p>
            <w:pPr>
              <w:jc w:val="right"/>
              <w:ind w:right="195"/>
              <w:spacing w:after="0"/>
              <w:rPr>
                <w:sz w:val="20"/>
                <w:szCs w:val="20"/>
                <w:color w:val="auto"/>
              </w:rPr>
            </w:pPr>
            <w:r>
              <w:rPr>
                <w:rFonts w:ascii="Arial" w:cs="Arial" w:eastAsia="Arial" w:hAnsi="Arial"/>
                <w:sz w:val="9"/>
                <w:szCs w:val="9"/>
                <w:color w:val="auto"/>
              </w:rPr>
              <w:t>13,682</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13,552</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13,552</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(563 shares) (j)</w:t>
            </w:r>
          </w:p>
        </w:tc>
        <w:tc>
          <w:tcPr>
            <w:tcW w:w="29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3/3/2022</w:t>
            </w: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400</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400</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Preferred Equity (563 shares) (j)</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3/3/2022</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400</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400</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20" w:type="dxa"/>
            <w:vAlign w:val="bottom"/>
            <w:shd w:val="clear" w:color="auto" w:fill="CFF0FC"/>
          </w:tcPr>
          <w:p>
            <w:pPr>
              <w:spacing w:after="0"/>
              <w:rPr>
                <w:sz w:val="8"/>
                <w:szCs w:val="8"/>
                <w:color w:val="auto"/>
              </w:rPr>
            </w:pPr>
          </w:p>
        </w:tc>
        <w:tc>
          <w:tcPr>
            <w:tcW w:w="298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14,352</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14,352</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Combined Systems, Inc.</w:t>
            </w:r>
          </w:p>
        </w:tc>
        <w:tc>
          <w:tcPr>
            <w:tcW w:w="2980" w:type="dxa"/>
            <w:vAlign w:val="bottom"/>
          </w:tcPr>
          <w:p>
            <w:pPr>
              <w:ind w:left="20"/>
              <w:spacing w:after="0"/>
              <w:rPr>
                <w:sz w:val="20"/>
                <w:szCs w:val="20"/>
                <w:color w:val="auto"/>
              </w:rPr>
            </w:pPr>
            <w:r>
              <w:rPr>
                <w:rFonts w:ascii="Arial" w:cs="Arial" w:eastAsia="Arial" w:hAnsi="Arial"/>
                <w:sz w:val="9"/>
                <w:szCs w:val="9"/>
                <w:color w:val="auto"/>
              </w:rPr>
              <w:t>Aerospace &amp; Defense Manufacturing</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w:t>
            </w:r>
          </w:p>
        </w:tc>
        <w:tc>
          <w:tcPr>
            <w:tcW w:w="2980" w:type="dxa"/>
            <w:vAlign w:val="bottom"/>
            <w:shd w:val="clear" w:color="auto" w:fill="CFF0FC"/>
          </w:tcPr>
          <w:p>
            <w:pPr>
              <w:ind w:left="1980"/>
              <w:spacing w:after="0"/>
              <w:rPr>
                <w:sz w:val="20"/>
                <w:szCs w:val="20"/>
                <w:color w:val="auto"/>
              </w:rPr>
            </w:pPr>
            <w:r>
              <w:rPr>
                <w:rFonts w:ascii="Arial" w:cs="Arial" w:eastAsia="Arial" w:hAnsi="Arial"/>
                <w:sz w:val="9"/>
                <w:szCs w:val="9"/>
                <w:color w:val="auto"/>
              </w:rPr>
              <w:t>(L + 10.00%) / (2.00%)</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1/31/2020</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1/31/2025</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6,991</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6,961</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7,061</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Revolving Loan ($605 unfunded commitment) (j)(ac)</w:t>
            </w:r>
          </w:p>
        </w:tc>
        <w:tc>
          <w:tcPr>
            <w:tcW w:w="2980" w:type="dxa"/>
            <w:vAlign w:val="bottom"/>
          </w:tcPr>
          <w:p>
            <w:pPr>
              <w:ind w:left="1980"/>
              <w:spacing w:after="0"/>
              <w:rPr>
                <w:sz w:val="20"/>
                <w:szCs w:val="20"/>
                <w:color w:val="auto"/>
              </w:rPr>
            </w:pPr>
            <w:r>
              <w:rPr>
                <w:rFonts w:ascii="Arial" w:cs="Arial" w:eastAsia="Arial" w:hAnsi="Arial"/>
                <w:sz w:val="9"/>
                <w:szCs w:val="9"/>
                <w:color w:val="auto"/>
              </w:rPr>
              <w:t>(L + 9.00%) / (2.00%)</w:t>
            </w: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1/31/2020</w:t>
            </w:r>
          </w:p>
        </w:tc>
        <w:tc>
          <w:tcPr>
            <w:tcW w:w="940" w:type="dxa"/>
            <w:vAlign w:val="bottom"/>
          </w:tcPr>
          <w:p>
            <w:pPr>
              <w:ind w:left="180"/>
              <w:spacing w:after="0"/>
              <w:rPr>
                <w:sz w:val="20"/>
                <w:szCs w:val="20"/>
                <w:color w:val="auto"/>
              </w:rPr>
            </w:pPr>
            <w:r>
              <w:rPr>
                <w:rFonts w:ascii="Arial" w:cs="Arial" w:eastAsia="Arial" w:hAnsi="Arial"/>
                <w:sz w:val="9"/>
                <w:szCs w:val="9"/>
                <w:color w:val="auto"/>
              </w:rPr>
              <w:t>1/31/2025</w:t>
            </w:r>
          </w:p>
        </w:tc>
        <w:tc>
          <w:tcPr>
            <w:tcW w:w="860" w:type="dxa"/>
            <w:vAlign w:val="bottom"/>
          </w:tcPr>
          <w:p>
            <w:pPr>
              <w:jc w:val="right"/>
              <w:ind w:right="195"/>
              <w:spacing w:after="0"/>
              <w:rPr>
                <w:sz w:val="20"/>
                <w:szCs w:val="20"/>
                <w:color w:val="auto"/>
              </w:rPr>
            </w:pPr>
            <w:r>
              <w:rPr>
                <w:rFonts w:ascii="Arial" w:cs="Arial" w:eastAsia="Arial" w:hAnsi="Arial"/>
                <w:sz w:val="9"/>
                <w:szCs w:val="9"/>
                <w:color w:val="auto"/>
              </w:rPr>
              <w:t>3,395</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3,382</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3,395</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20" w:type="dxa"/>
            <w:vAlign w:val="bottom"/>
            <w:shd w:val="clear" w:color="auto" w:fill="CFF0FC"/>
          </w:tcPr>
          <w:p>
            <w:pPr>
              <w:spacing w:after="0"/>
              <w:rPr>
                <w:sz w:val="8"/>
                <w:szCs w:val="8"/>
                <w:color w:val="auto"/>
              </w:rPr>
            </w:pPr>
          </w:p>
        </w:tc>
        <w:tc>
          <w:tcPr>
            <w:tcW w:w="298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10,343</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10,456</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Comply365, LLC</w:t>
            </w:r>
          </w:p>
        </w:tc>
        <w:tc>
          <w:tcPr>
            <w:tcW w:w="2980" w:type="dxa"/>
            <w:vAlign w:val="bottom"/>
          </w:tcPr>
          <w:p>
            <w:pPr>
              <w:ind w:left="20"/>
              <w:spacing w:after="0"/>
              <w:rPr>
                <w:sz w:val="20"/>
                <w:szCs w:val="20"/>
                <w:color w:val="auto"/>
              </w:rPr>
            </w:pPr>
            <w:r>
              <w:rPr>
                <w:rFonts w:ascii="Arial" w:cs="Arial" w:eastAsia="Arial" w:hAnsi="Arial"/>
                <w:sz w:val="9"/>
                <w:szCs w:val="9"/>
                <w:color w:val="auto"/>
              </w:rPr>
              <w:t>Aerospace &amp; Defense Manufacturing</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(1,000,000 units)</w:t>
            </w:r>
          </w:p>
        </w:tc>
        <w:tc>
          <w:tcPr>
            <w:tcW w:w="29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12/11/2020</w:t>
            </w: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627</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1,024</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CRS Solutions Holdings, LLC (dba CRS Texas)</w:t>
            </w:r>
          </w:p>
        </w:tc>
        <w:tc>
          <w:tcPr>
            <w:tcW w:w="2980" w:type="dxa"/>
            <w:vAlign w:val="bottom"/>
            <w:shd w:val="clear" w:color="auto" w:fill="CFF0FC"/>
          </w:tcPr>
          <w:p>
            <w:pPr>
              <w:ind w:left="20"/>
              <w:spacing w:after="0"/>
              <w:rPr>
                <w:sz w:val="20"/>
                <w:szCs w:val="20"/>
                <w:color w:val="auto"/>
              </w:rPr>
            </w:pPr>
            <w:r>
              <w:rPr>
                <w:rFonts w:ascii="Arial" w:cs="Arial" w:eastAsia="Arial" w:hAnsi="Arial"/>
                <w:sz w:val="9"/>
                <w:szCs w:val="9"/>
                <w:color w:val="auto"/>
              </w:rPr>
              <w:t>Business Services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Common Equity (Class A Units) (574,929 units) (h)(j)</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6/28/2022</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272</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499</w:t>
            </w:r>
          </w:p>
        </w:tc>
        <w:tc>
          <w:tcPr>
            <w:tcW w:w="720" w:type="dxa"/>
            <w:vAlign w:val="bottom"/>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29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Dataguise, Inc.</w:t>
            </w:r>
          </w:p>
        </w:tc>
        <w:tc>
          <w:tcPr>
            <w:tcW w:w="2980" w:type="dxa"/>
            <w:vAlign w:val="bottom"/>
          </w:tcPr>
          <w:p>
            <w:pPr>
              <w:ind w:left="20"/>
              <w:spacing w:after="0"/>
              <w:rPr>
                <w:sz w:val="20"/>
                <w:szCs w:val="20"/>
                <w:color w:val="auto"/>
              </w:rPr>
            </w:pPr>
            <w:r>
              <w:rPr>
                <w:rFonts w:ascii="Arial" w:cs="Arial" w:eastAsia="Arial" w:hAnsi="Arial"/>
                <w:sz w:val="9"/>
                <w:szCs w:val="9"/>
                <w:color w:val="auto"/>
              </w:rPr>
              <w:t>Information Technology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w:t>
            </w:r>
          </w:p>
        </w:tc>
        <w:tc>
          <w:tcPr>
            <w:tcW w:w="2980" w:type="dxa"/>
            <w:vAlign w:val="bottom"/>
            <w:shd w:val="clear" w:color="auto" w:fill="CFF0FC"/>
          </w:tcPr>
          <w:p>
            <w:pPr>
              <w:spacing w:after="0"/>
              <w:rPr>
                <w:sz w:val="9"/>
                <w:szCs w:val="9"/>
                <w:color w:val="auto"/>
              </w:rPr>
            </w:pP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11.00%/0.00%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12/31/2020</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12/31/2023</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19,750</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19,700</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19,256</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Common Equity (909 shares) (j)</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12/31/2020</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1,500</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1,123</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20" w:type="dxa"/>
            <w:vAlign w:val="bottom"/>
            <w:shd w:val="clear" w:color="auto" w:fill="CFF0FC"/>
          </w:tcPr>
          <w:p>
            <w:pPr>
              <w:spacing w:after="0"/>
              <w:rPr>
                <w:sz w:val="8"/>
                <w:szCs w:val="8"/>
                <w:color w:val="auto"/>
              </w:rPr>
            </w:pPr>
          </w:p>
        </w:tc>
        <w:tc>
          <w:tcPr>
            <w:tcW w:w="298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21,200</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20,379</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Diversified Search LLC</w:t>
            </w:r>
          </w:p>
        </w:tc>
        <w:tc>
          <w:tcPr>
            <w:tcW w:w="2980" w:type="dxa"/>
            <w:vAlign w:val="bottom"/>
          </w:tcPr>
          <w:p>
            <w:pPr>
              <w:ind w:left="20"/>
              <w:spacing w:after="0"/>
              <w:rPr>
                <w:sz w:val="20"/>
                <w:szCs w:val="20"/>
                <w:color w:val="auto"/>
              </w:rPr>
            </w:pPr>
            <w:r>
              <w:rPr>
                <w:rFonts w:ascii="Arial" w:cs="Arial" w:eastAsia="Arial" w:hAnsi="Arial"/>
                <w:sz w:val="9"/>
                <w:szCs w:val="9"/>
                <w:color w:val="auto"/>
              </w:rPr>
              <w:t>Business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(k)(r)</w:t>
            </w:r>
          </w:p>
        </w:tc>
        <w:tc>
          <w:tcPr>
            <w:tcW w:w="2980" w:type="dxa"/>
            <w:vAlign w:val="bottom"/>
            <w:shd w:val="clear" w:color="auto" w:fill="CFF0FC"/>
          </w:tcPr>
          <w:p>
            <w:pPr>
              <w:ind w:left="1980"/>
              <w:spacing w:after="0"/>
              <w:rPr>
                <w:sz w:val="20"/>
                <w:szCs w:val="20"/>
                <w:color w:val="auto"/>
              </w:rPr>
            </w:pPr>
            <w:r>
              <w:rPr>
                <w:rFonts w:ascii="Arial" w:cs="Arial" w:eastAsia="Arial" w:hAnsi="Arial"/>
                <w:sz w:val="9"/>
                <w:szCs w:val="9"/>
                <w:color w:val="auto"/>
              </w:rPr>
              <w:t>(S + 6.50%) / (1.00%)</w:t>
            </w: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7.50%/0.00%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2/7/2019</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2/7/2024</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24,155</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23,990</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24,155</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Common Equity (573 units) (h)(j)</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2/7/2019</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593</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877</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20" w:type="dxa"/>
            <w:vAlign w:val="bottom"/>
            <w:shd w:val="clear" w:color="auto" w:fill="CFF0FC"/>
          </w:tcPr>
          <w:p>
            <w:pPr>
              <w:spacing w:after="0"/>
              <w:rPr>
                <w:sz w:val="8"/>
                <w:szCs w:val="8"/>
                <w:color w:val="auto"/>
              </w:rPr>
            </w:pPr>
          </w:p>
        </w:tc>
        <w:tc>
          <w:tcPr>
            <w:tcW w:w="298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24,583</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25,032</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5 %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EBL, LLC (EbLens)</w:t>
            </w:r>
          </w:p>
        </w:tc>
        <w:tc>
          <w:tcPr>
            <w:tcW w:w="2980" w:type="dxa"/>
            <w:vAlign w:val="bottom"/>
          </w:tcPr>
          <w:p>
            <w:pPr>
              <w:ind w:left="20"/>
              <w:spacing w:after="0"/>
              <w:rPr>
                <w:sz w:val="20"/>
                <w:szCs w:val="20"/>
                <w:color w:val="auto"/>
              </w:rPr>
            </w:pPr>
            <w:r>
              <w:rPr>
                <w:rFonts w:ascii="Arial" w:cs="Arial" w:eastAsia="Arial" w:hAnsi="Arial"/>
                <w:sz w:val="9"/>
                <w:szCs w:val="9"/>
                <w:color w:val="auto"/>
              </w:rPr>
              <w:t>Retail</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Second Lien Debt (j)(y)</w:t>
            </w:r>
          </w:p>
        </w:tc>
        <w:tc>
          <w:tcPr>
            <w:tcW w:w="2980" w:type="dxa"/>
            <w:vAlign w:val="bottom"/>
            <w:shd w:val="clear" w:color="auto" w:fill="CFF0FC"/>
          </w:tcPr>
          <w:p>
            <w:pPr>
              <w:spacing w:after="0"/>
              <w:rPr>
                <w:sz w:val="9"/>
                <w:szCs w:val="9"/>
                <w:color w:val="auto"/>
              </w:rPr>
            </w:pP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12.50%/1.50%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7/13/2017</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1/13/2023</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9,351</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9,337</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5,588</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Common Equity (75,000 units) (j)</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7/13/2017</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750</w:t>
            </w:r>
          </w:p>
        </w:tc>
        <w:tc>
          <w:tcPr>
            <w:tcW w:w="80" w:type="dxa"/>
            <w:vAlign w:val="bottom"/>
          </w:tcPr>
          <w:p>
            <w:pPr>
              <w:spacing w:after="0"/>
              <w:rPr>
                <w:sz w:val="9"/>
                <w:szCs w:val="9"/>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20" w:type="dxa"/>
            <w:vAlign w:val="bottom"/>
            <w:shd w:val="clear" w:color="auto" w:fill="CFF0FC"/>
          </w:tcPr>
          <w:p>
            <w:pPr>
              <w:spacing w:after="0"/>
              <w:rPr>
                <w:sz w:val="8"/>
                <w:szCs w:val="8"/>
                <w:color w:val="auto"/>
              </w:rPr>
            </w:pPr>
          </w:p>
        </w:tc>
        <w:tc>
          <w:tcPr>
            <w:tcW w:w="298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10,087</w:t>
            </w:r>
          </w:p>
        </w:tc>
        <w:tc>
          <w:tcPr>
            <w:tcW w:w="80" w:type="dxa"/>
            <w:vAlign w:val="bottom"/>
            <w:shd w:val="clear" w:color="auto" w:fill="CFF0FC"/>
          </w:tcPr>
          <w:p>
            <w:pPr>
              <w:spacing w:after="0"/>
              <w:rPr>
                <w:sz w:val="8"/>
                <w:szCs w:val="8"/>
                <w:color w:val="auto"/>
              </w:rPr>
            </w:pPr>
          </w:p>
        </w:tc>
        <w:tc>
          <w:tcPr>
            <w:tcW w:w="760" w:type="dxa"/>
            <w:vAlign w:val="bottom"/>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5,588</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ECM Industries, LLC</w:t>
            </w:r>
          </w:p>
        </w:tc>
        <w:tc>
          <w:tcPr>
            <w:tcW w:w="2980" w:type="dxa"/>
            <w:vAlign w:val="bottom"/>
          </w:tcPr>
          <w:p>
            <w:pPr>
              <w:ind w:left="20"/>
              <w:spacing w:after="0"/>
              <w:rPr>
                <w:sz w:val="20"/>
                <w:szCs w:val="20"/>
                <w:color w:val="auto"/>
              </w:rPr>
            </w:pPr>
            <w:r>
              <w:rPr>
                <w:rFonts w:ascii="Arial" w:cs="Arial" w:eastAsia="Arial" w:hAnsi="Arial"/>
                <w:sz w:val="9"/>
                <w:szCs w:val="9"/>
                <w:color w:val="auto"/>
              </w:rPr>
              <w:t>Component Manufacturing</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(1,000,000 units) (h)(j)</w:t>
            </w:r>
          </w:p>
        </w:tc>
        <w:tc>
          <w:tcPr>
            <w:tcW w:w="29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4/30/2020</w:t>
            </w: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221</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1,250</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Elements Brands, LLC</w:t>
            </w:r>
          </w:p>
        </w:tc>
        <w:tc>
          <w:tcPr>
            <w:tcW w:w="2980" w:type="dxa"/>
            <w:vAlign w:val="bottom"/>
            <w:shd w:val="clear" w:color="auto" w:fill="CFF0FC"/>
          </w:tcPr>
          <w:p>
            <w:pPr>
              <w:ind w:left="20"/>
              <w:spacing w:after="0"/>
              <w:rPr>
                <w:sz w:val="20"/>
                <w:szCs w:val="20"/>
                <w:color w:val="auto"/>
              </w:rPr>
            </w:pPr>
            <w:r>
              <w:rPr>
                <w:rFonts w:ascii="Arial" w:cs="Arial" w:eastAsia="Arial" w:hAnsi="Arial"/>
                <w:sz w:val="9"/>
                <w:szCs w:val="9"/>
                <w:color w:val="auto"/>
              </w:rPr>
              <w:t>Consumer Products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First Lien Debt</w:t>
            </w:r>
          </w:p>
        </w:tc>
        <w:tc>
          <w:tcPr>
            <w:tcW w:w="2980" w:type="dxa"/>
            <w:vAlign w:val="bottom"/>
          </w:tcPr>
          <w:p>
            <w:pPr>
              <w:spacing w:after="0"/>
              <w:rPr>
                <w:sz w:val="9"/>
                <w:szCs w:val="9"/>
                <w:color w:val="auto"/>
              </w:rPr>
            </w:pPr>
          </w:p>
        </w:tc>
        <w:tc>
          <w:tcPr>
            <w:tcW w:w="880" w:type="dxa"/>
            <w:vAlign w:val="bottom"/>
          </w:tcPr>
          <w:p>
            <w:pPr>
              <w:ind w:left="160"/>
              <w:spacing w:after="0"/>
              <w:rPr>
                <w:sz w:val="20"/>
                <w:szCs w:val="20"/>
                <w:color w:val="auto"/>
              </w:rPr>
            </w:pPr>
            <w:r>
              <w:rPr>
                <w:rFonts w:ascii="Arial" w:cs="Arial" w:eastAsia="Arial" w:hAnsi="Arial"/>
                <w:sz w:val="9"/>
                <w:szCs w:val="9"/>
                <w:color w:val="auto"/>
              </w:rPr>
              <w:t>12.25%/0.00%</w:t>
            </w:r>
          </w:p>
        </w:tc>
        <w:tc>
          <w:tcPr>
            <w:tcW w:w="760" w:type="dxa"/>
            <w:vAlign w:val="bottom"/>
          </w:tcPr>
          <w:p>
            <w:pPr>
              <w:ind w:left="180"/>
              <w:spacing w:after="0"/>
              <w:rPr>
                <w:sz w:val="20"/>
                <w:szCs w:val="20"/>
                <w:color w:val="auto"/>
              </w:rPr>
            </w:pPr>
            <w:r>
              <w:rPr>
                <w:rFonts w:ascii="Arial" w:cs="Arial" w:eastAsia="Arial" w:hAnsi="Arial"/>
                <w:sz w:val="9"/>
                <w:szCs w:val="9"/>
                <w:color w:val="auto"/>
              </w:rPr>
              <w:t>12/31/2020</w:t>
            </w:r>
          </w:p>
        </w:tc>
        <w:tc>
          <w:tcPr>
            <w:tcW w:w="940" w:type="dxa"/>
            <w:vAlign w:val="bottom"/>
          </w:tcPr>
          <w:p>
            <w:pPr>
              <w:ind w:left="180"/>
              <w:spacing w:after="0"/>
              <w:rPr>
                <w:sz w:val="20"/>
                <w:szCs w:val="20"/>
                <w:color w:val="auto"/>
              </w:rPr>
            </w:pPr>
            <w:r>
              <w:rPr>
                <w:rFonts w:ascii="Arial" w:cs="Arial" w:eastAsia="Arial" w:hAnsi="Arial"/>
                <w:sz w:val="9"/>
                <w:szCs w:val="9"/>
                <w:color w:val="auto"/>
              </w:rPr>
              <w:t>12/31/2025</w:t>
            </w:r>
          </w:p>
        </w:tc>
        <w:tc>
          <w:tcPr>
            <w:tcW w:w="860" w:type="dxa"/>
            <w:vAlign w:val="bottom"/>
          </w:tcPr>
          <w:p>
            <w:pPr>
              <w:jc w:val="right"/>
              <w:ind w:right="195"/>
              <w:spacing w:after="0"/>
              <w:rPr>
                <w:sz w:val="20"/>
                <w:szCs w:val="20"/>
                <w:color w:val="auto"/>
              </w:rPr>
            </w:pPr>
            <w:r>
              <w:rPr>
                <w:rFonts w:ascii="Arial" w:cs="Arial" w:eastAsia="Arial" w:hAnsi="Arial"/>
                <w:sz w:val="9"/>
                <w:szCs w:val="9"/>
                <w:color w:val="auto"/>
              </w:rPr>
              <w:t>5,625</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5,602</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5,625</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Revolving Loan ($1,500 unfunded commitment) (j)(i)</w:t>
            </w:r>
          </w:p>
        </w:tc>
        <w:tc>
          <w:tcPr>
            <w:tcW w:w="2980" w:type="dxa"/>
            <w:vAlign w:val="bottom"/>
            <w:tcBorders>
              <w:bottom w:val="single" w:sz="8" w:color="CFF0FC"/>
            </w:tcBorders>
            <w:shd w:val="clear" w:color="auto" w:fill="CFF0FC"/>
          </w:tcPr>
          <w:p>
            <w:pPr>
              <w:spacing w:after="0"/>
              <w:rPr>
                <w:sz w:val="9"/>
                <w:szCs w:val="9"/>
                <w:color w:val="auto"/>
              </w:rPr>
            </w:pPr>
          </w:p>
        </w:tc>
        <w:tc>
          <w:tcPr>
            <w:tcW w:w="8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12.25%/0.00%</w:t>
            </w:r>
          </w:p>
        </w:tc>
        <w:tc>
          <w:tcPr>
            <w:tcW w:w="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12/31/2020</w:t>
            </w:r>
          </w:p>
        </w:tc>
        <w:tc>
          <w:tcPr>
            <w:tcW w:w="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12/31/2025</w:t>
            </w:r>
          </w:p>
        </w:tc>
        <w:tc>
          <w:tcPr>
            <w:tcW w:w="860" w:type="dxa"/>
            <w:vAlign w:val="bottom"/>
            <w:tcBorders>
              <w:bottom w:val="single" w:sz="8" w:color="CFF0FC"/>
            </w:tcBorders>
            <w:shd w:val="clear" w:color="auto" w:fill="CFF0FC"/>
          </w:tcPr>
          <w:p>
            <w:pPr>
              <w:jc w:val="right"/>
              <w:ind w:right="195"/>
              <w:spacing w:after="0"/>
              <w:rPr>
                <w:sz w:val="20"/>
                <w:szCs w:val="20"/>
                <w:color w:val="auto"/>
              </w:rPr>
            </w:pPr>
            <w:r>
              <w:rPr>
                <w:rFonts w:ascii="Arial" w:cs="Arial" w:eastAsia="Arial" w:hAnsi="Arial"/>
                <w:sz w:val="9"/>
                <w:szCs w:val="9"/>
                <w:color w:val="auto"/>
              </w:rPr>
              <w:t>1,500</w:t>
            </w: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1,488</w:t>
            </w:r>
          </w:p>
        </w:tc>
        <w:tc>
          <w:tcPr>
            <w:tcW w:w="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1,500</w:t>
            </w:r>
          </w:p>
        </w:tc>
        <w:tc>
          <w:tcPr>
            <w:tcW w:w="7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jc w:val="right"/>
              <w:ind w:right="75"/>
              <w:spacing w:after="0" w:line="102" w:lineRule="exact"/>
              <w:rPr>
                <w:sz w:val="20"/>
                <w:szCs w:val="20"/>
                <w:color w:val="auto"/>
              </w:rPr>
            </w:pPr>
            <w:r>
              <w:rPr>
                <w:rFonts w:ascii="Arial" w:cs="Arial" w:eastAsia="Arial" w:hAnsi="Arial"/>
                <w:sz w:val="9"/>
                <w:szCs w:val="9"/>
                <w:color w:val="auto"/>
              </w:rPr>
              <w:t>7,090</w:t>
            </w:r>
          </w:p>
        </w:tc>
        <w:tc>
          <w:tcPr>
            <w:tcW w:w="840" w:type="dxa"/>
            <w:vAlign w:val="bottom"/>
            <w:gridSpan w:val="2"/>
          </w:tcPr>
          <w:p>
            <w:pPr>
              <w:jc w:val="right"/>
              <w:ind w:right="95"/>
              <w:spacing w:after="0" w:line="102" w:lineRule="exact"/>
              <w:rPr>
                <w:sz w:val="20"/>
                <w:szCs w:val="20"/>
                <w:color w:val="auto"/>
              </w:rPr>
            </w:pPr>
            <w:r>
              <w:rPr>
                <w:rFonts w:ascii="Arial" w:cs="Arial" w:eastAsia="Arial" w:hAnsi="Arial"/>
                <w:sz w:val="9"/>
                <w:szCs w:val="9"/>
                <w:color w:val="auto"/>
              </w:rPr>
              <w:t>7,125</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Fishbowl Solutions, LLC</w:t>
            </w:r>
          </w:p>
        </w:tc>
        <w:tc>
          <w:tcPr>
            <w:tcW w:w="2980" w:type="dxa"/>
            <w:vAlign w:val="bottom"/>
            <w:shd w:val="clear" w:color="auto" w:fill="CFF0FC"/>
          </w:tcPr>
          <w:p>
            <w:pPr>
              <w:ind w:left="20"/>
              <w:spacing w:after="0"/>
              <w:rPr>
                <w:sz w:val="20"/>
                <w:szCs w:val="20"/>
                <w:color w:val="auto"/>
              </w:rPr>
            </w:pPr>
            <w:r>
              <w:rPr>
                <w:rFonts w:ascii="Arial" w:cs="Arial" w:eastAsia="Arial" w:hAnsi="Arial"/>
                <w:sz w:val="9"/>
                <w:szCs w:val="9"/>
                <w:color w:val="auto"/>
              </w:rPr>
              <w:t>Information Technology Services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First Lien Debt (ar)</w:t>
            </w:r>
          </w:p>
        </w:tc>
        <w:tc>
          <w:tcPr>
            <w:tcW w:w="2980" w:type="dxa"/>
            <w:vAlign w:val="bottom"/>
          </w:tcPr>
          <w:p>
            <w:pPr>
              <w:ind w:left="1980"/>
              <w:spacing w:after="0"/>
              <w:rPr>
                <w:sz w:val="20"/>
                <w:szCs w:val="20"/>
                <w:color w:val="auto"/>
              </w:rPr>
            </w:pPr>
            <w:r>
              <w:rPr>
                <w:rFonts w:ascii="Arial" w:cs="Arial" w:eastAsia="Arial" w:hAnsi="Arial"/>
                <w:sz w:val="9"/>
                <w:szCs w:val="9"/>
                <w:color w:val="auto"/>
              </w:rPr>
              <w:t>(S + 7.75%) / (1.00%)</w:t>
            </w:r>
          </w:p>
        </w:tc>
        <w:tc>
          <w:tcPr>
            <w:tcW w:w="880" w:type="dxa"/>
            <w:vAlign w:val="bottom"/>
          </w:tcPr>
          <w:p>
            <w:pPr>
              <w:ind w:left="160"/>
              <w:spacing w:after="0"/>
              <w:rPr>
                <w:sz w:val="20"/>
                <w:szCs w:val="20"/>
                <w:color w:val="auto"/>
              </w:rPr>
            </w:pPr>
            <w:r>
              <w:rPr>
                <w:rFonts w:ascii="Arial" w:cs="Arial" w:eastAsia="Arial" w:hAnsi="Arial"/>
                <w:sz w:val="9"/>
                <w:szCs w:val="9"/>
                <w:color w:val="auto"/>
              </w:rPr>
              <w:t>8.75%/0.00%</w:t>
            </w:r>
          </w:p>
        </w:tc>
        <w:tc>
          <w:tcPr>
            <w:tcW w:w="760" w:type="dxa"/>
            <w:vAlign w:val="bottom"/>
          </w:tcPr>
          <w:p>
            <w:pPr>
              <w:ind w:left="180"/>
              <w:spacing w:after="0"/>
              <w:rPr>
                <w:sz w:val="20"/>
                <w:szCs w:val="20"/>
                <w:color w:val="auto"/>
              </w:rPr>
            </w:pPr>
            <w:r>
              <w:rPr>
                <w:rFonts w:ascii="Arial" w:cs="Arial" w:eastAsia="Arial" w:hAnsi="Arial"/>
                <w:sz w:val="9"/>
                <w:szCs w:val="9"/>
                <w:color w:val="auto"/>
              </w:rPr>
              <w:t>3/25/2022</w:t>
            </w:r>
          </w:p>
        </w:tc>
        <w:tc>
          <w:tcPr>
            <w:tcW w:w="940" w:type="dxa"/>
            <w:vAlign w:val="bottom"/>
          </w:tcPr>
          <w:p>
            <w:pPr>
              <w:ind w:left="180"/>
              <w:spacing w:after="0"/>
              <w:rPr>
                <w:sz w:val="20"/>
                <w:szCs w:val="20"/>
                <w:color w:val="auto"/>
              </w:rPr>
            </w:pPr>
            <w:r>
              <w:rPr>
                <w:rFonts w:ascii="Arial" w:cs="Arial" w:eastAsia="Arial" w:hAnsi="Arial"/>
                <w:sz w:val="9"/>
                <w:szCs w:val="9"/>
                <w:color w:val="auto"/>
              </w:rPr>
              <w:t>3/25/2027</w:t>
            </w:r>
          </w:p>
        </w:tc>
        <w:tc>
          <w:tcPr>
            <w:tcW w:w="860" w:type="dxa"/>
            <w:vAlign w:val="bottom"/>
          </w:tcPr>
          <w:p>
            <w:pPr>
              <w:jc w:val="right"/>
              <w:ind w:right="195"/>
              <w:spacing w:after="0"/>
              <w:rPr>
                <w:sz w:val="20"/>
                <w:szCs w:val="20"/>
                <w:color w:val="auto"/>
              </w:rPr>
            </w:pPr>
            <w:r>
              <w:rPr>
                <w:rFonts w:ascii="Arial" w:cs="Arial" w:eastAsia="Arial" w:hAnsi="Arial"/>
                <w:sz w:val="9"/>
                <w:szCs w:val="9"/>
                <w:color w:val="auto"/>
              </w:rPr>
              <w:t>14,500</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14,397</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14,397</w:t>
            </w:r>
          </w:p>
        </w:tc>
        <w:tc>
          <w:tcPr>
            <w:tcW w:w="720" w:type="dxa"/>
            <w:vAlign w:val="bottom"/>
          </w:tcPr>
          <w:p>
            <w:pPr>
              <w:jc w:val="right"/>
              <w:spacing w:after="0"/>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29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20" w:type="dxa"/>
            <w:vAlign w:val="bottom"/>
          </w:tcPr>
          <w:p>
            <w:pPr>
              <w:ind w:left="20"/>
              <w:spacing w:after="0" w:line="81" w:lineRule="exact"/>
              <w:rPr>
                <w:sz w:val="20"/>
                <w:szCs w:val="20"/>
                <w:color w:val="auto"/>
              </w:rPr>
            </w:pPr>
            <w:r>
              <w:rPr>
                <w:rFonts w:ascii="Arial" w:cs="Arial" w:eastAsia="Arial" w:hAnsi="Arial"/>
                <w:sz w:val="9"/>
                <w:szCs w:val="9"/>
                <w:i w:val="1"/>
                <w:iCs w:val="1"/>
                <w:color w:val="auto"/>
              </w:rPr>
              <w:t>Frontline Food Services, LLC</w:t>
            </w:r>
          </w:p>
        </w:tc>
        <w:tc>
          <w:tcPr>
            <w:tcW w:w="2980" w:type="dxa"/>
            <w:vAlign w:val="bottom"/>
            <w:vMerge w:val="restart"/>
          </w:tcPr>
          <w:p>
            <w:pPr>
              <w:ind w:left="20"/>
              <w:spacing w:after="0"/>
              <w:rPr>
                <w:sz w:val="20"/>
                <w:szCs w:val="20"/>
                <w:color w:val="auto"/>
              </w:rPr>
            </w:pPr>
            <w:r>
              <w:rPr>
                <w:rFonts w:ascii="Arial" w:cs="Arial" w:eastAsia="Arial" w:hAnsi="Arial"/>
                <w:sz w:val="9"/>
                <w:szCs w:val="9"/>
                <w:color w:val="auto"/>
              </w:rPr>
              <w:t>Vending Equipment Manufacturing</w:t>
            </w: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(f/k/a Accent Food Services, LLC) (n)</w:t>
            </w:r>
          </w:p>
        </w:tc>
        <w:tc>
          <w:tcPr>
            <w:tcW w:w="29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Preferred Equity (Class A Units) (46 units) (j)</w:t>
            </w:r>
          </w:p>
        </w:tc>
        <w:tc>
          <w:tcPr>
            <w:tcW w:w="29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12/31/2020</w:t>
            </w: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Common Equity (Class B Units) (124 units) (j)</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12/31/2020</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27</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Preferred Equity (Class C Units) (100 units) (j)</w:t>
            </w:r>
          </w:p>
        </w:tc>
        <w:tc>
          <w:tcPr>
            <w:tcW w:w="2980" w:type="dxa"/>
            <w:vAlign w:val="bottom"/>
            <w:tcBorders>
              <w:bottom w:val="single" w:sz="8" w:color="CFF0FC"/>
            </w:tcBorders>
            <w:shd w:val="clear" w:color="auto" w:fill="CFF0FC"/>
          </w:tcPr>
          <w:p>
            <w:pPr>
              <w:spacing w:after="0"/>
              <w:rPr>
                <w:sz w:val="9"/>
                <w:szCs w:val="9"/>
                <w:color w:val="auto"/>
              </w:rPr>
            </w:pPr>
          </w:p>
        </w:tc>
        <w:tc>
          <w:tcPr>
            <w:tcW w:w="8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12/31/2020</w:t>
            </w:r>
          </w:p>
        </w:tc>
        <w:tc>
          <w:tcPr>
            <w:tcW w:w="94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158</w:t>
            </w:r>
          </w:p>
        </w:tc>
        <w:tc>
          <w:tcPr>
            <w:tcW w:w="7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jc w:val="right"/>
              <w:ind w:right="75"/>
              <w:spacing w:after="0" w:line="102" w:lineRule="exact"/>
              <w:rPr>
                <w:sz w:val="20"/>
                <w:szCs w:val="20"/>
                <w:color w:val="auto"/>
              </w:rPr>
            </w:pPr>
            <w:r>
              <w:rPr>
                <w:rFonts w:ascii="Arial" w:cs="Arial" w:eastAsia="Arial" w:hAnsi="Arial"/>
                <w:sz w:val="9"/>
                <w:szCs w:val="9"/>
                <w:color w:val="auto"/>
              </w:rPr>
              <w:t>—</w:t>
            </w:r>
          </w:p>
        </w:tc>
        <w:tc>
          <w:tcPr>
            <w:tcW w:w="840" w:type="dxa"/>
            <w:vAlign w:val="bottom"/>
            <w:gridSpan w:val="2"/>
          </w:tcPr>
          <w:p>
            <w:pPr>
              <w:jc w:val="right"/>
              <w:ind w:right="95"/>
              <w:spacing w:after="0" w:line="102" w:lineRule="exact"/>
              <w:rPr>
                <w:sz w:val="20"/>
                <w:szCs w:val="20"/>
                <w:color w:val="auto"/>
              </w:rPr>
            </w:pPr>
            <w:r>
              <w:rPr>
                <w:rFonts w:ascii="Arial" w:cs="Arial" w:eastAsia="Arial" w:hAnsi="Arial"/>
                <w:sz w:val="9"/>
                <w:szCs w:val="9"/>
                <w:color w:val="auto"/>
              </w:rPr>
              <w:t>185</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Global Plasma Solutions, Inc.</w:t>
            </w:r>
          </w:p>
        </w:tc>
        <w:tc>
          <w:tcPr>
            <w:tcW w:w="2980" w:type="dxa"/>
            <w:vAlign w:val="bottom"/>
            <w:shd w:val="clear" w:color="auto" w:fill="CFF0FC"/>
          </w:tcPr>
          <w:p>
            <w:pPr>
              <w:ind w:left="20"/>
              <w:spacing w:after="0"/>
              <w:rPr>
                <w:sz w:val="20"/>
                <w:szCs w:val="20"/>
                <w:color w:val="auto"/>
              </w:rPr>
            </w:pPr>
            <w:r>
              <w:rPr>
                <w:rFonts w:ascii="Arial" w:cs="Arial" w:eastAsia="Arial" w:hAnsi="Arial"/>
                <w:sz w:val="9"/>
                <w:szCs w:val="9"/>
                <w:color w:val="auto"/>
              </w:rPr>
              <w:t>Component Manufacturing</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Common Equity (947 shares) (j)</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9/21/2018</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52</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551</w:t>
            </w:r>
          </w:p>
        </w:tc>
        <w:tc>
          <w:tcPr>
            <w:tcW w:w="720" w:type="dxa"/>
            <w:vAlign w:val="bottom"/>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29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GP&amp;C Operations, LLC (dba Garlock Printing and Converting)</w:t>
            </w:r>
          </w:p>
        </w:tc>
        <w:tc>
          <w:tcPr>
            <w:tcW w:w="2980" w:type="dxa"/>
            <w:vAlign w:val="bottom"/>
          </w:tcPr>
          <w:p>
            <w:pPr>
              <w:ind w:left="20"/>
              <w:spacing w:after="0"/>
              <w:rPr>
                <w:sz w:val="20"/>
                <w:szCs w:val="20"/>
                <w:color w:val="auto"/>
              </w:rPr>
            </w:pPr>
            <w:r>
              <w:rPr>
                <w:rFonts w:ascii="Arial" w:cs="Arial" w:eastAsia="Arial" w:hAnsi="Arial"/>
                <w:sz w:val="9"/>
                <w:szCs w:val="9"/>
                <w:color w:val="auto"/>
              </w:rPr>
              <w:t>Component Manufacturing</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(w)</w:t>
            </w:r>
          </w:p>
        </w:tc>
        <w:tc>
          <w:tcPr>
            <w:tcW w:w="2980" w:type="dxa"/>
            <w:vAlign w:val="bottom"/>
            <w:shd w:val="clear" w:color="auto" w:fill="CFF0FC"/>
          </w:tcPr>
          <w:p>
            <w:pPr>
              <w:ind w:left="1980"/>
              <w:spacing w:after="0"/>
              <w:rPr>
                <w:sz w:val="20"/>
                <w:szCs w:val="20"/>
                <w:color w:val="auto"/>
              </w:rPr>
            </w:pPr>
            <w:r>
              <w:rPr>
                <w:rFonts w:ascii="Arial" w:cs="Arial" w:eastAsia="Arial" w:hAnsi="Arial"/>
                <w:sz w:val="9"/>
                <w:szCs w:val="9"/>
                <w:color w:val="auto"/>
              </w:rPr>
              <w:t>(L + 8.25%) / (1.00%)</w:t>
            </w: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9.85%/0.00%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1/22/2021</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1/22/2026</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11,000</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10,882</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11,000</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Common Equity (515,625 units) (h)(j)</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1/22/2021</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516</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197</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20" w:type="dxa"/>
            <w:vAlign w:val="bottom"/>
            <w:shd w:val="clear" w:color="auto" w:fill="CFF0FC"/>
          </w:tcPr>
          <w:p>
            <w:pPr>
              <w:spacing w:after="0"/>
              <w:rPr>
                <w:sz w:val="8"/>
                <w:szCs w:val="8"/>
                <w:color w:val="auto"/>
              </w:rPr>
            </w:pPr>
          </w:p>
        </w:tc>
        <w:tc>
          <w:tcPr>
            <w:tcW w:w="298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11,398</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11,197</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Green Cubes Technology, LLC (dba Green Cubes)</w:t>
            </w:r>
          </w:p>
        </w:tc>
        <w:tc>
          <w:tcPr>
            <w:tcW w:w="2980" w:type="dxa"/>
            <w:vAlign w:val="bottom"/>
          </w:tcPr>
          <w:p>
            <w:pPr>
              <w:ind w:left="20"/>
              <w:spacing w:after="0"/>
              <w:rPr>
                <w:sz w:val="20"/>
                <w:szCs w:val="20"/>
                <w:color w:val="auto"/>
              </w:rPr>
            </w:pPr>
            <w:r>
              <w:rPr>
                <w:rFonts w:ascii="Arial" w:cs="Arial" w:eastAsia="Arial" w:hAnsi="Arial"/>
                <w:sz w:val="9"/>
                <w:szCs w:val="9"/>
                <w:color w:val="auto"/>
              </w:rPr>
              <w:t>Information Technology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w:t>
            </w:r>
          </w:p>
        </w:tc>
        <w:tc>
          <w:tcPr>
            <w:tcW w:w="2980" w:type="dxa"/>
            <w:vAlign w:val="bottom"/>
            <w:shd w:val="clear" w:color="auto" w:fill="CFF0FC"/>
          </w:tcPr>
          <w:p>
            <w:pPr>
              <w:ind w:left="1980"/>
              <w:spacing w:after="0"/>
              <w:rPr>
                <w:sz w:val="20"/>
                <w:szCs w:val="20"/>
                <w:color w:val="auto"/>
              </w:rPr>
            </w:pPr>
            <w:r>
              <w:rPr>
                <w:rFonts w:ascii="Arial" w:cs="Arial" w:eastAsia="Arial" w:hAnsi="Arial"/>
                <w:sz w:val="9"/>
                <w:szCs w:val="9"/>
                <w:color w:val="auto"/>
              </w:rPr>
              <w:t>(L + 13.00%) / (0.00%)</w:t>
            </w: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14.63%/0.00%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12/17/2021</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12/17/2024</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13,000</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12,940</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13,000</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Gurobi Optimization, LLC</w:t>
            </w:r>
          </w:p>
        </w:tc>
        <w:tc>
          <w:tcPr>
            <w:tcW w:w="2980" w:type="dxa"/>
            <w:vAlign w:val="bottom"/>
            <w:shd w:val="clear" w:color="auto" w:fill="CFF0FC"/>
          </w:tcPr>
          <w:p>
            <w:pPr>
              <w:ind w:left="20"/>
              <w:spacing w:after="0"/>
              <w:rPr>
                <w:sz w:val="20"/>
                <w:szCs w:val="20"/>
                <w:color w:val="auto"/>
              </w:rPr>
            </w:pPr>
            <w:r>
              <w:rPr>
                <w:rFonts w:ascii="Arial" w:cs="Arial" w:eastAsia="Arial" w:hAnsi="Arial"/>
                <w:sz w:val="9"/>
                <w:szCs w:val="9"/>
                <w:color w:val="auto"/>
              </w:rPr>
              <w:t>Information Technology Services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Common Equity (3 shares)</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12/19/2017</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605</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2,122</w:t>
            </w:r>
          </w:p>
        </w:tc>
        <w:tc>
          <w:tcPr>
            <w:tcW w:w="720" w:type="dxa"/>
            <w:vAlign w:val="bottom"/>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29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Haematologic Technologies, Inc.</w:t>
            </w:r>
          </w:p>
        </w:tc>
        <w:tc>
          <w:tcPr>
            <w:tcW w:w="2980" w:type="dxa"/>
            <w:vAlign w:val="bottom"/>
          </w:tcPr>
          <w:p>
            <w:pPr>
              <w:ind w:left="20"/>
              <w:spacing w:after="0"/>
              <w:rPr>
                <w:sz w:val="20"/>
                <w:szCs w:val="20"/>
                <w:color w:val="auto"/>
              </w:rPr>
            </w:pPr>
            <w:r>
              <w:rPr>
                <w:rFonts w:ascii="Arial" w:cs="Arial" w:eastAsia="Arial" w:hAnsi="Arial"/>
                <w:sz w:val="9"/>
                <w:szCs w:val="9"/>
                <w:color w:val="auto"/>
              </w:rPr>
              <w:t>Healthcare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(x)</w:t>
            </w:r>
          </w:p>
        </w:tc>
        <w:tc>
          <w:tcPr>
            <w:tcW w:w="2980" w:type="dxa"/>
            <w:vAlign w:val="bottom"/>
            <w:shd w:val="clear" w:color="auto" w:fill="CFF0FC"/>
          </w:tcPr>
          <w:p>
            <w:pPr>
              <w:ind w:left="1980"/>
              <w:spacing w:after="0"/>
              <w:rPr>
                <w:sz w:val="20"/>
                <w:szCs w:val="20"/>
                <w:color w:val="auto"/>
              </w:rPr>
            </w:pPr>
            <w:r>
              <w:rPr>
                <w:rFonts w:ascii="Arial" w:cs="Arial" w:eastAsia="Arial" w:hAnsi="Arial"/>
                <w:sz w:val="9"/>
                <w:szCs w:val="9"/>
                <w:color w:val="auto"/>
              </w:rPr>
              <w:t>(L + 8.25%) / (2.00%)</w:t>
            </w: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10.50%/0.00%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10/11/2019</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10/11/2024</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5,378</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5,359</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5,026</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Common Equity (630 units) (h)(j)</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10/11/2019</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630</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124</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20" w:type="dxa"/>
            <w:vAlign w:val="bottom"/>
            <w:shd w:val="clear" w:color="auto" w:fill="CFF0FC"/>
          </w:tcPr>
          <w:p>
            <w:pPr>
              <w:spacing w:after="0"/>
              <w:rPr>
                <w:sz w:val="8"/>
                <w:szCs w:val="8"/>
                <w:color w:val="auto"/>
              </w:rPr>
            </w:pPr>
          </w:p>
        </w:tc>
        <w:tc>
          <w:tcPr>
            <w:tcW w:w="298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5,989</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5,150</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Hallmark Health Care Solutions, Inc.</w:t>
            </w:r>
          </w:p>
        </w:tc>
        <w:tc>
          <w:tcPr>
            <w:tcW w:w="2980" w:type="dxa"/>
            <w:vAlign w:val="bottom"/>
          </w:tcPr>
          <w:p>
            <w:pPr>
              <w:ind w:left="20"/>
              <w:spacing w:after="0"/>
              <w:rPr>
                <w:sz w:val="20"/>
                <w:szCs w:val="20"/>
                <w:color w:val="auto"/>
              </w:rPr>
            </w:pPr>
            <w:r>
              <w:rPr>
                <w:rFonts w:ascii="Arial" w:cs="Arial" w:eastAsia="Arial" w:hAnsi="Arial"/>
                <w:sz w:val="9"/>
                <w:szCs w:val="9"/>
                <w:color w:val="auto"/>
              </w:rPr>
              <w:t>Healthcare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(j)(ae)</w:t>
            </w:r>
          </w:p>
        </w:tc>
        <w:tc>
          <w:tcPr>
            <w:tcW w:w="2980" w:type="dxa"/>
            <w:vAlign w:val="bottom"/>
            <w:shd w:val="clear" w:color="auto" w:fill="CFF0FC"/>
          </w:tcPr>
          <w:p>
            <w:pPr>
              <w:ind w:left="1980"/>
              <w:spacing w:after="0"/>
              <w:rPr>
                <w:sz w:val="20"/>
                <w:szCs w:val="20"/>
                <w:color w:val="auto"/>
              </w:rPr>
            </w:pPr>
            <w:r>
              <w:rPr>
                <w:rFonts w:ascii="Arial" w:cs="Arial" w:eastAsia="Arial" w:hAnsi="Arial"/>
                <w:sz w:val="9"/>
                <w:szCs w:val="9"/>
                <w:color w:val="auto"/>
              </w:rPr>
              <w:t>(L + 7.25%) / (1.50%)</w:t>
            </w: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8.75%/0.00%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12/4/2020</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12/4/2025</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8,400</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8,357</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8,400</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Common Equity (750,000 units) (j)</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12/4/2020</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750</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3,905</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20" w:type="dxa"/>
            <w:vAlign w:val="bottom"/>
            <w:shd w:val="clear" w:color="auto" w:fill="CFF0FC"/>
          </w:tcPr>
          <w:p>
            <w:pPr>
              <w:spacing w:after="0"/>
              <w:rPr>
                <w:sz w:val="8"/>
                <w:szCs w:val="8"/>
                <w:color w:val="auto"/>
              </w:rPr>
            </w:pPr>
          </w:p>
        </w:tc>
        <w:tc>
          <w:tcPr>
            <w:tcW w:w="298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9,107</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12,305</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Healthfuse, LLC</w:t>
            </w:r>
          </w:p>
        </w:tc>
        <w:tc>
          <w:tcPr>
            <w:tcW w:w="2980" w:type="dxa"/>
            <w:vAlign w:val="bottom"/>
          </w:tcPr>
          <w:p>
            <w:pPr>
              <w:ind w:left="20"/>
              <w:spacing w:after="0"/>
              <w:rPr>
                <w:sz w:val="20"/>
                <w:szCs w:val="20"/>
                <w:color w:val="auto"/>
              </w:rPr>
            </w:pPr>
            <w:r>
              <w:rPr>
                <w:rFonts w:ascii="Arial" w:cs="Arial" w:eastAsia="Arial" w:hAnsi="Arial"/>
                <w:sz w:val="9"/>
                <w:szCs w:val="9"/>
                <w:color w:val="auto"/>
              </w:rPr>
              <w:t>Healthcare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(af)</w:t>
            </w:r>
          </w:p>
        </w:tc>
        <w:tc>
          <w:tcPr>
            <w:tcW w:w="2980" w:type="dxa"/>
            <w:vAlign w:val="bottom"/>
            <w:shd w:val="clear" w:color="auto" w:fill="CFF0FC"/>
          </w:tcPr>
          <w:p>
            <w:pPr>
              <w:ind w:left="1980"/>
              <w:spacing w:after="0"/>
              <w:rPr>
                <w:sz w:val="20"/>
                <w:szCs w:val="20"/>
                <w:color w:val="auto"/>
              </w:rPr>
            </w:pPr>
            <w:r>
              <w:rPr>
                <w:rFonts w:ascii="Arial" w:cs="Arial" w:eastAsia="Arial" w:hAnsi="Arial"/>
                <w:sz w:val="9"/>
                <w:szCs w:val="9"/>
                <w:color w:val="auto"/>
              </w:rPr>
              <w:t>(L + 7.00%) / (1.00%)</w:t>
            </w: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8.00%/0.00%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11/13/2020</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11/13/2025</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5,219</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5,192</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5,350</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Preferred Equity (197,980 units)</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11/13/2020</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748</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1,311</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20" w:type="dxa"/>
            <w:vAlign w:val="bottom"/>
            <w:shd w:val="clear" w:color="auto" w:fill="CFF0FC"/>
          </w:tcPr>
          <w:p>
            <w:pPr>
              <w:spacing w:after="0"/>
              <w:rPr>
                <w:sz w:val="8"/>
                <w:szCs w:val="8"/>
                <w:color w:val="auto"/>
              </w:rPr>
            </w:pPr>
          </w:p>
        </w:tc>
        <w:tc>
          <w:tcPr>
            <w:tcW w:w="298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5,940</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6,661</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Hub Acquisition Sub, LLC (dba Hub Pen)</w:t>
            </w:r>
          </w:p>
        </w:tc>
        <w:tc>
          <w:tcPr>
            <w:tcW w:w="2980" w:type="dxa"/>
            <w:vAlign w:val="bottom"/>
          </w:tcPr>
          <w:p>
            <w:pPr>
              <w:ind w:left="20"/>
              <w:spacing w:after="0"/>
              <w:rPr>
                <w:sz w:val="20"/>
                <w:szCs w:val="20"/>
                <w:color w:val="auto"/>
              </w:rPr>
            </w:pPr>
            <w:r>
              <w:rPr>
                <w:rFonts w:ascii="Arial" w:cs="Arial" w:eastAsia="Arial" w:hAnsi="Arial"/>
                <w:sz w:val="9"/>
                <w:szCs w:val="9"/>
                <w:color w:val="auto"/>
              </w:rPr>
              <w:t>Promotional products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Second Lien Debt (k)</w:t>
            </w:r>
          </w:p>
        </w:tc>
        <w:tc>
          <w:tcPr>
            <w:tcW w:w="2980" w:type="dxa"/>
            <w:vAlign w:val="bottom"/>
            <w:shd w:val="clear" w:color="auto" w:fill="CFF0FC"/>
          </w:tcPr>
          <w:p>
            <w:pPr>
              <w:spacing w:after="0"/>
              <w:rPr>
                <w:sz w:val="9"/>
                <w:szCs w:val="9"/>
                <w:color w:val="auto"/>
              </w:rPr>
            </w:pP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13.00%/0.00%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3/23/2016</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3/31/2023</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25,000</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24,991</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25,000</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Common Equity (3,750 units)</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3/23/2016</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92</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154</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Preferred Equity (868 units) (j)</w:t>
            </w:r>
          </w:p>
        </w:tc>
        <w:tc>
          <w:tcPr>
            <w:tcW w:w="2980" w:type="dxa"/>
            <w:vAlign w:val="bottom"/>
            <w:tcBorders>
              <w:bottom w:val="single" w:sz="8" w:color="CFF0FC"/>
            </w:tcBorders>
            <w:shd w:val="clear" w:color="auto" w:fill="CFF0FC"/>
          </w:tcPr>
          <w:p>
            <w:pPr>
              <w:spacing w:after="0"/>
              <w:rPr>
                <w:sz w:val="9"/>
                <w:szCs w:val="9"/>
                <w:color w:val="auto"/>
              </w:rPr>
            </w:pPr>
          </w:p>
        </w:tc>
        <w:tc>
          <w:tcPr>
            <w:tcW w:w="8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10/16/2020</w:t>
            </w:r>
          </w:p>
        </w:tc>
        <w:tc>
          <w:tcPr>
            <w:tcW w:w="94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148</w:t>
            </w:r>
          </w:p>
        </w:tc>
        <w:tc>
          <w:tcPr>
            <w:tcW w:w="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190</w:t>
            </w:r>
          </w:p>
        </w:tc>
        <w:tc>
          <w:tcPr>
            <w:tcW w:w="7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jc w:val="right"/>
              <w:ind w:right="75"/>
              <w:spacing w:after="0" w:line="102" w:lineRule="exact"/>
              <w:rPr>
                <w:sz w:val="20"/>
                <w:szCs w:val="20"/>
                <w:color w:val="auto"/>
              </w:rPr>
            </w:pPr>
            <w:r>
              <w:rPr>
                <w:rFonts w:ascii="Arial" w:cs="Arial" w:eastAsia="Arial" w:hAnsi="Arial"/>
                <w:sz w:val="9"/>
                <w:szCs w:val="9"/>
                <w:color w:val="auto"/>
              </w:rPr>
              <w:t>25,231</w:t>
            </w:r>
          </w:p>
        </w:tc>
        <w:tc>
          <w:tcPr>
            <w:tcW w:w="840" w:type="dxa"/>
            <w:vAlign w:val="bottom"/>
            <w:gridSpan w:val="2"/>
          </w:tcPr>
          <w:p>
            <w:pPr>
              <w:jc w:val="right"/>
              <w:ind w:right="95"/>
              <w:spacing w:after="0" w:line="102" w:lineRule="exact"/>
              <w:rPr>
                <w:sz w:val="20"/>
                <w:szCs w:val="20"/>
                <w:color w:val="auto"/>
              </w:rPr>
            </w:pPr>
            <w:r>
              <w:rPr>
                <w:rFonts w:ascii="Arial" w:cs="Arial" w:eastAsia="Arial" w:hAnsi="Arial"/>
                <w:sz w:val="9"/>
                <w:szCs w:val="9"/>
                <w:color w:val="auto"/>
              </w:rPr>
              <w:t>25,344</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5 %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IBH Holdings, LLC (fka Inflexxion, Inc.)</w:t>
            </w:r>
          </w:p>
        </w:tc>
        <w:tc>
          <w:tcPr>
            <w:tcW w:w="2980" w:type="dxa"/>
            <w:vAlign w:val="bottom"/>
            <w:shd w:val="clear" w:color="auto" w:fill="CFF0FC"/>
          </w:tcPr>
          <w:p>
            <w:pPr>
              <w:ind w:left="20"/>
              <w:spacing w:after="0"/>
              <w:rPr>
                <w:sz w:val="20"/>
                <w:szCs w:val="20"/>
                <w:color w:val="auto"/>
              </w:rPr>
            </w:pPr>
            <w:r>
              <w:rPr>
                <w:rFonts w:ascii="Arial" w:cs="Arial" w:eastAsia="Arial" w:hAnsi="Arial"/>
                <w:sz w:val="9"/>
                <w:szCs w:val="9"/>
                <w:color w:val="auto"/>
              </w:rPr>
              <w:t>Business Services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Common Equity (150,000 units)</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6/20/2018</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432</w:t>
            </w:r>
          </w:p>
        </w:tc>
        <w:tc>
          <w:tcPr>
            <w:tcW w:w="720" w:type="dxa"/>
            <w:vAlign w:val="bottom"/>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29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Ipro Tech, LLC</w:t>
            </w:r>
          </w:p>
        </w:tc>
        <w:tc>
          <w:tcPr>
            <w:tcW w:w="2980" w:type="dxa"/>
            <w:vAlign w:val="bottom"/>
          </w:tcPr>
          <w:p>
            <w:pPr>
              <w:ind w:left="20"/>
              <w:spacing w:after="0"/>
              <w:rPr>
                <w:sz w:val="20"/>
                <w:szCs w:val="20"/>
                <w:color w:val="auto"/>
              </w:rPr>
            </w:pPr>
            <w:r>
              <w:rPr>
                <w:rFonts w:ascii="Arial" w:cs="Arial" w:eastAsia="Arial" w:hAnsi="Arial"/>
                <w:sz w:val="9"/>
                <w:szCs w:val="9"/>
                <w:color w:val="auto"/>
              </w:rPr>
              <w:t>Information Technology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(j)(u)</w:t>
            </w:r>
          </w:p>
        </w:tc>
        <w:tc>
          <w:tcPr>
            <w:tcW w:w="2980" w:type="dxa"/>
            <w:vAlign w:val="bottom"/>
            <w:shd w:val="clear" w:color="auto" w:fill="CFF0FC"/>
          </w:tcPr>
          <w:p>
            <w:pPr>
              <w:ind w:left="1980"/>
              <w:spacing w:after="0"/>
              <w:rPr>
                <w:sz w:val="20"/>
                <w:szCs w:val="20"/>
                <w:color w:val="auto"/>
              </w:rPr>
            </w:pPr>
            <w:r>
              <w:rPr>
                <w:rFonts w:ascii="Arial" w:cs="Arial" w:eastAsia="Arial" w:hAnsi="Arial"/>
                <w:sz w:val="9"/>
                <w:szCs w:val="9"/>
                <w:color w:val="auto"/>
              </w:rPr>
              <w:t>(L + 7.00%) / (1.00%)</w:t>
            </w: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9.25%/1.00%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6/30/2020</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7/28/2025</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19,575</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18,752</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19,575</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Preferred Equity (j)</w:t>
            </w: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7/28/2021</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682</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1,023</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20" w:type="dxa"/>
            <w:vAlign w:val="bottom"/>
            <w:shd w:val="clear" w:color="auto" w:fill="CFF0FC"/>
          </w:tcPr>
          <w:p>
            <w:pPr>
              <w:spacing w:after="0"/>
              <w:rPr>
                <w:sz w:val="8"/>
                <w:szCs w:val="8"/>
                <w:color w:val="auto"/>
              </w:rPr>
            </w:pPr>
          </w:p>
        </w:tc>
        <w:tc>
          <w:tcPr>
            <w:tcW w:w="298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19,434</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20,598</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ISI PSG Holdings, LLC (dba Incentive Solutions, Inc.)</w:t>
            </w:r>
          </w:p>
        </w:tc>
        <w:tc>
          <w:tcPr>
            <w:tcW w:w="2980" w:type="dxa"/>
            <w:vAlign w:val="bottom"/>
          </w:tcPr>
          <w:p>
            <w:pPr>
              <w:ind w:left="20"/>
              <w:spacing w:after="0"/>
              <w:rPr>
                <w:sz w:val="20"/>
                <w:szCs w:val="20"/>
                <w:color w:val="auto"/>
              </w:rPr>
            </w:pPr>
            <w:r>
              <w:rPr>
                <w:rFonts w:ascii="Arial" w:cs="Arial" w:eastAsia="Arial" w:hAnsi="Arial"/>
                <w:sz w:val="9"/>
                <w:szCs w:val="9"/>
                <w:color w:val="auto"/>
              </w:rPr>
              <w:t>Business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(j)(aj)</w:t>
            </w:r>
          </w:p>
        </w:tc>
        <w:tc>
          <w:tcPr>
            <w:tcW w:w="2980" w:type="dxa"/>
            <w:vAlign w:val="bottom"/>
            <w:shd w:val="clear" w:color="auto" w:fill="CFF0FC"/>
          </w:tcPr>
          <w:p>
            <w:pPr>
              <w:ind w:left="1980"/>
              <w:spacing w:after="0"/>
              <w:rPr>
                <w:sz w:val="20"/>
                <w:szCs w:val="20"/>
                <w:color w:val="auto"/>
              </w:rPr>
            </w:pPr>
            <w:r>
              <w:rPr>
                <w:rFonts w:ascii="Arial" w:cs="Arial" w:eastAsia="Arial" w:hAnsi="Arial"/>
                <w:sz w:val="9"/>
                <w:szCs w:val="9"/>
                <w:color w:val="auto"/>
              </w:rPr>
              <w:t>(L + 7.50%) / (0.50%)</w:t>
            </w: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8.47%/0.00%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4/5/2021</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4/5/2026</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12,333</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12,253</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12,333</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First Lien Debt (j)(an)</w:t>
            </w:r>
          </w:p>
        </w:tc>
        <w:tc>
          <w:tcPr>
            <w:tcW w:w="2980" w:type="dxa"/>
            <w:vAlign w:val="bottom"/>
          </w:tcPr>
          <w:p>
            <w:pPr>
              <w:ind w:left="1980"/>
              <w:spacing w:after="0"/>
              <w:rPr>
                <w:sz w:val="20"/>
                <w:szCs w:val="20"/>
                <w:color w:val="auto"/>
              </w:rPr>
            </w:pPr>
            <w:r>
              <w:rPr>
                <w:rFonts w:ascii="Arial" w:cs="Arial" w:eastAsia="Arial" w:hAnsi="Arial"/>
                <w:sz w:val="9"/>
                <w:szCs w:val="9"/>
                <w:color w:val="auto"/>
              </w:rPr>
              <w:t>(L + 7.50%) / (0.50%)</w:t>
            </w:r>
          </w:p>
        </w:tc>
        <w:tc>
          <w:tcPr>
            <w:tcW w:w="880" w:type="dxa"/>
            <w:vAlign w:val="bottom"/>
          </w:tcPr>
          <w:p>
            <w:pPr>
              <w:ind w:left="160"/>
              <w:spacing w:after="0"/>
              <w:rPr>
                <w:sz w:val="20"/>
                <w:szCs w:val="20"/>
                <w:color w:val="auto"/>
              </w:rPr>
            </w:pPr>
            <w:r>
              <w:rPr>
                <w:rFonts w:ascii="Arial" w:cs="Arial" w:eastAsia="Arial" w:hAnsi="Arial"/>
                <w:sz w:val="9"/>
                <w:szCs w:val="9"/>
                <w:color w:val="auto"/>
              </w:rPr>
              <w:t>8.47%/0.00%</w:t>
            </w:r>
          </w:p>
        </w:tc>
        <w:tc>
          <w:tcPr>
            <w:tcW w:w="760" w:type="dxa"/>
            <w:vAlign w:val="bottom"/>
          </w:tcPr>
          <w:p>
            <w:pPr>
              <w:ind w:left="180"/>
              <w:spacing w:after="0"/>
              <w:rPr>
                <w:sz w:val="20"/>
                <w:szCs w:val="20"/>
                <w:color w:val="auto"/>
              </w:rPr>
            </w:pPr>
            <w:r>
              <w:rPr>
                <w:rFonts w:ascii="Arial" w:cs="Arial" w:eastAsia="Arial" w:hAnsi="Arial"/>
                <w:sz w:val="9"/>
                <w:szCs w:val="9"/>
                <w:color w:val="auto"/>
              </w:rPr>
              <w:t>6/30/2021</w:t>
            </w:r>
          </w:p>
        </w:tc>
        <w:tc>
          <w:tcPr>
            <w:tcW w:w="940" w:type="dxa"/>
            <w:vAlign w:val="bottom"/>
          </w:tcPr>
          <w:p>
            <w:pPr>
              <w:ind w:left="180"/>
              <w:spacing w:after="0"/>
              <w:rPr>
                <w:sz w:val="20"/>
                <w:szCs w:val="20"/>
                <w:color w:val="auto"/>
              </w:rPr>
            </w:pPr>
            <w:r>
              <w:rPr>
                <w:rFonts w:ascii="Arial" w:cs="Arial" w:eastAsia="Arial" w:hAnsi="Arial"/>
                <w:sz w:val="9"/>
                <w:szCs w:val="9"/>
                <w:color w:val="auto"/>
              </w:rPr>
              <w:t>4/5/2026</w:t>
            </w:r>
          </w:p>
        </w:tc>
        <w:tc>
          <w:tcPr>
            <w:tcW w:w="860" w:type="dxa"/>
            <w:vAlign w:val="bottom"/>
          </w:tcPr>
          <w:p>
            <w:pPr>
              <w:jc w:val="right"/>
              <w:ind w:right="195"/>
              <w:spacing w:after="0"/>
              <w:rPr>
                <w:sz w:val="20"/>
                <w:szCs w:val="20"/>
                <w:color w:val="auto"/>
              </w:rPr>
            </w:pPr>
            <w:r>
              <w:rPr>
                <w:rFonts w:ascii="Arial" w:cs="Arial" w:eastAsia="Arial" w:hAnsi="Arial"/>
                <w:sz w:val="9"/>
                <w:szCs w:val="9"/>
                <w:color w:val="auto"/>
              </w:rPr>
              <w:t>13,163</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13,163</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13,163</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(256,964 units) (h)(j)</w:t>
            </w:r>
          </w:p>
        </w:tc>
        <w:tc>
          <w:tcPr>
            <w:tcW w:w="2980" w:type="dxa"/>
            <w:vAlign w:val="bottom"/>
            <w:tcBorders>
              <w:bottom w:val="single" w:sz="8" w:color="CFF0FC"/>
            </w:tcBorders>
            <w:shd w:val="clear" w:color="auto" w:fill="CFF0FC"/>
          </w:tcPr>
          <w:p>
            <w:pPr>
              <w:spacing w:after="0"/>
              <w:rPr>
                <w:sz w:val="9"/>
                <w:szCs w:val="9"/>
                <w:color w:val="auto"/>
              </w:rPr>
            </w:pPr>
          </w:p>
        </w:tc>
        <w:tc>
          <w:tcPr>
            <w:tcW w:w="8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4/5/2021</w:t>
            </w:r>
          </w:p>
        </w:tc>
        <w:tc>
          <w:tcPr>
            <w:tcW w:w="94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500</w:t>
            </w:r>
          </w:p>
        </w:tc>
        <w:tc>
          <w:tcPr>
            <w:tcW w:w="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668</w:t>
            </w:r>
          </w:p>
        </w:tc>
        <w:tc>
          <w:tcPr>
            <w:tcW w:w="7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jc w:val="right"/>
              <w:ind w:right="75"/>
              <w:spacing w:after="0" w:line="102" w:lineRule="exact"/>
              <w:rPr>
                <w:sz w:val="20"/>
                <w:szCs w:val="20"/>
                <w:color w:val="auto"/>
              </w:rPr>
            </w:pPr>
            <w:r>
              <w:rPr>
                <w:rFonts w:ascii="Arial" w:cs="Arial" w:eastAsia="Arial" w:hAnsi="Arial"/>
                <w:sz w:val="9"/>
                <w:szCs w:val="9"/>
                <w:color w:val="auto"/>
              </w:rPr>
              <w:t>25,916</w:t>
            </w:r>
          </w:p>
        </w:tc>
        <w:tc>
          <w:tcPr>
            <w:tcW w:w="840" w:type="dxa"/>
            <w:vAlign w:val="bottom"/>
            <w:gridSpan w:val="2"/>
          </w:tcPr>
          <w:p>
            <w:pPr>
              <w:jc w:val="right"/>
              <w:ind w:right="95"/>
              <w:spacing w:after="0" w:line="102" w:lineRule="exact"/>
              <w:rPr>
                <w:sz w:val="20"/>
                <w:szCs w:val="20"/>
                <w:color w:val="auto"/>
              </w:rPr>
            </w:pPr>
            <w:r>
              <w:rPr>
                <w:rFonts w:ascii="Arial" w:cs="Arial" w:eastAsia="Arial" w:hAnsi="Arial"/>
                <w:sz w:val="9"/>
                <w:szCs w:val="9"/>
                <w:color w:val="auto"/>
              </w:rPr>
              <w:t>26,164</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5 %</w:t>
            </w:r>
          </w:p>
        </w:tc>
        <w:tc>
          <w:tcPr>
            <w:tcW w:w="0" w:type="dxa"/>
            <w:vAlign w:val="bottom"/>
          </w:tcPr>
          <w:p>
            <w:pPr>
              <w:spacing w:after="0"/>
              <w:rPr>
                <w:sz w:val="1"/>
                <w:szCs w:val="1"/>
                <w:color w:val="auto"/>
              </w:rPr>
            </w:pPr>
          </w:p>
        </w:tc>
      </w:tr>
      <w:tr>
        <w:trPr>
          <w:trHeight w:val="81"/>
        </w:trPr>
        <w:tc>
          <w:tcPr>
            <w:tcW w:w="2520" w:type="dxa"/>
            <w:vAlign w:val="bottom"/>
            <w:shd w:val="clear" w:color="auto" w:fill="CFF0FC"/>
          </w:tcPr>
          <w:p>
            <w:pPr>
              <w:ind w:left="20"/>
              <w:spacing w:after="0" w:line="81" w:lineRule="exact"/>
              <w:rPr>
                <w:sz w:val="20"/>
                <w:szCs w:val="20"/>
                <w:color w:val="auto"/>
              </w:rPr>
            </w:pPr>
            <w:r>
              <w:rPr>
                <w:rFonts w:ascii="Arial" w:cs="Arial" w:eastAsia="Arial" w:hAnsi="Arial"/>
                <w:sz w:val="9"/>
                <w:szCs w:val="9"/>
                <w:i w:val="1"/>
                <w:iCs w:val="1"/>
                <w:color w:val="auto"/>
                <w:w w:val="93"/>
              </w:rPr>
              <w:t>K2 Merger Agreement Agent, LLC (fka K2 Industrial Services, Inc.)</w:t>
            </w:r>
          </w:p>
        </w:tc>
        <w:tc>
          <w:tcPr>
            <w:tcW w:w="2980" w:type="dxa"/>
            <w:vAlign w:val="bottom"/>
            <w:vMerge w:val="restart"/>
            <w:shd w:val="clear" w:color="auto" w:fill="CFF0FC"/>
          </w:tcPr>
          <w:p>
            <w:pPr>
              <w:ind w:left="20"/>
              <w:spacing w:after="0"/>
              <w:rPr>
                <w:sz w:val="20"/>
                <w:szCs w:val="20"/>
                <w:color w:val="auto"/>
              </w:rPr>
            </w:pPr>
            <w:r>
              <w:rPr>
                <w:rFonts w:ascii="Arial" w:cs="Arial" w:eastAsia="Arial" w:hAnsi="Arial"/>
                <w:sz w:val="9"/>
                <w:szCs w:val="9"/>
                <w:color w:val="auto"/>
              </w:rPr>
              <w:t>Industrial Cleaning &amp; Coatings</w:t>
            </w:r>
          </w:p>
        </w:tc>
        <w:tc>
          <w:tcPr>
            <w:tcW w:w="88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(n)</w:t>
            </w:r>
          </w:p>
        </w:tc>
        <w:tc>
          <w:tcPr>
            <w:tcW w:w="2980" w:type="dxa"/>
            <w:vAlign w:val="bottom"/>
            <w:vMerge w:val="continue"/>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Second Lien Debt (j) (y)</w:t>
            </w:r>
          </w:p>
        </w:tc>
        <w:tc>
          <w:tcPr>
            <w:tcW w:w="2980" w:type="dxa"/>
            <w:vAlign w:val="bottom"/>
          </w:tcPr>
          <w:p>
            <w:pPr>
              <w:spacing w:after="0"/>
              <w:rPr>
                <w:sz w:val="9"/>
                <w:szCs w:val="9"/>
                <w:color w:val="auto"/>
              </w:rPr>
            </w:pPr>
          </w:p>
        </w:tc>
        <w:tc>
          <w:tcPr>
            <w:tcW w:w="880" w:type="dxa"/>
            <w:vAlign w:val="bottom"/>
          </w:tcPr>
          <w:p>
            <w:pPr>
              <w:ind w:left="160"/>
              <w:spacing w:after="0"/>
              <w:rPr>
                <w:sz w:val="20"/>
                <w:szCs w:val="20"/>
                <w:color w:val="auto"/>
              </w:rPr>
            </w:pPr>
            <w:r>
              <w:rPr>
                <w:rFonts w:ascii="Arial" w:cs="Arial" w:eastAsia="Arial" w:hAnsi="Arial"/>
                <w:sz w:val="9"/>
                <w:szCs w:val="9"/>
                <w:color w:val="auto"/>
              </w:rPr>
              <w:t>0.00%/10.00%</w:t>
            </w:r>
          </w:p>
        </w:tc>
        <w:tc>
          <w:tcPr>
            <w:tcW w:w="760" w:type="dxa"/>
            <w:vAlign w:val="bottom"/>
          </w:tcPr>
          <w:p>
            <w:pPr>
              <w:ind w:left="180"/>
              <w:spacing w:after="0"/>
              <w:rPr>
                <w:sz w:val="20"/>
                <w:szCs w:val="20"/>
                <w:color w:val="auto"/>
              </w:rPr>
            </w:pPr>
            <w:r>
              <w:rPr>
                <w:rFonts w:ascii="Arial" w:cs="Arial" w:eastAsia="Arial" w:hAnsi="Arial"/>
                <w:sz w:val="9"/>
                <w:szCs w:val="9"/>
                <w:color w:val="auto"/>
              </w:rPr>
              <w:t>1/28/2019</w:t>
            </w:r>
          </w:p>
        </w:tc>
        <w:tc>
          <w:tcPr>
            <w:tcW w:w="940" w:type="dxa"/>
            <w:vAlign w:val="bottom"/>
          </w:tcPr>
          <w:p>
            <w:pPr>
              <w:ind w:left="180"/>
              <w:spacing w:after="0"/>
              <w:rPr>
                <w:sz w:val="20"/>
                <w:szCs w:val="20"/>
                <w:color w:val="auto"/>
              </w:rPr>
            </w:pPr>
            <w:r>
              <w:rPr>
                <w:rFonts w:ascii="Arial" w:cs="Arial" w:eastAsia="Arial" w:hAnsi="Arial"/>
                <w:sz w:val="9"/>
                <w:szCs w:val="9"/>
                <w:color w:val="auto"/>
              </w:rPr>
              <w:t>1/28/2023</w:t>
            </w:r>
          </w:p>
        </w:tc>
        <w:tc>
          <w:tcPr>
            <w:tcW w:w="860" w:type="dxa"/>
            <w:vAlign w:val="bottom"/>
          </w:tcPr>
          <w:p>
            <w:pPr>
              <w:jc w:val="right"/>
              <w:ind w:right="195"/>
              <w:spacing w:after="0"/>
              <w:rPr>
                <w:sz w:val="20"/>
                <w:szCs w:val="20"/>
                <w:color w:val="auto"/>
              </w:rPr>
            </w:pPr>
            <w:r>
              <w:rPr>
                <w:rFonts w:ascii="Arial" w:cs="Arial" w:eastAsia="Arial" w:hAnsi="Arial"/>
                <w:sz w:val="9"/>
                <w:szCs w:val="9"/>
                <w:color w:val="auto"/>
              </w:rPr>
              <w:t>2,368</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2,368</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2,188</w:t>
            </w:r>
          </w:p>
        </w:tc>
        <w:tc>
          <w:tcPr>
            <w:tcW w:w="720" w:type="dxa"/>
            <w:vAlign w:val="bottom"/>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29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20"/>
              <w:spacing w:after="0"/>
              <w:rPr>
                <w:sz w:val="20"/>
                <w:szCs w:val="20"/>
                <w:color w:val="auto"/>
              </w:rPr>
            </w:pPr>
            <w:r>
              <w:rPr>
                <w:rFonts w:ascii="Arial" w:cs="Arial" w:eastAsia="Arial" w:hAnsi="Arial"/>
                <w:sz w:val="9"/>
                <w:szCs w:val="9"/>
                <w:i w:val="1"/>
                <w:iCs w:val="1"/>
                <w:color w:val="auto"/>
              </w:rPr>
              <w:t>The Kyjen Company, LLC (dba Outward Hound)</w:t>
            </w:r>
          </w:p>
        </w:tc>
        <w:tc>
          <w:tcPr>
            <w:tcW w:w="2980" w:type="dxa"/>
            <w:vAlign w:val="bottom"/>
          </w:tcPr>
          <w:p>
            <w:pPr>
              <w:ind w:left="20"/>
              <w:spacing w:after="0"/>
              <w:rPr>
                <w:sz w:val="20"/>
                <w:szCs w:val="20"/>
                <w:color w:val="auto"/>
              </w:rPr>
            </w:pPr>
            <w:r>
              <w:rPr>
                <w:rFonts w:ascii="Arial" w:cs="Arial" w:eastAsia="Arial" w:hAnsi="Arial"/>
                <w:sz w:val="9"/>
                <w:szCs w:val="9"/>
                <w:color w:val="auto"/>
              </w:rPr>
              <w:t>Consumer Products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(855 shares) (j)</w:t>
            </w:r>
          </w:p>
        </w:tc>
        <w:tc>
          <w:tcPr>
            <w:tcW w:w="29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12/8/2017</w:t>
            </w: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933</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978</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Level Education Group, LLC (dba CE4Less)</w:t>
            </w:r>
          </w:p>
        </w:tc>
        <w:tc>
          <w:tcPr>
            <w:tcW w:w="2980" w:type="dxa"/>
            <w:vAlign w:val="bottom"/>
            <w:shd w:val="clear" w:color="auto" w:fill="CFF0FC"/>
          </w:tcPr>
          <w:p>
            <w:pPr>
              <w:ind w:left="20"/>
              <w:spacing w:after="0"/>
              <w:rPr>
                <w:sz w:val="20"/>
                <w:szCs w:val="20"/>
                <w:color w:val="auto"/>
              </w:rPr>
            </w:pPr>
            <w:r>
              <w:rPr>
                <w:rFonts w:ascii="Arial" w:cs="Arial" w:eastAsia="Arial" w:hAnsi="Arial"/>
                <w:sz w:val="9"/>
                <w:szCs w:val="9"/>
                <w:color w:val="auto"/>
              </w:rPr>
              <w:t>Business Services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First Lien Debt (ak)</w:t>
            </w:r>
          </w:p>
        </w:tc>
        <w:tc>
          <w:tcPr>
            <w:tcW w:w="2980" w:type="dxa"/>
            <w:vAlign w:val="bottom"/>
          </w:tcPr>
          <w:p>
            <w:pPr>
              <w:ind w:left="1980"/>
              <w:spacing w:after="0"/>
              <w:rPr>
                <w:sz w:val="20"/>
                <w:szCs w:val="20"/>
                <w:color w:val="auto"/>
              </w:rPr>
            </w:pPr>
            <w:r>
              <w:rPr>
                <w:rFonts w:ascii="Arial" w:cs="Arial" w:eastAsia="Arial" w:hAnsi="Arial"/>
                <w:sz w:val="9"/>
                <w:szCs w:val="9"/>
                <w:color w:val="auto"/>
              </w:rPr>
              <w:t>(L + 6.75%) / (0.50%)</w:t>
            </w:r>
          </w:p>
        </w:tc>
        <w:tc>
          <w:tcPr>
            <w:tcW w:w="880" w:type="dxa"/>
            <w:vAlign w:val="bottom"/>
          </w:tcPr>
          <w:p>
            <w:pPr>
              <w:ind w:left="160"/>
              <w:spacing w:after="0"/>
              <w:rPr>
                <w:sz w:val="20"/>
                <w:szCs w:val="20"/>
                <w:color w:val="auto"/>
              </w:rPr>
            </w:pPr>
            <w:r>
              <w:rPr>
                <w:rFonts w:ascii="Arial" w:cs="Arial" w:eastAsia="Arial" w:hAnsi="Arial"/>
                <w:sz w:val="9"/>
                <w:szCs w:val="9"/>
                <w:color w:val="auto"/>
              </w:rPr>
              <w:t>7.72%/0.00%</w:t>
            </w:r>
          </w:p>
        </w:tc>
        <w:tc>
          <w:tcPr>
            <w:tcW w:w="760" w:type="dxa"/>
            <w:vAlign w:val="bottom"/>
          </w:tcPr>
          <w:p>
            <w:pPr>
              <w:ind w:left="180"/>
              <w:spacing w:after="0"/>
              <w:rPr>
                <w:sz w:val="20"/>
                <w:szCs w:val="20"/>
                <w:color w:val="auto"/>
              </w:rPr>
            </w:pPr>
            <w:r>
              <w:rPr>
                <w:rFonts w:ascii="Arial" w:cs="Arial" w:eastAsia="Arial" w:hAnsi="Arial"/>
                <w:sz w:val="9"/>
                <w:szCs w:val="9"/>
                <w:color w:val="auto"/>
              </w:rPr>
              <w:t>4/1/2021</w:t>
            </w:r>
          </w:p>
        </w:tc>
        <w:tc>
          <w:tcPr>
            <w:tcW w:w="940" w:type="dxa"/>
            <w:vAlign w:val="bottom"/>
          </w:tcPr>
          <w:p>
            <w:pPr>
              <w:ind w:left="180"/>
              <w:spacing w:after="0"/>
              <w:rPr>
                <w:sz w:val="20"/>
                <w:szCs w:val="20"/>
                <w:color w:val="auto"/>
              </w:rPr>
            </w:pPr>
            <w:r>
              <w:rPr>
                <w:rFonts w:ascii="Arial" w:cs="Arial" w:eastAsia="Arial" w:hAnsi="Arial"/>
                <w:sz w:val="9"/>
                <w:szCs w:val="9"/>
                <w:color w:val="auto"/>
              </w:rPr>
              <w:t>4/1/2026</w:t>
            </w:r>
          </w:p>
        </w:tc>
        <w:tc>
          <w:tcPr>
            <w:tcW w:w="860" w:type="dxa"/>
            <w:vAlign w:val="bottom"/>
          </w:tcPr>
          <w:p>
            <w:pPr>
              <w:jc w:val="right"/>
              <w:ind w:right="195"/>
              <w:spacing w:after="0"/>
              <w:rPr>
                <w:sz w:val="20"/>
                <w:szCs w:val="20"/>
                <w:color w:val="auto"/>
              </w:rPr>
            </w:pPr>
            <w:r>
              <w:rPr>
                <w:rFonts w:ascii="Arial" w:cs="Arial" w:eastAsia="Arial" w:hAnsi="Arial"/>
                <w:sz w:val="9"/>
                <w:szCs w:val="9"/>
                <w:color w:val="auto"/>
              </w:rPr>
              <w:t>5,234</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5,203</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5,234</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(1,000,000 units) (j)</w:t>
            </w:r>
          </w:p>
        </w:tc>
        <w:tc>
          <w:tcPr>
            <w:tcW w:w="2980" w:type="dxa"/>
            <w:vAlign w:val="bottom"/>
            <w:tcBorders>
              <w:bottom w:val="single" w:sz="8" w:color="CFF0FC"/>
            </w:tcBorders>
            <w:shd w:val="clear" w:color="auto" w:fill="CFF0FC"/>
          </w:tcPr>
          <w:p>
            <w:pPr>
              <w:spacing w:after="0"/>
              <w:rPr>
                <w:sz w:val="9"/>
                <w:szCs w:val="9"/>
                <w:color w:val="auto"/>
              </w:rPr>
            </w:pPr>
          </w:p>
        </w:tc>
        <w:tc>
          <w:tcPr>
            <w:tcW w:w="8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4/1/2021</w:t>
            </w:r>
          </w:p>
        </w:tc>
        <w:tc>
          <w:tcPr>
            <w:tcW w:w="94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1,000</w:t>
            </w:r>
          </w:p>
        </w:tc>
        <w:tc>
          <w:tcPr>
            <w:tcW w:w="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1,101</w:t>
            </w:r>
          </w:p>
        </w:tc>
        <w:tc>
          <w:tcPr>
            <w:tcW w:w="7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jc w:val="right"/>
              <w:ind w:right="75"/>
              <w:spacing w:after="0" w:line="102" w:lineRule="exact"/>
              <w:rPr>
                <w:sz w:val="20"/>
                <w:szCs w:val="20"/>
                <w:color w:val="auto"/>
              </w:rPr>
            </w:pPr>
            <w:r>
              <w:rPr>
                <w:rFonts w:ascii="Arial" w:cs="Arial" w:eastAsia="Arial" w:hAnsi="Arial"/>
                <w:sz w:val="9"/>
                <w:szCs w:val="9"/>
                <w:color w:val="auto"/>
              </w:rPr>
              <w:t>6,203</w:t>
            </w:r>
          </w:p>
        </w:tc>
        <w:tc>
          <w:tcPr>
            <w:tcW w:w="840" w:type="dxa"/>
            <w:vAlign w:val="bottom"/>
            <w:gridSpan w:val="2"/>
          </w:tcPr>
          <w:p>
            <w:pPr>
              <w:jc w:val="right"/>
              <w:ind w:right="95"/>
              <w:spacing w:after="0" w:line="102" w:lineRule="exact"/>
              <w:rPr>
                <w:sz w:val="20"/>
                <w:szCs w:val="20"/>
                <w:color w:val="auto"/>
              </w:rPr>
            </w:pPr>
            <w:r>
              <w:rPr>
                <w:rFonts w:ascii="Arial" w:cs="Arial" w:eastAsia="Arial" w:hAnsi="Arial"/>
                <w:sz w:val="9"/>
                <w:szCs w:val="9"/>
                <w:color w:val="auto"/>
              </w:rPr>
              <w:t>6,335</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LifeSpan Biosciences, Inc.</w:t>
            </w:r>
          </w:p>
        </w:tc>
        <w:tc>
          <w:tcPr>
            <w:tcW w:w="2980" w:type="dxa"/>
            <w:vAlign w:val="bottom"/>
            <w:shd w:val="clear" w:color="auto" w:fill="CFF0FC"/>
          </w:tcPr>
          <w:p>
            <w:pPr>
              <w:ind w:left="20"/>
              <w:spacing w:after="0"/>
              <w:rPr>
                <w:sz w:val="20"/>
                <w:szCs w:val="20"/>
                <w:color w:val="auto"/>
              </w:rPr>
            </w:pPr>
            <w:r>
              <w:rPr>
                <w:rFonts w:ascii="Arial" w:cs="Arial" w:eastAsia="Arial" w:hAnsi="Arial"/>
                <w:sz w:val="9"/>
                <w:szCs w:val="9"/>
                <w:color w:val="auto"/>
              </w:rPr>
              <w:t>Healthcare Products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Pr>
          <w:p>
            <w:pPr>
              <w:ind w:left="160"/>
              <w:spacing w:after="0"/>
              <w:rPr>
                <w:sz w:val="20"/>
                <w:szCs w:val="20"/>
                <w:color w:val="auto"/>
              </w:rPr>
            </w:pPr>
            <w:r>
              <w:rPr>
                <w:rFonts w:ascii="Arial" w:cs="Arial" w:eastAsia="Arial" w:hAnsi="Arial"/>
                <w:sz w:val="9"/>
                <w:szCs w:val="9"/>
                <w:color w:val="auto"/>
              </w:rPr>
              <w:t>Subordinated Debt (j)</w:t>
            </w:r>
          </w:p>
        </w:tc>
        <w:tc>
          <w:tcPr>
            <w:tcW w:w="2980" w:type="dxa"/>
            <w:vAlign w:val="bottom"/>
          </w:tcPr>
          <w:p>
            <w:pPr>
              <w:spacing w:after="0"/>
              <w:rPr>
                <w:sz w:val="9"/>
                <w:szCs w:val="9"/>
                <w:color w:val="auto"/>
              </w:rPr>
            </w:pPr>
          </w:p>
        </w:tc>
        <w:tc>
          <w:tcPr>
            <w:tcW w:w="880" w:type="dxa"/>
            <w:vAlign w:val="bottom"/>
          </w:tcPr>
          <w:p>
            <w:pPr>
              <w:ind w:left="160"/>
              <w:spacing w:after="0"/>
              <w:rPr>
                <w:sz w:val="20"/>
                <w:szCs w:val="20"/>
                <w:color w:val="auto"/>
              </w:rPr>
            </w:pPr>
            <w:r>
              <w:rPr>
                <w:rFonts w:ascii="Arial" w:cs="Arial" w:eastAsia="Arial" w:hAnsi="Arial"/>
                <w:sz w:val="9"/>
                <w:szCs w:val="9"/>
                <w:color w:val="auto"/>
              </w:rPr>
              <w:t>11.50%/0.00%</w:t>
            </w:r>
          </w:p>
        </w:tc>
        <w:tc>
          <w:tcPr>
            <w:tcW w:w="760" w:type="dxa"/>
            <w:vAlign w:val="bottom"/>
          </w:tcPr>
          <w:p>
            <w:pPr>
              <w:ind w:left="180"/>
              <w:spacing w:after="0"/>
              <w:rPr>
                <w:sz w:val="20"/>
                <w:szCs w:val="20"/>
                <w:color w:val="auto"/>
              </w:rPr>
            </w:pPr>
            <w:r>
              <w:rPr>
                <w:rFonts w:ascii="Arial" w:cs="Arial" w:eastAsia="Arial" w:hAnsi="Arial"/>
                <w:sz w:val="9"/>
                <w:szCs w:val="9"/>
                <w:color w:val="auto"/>
              </w:rPr>
              <w:t>3/19/2021</w:t>
            </w:r>
          </w:p>
        </w:tc>
        <w:tc>
          <w:tcPr>
            <w:tcW w:w="940" w:type="dxa"/>
            <w:vAlign w:val="bottom"/>
          </w:tcPr>
          <w:p>
            <w:pPr>
              <w:ind w:left="180"/>
              <w:spacing w:after="0"/>
              <w:rPr>
                <w:sz w:val="20"/>
                <w:szCs w:val="20"/>
                <w:color w:val="auto"/>
              </w:rPr>
            </w:pPr>
            <w:r>
              <w:rPr>
                <w:rFonts w:ascii="Arial" w:cs="Arial" w:eastAsia="Arial" w:hAnsi="Arial"/>
                <w:sz w:val="9"/>
                <w:szCs w:val="9"/>
                <w:color w:val="auto"/>
              </w:rPr>
              <w:t>9/19/2026</w:t>
            </w:r>
          </w:p>
        </w:tc>
        <w:tc>
          <w:tcPr>
            <w:tcW w:w="860" w:type="dxa"/>
            <w:vAlign w:val="bottom"/>
          </w:tcPr>
          <w:p>
            <w:pPr>
              <w:jc w:val="right"/>
              <w:ind w:right="195"/>
              <w:spacing w:after="0"/>
              <w:rPr>
                <w:sz w:val="20"/>
                <w:szCs w:val="20"/>
                <w:color w:val="auto"/>
              </w:rPr>
            </w:pPr>
            <w:r>
              <w:rPr>
                <w:rFonts w:ascii="Arial" w:cs="Arial" w:eastAsia="Arial" w:hAnsi="Arial"/>
                <w:sz w:val="9"/>
                <w:szCs w:val="9"/>
                <w:color w:val="auto"/>
              </w:rPr>
              <w:t>16,000</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15,939</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16,000</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(100 shares) (j)</w:t>
            </w:r>
          </w:p>
        </w:tc>
        <w:tc>
          <w:tcPr>
            <w:tcW w:w="2980" w:type="dxa"/>
            <w:vAlign w:val="bottom"/>
            <w:tcBorders>
              <w:bottom w:val="single" w:sz="8" w:color="CFF0FC"/>
            </w:tcBorders>
            <w:shd w:val="clear" w:color="auto" w:fill="CFF0FC"/>
          </w:tcPr>
          <w:p>
            <w:pPr>
              <w:spacing w:after="0"/>
              <w:rPr>
                <w:sz w:val="9"/>
                <w:szCs w:val="9"/>
                <w:color w:val="auto"/>
              </w:rPr>
            </w:pPr>
          </w:p>
        </w:tc>
        <w:tc>
          <w:tcPr>
            <w:tcW w:w="8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3/19/2021</w:t>
            </w:r>
          </w:p>
        </w:tc>
        <w:tc>
          <w:tcPr>
            <w:tcW w:w="94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1,000</w:t>
            </w:r>
          </w:p>
        </w:tc>
        <w:tc>
          <w:tcPr>
            <w:tcW w:w="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809</w:t>
            </w:r>
          </w:p>
        </w:tc>
        <w:tc>
          <w:tcPr>
            <w:tcW w:w="7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-7583170</wp:posOffset>
            </wp:positionV>
            <wp:extent cx="6032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-7583170</wp:posOffset>
            </wp:positionV>
            <wp:extent cx="39433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-7299960</wp:posOffset>
            </wp:positionV>
            <wp:extent cx="6032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-7299960</wp:posOffset>
            </wp:positionV>
            <wp:extent cx="3943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-6965950</wp:posOffset>
            </wp:positionV>
            <wp:extent cx="6032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-6965950</wp:posOffset>
            </wp:positionV>
            <wp:extent cx="39433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-4582795</wp:posOffset>
            </wp:positionV>
            <wp:extent cx="6032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-4582795</wp:posOffset>
            </wp:positionV>
            <wp:extent cx="39433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-3973830</wp:posOffset>
            </wp:positionV>
            <wp:extent cx="6032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-3973830</wp:posOffset>
            </wp:positionV>
            <wp:extent cx="39433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-1873885</wp:posOffset>
            </wp:positionV>
            <wp:extent cx="6032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-1873885</wp:posOffset>
            </wp:positionV>
            <wp:extent cx="39433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-1033780</wp:posOffset>
            </wp:positionV>
            <wp:extent cx="6032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-1033780</wp:posOffset>
            </wp:positionV>
            <wp:extent cx="39433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-287655</wp:posOffset>
            </wp:positionV>
            <wp:extent cx="6032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-287655</wp:posOffset>
            </wp:positionV>
            <wp:extent cx="39433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-5080</wp:posOffset>
            </wp:positionV>
            <wp:extent cx="6032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-5080</wp:posOffset>
            </wp:positionV>
            <wp:extent cx="39433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94335"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22"/>
        </w:trPr>
        <w:tc>
          <w:tcPr>
            <w:tcW w:w="25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Borders>
              <w:top w:val="single" w:sz="8" w:color="auto"/>
            </w:tcBorders>
          </w:tcPr>
          <w:p>
            <w:pPr>
              <w:jc w:val="right"/>
              <w:ind w:right="75"/>
              <w:spacing w:after="0"/>
              <w:rPr>
                <w:sz w:val="20"/>
                <w:szCs w:val="20"/>
                <w:color w:val="auto"/>
              </w:rPr>
            </w:pPr>
            <w:r>
              <w:rPr>
                <w:rFonts w:ascii="Arial" w:cs="Arial" w:eastAsia="Arial" w:hAnsi="Arial"/>
                <w:sz w:val="9"/>
                <w:szCs w:val="9"/>
                <w:color w:val="auto"/>
              </w:rPr>
              <w:t>16,939</w:t>
            </w:r>
          </w:p>
        </w:tc>
        <w:tc>
          <w:tcPr>
            <w:tcW w:w="80" w:type="dxa"/>
            <w:vAlign w:val="bottom"/>
          </w:tcPr>
          <w:p>
            <w:pPr>
              <w:spacing w:after="0"/>
              <w:rPr>
                <w:sz w:val="10"/>
                <w:szCs w:val="10"/>
                <w:color w:val="auto"/>
              </w:rPr>
            </w:pPr>
          </w:p>
        </w:tc>
        <w:tc>
          <w:tcPr>
            <w:tcW w:w="760" w:type="dxa"/>
            <w:vAlign w:val="bottom"/>
            <w:tcBorders>
              <w:top w:val="single" w:sz="8" w:color="auto"/>
            </w:tcBorders>
          </w:tcPr>
          <w:p>
            <w:pPr>
              <w:jc w:val="right"/>
              <w:ind w:right="95"/>
              <w:spacing w:after="0"/>
              <w:rPr>
                <w:sz w:val="20"/>
                <w:szCs w:val="20"/>
                <w:color w:val="auto"/>
              </w:rPr>
            </w:pPr>
            <w:r>
              <w:rPr>
                <w:rFonts w:ascii="Arial" w:cs="Arial" w:eastAsia="Arial" w:hAnsi="Arial"/>
                <w:sz w:val="9"/>
                <w:szCs w:val="9"/>
                <w:color w:val="auto"/>
              </w:rPr>
              <w:t>16,809</w:t>
            </w:r>
          </w:p>
        </w:tc>
        <w:tc>
          <w:tcPr>
            <w:tcW w:w="720" w:type="dxa"/>
            <w:vAlign w:val="bottom"/>
          </w:tcPr>
          <w:p>
            <w:pPr>
              <w:jc w:val="right"/>
              <w:spacing w:after="0"/>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81"/>
        </w:trPr>
        <w:tc>
          <w:tcPr>
            <w:tcW w:w="2500" w:type="dxa"/>
            <w:vAlign w:val="bottom"/>
            <w:shd w:val="clear" w:color="auto" w:fill="CFF0FC"/>
          </w:tcPr>
          <w:p>
            <w:pPr>
              <w:ind w:left="20"/>
              <w:spacing w:after="0" w:line="81" w:lineRule="exact"/>
              <w:rPr>
                <w:sz w:val="20"/>
                <w:szCs w:val="20"/>
                <w:color w:val="auto"/>
              </w:rPr>
            </w:pPr>
            <w:r>
              <w:rPr>
                <w:rFonts w:ascii="Arial" w:cs="Arial" w:eastAsia="Arial" w:hAnsi="Arial"/>
                <w:sz w:val="9"/>
                <w:szCs w:val="9"/>
                <w:i w:val="1"/>
                <w:iCs w:val="1"/>
                <w:color w:val="auto"/>
              </w:rPr>
              <w:t>Micronics Filtration Holdings, Inc. (dba Micronics Engineered</w:t>
            </w:r>
          </w:p>
        </w:tc>
        <w:tc>
          <w:tcPr>
            <w:tcW w:w="3000" w:type="dxa"/>
            <w:vAlign w:val="bottom"/>
            <w:vMerge w:val="restart"/>
            <w:shd w:val="clear" w:color="auto" w:fill="CFF0FC"/>
          </w:tcPr>
          <w:p>
            <w:pPr>
              <w:ind w:left="40"/>
              <w:spacing w:after="0"/>
              <w:rPr>
                <w:sz w:val="20"/>
                <w:szCs w:val="20"/>
                <w:color w:val="auto"/>
              </w:rPr>
            </w:pPr>
            <w:r>
              <w:rPr>
                <w:rFonts w:ascii="Arial" w:cs="Arial" w:eastAsia="Arial" w:hAnsi="Arial"/>
                <w:sz w:val="9"/>
                <w:szCs w:val="9"/>
                <w:color w:val="auto"/>
              </w:rPr>
              <w:t>Component Manufacturing</w:t>
            </w:r>
          </w:p>
        </w:tc>
        <w:tc>
          <w:tcPr>
            <w:tcW w:w="88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Filtration Group, Inc.)</w:t>
            </w:r>
          </w:p>
        </w:tc>
        <w:tc>
          <w:tcPr>
            <w:tcW w:w="3000" w:type="dxa"/>
            <w:vAlign w:val="bottom"/>
            <w:vMerge w:val="continue"/>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First Lien Debt (k) (as)</w:t>
            </w:r>
          </w:p>
        </w:tc>
        <w:tc>
          <w:tcPr>
            <w:tcW w:w="3000" w:type="dxa"/>
            <w:vAlign w:val="bottom"/>
          </w:tcPr>
          <w:p>
            <w:pPr>
              <w:ind w:left="2000"/>
              <w:spacing w:after="0"/>
              <w:rPr>
                <w:sz w:val="20"/>
                <w:szCs w:val="20"/>
                <w:color w:val="auto"/>
              </w:rPr>
            </w:pPr>
            <w:r>
              <w:rPr>
                <w:rFonts w:ascii="Arial" w:cs="Arial" w:eastAsia="Arial" w:hAnsi="Arial"/>
                <w:sz w:val="9"/>
                <w:szCs w:val="9"/>
                <w:color w:val="auto"/>
              </w:rPr>
              <w:t>(S + 5.50%) / (0.50%)</w:t>
            </w:r>
          </w:p>
        </w:tc>
        <w:tc>
          <w:tcPr>
            <w:tcW w:w="880" w:type="dxa"/>
            <w:vAlign w:val="bottom"/>
          </w:tcPr>
          <w:p>
            <w:pPr>
              <w:ind w:left="160"/>
              <w:spacing w:after="0"/>
              <w:rPr>
                <w:sz w:val="20"/>
                <w:szCs w:val="20"/>
                <w:color w:val="auto"/>
              </w:rPr>
            </w:pPr>
            <w:r>
              <w:rPr>
                <w:rFonts w:ascii="Arial" w:cs="Arial" w:eastAsia="Arial" w:hAnsi="Arial"/>
                <w:sz w:val="9"/>
                <w:szCs w:val="9"/>
                <w:color w:val="auto"/>
              </w:rPr>
              <w:t>6.41%/0.00%</w:t>
            </w:r>
          </w:p>
        </w:tc>
        <w:tc>
          <w:tcPr>
            <w:tcW w:w="760" w:type="dxa"/>
            <w:vAlign w:val="bottom"/>
          </w:tcPr>
          <w:p>
            <w:pPr>
              <w:ind w:left="180"/>
              <w:spacing w:after="0"/>
              <w:rPr>
                <w:sz w:val="20"/>
                <w:szCs w:val="20"/>
                <w:color w:val="auto"/>
              </w:rPr>
            </w:pPr>
            <w:r>
              <w:rPr>
                <w:rFonts w:ascii="Arial" w:cs="Arial" w:eastAsia="Arial" w:hAnsi="Arial"/>
                <w:sz w:val="9"/>
                <w:szCs w:val="9"/>
                <w:color w:val="auto"/>
              </w:rPr>
              <w:t>2/17/2022</w:t>
            </w:r>
          </w:p>
        </w:tc>
        <w:tc>
          <w:tcPr>
            <w:tcW w:w="940" w:type="dxa"/>
            <w:vAlign w:val="bottom"/>
          </w:tcPr>
          <w:p>
            <w:pPr>
              <w:ind w:left="180"/>
              <w:spacing w:after="0"/>
              <w:rPr>
                <w:sz w:val="20"/>
                <w:szCs w:val="20"/>
                <w:color w:val="auto"/>
              </w:rPr>
            </w:pPr>
            <w:r>
              <w:rPr>
                <w:rFonts w:ascii="Arial" w:cs="Arial" w:eastAsia="Arial" w:hAnsi="Arial"/>
                <w:sz w:val="9"/>
                <w:szCs w:val="9"/>
                <w:color w:val="auto"/>
              </w:rPr>
              <w:t>2/17/2027</w:t>
            </w:r>
          </w:p>
        </w:tc>
        <w:tc>
          <w:tcPr>
            <w:tcW w:w="860" w:type="dxa"/>
            <w:vAlign w:val="bottom"/>
          </w:tcPr>
          <w:p>
            <w:pPr>
              <w:jc w:val="right"/>
              <w:ind w:right="195"/>
              <w:spacing w:after="0"/>
              <w:rPr>
                <w:sz w:val="20"/>
                <w:szCs w:val="20"/>
                <w:color w:val="auto"/>
              </w:rPr>
            </w:pPr>
            <w:r>
              <w:rPr>
                <w:rFonts w:ascii="Arial" w:cs="Arial" w:eastAsia="Arial" w:hAnsi="Arial"/>
                <w:sz w:val="9"/>
                <w:szCs w:val="9"/>
                <w:color w:val="auto"/>
              </w:rPr>
              <w:t>21,000</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20,854</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20,854</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(14,400 units) (j)</w:t>
            </w:r>
          </w:p>
        </w:tc>
        <w:tc>
          <w:tcPr>
            <w:tcW w:w="3000" w:type="dxa"/>
            <w:vAlign w:val="bottom"/>
            <w:tcBorders>
              <w:bottom w:val="single" w:sz="8" w:color="CFF0FC"/>
            </w:tcBorders>
            <w:shd w:val="clear" w:color="auto" w:fill="CFF0FC"/>
          </w:tcPr>
          <w:p>
            <w:pPr>
              <w:spacing w:after="0"/>
              <w:rPr>
                <w:sz w:val="9"/>
                <w:szCs w:val="9"/>
                <w:color w:val="auto"/>
              </w:rPr>
            </w:pPr>
          </w:p>
        </w:tc>
        <w:tc>
          <w:tcPr>
            <w:tcW w:w="8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2/17/2022</w:t>
            </w:r>
          </w:p>
        </w:tc>
        <w:tc>
          <w:tcPr>
            <w:tcW w:w="94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1,440</w:t>
            </w:r>
          </w:p>
        </w:tc>
        <w:tc>
          <w:tcPr>
            <w:tcW w:w="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1,440</w:t>
            </w:r>
          </w:p>
        </w:tc>
        <w:tc>
          <w:tcPr>
            <w:tcW w:w="7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jc w:val="right"/>
              <w:ind w:right="75"/>
              <w:spacing w:after="0" w:line="102" w:lineRule="exact"/>
              <w:rPr>
                <w:sz w:val="20"/>
                <w:szCs w:val="20"/>
                <w:color w:val="auto"/>
              </w:rPr>
            </w:pPr>
            <w:r>
              <w:rPr>
                <w:rFonts w:ascii="Arial" w:cs="Arial" w:eastAsia="Arial" w:hAnsi="Arial"/>
                <w:sz w:val="9"/>
                <w:szCs w:val="9"/>
                <w:color w:val="auto"/>
              </w:rPr>
              <w:t>22,294</w:t>
            </w:r>
          </w:p>
        </w:tc>
        <w:tc>
          <w:tcPr>
            <w:tcW w:w="840" w:type="dxa"/>
            <w:vAlign w:val="bottom"/>
            <w:gridSpan w:val="2"/>
          </w:tcPr>
          <w:p>
            <w:pPr>
              <w:jc w:val="right"/>
              <w:ind w:right="95"/>
              <w:spacing w:after="0" w:line="102" w:lineRule="exact"/>
              <w:rPr>
                <w:sz w:val="20"/>
                <w:szCs w:val="20"/>
                <w:color w:val="auto"/>
              </w:rPr>
            </w:pPr>
            <w:r>
              <w:rPr>
                <w:rFonts w:ascii="Arial" w:cs="Arial" w:eastAsia="Arial" w:hAnsi="Arial"/>
                <w:sz w:val="9"/>
                <w:szCs w:val="9"/>
                <w:color w:val="auto"/>
              </w:rPr>
              <w:t>22,294</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5 %</w:t>
            </w: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Midwest Transit Equipment, Inc.</w:t>
            </w:r>
          </w:p>
        </w:tc>
        <w:tc>
          <w:tcPr>
            <w:tcW w:w="3000" w:type="dxa"/>
            <w:vAlign w:val="bottom"/>
            <w:shd w:val="clear" w:color="auto" w:fill="CFF0FC"/>
          </w:tcPr>
          <w:p>
            <w:pPr>
              <w:ind w:left="40"/>
              <w:spacing w:after="0"/>
              <w:rPr>
                <w:sz w:val="20"/>
                <w:szCs w:val="20"/>
                <w:color w:val="auto"/>
              </w:rPr>
            </w:pPr>
            <w:r>
              <w:rPr>
                <w:rFonts w:ascii="Arial" w:cs="Arial" w:eastAsia="Arial" w:hAnsi="Arial"/>
                <w:sz w:val="9"/>
                <w:szCs w:val="9"/>
                <w:color w:val="auto"/>
              </w:rPr>
              <w:t>Transportation services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Warrant (7,192 shares) (j)(m)</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6/23/2017</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180</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250</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Warrant (4.79% of Junior Subordinated Notes) (j)(q)</w:t>
            </w:r>
          </w:p>
        </w:tc>
        <w:tc>
          <w:tcPr>
            <w:tcW w:w="3000" w:type="dxa"/>
            <w:vAlign w:val="bottom"/>
            <w:tcBorders>
              <w:bottom w:val="single" w:sz="8" w:color="CFF0FC"/>
            </w:tcBorders>
            <w:shd w:val="clear" w:color="auto" w:fill="CFF0FC"/>
          </w:tcPr>
          <w:p>
            <w:pPr>
              <w:spacing w:after="0"/>
              <w:rPr>
                <w:sz w:val="9"/>
                <w:szCs w:val="9"/>
                <w:color w:val="auto"/>
              </w:rPr>
            </w:pPr>
          </w:p>
        </w:tc>
        <w:tc>
          <w:tcPr>
            <w:tcW w:w="8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6/23/2017</w:t>
            </w:r>
          </w:p>
        </w:tc>
        <w:tc>
          <w:tcPr>
            <w:tcW w:w="94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190</w:t>
            </w:r>
          </w:p>
        </w:tc>
        <w:tc>
          <w:tcPr>
            <w:tcW w:w="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271</w:t>
            </w:r>
          </w:p>
        </w:tc>
        <w:tc>
          <w:tcPr>
            <w:tcW w:w="7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jc w:val="right"/>
              <w:ind w:right="75"/>
              <w:spacing w:after="0" w:line="102" w:lineRule="exact"/>
              <w:rPr>
                <w:sz w:val="20"/>
                <w:szCs w:val="20"/>
                <w:color w:val="auto"/>
              </w:rPr>
            </w:pPr>
            <w:r>
              <w:rPr>
                <w:rFonts w:ascii="Arial" w:cs="Arial" w:eastAsia="Arial" w:hAnsi="Arial"/>
                <w:sz w:val="9"/>
                <w:szCs w:val="9"/>
                <w:color w:val="auto"/>
              </w:rPr>
              <w:t>370</w:t>
            </w:r>
          </w:p>
        </w:tc>
        <w:tc>
          <w:tcPr>
            <w:tcW w:w="840" w:type="dxa"/>
            <w:vAlign w:val="bottom"/>
            <w:gridSpan w:val="2"/>
          </w:tcPr>
          <w:p>
            <w:pPr>
              <w:jc w:val="right"/>
              <w:ind w:right="95"/>
              <w:spacing w:after="0" w:line="102" w:lineRule="exact"/>
              <w:rPr>
                <w:sz w:val="20"/>
                <w:szCs w:val="20"/>
                <w:color w:val="auto"/>
              </w:rPr>
            </w:pPr>
            <w:r>
              <w:rPr>
                <w:rFonts w:ascii="Arial" w:cs="Arial" w:eastAsia="Arial" w:hAnsi="Arial"/>
                <w:sz w:val="9"/>
                <w:szCs w:val="9"/>
                <w:color w:val="auto"/>
              </w:rPr>
              <w:t>521</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Mobilewalla, Inc.</w:t>
            </w:r>
          </w:p>
        </w:tc>
        <w:tc>
          <w:tcPr>
            <w:tcW w:w="3000" w:type="dxa"/>
            <w:vAlign w:val="bottom"/>
            <w:shd w:val="clear" w:color="auto" w:fill="CFF0FC"/>
          </w:tcPr>
          <w:p>
            <w:pPr>
              <w:ind w:left="40"/>
              <w:spacing w:after="0"/>
              <w:rPr>
                <w:sz w:val="20"/>
                <w:szCs w:val="20"/>
                <w:color w:val="auto"/>
              </w:rPr>
            </w:pPr>
            <w:r>
              <w:rPr>
                <w:rFonts w:ascii="Arial" w:cs="Arial" w:eastAsia="Arial" w:hAnsi="Arial"/>
                <w:sz w:val="9"/>
                <w:szCs w:val="9"/>
                <w:color w:val="auto"/>
              </w:rPr>
              <w:t>Information Technology Services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First Lien Debt (j)</w:t>
            </w:r>
          </w:p>
        </w:tc>
        <w:tc>
          <w:tcPr>
            <w:tcW w:w="3000" w:type="dxa"/>
            <w:vAlign w:val="bottom"/>
          </w:tcPr>
          <w:p>
            <w:pPr>
              <w:ind w:left="2000"/>
              <w:spacing w:after="0"/>
              <w:rPr>
                <w:sz w:val="20"/>
                <w:szCs w:val="20"/>
                <w:color w:val="auto"/>
              </w:rPr>
            </w:pPr>
            <w:r>
              <w:rPr>
                <w:rFonts w:ascii="Arial" w:cs="Arial" w:eastAsia="Arial" w:hAnsi="Arial"/>
                <w:sz w:val="9"/>
                <w:szCs w:val="9"/>
                <w:color w:val="auto"/>
              </w:rPr>
              <w:t>(L + 11.50%) / (0.50%)</w:t>
            </w: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12/17/2021</w:t>
            </w:r>
          </w:p>
        </w:tc>
        <w:tc>
          <w:tcPr>
            <w:tcW w:w="940" w:type="dxa"/>
            <w:vAlign w:val="bottom"/>
          </w:tcPr>
          <w:p>
            <w:pPr>
              <w:ind w:left="180"/>
              <w:spacing w:after="0"/>
              <w:rPr>
                <w:sz w:val="20"/>
                <w:szCs w:val="20"/>
                <w:color w:val="auto"/>
              </w:rPr>
            </w:pPr>
            <w:r>
              <w:rPr>
                <w:rFonts w:ascii="Arial" w:cs="Arial" w:eastAsia="Arial" w:hAnsi="Arial"/>
                <w:sz w:val="9"/>
                <w:szCs w:val="9"/>
                <w:color w:val="auto"/>
              </w:rPr>
              <w:t>12/17/2024</w:t>
            </w:r>
          </w:p>
        </w:tc>
        <w:tc>
          <w:tcPr>
            <w:tcW w:w="860" w:type="dxa"/>
            <w:vAlign w:val="bottom"/>
          </w:tcPr>
          <w:p>
            <w:pPr>
              <w:jc w:val="right"/>
              <w:ind w:right="195"/>
              <w:spacing w:after="0"/>
              <w:rPr>
                <w:sz w:val="20"/>
                <w:szCs w:val="20"/>
                <w:color w:val="auto"/>
              </w:rPr>
            </w:pPr>
            <w:r>
              <w:rPr>
                <w:rFonts w:ascii="Arial" w:cs="Arial" w:eastAsia="Arial" w:hAnsi="Arial"/>
                <w:sz w:val="9"/>
                <w:szCs w:val="9"/>
                <w:color w:val="auto"/>
              </w:rPr>
              <w:t>5,715</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5,691</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5,715</w:t>
            </w:r>
          </w:p>
        </w:tc>
        <w:tc>
          <w:tcPr>
            <w:tcW w:w="720" w:type="dxa"/>
            <w:vAlign w:val="bottom"/>
          </w:tcPr>
          <w:p>
            <w:pPr>
              <w:jc w:val="right"/>
              <w:spacing w:after="0"/>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spacing w:after="0"/>
              <w:rPr>
                <w:sz w:val="9"/>
                <w:szCs w:val="9"/>
                <w:color w:val="auto"/>
              </w:rPr>
            </w:pP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Netbase Solutions, Inc. (dba Netbase Quid)</w:t>
            </w:r>
          </w:p>
        </w:tc>
        <w:tc>
          <w:tcPr>
            <w:tcW w:w="3000" w:type="dxa"/>
            <w:vAlign w:val="bottom"/>
          </w:tcPr>
          <w:p>
            <w:pPr>
              <w:ind w:left="40"/>
              <w:spacing w:after="0"/>
              <w:rPr>
                <w:sz w:val="20"/>
                <w:szCs w:val="20"/>
                <w:color w:val="auto"/>
              </w:rPr>
            </w:pPr>
            <w:r>
              <w:rPr>
                <w:rFonts w:ascii="Arial" w:cs="Arial" w:eastAsia="Arial" w:hAnsi="Arial"/>
                <w:sz w:val="9"/>
                <w:szCs w:val="9"/>
                <w:color w:val="auto"/>
              </w:rPr>
              <w:t>Information Technology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(k)(ap)</w:t>
            </w:r>
          </w:p>
        </w:tc>
        <w:tc>
          <w:tcPr>
            <w:tcW w:w="3000" w:type="dxa"/>
            <w:vAlign w:val="bottom"/>
            <w:shd w:val="clear" w:color="auto" w:fill="CFF0FC"/>
          </w:tcPr>
          <w:p>
            <w:pPr>
              <w:ind w:left="2000"/>
              <w:spacing w:after="0"/>
              <w:rPr>
                <w:sz w:val="20"/>
                <w:szCs w:val="20"/>
                <w:color w:val="auto"/>
              </w:rPr>
            </w:pPr>
            <w:r>
              <w:rPr>
                <w:rFonts w:ascii="Arial" w:cs="Arial" w:eastAsia="Arial" w:hAnsi="Arial"/>
                <w:sz w:val="9"/>
                <w:szCs w:val="9"/>
                <w:color w:val="auto"/>
              </w:rPr>
              <w:t>(P + 4.00%) / (3.25%)</w:t>
            </w: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8.75%/0.00%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11/18/2021</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11/18/2025</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16,708</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16,603</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16,708</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NGT Acquisition Holdings, LLC (dba Techniks Industries)</w:t>
            </w:r>
          </w:p>
        </w:tc>
        <w:tc>
          <w:tcPr>
            <w:tcW w:w="3000" w:type="dxa"/>
            <w:vAlign w:val="bottom"/>
            <w:shd w:val="clear" w:color="auto" w:fill="CFF0FC"/>
          </w:tcPr>
          <w:p>
            <w:pPr>
              <w:ind w:left="40"/>
              <w:spacing w:after="0"/>
              <w:rPr>
                <w:sz w:val="20"/>
                <w:szCs w:val="20"/>
                <w:color w:val="auto"/>
              </w:rPr>
            </w:pPr>
            <w:r>
              <w:rPr>
                <w:rFonts w:ascii="Arial" w:cs="Arial" w:eastAsia="Arial" w:hAnsi="Arial"/>
                <w:sz w:val="9"/>
                <w:szCs w:val="9"/>
                <w:color w:val="auto"/>
              </w:rPr>
              <w:t>Component Manufacturing</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Common Equity (378 units) (j)</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5/24/2017</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500</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141</w:t>
            </w:r>
          </w:p>
        </w:tc>
        <w:tc>
          <w:tcPr>
            <w:tcW w:w="720" w:type="dxa"/>
            <w:vAlign w:val="bottom"/>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spacing w:after="0"/>
              <w:rPr>
                <w:sz w:val="9"/>
                <w:szCs w:val="9"/>
                <w:color w:val="auto"/>
              </w:rPr>
            </w:pP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OMC Investors, LLC (dba Ohio Medical Corporation)</w:t>
            </w:r>
          </w:p>
        </w:tc>
        <w:tc>
          <w:tcPr>
            <w:tcW w:w="3000" w:type="dxa"/>
            <w:vAlign w:val="bottom"/>
          </w:tcPr>
          <w:p>
            <w:pPr>
              <w:ind w:left="40"/>
              <w:spacing w:after="0"/>
              <w:rPr>
                <w:sz w:val="20"/>
                <w:szCs w:val="20"/>
                <w:color w:val="auto"/>
              </w:rPr>
            </w:pPr>
            <w:r>
              <w:rPr>
                <w:rFonts w:ascii="Arial" w:cs="Arial" w:eastAsia="Arial" w:hAnsi="Arial"/>
                <w:sz w:val="9"/>
                <w:szCs w:val="9"/>
                <w:color w:val="auto"/>
              </w:rPr>
              <w:t>Healthcare Products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Second Lien Debt</w:t>
            </w: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13.00%/0.00%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1/26/2021</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6/30/2024</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5,000</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4,971</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5,000</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Common Equity (5,000 units)</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1/15/2016</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195</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627</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00" w:type="dxa"/>
            <w:vAlign w:val="bottom"/>
            <w:shd w:val="clear" w:color="auto" w:fill="CFF0FC"/>
          </w:tcPr>
          <w:p>
            <w:pPr>
              <w:spacing w:after="0"/>
              <w:rPr>
                <w:sz w:val="8"/>
                <w:szCs w:val="8"/>
                <w:color w:val="auto"/>
              </w:rPr>
            </w:pPr>
          </w:p>
        </w:tc>
        <w:tc>
          <w:tcPr>
            <w:tcW w:w="30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5,166</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5,627</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Palisade Company, LLC</w:t>
            </w:r>
          </w:p>
        </w:tc>
        <w:tc>
          <w:tcPr>
            <w:tcW w:w="3000" w:type="dxa"/>
            <w:vAlign w:val="bottom"/>
          </w:tcPr>
          <w:p>
            <w:pPr>
              <w:ind w:left="40"/>
              <w:spacing w:after="0"/>
              <w:rPr>
                <w:sz w:val="20"/>
                <w:szCs w:val="20"/>
                <w:color w:val="auto"/>
              </w:rPr>
            </w:pPr>
            <w:r>
              <w:rPr>
                <w:rFonts w:ascii="Arial" w:cs="Arial" w:eastAsia="Arial" w:hAnsi="Arial"/>
                <w:sz w:val="9"/>
                <w:szCs w:val="9"/>
                <w:color w:val="auto"/>
              </w:rPr>
              <w:t>Information Technology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(50 shares) (j)</w:t>
            </w: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11/15/2018</w:t>
            </w: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500</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2,229</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Palmetto Moon, LLC</w:t>
            </w:r>
          </w:p>
        </w:tc>
        <w:tc>
          <w:tcPr>
            <w:tcW w:w="3000" w:type="dxa"/>
            <w:vAlign w:val="bottom"/>
            <w:shd w:val="clear" w:color="auto" w:fill="CFF0FC"/>
          </w:tcPr>
          <w:p>
            <w:pPr>
              <w:ind w:left="40"/>
              <w:spacing w:after="0"/>
              <w:rPr>
                <w:sz w:val="20"/>
                <w:szCs w:val="20"/>
                <w:color w:val="auto"/>
              </w:rPr>
            </w:pPr>
            <w:r>
              <w:rPr>
                <w:rFonts w:ascii="Arial" w:cs="Arial" w:eastAsia="Arial" w:hAnsi="Arial"/>
                <w:sz w:val="9"/>
                <w:szCs w:val="9"/>
                <w:color w:val="auto"/>
              </w:rPr>
              <w:t>Retail</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Common Equity (499 units) (j)</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11/3/2016</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265</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636</w:t>
            </w:r>
          </w:p>
        </w:tc>
        <w:tc>
          <w:tcPr>
            <w:tcW w:w="720" w:type="dxa"/>
            <w:vAlign w:val="bottom"/>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spacing w:after="0"/>
              <w:rPr>
                <w:sz w:val="9"/>
                <w:szCs w:val="9"/>
                <w:color w:val="auto"/>
              </w:rPr>
            </w:pP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Pinnergy, Ltd.</w:t>
            </w:r>
          </w:p>
        </w:tc>
        <w:tc>
          <w:tcPr>
            <w:tcW w:w="3000" w:type="dxa"/>
            <w:vAlign w:val="bottom"/>
          </w:tcPr>
          <w:p>
            <w:pPr>
              <w:ind w:left="40"/>
              <w:spacing w:after="0"/>
              <w:rPr>
                <w:sz w:val="20"/>
                <w:szCs w:val="20"/>
                <w:color w:val="auto"/>
              </w:rPr>
            </w:pPr>
            <w:r>
              <w:rPr>
                <w:rFonts w:ascii="Arial" w:cs="Arial" w:eastAsia="Arial" w:hAnsi="Arial"/>
                <w:sz w:val="9"/>
                <w:szCs w:val="9"/>
                <w:color w:val="auto"/>
              </w:rPr>
              <w:t>Oil &amp; Gas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Subordinated Debt (j)</w:t>
            </w: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9.00%/0.00%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6/30/2022</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6/30/2027</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15,000</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14,925</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14,925</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Pool &amp; Electrical Products, LLC (n)</w:t>
            </w:r>
          </w:p>
        </w:tc>
        <w:tc>
          <w:tcPr>
            <w:tcW w:w="3000" w:type="dxa"/>
            <w:vAlign w:val="bottom"/>
            <w:shd w:val="clear" w:color="auto" w:fill="CFF0FC"/>
          </w:tcPr>
          <w:p>
            <w:pPr>
              <w:ind w:left="40"/>
              <w:spacing w:after="0"/>
              <w:rPr>
                <w:sz w:val="20"/>
                <w:szCs w:val="20"/>
                <w:color w:val="auto"/>
              </w:rPr>
            </w:pPr>
            <w:r>
              <w:rPr>
                <w:rFonts w:ascii="Arial" w:cs="Arial" w:eastAsia="Arial" w:hAnsi="Arial"/>
                <w:sz w:val="9"/>
                <w:szCs w:val="9"/>
                <w:color w:val="auto"/>
              </w:rPr>
              <w:t>Specialty Distribution</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Common Equity (15,000 units) (h)(j)</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10/28/2020</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549</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4,466</w:t>
            </w:r>
          </w:p>
        </w:tc>
        <w:tc>
          <w:tcPr>
            <w:tcW w:w="720" w:type="dxa"/>
            <w:vAlign w:val="bottom"/>
          </w:tcPr>
          <w:p>
            <w:pPr>
              <w:jc w:val="right"/>
              <w:spacing w:after="0"/>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spacing w:after="0"/>
              <w:rPr>
                <w:sz w:val="9"/>
                <w:szCs w:val="9"/>
                <w:color w:val="auto"/>
              </w:rPr>
            </w:pP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Power Grid Components, Inc.</w:t>
            </w:r>
          </w:p>
        </w:tc>
        <w:tc>
          <w:tcPr>
            <w:tcW w:w="3000" w:type="dxa"/>
            <w:vAlign w:val="bottom"/>
          </w:tcPr>
          <w:p>
            <w:pPr>
              <w:ind w:left="40"/>
              <w:spacing w:after="0"/>
              <w:rPr>
                <w:sz w:val="20"/>
                <w:szCs w:val="20"/>
                <w:color w:val="auto"/>
              </w:rPr>
            </w:pPr>
            <w:r>
              <w:rPr>
                <w:rFonts w:ascii="Arial" w:cs="Arial" w:eastAsia="Arial" w:hAnsi="Arial"/>
                <w:sz w:val="9"/>
                <w:szCs w:val="9"/>
                <w:color w:val="auto"/>
              </w:rPr>
              <w:t>Specialty Distribution</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Second Lien Debt (k)</w:t>
            </w: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11.00%/1.00%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4/12/2018</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12/2/2025</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17,659</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17,606</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17,659</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Preferred Equity (392 shares) (j)</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4/12/2018</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392</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593</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Preferred Equity (48 shares) (j)</w:t>
            </w: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12/2/2019</w:t>
            </w: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48</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73</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Common Equity (10,622 shares) (j)</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4/12/2018</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462</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442</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00" w:type="dxa"/>
            <w:vAlign w:val="bottom"/>
            <w:shd w:val="clear" w:color="auto" w:fill="CFF0FC"/>
          </w:tcPr>
          <w:p>
            <w:pPr>
              <w:spacing w:after="0"/>
              <w:rPr>
                <w:sz w:val="8"/>
                <w:szCs w:val="8"/>
                <w:color w:val="auto"/>
              </w:rPr>
            </w:pPr>
          </w:p>
        </w:tc>
        <w:tc>
          <w:tcPr>
            <w:tcW w:w="30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18,508</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18,767</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PowerGrid Services Acquisition, LLC</w:t>
            </w:r>
          </w:p>
        </w:tc>
        <w:tc>
          <w:tcPr>
            <w:tcW w:w="3000" w:type="dxa"/>
            <w:vAlign w:val="bottom"/>
          </w:tcPr>
          <w:p>
            <w:pPr>
              <w:ind w:left="40"/>
              <w:spacing w:after="0"/>
              <w:rPr>
                <w:sz w:val="20"/>
                <w:szCs w:val="20"/>
                <w:color w:val="auto"/>
              </w:rPr>
            </w:pPr>
            <w:r>
              <w:rPr>
                <w:rFonts w:ascii="Arial" w:cs="Arial" w:eastAsia="Arial" w:hAnsi="Arial"/>
                <w:sz w:val="9"/>
                <w:szCs w:val="9"/>
                <w:color w:val="auto"/>
              </w:rPr>
              <w:t>Utilities: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Second Lien Debt (j)</w:t>
            </w:r>
          </w:p>
        </w:tc>
        <w:tc>
          <w:tcPr>
            <w:tcW w:w="3000" w:type="dxa"/>
            <w:vAlign w:val="bottom"/>
            <w:shd w:val="clear" w:color="auto" w:fill="CFF0FC"/>
          </w:tcPr>
          <w:p>
            <w:pPr>
              <w:ind w:left="2000"/>
              <w:spacing w:after="0"/>
              <w:rPr>
                <w:sz w:val="20"/>
                <w:szCs w:val="20"/>
                <w:color w:val="auto"/>
              </w:rPr>
            </w:pPr>
            <w:r>
              <w:rPr>
                <w:rFonts w:ascii="Arial" w:cs="Arial" w:eastAsia="Arial" w:hAnsi="Arial"/>
                <w:sz w:val="9"/>
                <w:szCs w:val="9"/>
                <w:color w:val="auto"/>
              </w:rPr>
              <w:t>(L + 9.50%) / (1.00%)</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9/21/2021</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3/21/2029</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10,831</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10,782</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10,831</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Common Equity (5,341 units) (h)(j)</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9/21/2021</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534</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532</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00" w:type="dxa"/>
            <w:vAlign w:val="bottom"/>
            <w:shd w:val="clear" w:color="auto" w:fill="CFF0FC"/>
          </w:tcPr>
          <w:p>
            <w:pPr>
              <w:spacing w:after="0"/>
              <w:rPr>
                <w:sz w:val="8"/>
                <w:szCs w:val="8"/>
                <w:color w:val="auto"/>
              </w:rPr>
            </w:pPr>
          </w:p>
        </w:tc>
        <w:tc>
          <w:tcPr>
            <w:tcW w:w="30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11,316</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11,363</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Prime AE Group, Inc.</w:t>
            </w:r>
          </w:p>
        </w:tc>
        <w:tc>
          <w:tcPr>
            <w:tcW w:w="3000" w:type="dxa"/>
            <w:vAlign w:val="bottom"/>
          </w:tcPr>
          <w:p>
            <w:pPr>
              <w:ind w:left="40"/>
              <w:spacing w:after="0"/>
              <w:rPr>
                <w:sz w:val="20"/>
                <w:szCs w:val="20"/>
                <w:color w:val="auto"/>
              </w:rPr>
            </w:pPr>
            <w:r>
              <w:rPr>
                <w:rFonts w:ascii="Arial" w:cs="Arial" w:eastAsia="Arial" w:hAnsi="Arial"/>
                <w:sz w:val="9"/>
                <w:szCs w:val="9"/>
                <w:color w:val="auto"/>
              </w:rPr>
              <w:t>Business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w:t>
            </w:r>
          </w:p>
        </w:tc>
        <w:tc>
          <w:tcPr>
            <w:tcW w:w="3000" w:type="dxa"/>
            <w:vAlign w:val="bottom"/>
            <w:shd w:val="clear" w:color="auto" w:fill="CFF0FC"/>
          </w:tcPr>
          <w:p>
            <w:pPr>
              <w:ind w:left="2000"/>
              <w:spacing w:after="0"/>
              <w:rPr>
                <w:sz w:val="20"/>
                <w:szCs w:val="20"/>
                <w:color w:val="auto"/>
              </w:rPr>
            </w:pPr>
            <w:r>
              <w:rPr>
                <w:rFonts w:ascii="Arial" w:cs="Arial" w:eastAsia="Arial" w:hAnsi="Arial"/>
                <w:sz w:val="9"/>
                <w:szCs w:val="9"/>
                <w:color w:val="auto"/>
              </w:rPr>
              <w:t>(L + 6.25%) / (2.00%)</w:t>
            </w: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8.25%/0.00%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11/25/2019</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11/25/2024</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6,000</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5,907</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5,833</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Preferred Equity (900,000 shares) (j)</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11/25/2019</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900</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216</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00" w:type="dxa"/>
            <w:vAlign w:val="bottom"/>
            <w:shd w:val="clear" w:color="auto" w:fill="CFF0FC"/>
          </w:tcPr>
          <w:p>
            <w:pPr>
              <w:spacing w:after="0"/>
              <w:rPr>
                <w:sz w:val="8"/>
                <w:szCs w:val="8"/>
                <w:color w:val="auto"/>
              </w:rPr>
            </w:pPr>
          </w:p>
        </w:tc>
        <w:tc>
          <w:tcPr>
            <w:tcW w:w="30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6,807</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6,049</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Pugh Lubricants, LLC (n)</w:t>
            </w:r>
          </w:p>
        </w:tc>
        <w:tc>
          <w:tcPr>
            <w:tcW w:w="3000" w:type="dxa"/>
            <w:vAlign w:val="bottom"/>
          </w:tcPr>
          <w:p>
            <w:pPr>
              <w:ind w:left="40"/>
              <w:spacing w:after="0"/>
              <w:rPr>
                <w:sz w:val="20"/>
                <w:szCs w:val="20"/>
                <w:color w:val="auto"/>
              </w:rPr>
            </w:pPr>
            <w:r>
              <w:rPr>
                <w:rFonts w:ascii="Arial" w:cs="Arial" w:eastAsia="Arial" w:hAnsi="Arial"/>
                <w:sz w:val="9"/>
                <w:szCs w:val="9"/>
                <w:color w:val="auto"/>
              </w:rPr>
              <w:t>Specialty Distribution</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(3,062 units) (h)(j)</w:t>
            </w: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11/10/2016</w:t>
            </w: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Quest Software US Holdings Inc.</w:t>
            </w:r>
          </w:p>
        </w:tc>
        <w:tc>
          <w:tcPr>
            <w:tcW w:w="3000" w:type="dxa"/>
            <w:vAlign w:val="bottom"/>
            <w:shd w:val="clear" w:color="auto" w:fill="CFF0FC"/>
          </w:tcPr>
          <w:p>
            <w:pPr>
              <w:ind w:left="40"/>
              <w:spacing w:after="0"/>
              <w:rPr>
                <w:sz w:val="20"/>
                <w:szCs w:val="20"/>
                <w:color w:val="auto"/>
              </w:rPr>
            </w:pPr>
            <w:r>
              <w:rPr>
                <w:rFonts w:ascii="Arial" w:cs="Arial" w:eastAsia="Arial" w:hAnsi="Arial"/>
                <w:sz w:val="9"/>
                <w:szCs w:val="9"/>
                <w:color w:val="auto"/>
              </w:rPr>
              <w:t>Information Technology Services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Second Lien Debt (j)</w:t>
            </w:r>
          </w:p>
        </w:tc>
        <w:tc>
          <w:tcPr>
            <w:tcW w:w="3000" w:type="dxa"/>
            <w:vAlign w:val="bottom"/>
          </w:tcPr>
          <w:p>
            <w:pPr>
              <w:ind w:left="2000"/>
              <w:spacing w:after="0"/>
              <w:rPr>
                <w:sz w:val="20"/>
                <w:szCs w:val="20"/>
                <w:color w:val="auto"/>
              </w:rPr>
            </w:pPr>
            <w:r>
              <w:rPr>
                <w:rFonts w:ascii="Arial" w:cs="Arial" w:eastAsia="Arial" w:hAnsi="Arial"/>
                <w:sz w:val="9"/>
                <w:szCs w:val="9"/>
                <w:color w:val="auto"/>
              </w:rPr>
              <w:t>(S + 7.50%) / (0.50%)</w:t>
            </w: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3/1/2022</w:t>
            </w:r>
          </w:p>
        </w:tc>
        <w:tc>
          <w:tcPr>
            <w:tcW w:w="940" w:type="dxa"/>
            <w:vAlign w:val="bottom"/>
          </w:tcPr>
          <w:p>
            <w:pPr>
              <w:ind w:left="180"/>
              <w:spacing w:after="0"/>
              <w:rPr>
                <w:sz w:val="20"/>
                <w:szCs w:val="20"/>
                <w:color w:val="auto"/>
              </w:rPr>
            </w:pPr>
            <w:r>
              <w:rPr>
                <w:rFonts w:ascii="Arial" w:cs="Arial" w:eastAsia="Arial" w:hAnsi="Arial"/>
                <w:sz w:val="9"/>
                <w:szCs w:val="9"/>
                <w:color w:val="auto"/>
              </w:rPr>
              <w:t>2/1/2030</w:t>
            </w:r>
          </w:p>
        </w:tc>
        <w:tc>
          <w:tcPr>
            <w:tcW w:w="860" w:type="dxa"/>
            <w:vAlign w:val="bottom"/>
          </w:tcPr>
          <w:p>
            <w:pPr>
              <w:jc w:val="right"/>
              <w:ind w:right="195"/>
              <w:spacing w:after="0"/>
              <w:rPr>
                <w:sz w:val="20"/>
                <w:szCs w:val="20"/>
                <w:color w:val="auto"/>
              </w:rPr>
            </w:pPr>
            <w:r>
              <w:rPr>
                <w:rFonts w:ascii="Arial" w:cs="Arial" w:eastAsia="Arial" w:hAnsi="Arial"/>
                <w:sz w:val="9"/>
                <w:szCs w:val="9"/>
                <w:color w:val="auto"/>
              </w:rPr>
              <w:t>18,000</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17,560</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17,560</w:t>
            </w:r>
          </w:p>
        </w:tc>
        <w:tc>
          <w:tcPr>
            <w:tcW w:w="720" w:type="dxa"/>
            <w:vAlign w:val="bottom"/>
          </w:tcPr>
          <w:p>
            <w:pPr>
              <w:jc w:val="right"/>
              <w:spacing w:after="0"/>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spacing w:after="0"/>
              <w:rPr>
                <w:sz w:val="9"/>
                <w:szCs w:val="9"/>
                <w:color w:val="auto"/>
              </w:rPr>
            </w:pP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Rhino Assembly Company, LLC</w:t>
            </w:r>
          </w:p>
        </w:tc>
        <w:tc>
          <w:tcPr>
            <w:tcW w:w="3000" w:type="dxa"/>
            <w:vAlign w:val="bottom"/>
          </w:tcPr>
          <w:p>
            <w:pPr>
              <w:ind w:left="40"/>
              <w:spacing w:after="0"/>
              <w:rPr>
                <w:sz w:val="20"/>
                <w:szCs w:val="20"/>
                <w:color w:val="auto"/>
              </w:rPr>
            </w:pPr>
            <w:r>
              <w:rPr>
                <w:rFonts w:ascii="Arial" w:cs="Arial" w:eastAsia="Arial" w:hAnsi="Arial"/>
                <w:sz w:val="9"/>
                <w:szCs w:val="9"/>
                <w:color w:val="auto"/>
              </w:rPr>
              <w:t>Specialty Distribution</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Second Lien Debt (k)</w:t>
            </w: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11.50%/0.00%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8/11/2017</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2/11/2026</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14,851</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14,835</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14,851</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Common Equity (Class A Units) (10,915 units) (h)(j)</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8/11/2017</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1,125</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1,622</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Preferred Equity (Units N/A) (h)(j)</w:t>
            </w: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12/10/2020</w:t>
            </w: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268</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296</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Common Equity (Class F Units) (710 units) (h)(j)</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12/10/2020</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00" w:type="dxa"/>
            <w:vAlign w:val="bottom"/>
            <w:shd w:val="clear" w:color="auto" w:fill="CFF0FC"/>
          </w:tcPr>
          <w:p>
            <w:pPr>
              <w:spacing w:after="0"/>
              <w:rPr>
                <w:sz w:val="8"/>
                <w:szCs w:val="8"/>
                <w:color w:val="auto"/>
              </w:rPr>
            </w:pPr>
          </w:p>
        </w:tc>
        <w:tc>
          <w:tcPr>
            <w:tcW w:w="30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16,228</w:t>
            </w:r>
          </w:p>
        </w:tc>
        <w:tc>
          <w:tcPr>
            <w:tcW w:w="80" w:type="dxa"/>
            <w:vAlign w:val="bottom"/>
            <w:shd w:val="clear" w:color="auto" w:fill="CFF0FC"/>
          </w:tcPr>
          <w:p>
            <w:pPr>
              <w:spacing w:after="0"/>
              <w:rPr>
                <w:sz w:val="8"/>
                <w:szCs w:val="8"/>
                <w:color w:val="auto"/>
              </w:rPr>
            </w:pPr>
          </w:p>
        </w:tc>
        <w:tc>
          <w:tcPr>
            <w:tcW w:w="760" w:type="dxa"/>
            <w:vAlign w:val="bottom"/>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16,769</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Road Safety Services, Inc.</w:t>
            </w:r>
          </w:p>
        </w:tc>
        <w:tc>
          <w:tcPr>
            <w:tcW w:w="3000" w:type="dxa"/>
            <w:vAlign w:val="bottom"/>
          </w:tcPr>
          <w:p>
            <w:pPr>
              <w:ind w:left="40"/>
              <w:spacing w:after="0"/>
              <w:rPr>
                <w:sz w:val="20"/>
                <w:szCs w:val="20"/>
                <w:color w:val="auto"/>
              </w:rPr>
            </w:pPr>
            <w:r>
              <w:rPr>
                <w:rFonts w:ascii="Arial" w:cs="Arial" w:eastAsia="Arial" w:hAnsi="Arial"/>
                <w:sz w:val="9"/>
                <w:szCs w:val="9"/>
                <w:color w:val="auto"/>
              </w:rPr>
              <w:t>Business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Second Lien Debt</w:t>
            </w: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11.25%/2.00%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9/18/2018</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9/18/2025</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15,682</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15,643</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15,682</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Common Equity (779 units)</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9/18/2018</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1,121</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1,269</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00" w:type="dxa"/>
            <w:vAlign w:val="bottom"/>
            <w:shd w:val="clear" w:color="auto" w:fill="CFF0FC"/>
          </w:tcPr>
          <w:p>
            <w:pPr>
              <w:spacing w:after="0"/>
              <w:rPr>
                <w:sz w:val="8"/>
                <w:szCs w:val="8"/>
                <w:color w:val="auto"/>
              </w:rPr>
            </w:pPr>
          </w:p>
        </w:tc>
        <w:tc>
          <w:tcPr>
            <w:tcW w:w="30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16,764</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16,951</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SES Investors, LLC (dba SES Foam)</w:t>
            </w:r>
          </w:p>
        </w:tc>
        <w:tc>
          <w:tcPr>
            <w:tcW w:w="3000" w:type="dxa"/>
            <w:vAlign w:val="bottom"/>
          </w:tcPr>
          <w:p>
            <w:pPr>
              <w:ind w:left="40"/>
              <w:spacing w:after="0"/>
              <w:rPr>
                <w:sz w:val="20"/>
                <w:szCs w:val="20"/>
                <w:color w:val="auto"/>
              </w:rPr>
            </w:pPr>
            <w:r>
              <w:rPr>
                <w:rFonts w:ascii="Arial" w:cs="Arial" w:eastAsia="Arial" w:hAnsi="Arial"/>
                <w:sz w:val="9"/>
                <w:szCs w:val="9"/>
                <w:color w:val="auto"/>
              </w:rPr>
              <w:t>Building Products Manufacturing</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(6,000 units) (h)(j)</w:t>
            </w: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9/8/2016</w:t>
            </w: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404</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7,709</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Suited Connector LLC</w:t>
            </w:r>
          </w:p>
        </w:tc>
        <w:tc>
          <w:tcPr>
            <w:tcW w:w="3000" w:type="dxa"/>
            <w:vAlign w:val="bottom"/>
            <w:shd w:val="clear" w:color="auto" w:fill="CFF0FC"/>
          </w:tcPr>
          <w:p>
            <w:pPr>
              <w:ind w:left="40"/>
              <w:spacing w:after="0"/>
              <w:rPr>
                <w:sz w:val="20"/>
                <w:szCs w:val="20"/>
                <w:color w:val="auto"/>
              </w:rPr>
            </w:pPr>
            <w:r>
              <w:rPr>
                <w:rFonts w:ascii="Arial" w:cs="Arial" w:eastAsia="Arial" w:hAnsi="Arial"/>
                <w:sz w:val="9"/>
                <w:szCs w:val="9"/>
                <w:color w:val="auto"/>
              </w:rPr>
              <w:t>Information Technology Services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Second Lien Debt (j)</w:t>
            </w:r>
          </w:p>
        </w:tc>
        <w:tc>
          <w:tcPr>
            <w:tcW w:w="3000" w:type="dxa"/>
            <w:vAlign w:val="bottom"/>
          </w:tcPr>
          <w:p>
            <w:pPr>
              <w:spacing w:after="0"/>
              <w:rPr>
                <w:sz w:val="9"/>
                <w:szCs w:val="9"/>
                <w:color w:val="auto"/>
              </w:rPr>
            </w:pPr>
          </w:p>
        </w:tc>
        <w:tc>
          <w:tcPr>
            <w:tcW w:w="880" w:type="dxa"/>
            <w:vAlign w:val="bottom"/>
          </w:tcPr>
          <w:p>
            <w:pPr>
              <w:ind w:left="160"/>
              <w:spacing w:after="0"/>
              <w:rPr>
                <w:sz w:val="20"/>
                <w:szCs w:val="20"/>
                <w:color w:val="auto"/>
              </w:rPr>
            </w:pPr>
            <w:r>
              <w:rPr>
                <w:rFonts w:ascii="Arial" w:cs="Arial" w:eastAsia="Arial" w:hAnsi="Arial"/>
                <w:sz w:val="9"/>
                <w:szCs w:val="9"/>
                <w:color w:val="auto"/>
              </w:rPr>
              <w:t>12.00%/0.00%</w:t>
            </w:r>
          </w:p>
        </w:tc>
        <w:tc>
          <w:tcPr>
            <w:tcW w:w="760" w:type="dxa"/>
            <w:vAlign w:val="bottom"/>
          </w:tcPr>
          <w:p>
            <w:pPr>
              <w:ind w:left="180"/>
              <w:spacing w:after="0"/>
              <w:rPr>
                <w:sz w:val="20"/>
                <w:szCs w:val="20"/>
                <w:color w:val="auto"/>
              </w:rPr>
            </w:pPr>
            <w:r>
              <w:rPr>
                <w:rFonts w:ascii="Arial" w:cs="Arial" w:eastAsia="Arial" w:hAnsi="Arial"/>
                <w:sz w:val="9"/>
                <w:szCs w:val="9"/>
                <w:color w:val="auto"/>
              </w:rPr>
              <w:t>10/29/2021</w:t>
            </w:r>
          </w:p>
        </w:tc>
        <w:tc>
          <w:tcPr>
            <w:tcW w:w="940" w:type="dxa"/>
            <w:vAlign w:val="bottom"/>
          </w:tcPr>
          <w:p>
            <w:pPr>
              <w:ind w:left="180"/>
              <w:spacing w:after="0"/>
              <w:rPr>
                <w:sz w:val="20"/>
                <w:szCs w:val="20"/>
                <w:color w:val="auto"/>
              </w:rPr>
            </w:pPr>
            <w:r>
              <w:rPr>
                <w:rFonts w:ascii="Arial" w:cs="Arial" w:eastAsia="Arial" w:hAnsi="Arial"/>
                <w:sz w:val="9"/>
                <w:szCs w:val="9"/>
                <w:color w:val="auto"/>
              </w:rPr>
              <w:t>6/1/2028</w:t>
            </w:r>
          </w:p>
        </w:tc>
        <w:tc>
          <w:tcPr>
            <w:tcW w:w="860" w:type="dxa"/>
            <w:vAlign w:val="bottom"/>
          </w:tcPr>
          <w:p>
            <w:pPr>
              <w:jc w:val="right"/>
              <w:ind w:right="195"/>
              <w:spacing w:after="0"/>
              <w:rPr>
                <w:sz w:val="20"/>
                <w:szCs w:val="20"/>
                <w:color w:val="auto"/>
              </w:rPr>
            </w:pPr>
            <w:r>
              <w:rPr>
                <w:rFonts w:ascii="Arial" w:cs="Arial" w:eastAsia="Arial" w:hAnsi="Arial"/>
                <w:sz w:val="9"/>
                <w:szCs w:val="9"/>
                <w:color w:val="auto"/>
              </w:rPr>
              <w:t>16,000</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15,927</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13,416</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(7,500 units) (h)(j)</w:t>
            </w:r>
          </w:p>
        </w:tc>
        <w:tc>
          <w:tcPr>
            <w:tcW w:w="3000" w:type="dxa"/>
            <w:vAlign w:val="bottom"/>
            <w:tcBorders>
              <w:bottom w:val="single" w:sz="8" w:color="CFF0FC"/>
            </w:tcBorders>
            <w:shd w:val="clear" w:color="auto" w:fill="CFF0FC"/>
          </w:tcPr>
          <w:p>
            <w:pPr>
              <w:spacing w:after="0"/>
              <w:rPr>
                <w:sz w:val="9"/>
                <w:szCs w:val="9"/>
                <w:color w:val="auto"/>
              </w:rPr>
            </w:pPr>
          </w:p>
        </w:tc>
        <w:tc>
          <w:tcPr>
            <w:tcW w:w="8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12/1/2021</w:t>
            </w:r>
          </w:p>
        </w:tc>
        <w:tc>
          <w:tcPr>
            <w:tcW w:w="94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750</w:t>
            </w:r>
          </w:p>
        </w:tc>
        <w:tc>
          <w:tcPr>
            <w:tcW w:w="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398</w:t>
            </w:r>
          </w:p>
        </w:tc>
        <w:tc>
          <w:tcPr>
            <w:tcW w:w="7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jc w:val="right"/>
              <w:ind w:right="75"/>
              <w:spacing w:after="0" w:line="102" w:lineRule="exact"/>
              <w:rPr>
                <w:sz w:val="20"/>
                <w:szCs w:val="20"/>
                <w:color w:val="auto"/>
              </w:rPr>
            </w:pPr>
            <w:r>
              <w:rPr>
                <w:rFonts w:ascii="Arial" w:cs="Arial" w:eastAsia="Arial" w:hAnsi="Arial"/>
                <w:sz w:val="9"/>
                <w:szCs w:val="9"/>
                <w:color w:val="auto"/>
              </w:rPr>
              <w:t>16,677</w:t>
            </w:r>
          </w:p>
        </w:tc>
        <w:tc>
          <w:tcPr>
            <w:tcW w:w="840" w:type="dxa"/>
            <w:vAlign w:val="bottom"/>
            <w:gridSpan w:val="2"/>
          </w:tcPr>
          <w:p>
            <w:pPr>
              <w:jc w:val="right"/>
              <w:ind w:right="95"/>
              <w:spacing w:after="0" w:line="102" w:lineRule="exact"/>
              <w:rPr>
                <w:sz w:val="20"/>
                <w:szCs w:val="20"/>
                <w:color w:val="auto"/>
              </w:rPr>
            </w:pPr>
            <w:r>
              <w:rPr>
                <w:rFonts w:ascii="Arial" w:cs="Arial" w:eastAsia="Arial" w:hAnsi="Arial"/>
                <w:sz w:val="9"/>
                <w:szCs w:val="9"/>
                <w:color w:val="auto"/>
              </w:rPr>
              <w:t>13,814</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Tedia Company, LLC</w:t>
            </w:r>
          </w:p>
        </w:tc>
        <w:tc>
          <w:tcPr>
            <w:tcW w:w="3000" w:type="dxa"/>
            <w:vAlign w:val="bottom"/>
            <w:shd w:val="clear" w:color="auto" w:fill="CFF0FC"/>
          </w:tcPr>
          <w:p>
            <w:pPr>
              <w:ind w:left="40"/>
              <w:spacing w:after="0"/>
              <w:rPr>
                <w:sz w:val="20"/>
                <w:szCs w:val="20"/>
                <w:color w:val="auto"/>
              </w:rPr>
            </w:pPr>
            <w:r>
              <w:rPr>
                <w:rFonts w:ascii="Arial" w:cs="Arial" w:eastAsia="Arial" w:hAnsi="Arial"/>
                <w:sz w:val="9"/>
                <w:szCs w:val="9"/>
                <w:color w:val="auto"/>
              </w:rPr>
              <w:t>Healthcare Products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First Lien Debt (j)</w:t>
            </w:r>
          </w:p>
        </w:tc>
        <w:tc>
          <w:tcPr>
            <w:tcW w:w="3000" w:type="dxa"/>
            <w:vAlign w:val="bottom"/>
          </w:tcPr>
          <w:p>
            <w:pPr>
              <w:ind w:left="2000"/>
              <w:spacing w:after="0"/>
              <w:rPr>
                <w:sz w:val="20"/>
                <w:szCs w:val="20"/>
                <w:color w:val="auto"/>
              </w:rPr>
            </w:pPr>
            <w:r>
              <w:rPr>
                <w:rFonts w:ascii="Arial" w:cs="Arial" w:eastAsia="Arial" w:hAnsi="Arial"/>
                <w:sz w:val="9"/>
                <w:szCs w:val="9"/>
                <w:color w:val="auto"/>
              </w:rPr>
              <w:t>(S + 7.75%) / (1.00%)</w:t>
            </w: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3/4/2022</w:t>
            </w:r>
          </w:p>
        </w:tc>
        <w:tc>
          <w:tcPr>
            <w:tcW w:w="940" w:type="dxa"/>
            <w:vAlign w:val="bottom"/>
          </w:tcPr>
          <w:p>
            <w:pPr>
              <w:ind w:left="180"/>
              <w:spacing w:after="0"/>
              <w:rPr>
                <w:sz w:val="20"/>
                <w:szCs w:val="20"/>
                <w:color w:val="auto"/>
              </w:rPr>
            </w:pPr>
            <w:r>
              <w:rPr>
                <w:rFonts w:ascii="Arial" w:cs="Arial" w:eastAsia="Arial" w:hAnsi="Arial"/>
                <w:sz w:val="9"/>
                <w:szCs w:val="9"/>
                <w:color w:val="auto"/>
              </w:rPr>
              <w:t>3/4/2027</w:t>
            </w:r>
          </w:p>
        </w:tc>
        <w:tc>
          <w:tcPr>
            <w:tcW w:w="860" w:type="dxa"/>
            <w:vAlign w:val="bottom"/>
          </w:tcPr>
          <w:p>
            <w:pPr>
              <w:jc w:val="right"/>
              <w:ind w:right="195"/>
              <w:spacing w:after="0"/>
              <w:rPr>
                <w:sz w:val="20"/>
                <w:szCs w:val="20"/>
                <w:color w:val="auto"/>
              </w:rPr>
            </w:pPr>
            <w:r>
              <w:rPr>
                <w:rFonts w:ascii="Arial" w:cs="Arial" w:eastAsia="Arial" w:hAnsi="Arial"/>
                <w:sz w:val="9"/>
                <w:szCs w:val="9"/>
                <w:color w:val="auto"/>
              </w:rPr>
              <w:t>15,600</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15,518</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15,518</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Revolving Loan ($3,500 unfunded commitment) (j)(i)</w:t>
            </w:r>
          </w:p>
        </w:tc>
        <w:tc>
          <w:tcPr>
            <w:tcW w:w="3000" w:type="dxa"/>
            <w:vAlign w:val="bottom"/>
            <w:shd w:val="clear" w:color="auto" w:fill="CFF0FC"/>
          </w:tcPr>
          <w:p>
            <w:pPr>
              <w:ind w:left="2000"/>
              <w:spacing w:after="0"/>
              <w:rPr>
                <w:sz w:val="20"/>
                <w:szCs w:val="20"/>
                <w:color w:val="auto"/>
              </w:rPr>
            </w:pPr>
            <w:r>
              <w:rPr>
                <w:rFonts w:ascii="Arial" w:cs="Arial" w:eastAsia="Arial" w:hAnsi="Arial"/>
                <w:sz w:val="9"/>
                <w:szCs w:val="9"/>
                <w:color w:val="auto"/>
              </w:rPr>
              <w:t>(S + 7.75%) / (1.00%)</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3/4/2022</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3/4/2027</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500</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479</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479</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00" w:type="dxa"/>
            <w:vAlign w:val="bottom"/>
          </w:tcPr>
          <w:p>
            <w:pPr>
              <w:ind w:left="160"/>
              <w:spacing w:after="0" w:line="81" w:lineRule="exact"/>
              <w:rPr>
                <w:sz w:val="20"/>
                <w:szCs w:val="20"/>
                <w:color w:val="auto"/>
              </w:rPr>
            </w:pPr>
            <w:r>
              <w:rPr>
                <w:rFonts w:ascii="Arial" w:cs="Arial" w:eastAsia="Arial" w:hAnsi="Arial"/>
                <w:sz w:val="9"/>
                <w:szCs w:val="9"/>
                <w:color w:val="auto"/>
                <w:w w:val="93"/>
              </w:rPr>
              <w:t>Delayed Draw Commitment ($3,000 unfunded commitment) (j)</w:t>
            </w:r>
          </w:p>
        </w:tc>
        <w:tc>
          <w:tcPr>
            <w:tcW w:w="3000" w:type="dxa"/>
            <w:vAlign w:val="bottom"/>
            <w:vMerge w:val="restart"/>
          </w:tcPr>
          <w:p>
            <w:pPr>
              <w:ind w:left="2000"/>
              <w:spacing w:after="0"/>
              <w:rPr>
                <w:sz w:val="20"/>
                <w:szCs w:val="20"/>
                <w:color w:val="auto"/>
              </w:rPr>
            </w:pPr>
            <w:r>
              <w:rPr>
                <w:rFonts w:ascii="Arial" w:cs="Arial" w:eastAsia="Arial" w:hAnsi="Arial"/>
                <w:sz w:val="9"/>
                <w:szCs w:val="9"/>
                <w:color w:val="auto"/>
              </w:rPr>
              <w:t>(S + 7.75%) / (1.00%)</w:t>
            </w:r>
          </w:p>
        </w:tc>
        <w:tc>
          <w:tcPr>
            <w:tcW w:w="880" w:type="dxa"/>
            <w:vAlign w:val="bottom"/>
          </w:tcPr>
          <w:p>
            <w:pPr>
              <w:spacing w:after="0"/>
              <w:rPr>
                <w:sz w:val="7"/>
                <w:szCs w:val="7"/>
                <w:color w:val="auto"/>
              </w:rPr>
            </w:pPr>
          </w:p>
        </w:tc>
        <w:tc>
          <w:tcPr>
            <w:tcW w:w="760" w:type="dxa"/>
            <w:vAlign w:val="bottom"/>
            <w:vMerge w:val="restart"/>
          </w:tcPr>
          <w:p>
            <w:pPr>
              <w:ind w:left="180"/>
              <w:spacing w:after="0"/>
              <w:rPr>
                <w:sz w:val="20"/>
                <w:szCs w:val="20"/>
                <w:color w:val="auto"/>
              </w:rPr>
            </w:pPr>
            <w:r>
              <w:rPr>
                <w:rFonts w:ascii="Arial" w:cs="Arial" w:eastAsia="Arial" w:hAnsi="Arial"/>
                <w:sz w:val="9"/>
                <w:szCs w:val="9"/>
                <w:color w:val="auto"/>
              </w:rPr>
              <w:t>3/4/2022</w:t>
            </w:r>
          </w:p>
        </w:tc>
        <w:tc>
          <w:tcPr>
            <w:tcW w:w="940" w:type="dxa"/>
            <w:vAlign w:val="bottom"/>
            <w:vMerge w:val="restart"/>
          </w:tcPr>
          <w:p>
            <w:pPr>
              <w:ind w:left="180"/>
              <w:spacing w:after="0"/>
              <w:rPr>
                <w:sz w:val="20"/>
                <w:szCs w:val="20"/>
                <w:color w:val="auto"/>
              </w:rPr>
            </w:pPr>
            <w:r>
              <w:rPr>
                <w:rFonts w:ascii="Arial" w:cs="Arial" w:eastAsia="Arial" w:hAnsi="Arial"/>
                <w:sz w:val="9"/>
                <w:szCs w:val="9"/>
                <w:color w:val="auto"/>
              </w:rPr>
              <w:t>3/4/2027</w:t>
            </w:r>
          </w:p>
        </w:tc>
        <w:tc>
          <w:tcPr>
            <w:tcW w:w="860" w:type="dxa"/>
            <w:vAlign w:val="bottom"/>
            <w:vMerge w:val="restart"/>
          </w:tcPr>
          <w:p>
            <w:pPr>
              <w:jc w:val="right"/>
              <w:ind w:right="195"/>
              <w:spacing w:after="0"/>
              <w:rPr>
                <w:sz w:val="20"/>
                <w:szCs w:val="20"/>
                <w:color w:val="auto"/>
              </w:rPr>
            </w:pPr>
            <w:r>
              <w:rPr>
                <w:rFonts w:ascii="Arial" w:cs="Arial" w:eastAsia="Arial" w:hAnsi="Arial"/>
                <w:sz w:val="9"/>
                <w:szCs w:val="9"/>
                <w:color w:val="auto"/>
              </w:rPr>
              <w:t>—</w:t>
            </w:r>
          </w:p>
        </w:tc>
        <w:tc>
          <w:tcPr>
            <w:tcW w:w="740" w:type="dxa"/>
            <w:vAlign w:val="bottom"/>
            <w:vMerge w:val="restart"/>
          </w:tcPr>
          <w:p>
            <w:pPr>
              <w:jc w:val="right"/>
              <w:ind w:right="35"/>
              <w:spacing w:after="0"/>
              <w:rPr>
                <w:sz w:val="20"/>
                <w:szCs w:val="20"/>
                <w:color w:val="auto"/>
              </w:rPr>
            </w:pPr>
            <w:r>
              <w:rPr>
                <w:rFonts w:ascii="Arial" w:cs="Arial" w:eastAsia="Arial" w:hAnsi="Arial"/>
                <w:sz w:val="9"/>
                <w:szCs w:val="9"/>
                <w:color w:val="auto"/>
              </w:rPr>
              <w:t>(16 )</w:t>
            </w:r>
          </w:p>
        </w:tc>
        <w:tc>
          <w:tcPr>
            <w:tcW w:w="80" w:type="dxa"/>
            <w:vAlign w:val="bottom"/>
          </w:tcPr>
          <w:p>
            <w:pPr>
              <w:spacing w:after="0"/>
              <w:rPr>
                <w:sz w:val="7"/>
                <w:szCs w:val="7"/>
                <w:color w:val="auto"/>
              </w:rPr>
            </w:pPr>
          </w:p>
        </w:tc>
        <w:tc>
          <w:tcPr>
            <w:tcW w:w="760" w:type="dxa"/>
            <w:vAlign w:val="bottom"/>
            <w:vMerge w:val="restart"/>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(ac)</w:t>
            </w:r>
          </w:p>
        </w:tc>
        <w:tc>
          <w:tcPr>
            <w:tcW w:w="30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Subordinated Debt (j)</w:t>
            </w: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7.25%/7.25%</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3/4/2022</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9/4/2027</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2,560</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2,546</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2,546</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Preferred Equity (Series A) (1,000 units) (h)(j)</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3/4/2022</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1,000</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1,000</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00" w:type="dxa"/>
            <w:vAlign w:val="bottom"/>
            <w:shd w:val="clear" w:color="auto" w:fill="CFF0FC"/>
          </w:tcPr>
          <w:p>
            <w:pPr>
              <w:spacing w:after="0"/>
              <w:rPr>
                <w:sz w:val="8"/>
                <w:szCs w:val="8"/>
                <w:color w:val="auto"/>
              </w:rPr>
            </w:pPr>
          </w:p>
        </w:tc>
        <w:tc>
          <w:tcPr>
            <w:tcW w:w="30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19,527</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19,543</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TransGo, LLC (n)</w:t>
            </w:r>
          </w:p>
        </w:tc>
        <w:tc>
          <w:tcPr>
            <w:tcW w:w="3000" w:type="dxa"/>
            <w:vAlign w:val="bottom"/>
          </w:tcPr>
          <w:p>
            <w:pPr>
              <w:ind w:left="40"/>
              <w:spacing w:after="0"/>
              <w:rPr>
                <w:sz w:val="20"/>
                <w:szCs w:val="20"/>
                <w:color w:val="auto"/>
              </w:rPr>
            </w:pPr>
            <w:r>
              <w:rPr>
                <w:rFonts w:ascii="Arial" w:cs="Arial" w:eastAsia="Arial" w:hAnsi="Arial"/>
                <w:sz w:val="9"/>
                <w:szCs w:val="9"/>
                <w:color w:val="auto"/>
              </w:rPr>
              <w:t>Component Manufacturing</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(500 units) (j)</w:t>
            </w: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2/28/2017</w:t>
            </w: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The Tranzonic Companies</w:t>
            </w:r>
          </w:p>
        </w:tc>
        <w:tc>
          <w:tcPr>
            <w:tcW w:w="3000" w:type="dxa"/>
            <w:vAlign w:val="bottom"/>
            <w:shd w:val="clear" w:color="auto" w:fill="CFF0FC"/>
          </w:tcPr>
          <w:p>
            <w:pPr>
              <w:ind w:left="40"/>
              <w:spacing w:after="0"/>
              <w:rPr>
                <w:sz w:val="20"/>
                <w:szCs w:val="20"/>
                <w:color w:val="auto"/>
              </w:rPr>
            </w:pPr>
            <w:r>
              <w:rPr>
                <w:rFonts w:ascii="Arial" w:cs="Arial" w:eastAsia="Arial" w:hAnsi="Arial"/>
                <w:sz w:val="9"/>
                <w:szCs w:val="9"/>
                <w:color w:val="auto"/>
              </w:rPr>
              <w:t>Specialty Distribution</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Preferred Equity (5,653 units) (j)</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3/27/2018</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565</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841</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(1 units) (j)</w:t>
            </w:r>
          </w:p>
        </w:tc>
        <w:tc>
          <w:tcPr>
            <w:tcW w:w="3000" w:type="dxa"/>
            <w:vAlign w:val="bottom"/>
            <w:tcBorders>
              <w:bottom w:val="single" w:sz="8" w:color="CFF0FC"/>
            </w:tcBorders>
            <w:shd w:val="clear" w:color="auto" w:fill="CFF0FC"/>
          </w:tcPr>
          <w:p>
            <w:pPr>
              <w:spacing w:after="0"/>
              <w:rPr>
                <w:sz w:val="9"/>
                <w:szCs w:val="9"/>
                <w:color w:val="auto"/>
              </w:rPr>
            </w:pPr>
          </w:p>
        </w:tc>
        <w:tc>
          <w:tcPr>
            <w:tcW w:w="8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3/27/2018</w:t>
            </w:r>
          </w:p>
        </w:tc>
        <w:tc>
          <w:tcPr>
            <w:tcW w:w="940" w:type="dxa"/>
            <w:vAlign w:val="bottom"/>
            <w:tcBorders>
              <w:bottom w:val="single" w:sz="8" w:color="CFF0FC"/>
            </w:tcBorders>
            <w:shd w:val="clear" w:color="auto" w:fill="CFF0FC"/>
          </w:tcPr>
          <w:p>
            <w:pPr>
              <w:spacing w:after="0"/>
              <w:rPr>
                <w:sz w:val="9"/>
                <w:szCs w:val="9"/>
                <w:color w:val="auto"/>
              </w:rPr>
            </w:pPr>
          </w:p>
        </w:tc>
        <w:tc>
          <w:tcPr>
            <w:tcW w:w="86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488</w:t>
            </w:r>
          </w:p>
        </w:tc>
        <w:tc>
          <w:tcPr>
            <w:tcW w:w="7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jc w:val="right"/>
              <w:ind w:right="75"/>
              <w:spacing w:after="0" w:line="102" w:lineRule="exact"/>
              <w:rPr>
                <w:sz w:val="20"/>
                <w:szCs w:val="20"/>
                <w:color w:val="auto"/>
              </w:rPr>
            </w:pPr>
            <w:r>
              <w:rPr>
                <w:rFonts w:ascii="Arial" w:cs="Arial" w:eastAsia="Arial" w:hAnsi="Arial"/>
                <w:sz w:val="9"/>
                <w:szCs w:val="9"/>
                <w:color w:val="auto"/>
              </w:rPr>
              <w:t>565</w:t>
            </w:r>
          </w:p>
        </w:tc>
        <w:tc>
          <w:tcPr>
            <w:tcW w:w="840" w:type="dxa"/>
            <w:vAlign w:val="bottom"/>
            <w:gridSpan w:val="2"/>
          </w:tcPr>
          <w:p>
            <w:pPr>
              <w:jc w:val="right"/>
              <w:ind w:right="95"/>
              <w:spacing w:after="0" w:line="102" w:lineRule="exact"/>
              <w:rPr>
                <w:sz w:val="20"/>
                <w:szCs w:val="20"/>
                <w:color w:val="auto"/>
              </w:rPr>
            </w:pPr>
            <w:r>
              <w:rPr>
                <w:rFonts w:ascii="Arial" w:cs="Arial" w:eastAsia="Arial" w:hAnsi="Arial"/>
                <w:sz w:val="9"/>
                <w:szCs w:val="9"/>
                <w:color w:val="auto"/>
              </w:rPr>
              <w:t>1,329</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UBEO, LLC</w:t>
            </w:r>
          </w:p>
        </w:tc>
        <w:tc>
          <w:tcPr>
            <w:tcW w:w="3000" w:type="dxa"/>
            <w:vAlign w:val="bottom"/>
            <w:shd w:val="clear" w:color="auto" w:fill="CFF0FC"/>
          </w:tcPr>
          <w:p>
            <w:pPr>
              <w:ind w:left="40"/>
              <w:spacing w:after="0"/>
              <w:rPr>
                <w:sz w:val="20"/>
                <w:szCs w:val="20"/>
                <w:color w:val="auto"/>
              </w:rPr>
            </w:pPr>
            <w:r>
              <w:rPr>
                <w:rFonts w:ascii="Arial" w:cs="Arial" w:eastAsia="Arial" w:hAnsi="Arial"/>
                <w:sz w:val="9"/>
                <w:szCs w:val="9"/>
                <w:color w:val="auto"/>
              </w:rPr>
              <w:t>Business Services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Common Equity (705,000 units) (h)(j)</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4/3/2018</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645</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893</w:t>
            </w:r>
          </w:p>
        </w:tc>
        <w:tc>
          <w:tcPr>
            <w:tcW w:w="720" w:type="dxa"/>
            <w:vAlign w:val="bottom"/>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spacing w:after="0"/>
              <w:rPr>
                <w:sz w:val="9"/>
                <w:szCs w:val="9"/>
                <w:color w:val="auto"/>
              </w:rPr>
            </w:pP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United Biologics, LLC</w:t>
            </w:r>
          </w:p>
        </w:tc>
        <w:tc>
          <w:tcPr>
            <w:tcW w:w="3000" w:type="dxa"/>
            <w:vAlign w:val="bottom"/>
          </w:tcPr>
          <w:p>
            <w:pPr>
              <w:ind w:left="40"/>
              <w:spacing w:after="0"/>
              <w:rPr>
                <w:sz w:val="20"/>
                <w:szCs w:val="20"/>
                <w:color w:val="auto"/>
              </w:rPr>
            </w:pPr>
            <w:r>
              <w:rPr>
                <w:rFonts w:ascii="Arial" w:cs="Arial" w:eastAsia="Arial" w:hAnsi="Arial"/>
                <w:sz w:val="9"/>
                <w:szCs w:val="9"/>
                <w:color w:val="auto"/>
              </w:rPr>
              <w:t>Healthcare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Preferred Equity (98,377 units) (h)(j)</w:t>
            </w: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4/1/2012</w:t>
            </w: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1,008</w:t>
            </w: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Warrant (57,469 units) (j)(m)</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3/5/2012</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566</w:t>
            </w:r>
          </w:p>
        </w:tc>
        <w:tc>
          <w:tcPr>
            <w:tcW w:w="80" w:type="dxa"/>
            <w:vAlign w:val="bottom"/>
          </w:tcPr>
          <w:p>
            <w:pPr>
              <w:spacing w:after="0"/>
              <w:rPr>
                <w:sz w:val="9"/>
                <w:szCs w:val="9"/>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00" w:type="dxa"/>
            <w:vAlign w:val="bottom"/>
            <w:shd w:val="clear" w:color="auto" w:fill="CFF0FC"/>
          </w:tcPr>
          <w:p>
            <w:pPr>
              <w:spacing w:after="0"/>
              <w:rPr>
                <w:sz w:val="8"/>
                <w:szCs w:val="8"/>
                <w:color w:val="auto"/>
              </w:rPr>
            </w:pPr>
          </w:p>
        </w:tc>
        <w:tc>
          <w:tcPr>
            <w:tcW w:w="30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1,574</w:t>
            </w:r>
          </w:p>
        </w:tc>
        <w:tc>
          <w:tcPr>
            <w:tcW w:w="80" w:type="dxa"/>
            <w:vAlign w:val="bottom"/>
            <w:shd w:val="clear" w:color="auto" w:fill="CFF0FC"/>
          </w:tcPr>
          <w:p>
            <w:pPr>
              <w:spacing w:after="0"/>
              <w:rPr>
                <w:sz w:val="8"/>
                <w:szCs w:val="8"/>
                <w:color w:val="auto"/>
              </w:rPr>
            </w:pPr>
          </w:p>
        </w:tc>
        <w:tc>
          <w:tcPr>
            <w:tcW w:w="760" w:type="dxa"/>
            <w:vAlign w:val="bottom"/>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UPG Company, LLC</w:t>
            </w:r>
          </w:p>
        </w:tc>
        <w:tc>
          <w:tcPr>
            <w:tcW w:w="3000" w:type="dxa"/>
            <w:vAlign w:val="bottom"/>
          </w:tcPr>
          <w:p>
            <w:pPr>
              <w:ind w:left="40"/>
              <w:spacing w:after="0"/>
              <w:rPr>
                <w:sz w:val="20"/>
                <w:szCs w:val="20"/>
                <w:color w:val="auto"/>
              </w:rPr>
            </w:pPr>
            <w:r>
              <w:rPr>
                <w:rFonts w:ascii="Arial" w:cs="Arial" w:eastAsia="Arial" w:hAnsi="Arial"/>
                <w:sz w:val="9"/>
                <w:szCs w:val="9"/>
                <w:color w:val="auto"/>
              </w:rPr>
              <w:t>Component Manufacturing</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(j)(al)</w:t>
            </w:r>
          </w:p>
        </w:tc>
        <w:tc>
          <w:tcPr>
            <w:tcW w:w="3000" w:type="dxa"/>
            <w:vAlign w:val="bottom"/>
            <w:shd w:val="clear" w:color="auto" w:fill="CFF0FC"/>
          </w:tcPr>
          <w:p>
            <w:pPr>
              <w:ind w:left="2000"/>
              <w:spacing w:after="0"/>
              <w:rPr>
                <w:sz w:val="20"/>
                <w:szCs w:val="20"/>
                <w:color w:val="auto"/>
              </w:rPr>
            </w:pPr>
            <w:r>
              <w:rPr>
                <w:rFonts w:ascii="Arial" w:cs="Arial" w:eastAsia="Arial" w:hAnsi="Arial"/>
                <w:sz w:val="9"/>
                <w:szCs w:val="9"/>
                <w:color w:val="auto"/>
              </w:rPr>
              <w:t>(S + 8.25%) / (0.50%)</w:t>
            </w: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10.07%/0.00%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6/21/2021</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6/21/2024</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16,700</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16,614</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16,700</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Virginia Tile Company, LLC</w:t>
            </w:r>
          </w:p>
        </w:tc>
        <w:tc>
          <w:tcPr>
            <w:tcW w:w="3000" w:type="dxa"/>
            <w:vAlign w:val="bottom"/>
            <w:shd w:val="clear" w:color="auto" w:fill="CFF0FC"/>
          </w:tcPr>
          <w:p>
            <w:pPr>
              <w:ind w:left="40"/>
              <w:spacing w:after="0"/>
              <w:rPr>
                <w:sz w:val="20"/>
                <w:szCs w:val="20"/>
                <w:color w:val="auto"/>
              </w:rPr>
            </w:pPr>
            <w:r>
              <w:rPr>
                <w:rFonts w:ascii="Arial" w:cs="Arial" w:eastAsia="Arial" w:hAnsi="Arial"/>
                <w:sz w:val="9"/>
                <w:szCs w:val="9"/>
                <w:color w:val="auto"/>
              </w:rPr>
              <w:t>Specialty Distribution</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Common Equity (17 units) (j)</w:t>
            </w: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12/19/2014</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342</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1,153</w:t>
            </w:r>
          </w:p>
        </w:tc>
        <w:tc>
          <w:tcPr>
            <w:tcW w:w="720" w:type="dxa"/>
            <w:vAlign w:val="bottom"/>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spacing w:after="0"/>
              <w:rPr>
                <w:sz w:val="9"/>
                <w:szCs w:val="9"/>
                <w:color w:val="auto"/>
              </w:rPr>
            </w:pP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Virtex Enterprises, LP</w:t>
            </w:r>
          </w:p>
        </w:tc>
        <w:tc>
          <w:tcPr>
            <w:tcW w:w="3000" w:type="dxa"/>
            <w:vAlign w:val="bottom"/>
          </w:tcPr>
          <w:p>
            <w:pPr>
              <w:ind w:left="40"/>
              <w:spacing w:after="0"/>
              <w:rPr>
                <w:sz w:val="20"/>
                <w:szCs w:val="20"/>
                <w:color w:val="auto"/>
              </w:rPr>
            </w:pPr>
            <w:r>
              <w:rPr>
                <w:rFonts w:ascii="Arial" w:cs="Arial" w:eastAsia="Arial" w:hAnsi="Arial"/>
                <w:sz w:val="9"/>
                <w:szCs w:val="9"/>
                <w:color w:val="auto"/>
              </w:rPr>
              <w:t>Component Manufacturing</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Second Lien Debt</w:t>
            </w:r>
          </w:p>
        </w:tc>
        <w:tc>
          <w:tcPr>
            <w:tcW w:w="3000" w:type="dxa"/>
            <w:vAlign w:val="bottom"/>
            <w:shd w:val="clear" w:color="auto" w:fill="CFF0FC"/>
          </w:tcPr>
          <w:p>
            <w:pPr>
              <w:ind w:left="2000"/>
              <w:spacing w:after="0"/>
              <w:rPr>
                <w:sz w:val="20"/>
                <w:szCs w:val="20"/>
                <w:color w:val="auto"/>
              </w:rPr>
            </w:pPr>
            <w:r>
              <w:rPr>
                <w:rFonts w:ascii="Arial" w:cs="Arial" w:eastAsia="Arial" w:hAnsi="Arial"/>
                <w:sz w:val="9"/>
                <w:szCs w:val="9"/>
                <w:color w:val="auto"/>
              </w:rPr>
              <w:t>(S + 9.75%) / (1.00%)</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4/13/2022</w:t>
            </w: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11,002</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10,896</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10,896</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Western's Smokehouse, LLC</w:t>
            </w:r>
          </w:p>
        </w:tc>
        <w:tc>
          <w:tcPr>
            <w:tcW w:w="3000" w:type="dxa"/>
            <w:vAlign w:val="bottom"/>
            <w:shd w:val="clear" w:color="auto" w:fill="CFF0FC"/>
          </w:tcPr>
          <w:p>
            <w:pPr>
              <w:ind w:left="40"/>
              <w:spacing w:after="0"/>
              <w:rPr>
                <w:sz w:val="20"/>
                <w:szCs w:val="20"/>
                <w:color w:val="auto"/>
              </w:rPr>
            </w:pPr>
            <w:r>
              <w:rPr>
                <w:rFonts w:ascii="Arial" w:cs="Arial" w:eastAsia="Arial" w:hAnsi="Arial"/>
                <w:sz w:val="9"/>
                <w:szCs w:val="9"/>
                <w:color w:val="auto"/>
              </w:rPr>
              <w:t>Consumer Products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First Lien Debt (j)(ab)</w:t>
            </w:r>
          </w:p>
        </w:tc>
        <w:tc>
          <w:tcPr>
            <w:tcW w:w="3000" w:type="dxa"/>
            <w:vAlign w:val="bottom"/>
          </w:tcPr>
          <w:p>
            <w:pPr>
              <w:ind w:left="2000"/>
              <w:spacing w:after="0"/>
              <w:rPr>
                <w:sz w:val="20"/>
                <w:szCs w:val="20"/>
                <w:color w:val="auto"/>
              </w:rPr>
            </w:pPr>
            <w:r>
              <w:rPr>
                <w:rFonts w:ascii="Arial" w:cs="Arial" w:eastAsia="Arial" w:hAnsi="Arial"/>
                <w:sz w:val="9"/>
                <w:szCs w:val="9"/>
                <w:color w:val="auto"/>
              </w:rPr>
              <w:t>(L + 6.50%) / (1.25%)</w:t>
            </w:r>
          </w:p>
        </w:tc>
        <w:tc>
          <w:tcPr>
            <w:tcW w:w="880" w:type="dxa"/>
            <w:vAlign w:val="bottom"/>
          </w:tcPr>
          <w:p>
            <w:pPr>
              <w:ind w:left="160"/>
              <w:spacing w:after="0"/>
              <w:rPr>
                <w:sz w:val="20"/>
                <w:szCs w:val="20"/>
                <w:color w:val="auto"/>
              </w:rPr>
            </w:pPr>
            <w:r>
              <w:rPr>
                <w:rFonts w:ascii="Arial" w:cs="Arial" w:eastAsia="Arial" w:hAnsi="Arial"/>
                <w:sz w:val="9"/>
                <w:szCs w:val="9"/>
                <w:color w:val="auto"/>
              </w:rPr>
              <w:t>8.75%/0.00%</w:t>
            </w:r>
          </w:p>
        </w:tc>
        <w:tc>
          <w:tcPr>
            <w:tcW w:w="760" w:type="dxa"/>
            <w:vAlign w:val="bottom"/>
          </w:tcPr>
          <w:p>
            <w:pPr>
              <w:ind w:left="180"/>
              <w:spacing w:after="0"/>
              <w:rPr>
                <w:sz w:val="20"/>
                <w:szCs w:val="20"/>
                <w:color w:val="auto"/>
              </w:rPr>
            </w:pPr>
            <w:r>
              <w:rPr>
                <w:rFonts w:ascii="Arial" w:cs="Arial" w:eastAsia="Arial" w:hAnsi="Arial"/>
                <w:sz w:val="9"/>
                <w:szCs w:val="9"/>
                <w:color w:val="auto"/>
              </w:rPr>
              <w:t>2/28/2020</w:t>
            </w:r>
          </w:p>
        </w:tc>
        <w:tc>
          <w:tcPr>
            <w:tcW w:w="940" w:type="dxa"/>
            <w:vAlign w:val="bottom"/>
          </w:tcPr>
          <w:p>
            <w:pPr>
              <w:ind w:left="180"/>
              <w:spacing w:after="0"/>
              <w:rPr>
                <w:sz w:val="20"/>
                <w:szCs w:val="20"/>
                <w:color w:val="auto"/>
              </w:rPr>
            </w:pPr>
            <w:r>
              <w:rPr>
                <w:rFonts w:ascii="Arial" w:cs="Arial" w:eastAsia="Arial" w:hAnsi="Arial"/>
                <w:sz w:val="9"/>
                <w:szCs w:val="9"/>
                <w:color w:val="auto"/>
              </w:rPr>
              <w:t>12/23/2024</w:t>
            </w:r>
          </w:p>
        </w:tc>
        <w:tc>
          <w:tcPr>
            <w:tcW w:w="860" w:type="dxa"/>
            <w:vAlign w:val="bottom"/>
          </w:tcPr>
          <w:p>
            <w:pPr>
              <w:jc w:val="right"/>
              <w:ind w:right="195"/>
              <w:spacing w:after="0"/>
              <w:rPr>
                <w:sz w:val="20"/>
                <w:szCs w:val="20"/>
                <w:color w:val="auto"/>
              </w:rPr>
            </w:pPr>
            <w:r>
              <w:rPr>
                <w:rFonts w:ascii="Arial" w:cs="Arial" w:eastAsia="Arial" w:hAnsi="Arial"/>
                <w:sz w:val="9"/>
                <w:szCs w:val="9"/>
                <w:color w:val="auto"/>
              </w:rPr>
              <w:t>9,616</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9,538</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9,616</w:t>
            </w:r>
          </w:p>
        </w:tc>
        <w:tc>
          <w:tcPr>
            <w:tcW w:w="720" w:type="dxa"/>
            <w:vAlign w:val="bottom"/>
          </w:tcPr>
          <w:p>
            <w:pPr>
              <w:jc w:val="right"/>
              <w:spacing w:after="0"/>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w w:val="93"/>
              </w:rPr>
              <w:t>Delayed Draw Commitment ($3,500 unfunded commitment) (j)</w:t>
            </w:r>
          </w:p>
        </w:tc>
        <w:tc>
          <w:tcPr>
            <w:tcW w:w="3000" w:type="dxa"/>
            <w:vAlign w:val="bottom"/>
            <w:tcBorders>
              <w:bottom w:val="single" w:sz="8" w:color="CFF0FC"/>
            </w:tcBorders>
            <w:shd w:val="clear" w:color="auto" w:fill="CFF0FC"/>
          </w:tcPr>
          <w:p>
            <w:pPr>
              <w:ind w:left="2000"/>
              <w:spacing w:after="0"/>
              <w:rPr>
                <w:sz w:val="20"/>
                <w:szCs w:val="20"/>
                <w:color w:val="auto"/>
              </w:rPr>
            </w:pPr>
            <w:r>
              <w:rPr>
                <w:rFonts w:ascii="Arial" w:cs="Arial" w:eastAsia="Arial" w:hAnsi="Arial"/>
                <w:sz w:val="9"/>
                <w:szCs w:val="9"/>
                <w:color w:val="auto"/>
              </w:rPr>
              <w:t>(L + 6.50%) / (1.25%)</w:t>
            </w:r>
          </w:p>
        </w:tc>
        <w:tc>
          <w:tcPr>
            <w:tcW w:w="8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8.75%/0.00%</w:t>
            </w:r>
          </w:p>
        </w:tc>
        <w:tc>
          <w:tcPr>
            <w:tcW w:w="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6/29/2022</w:t>
            </w:r>
          </w:p>
        </w:tc>
        <w:tc>
          <w:tcPr>
            <w:tcW w:w="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12/23/2024</w:t>
            </w:r>
          </w:p>
        </w:tc>
        <w:tc>
          <w:tcPr>
            <w:tcW w:w="860" w:type="dxa"/>
            <w:vAlign w:val="bottom"/>
            <w:tcBorders>
              <w:bottom w:val="single" w:sz="8" w:color="CFF0FC"/>
            </w:tcBorders>
            <w:shd w:val="clear" w:color="auto" w:fill="CFF0FC"/>
          </w:tcPr>
          <w:p>
            <w:pPr>
              <w:jc w:val="right"/>
              <w:ind w:right="195"/>
              <w:spacing w:after="0"/>
              <w:rPr>
                <w:sz w:val="20"/>
                <w:szCs w:val="20"/>
                <w:color w:val="auto"/>
              </w:rPr>
            </w:pPr>
            <w:r>
              <w:rPr>
                <w:rFonts w:ascii="Arial" w:cs="Arial" w:eastAsia="Arial" w:hAnsi="Arial"/>
                <w:sz w:val="9"/>
                <w:szCs w:val="9"/>
                <w:color w:val="auto"/>
              </w:rPr>
              <w:t>—</w:t>
            </w:r>
          </w:p>
        </w:tc>
        <w:tc>
          <w:tcPr>
            <w:tcW w:w="7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jc w:val="right"/>
              <w:ind w:right="75"/>
              <w:spacing w:after="0" w:line="102" w:lineRule="exact"/>
              <w:rPr>
                <w:sz w:val="20"/>
                <w:szCs w:val="20"/>
                <w:color w:val="auto"/>
              </w:rPr>
            </w:pPr>
            <w:r>
              <w:rPr>
                <w:rFonts w:ascii="Arial" w:cs="Arial" w:eastAsia="Arial" w:hAnsi="Arial"/>
                <w:sz w:val="9"/>
                <w:szCs w:val="9"/>
                <w:color w:val="auto"/>
              </w:rPr>
              <w:t>9,538</w:t>
            </w:r>
          </w:p>
        </w:tc>
        <w:tc>
          <w:tcPr>
            <w:tcW w:w="840" w:type="dxa"/>
            <w:vAlign w:val="bottom"/>
            <w:gridSpan w:val="2"/>
          </w:tcPr>
          <w:p>
            <w:pPr>
              <w:jc w:val="right"/>
              <w:ind w:right="95"/>
              <w:spacing w:after="0" w:line="102" w:lineRule="exact"/>
              <w:rPr>
                <w:sz w:val="20"/>
                <w:szCs w:val="20"/>
                <w:color w:val="auto"/>
              </w:rPr>
            </w:pPr>
            <w:r>
              <w:rPr>
                <w:rFonts w:ascii="Arial" w:cs="Arial" w:eastAsia="Arial" w:hAnsi="Arial"/>
                <w:sz w:val="9"/>
                <w:szCs w:val="9"/>
                <w:color w:val="auto"/>
              </w:rPr>
              <w:t>9,616</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spacing w:after="0"/>
              <w:rPr>
                <w:sz w:val="9"/>
                <w:szCs w:val="9"/>
                <w:color w:val="auto"/>
              </w:rPr>
            </w:pPr>
          </w:p>
        </w:tc>
        <w:tc>
          <w:tcPr>
            <w:tcW w:w="30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Winona Foods, Inc.</w:t>
            </w:r>
          </w:p>
        </w:tc>
        <w:tc>
          <w:tcPr>
            <w:tcW w:w="3000" w:type="dxa"/>
            <w:vAlign w:val="bottom"/>
          </w:tcPr>
          <w:p>
            <w:pPr>
              <w:ind w:left="40"/>
              <w:spacing w:after="0"/>
              <w:rPr>
                <w:sz w:val="20"/>
                <w:szCs w:val="20"/>
                <w:color w:val="auto"/>
              </w:rPr>
            </w:pPr>
            <w:r>
              <w:rPr>
                <w:rFonts w:ascii="Arial" w:cs="Arial" w:eastAsia="Arial" w:hAnsi="Arial"/>
                <w:sz w:val="9"/>
                <w:szCs w:val="9"/>
                <w:color w:val="auto"/>
              </w:rPr>
              <w:t>Specialty Distribution</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(j)(am)</w:t>
            </w:r>
          </w:p>
        </w:tc>
        <w:tc>
          <w:tcPr>
            <w:tcW w:w="3000" w:type="dxa"/>
            <w:vAlign w:val="bottom"/>
            <w:shd w:val="clear" w:color="auto" w:fill="CFF0FC"/>
          </w:tcPr>
          <w:p>
            <w:pPr>
              <w:ind w:left="2000"/>
              <w:spacing w:after="0"/>
              <w:rPr>
                <w:sz w:val="20"/>
                <w:szCs w:val="20"/>
                <w:color w:val="auto"/>
              </w:rPr>
            </w:pPr>
            <w:r>
              <w:rPr>
                <w:rFonts w:ascii="Arial" w:cs="Arial" w:eastAsia="Arial" w:hAnsi="Arial"/>
                <w:sz w:val="9"/>
                <w:szCs w:val="9"/>
                <w:color w:val="auto"/>
              </w:rPr>
              <w:t>(L + 12.00%) / (1.00%)</w:t>
            </w: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14.25%/0.00%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4/1/2021</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4/1/2026</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4,000</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3,893</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4,000</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First Lien Debt</w:t>
            </w:r>
          </w:p>
        </w:tc>
        <w:tc>
          <w:tcPr>
            <w:tcW w:w="3000" w:type="dxa"/>
            <w:vAlign w:val="bottom"/>
          </w:tcPr>
          <w:p>
            <w:pPr>
              <w:ind w:left="2000"/>
              <w:spacing w:after="0"/>
              <w:rPr>
                <w:sz w:val="20"/>
                <w:szCs w:val="20"/>
                <w:color w:val="auto"/>
              </w:rPr>
            </w:pPr>
            <w:r>
              <w:rPr>
                <w:rFonts w:ascii="Arial" w:cs="Arial" w:eastAsia="Arial" w:hAnsi="Arial"/>
                <w:sz w:val="9"/>
                <w:szCs w:val="9"/>
                <w:color w:val="auto"/>
              </w:rPr>
              <w:t>(L + 13.00%) / (1.00%)</w:t>
            </w:r>
          </w:p>
        </w:tc>
        <w:tc>
          <w:tcPr>
            <w:tcW w:w="880" w:type="dxa"/>
            <w:vAlign w:val="bottom"/>
          </w:tcPr>
          <w:p>
            <w:pPr>
              <w:spacing w:after="0"/>
              <w:rPr>
                <w:sz w:val="9"/>
                <w:szCs w:val="9"/>
                <w:color w:val="auto"/>
              </w:rPr>
            </w:pPr>
          </w:p>
        </w:tc>
        <w:tc>
          <w:tcPr>
            <w:tcW w:w="760" w:type="dxa"/>
            <w:vAlign w:val="bottom"/>
          </w:tcPr>
          <w:p>
            <w:pPr>
              <w:ind w:left="180"/>
              <w:spacing w:after="0"/>
              <w:rPr>
                <w:sz w:val="20"/>
                <w:szCs w:val="20"/>
                <w:color w:val="auto"/>
              </w:rPr>
            </w:pPr>
            <w:r>
              <w:rPr>
                <w:rFonts w:ascii="Arial" w:cs="Arial" w:eastAsia="Arial" w:hAnsi="Arial"/>
                <w:sz w:val="9"/>
                <w:szCs w:val="9"/>
                <w:color w:val="auto"/>
              </w:rPr>
              <w:t>4/1/2021</w:t>
            </w:r>
          </w:p>
        </w:tc>
        <w:tc>
          <w:tcPr>
            <w:tcW w:w="940" w:type="dxa"/>
            <w:vAlign w:val="bottom"/>
          </w:tcPr>
          <w:p>
            <w:pPr>
              <w:ind w:left="180"/>
              <w:spacing w:after="0"/>
              <w:rPr>
                <w:sz w:val="20"/>
                <w:szCs w:val="20"/>
                <w:color w:val="auto"/>
              </w:rPr>
            </w:pPr>
            <w:r>
              <w:rPr>
                <w:rFonts w:ascii="Arial" w:cs="Arial" w:eastAsia="Arial" w:hAnsi="Arial"/>
                <w:sz w:val="9"/>
                <w:szCs w:val="9"/>
                <w:color w:val="auto"/>
              </w:rPr>
              <w:t>4/1/2026</w:t>
            </w:r>
          </w:p>
        </w:tc>
        <w:tc>
          <w:tcPr>
            <w:tcW w:w="860" w:type="dxa"/>
            <w:vAlign w:val="bottom"/>
          </w:tcPr>
          <w:p>
            <w:pPr>
              <w:jc w:val="right"/>
              <w:ind w:right="195"/>
              <w:spacing w:after="0"/>
              <w:rPr>
                <w:sz w:val="20"/>
                <w:szCs w:val="20"/>
                <w:color w:val="auto"/>
              </w:rPr>
            </w:pPr>
            <w:r>
              <w:rPr>
                <w:rFonts w:ascii="Arial" w:cs="Arial" w:eastAsia="Arial" w:hAnsi="Arial"/>
                <w:sz w:val="9"/>
                <w:szCs w:val="9"/>
                <w:color w:val="auto"/>
              </w:rPr>
              <w:t>7,000</w:t>
            </w: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6,961</w:t>
            </w:r>
          </w:p>
        </w:tc>
        <w:tc>
          <w:tcPr>
            <w:tcW w:w="840" w:type="dxa"/>
            <w:vAlign w:val="bottom"/>
            <w:gridSpan w:val="2"/>
          </w:tcPr>
          <w:p>
            <w:pPr>
              <w:jc w:val="right"/>
              <w:ind w:right="95"/>
              <w:spacing w:after="0"/>
              <w:rPr>
                <w:sz w:val="20"/>
                <w:szCs w:val="20"/>
                <w:color w:val="auto"/>
              </w:rPr>
            </w:pPr>
            <w:r>
              <w:rPr>
                <w:rFonts w:ascii="Arial" w:cs="Arial" w:eastAsia="Arial" w:hAnsi="Arial"/>
                <w:sz w:val="9"/>
                <w:szCs w:val="9"/>
                <w:color w:val="auto"/>
              </w:rPr>
              <w:t>7,000</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00" w:type="dxa"/>
            <w:vAlign w:val="bottom"/>
            <w:shd w:val="clear" w:color="auto" w:fill="CFF0FC"/>
          </w:tcPr>
          <w:p>
            <w:pPr>
              <w:spacing w:after="0"/>
              <w:rPr>
                <w:sz w:val="8"/>
                <w:szCs w:val="8"/>
                <w:color w:val="auto"/>
              </w:rPr>
            </w:pPr>
          </w:p>
        </w:tc>
        <w:tc>
          <w:tcPr>
            <w:tcW w:w="30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10,854</w:t>
            </w:r>
          </w:p>
        </w:tc>
        <w:tc>
          <w:tcPr>
            <w:tcW w:w="80" w:type="dxa"/>
            <w:vAlign w:val="bottom"/>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11,000</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w w:val="95"/>
              </w:rPr>
              <w:t>Wonderware Holdings, LLC (dba CORE Business Technologies)</w:t>
            </w:r>
          </w:p>
        </w:tc>
        <w:tc>
          <w:tcPr>
            <w:tcW w:w="3000" w:type="dxa"/>
            <w:vAlign w:val="bottom"/>
          </w:tcPr>
          <w:p>
            <w:pPr>
              <w:ind w:left="40"/>
              <w:spacing w:after="0"/>
              <w:rPr>
                <w:sz w:val="20"/>
                <w:szCs w:val="20"/>
                <w:color w:val="auto"/>
              </w:rPr>
            </w:pPr>
            <w:r>
              <w:rPr>
                <w:rFonts w:ascii="Arial" w:cs="Arial" w:eastAsia="Arial" w:hAnsi="Arial"/>
                <w:sz w:val="9"/>
                <w:szCs w:val="9"/>
                <w:color w:val="auto"/>
              </w:rPr>
              <w:t>Information Technology Services</w:t>
            </w: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($184 unfunded commitment) (i)(k)(z)</w:t>
            </w:r>
          </w:p>
        </w:tc>
        <w:tc>
          <w:tcPr>
            <w:tcW w:w="3000" w:type="dxa"/>
            <w:vAlign w:val="bottom"/>
            <w:shd w:val="clear" w:color="auto" w:fill="CFF0FC"/>
          </w:tcPr>
          <w:p>
            <w:pPr>
              <w:ind w:left="2000"/>
              <w:spacing w:after="0"/>
              <w:rPr>
                <w:sz w:val="20"/>
                <w:szCs w:val="20"/>
                <w:color w:val="auto"/>
              </w:rPr>
            </w:pPr>
            <w:r>
              <w:rPr>
                <w:rFonts w:ascii="Arial" w:cs="Arial" w:eastAsia="Arial" w:hAnsi="Arial"/>
                <w:sz w:val="9"/>
                <w:szCs w:val="9"/>
                <w:color w:val="auto"/>
              </w:rPr>
              <w:t>(L + 7.25%) / (1.00%)</w:t>
            </w:r>
          </w:p>
        </w:tc>
        <w:tc>
          <w:tcPr>
            <w:tcW w:w="880" w:type="dxa"/>
            <w:vAlign w:val="bottom"/>
            <w:shd w:val="clear" w:color="auto" w:fill="CFF0FC"/>
          </w:tcPr>
          <w:p>
            <w:pPr>
              <w:ind w:left="160"/>
              <w:spacing w:after="0"/>
              <w:rPr>
                <w:sz w:val="20"/>
                <w:szCs w:val="20"/>
                <w:color w:val="auto"/>
              </w:rPr>
            </w:pPr>
            <w:r>
              <w:rPr>
                <w:rFonts w:ascii="Arial" w:cs="Arial" w:eastAsia="Arial" w:hAnsi="Arial"/>
                <w:sz w:val="9"/>
                <w:szCs w:val="9"/>
                <w:color w:val="auto"/>
              </w:rPr>
              <w:t>8.94%/0.00%</w:t>
            </w:r>
          </w:p>
        </w:tc>
        <w:tc>
          <w:tcPr>
            <w:tcW w:w="760" w:type="dxa"/>
            <w:vAlign w:val="bottom"/>
            <w:shd w:val="clear" w:color="auto" w:fill="CFF0FC"/>
          </w:tcPr>
          <w:p>
            <w:pPr>
              <w:ind w:left="180"/>
              <w:spacing w:after="0"/>
              <w:rPr>
                <w:sz w:val="20"/>
                <w:szCs w:val="20"/>
                <w:color w:val="auto"/>
              </w:rPr>
            </w:pPr>
            <w:r>
              <w:rPr>
                <w:rFonts w:ascii="Arial" w:cs="Arial" w:eastAsia="Arial" w:hAnsi="Arial"/>
                <w:sz w:val="9"/>
                <w:szCs w:val="9"/>
                <w:color w:val="auto"/>
              </w:rPr>
              <w:t>2/10/2021</w:t>
            </w:r>
          </w:p>
        </w:tc>
        <w:tc>
          <w:tcPr>
            <w:tcW w:w="940" w:type="dxa"/>
            <w:vAlign w:val="bottom"/>
            <w:shd w:val="clear" w:color="auto" w:fill="CFF0FC"/>
          </w:tcPr>
          <w:p>
            <w:pPr>
              <w:ind w:left="180"/>
              <w:spacing w:after="0"/>
              <w:rPr>
                <w:sz w:val="20"/>
                <w:szCs w:val="20"/>
                <w:color w:val="auto"/>
              </w:rPr>
            </w:pPr>
            <w:r>
              <w:rPr>
                <w:rFonts w:ascii="Arial" w:cs="Arial" w:eastAsia="Arial" w:hAnsi="Arial"/>
                <w:sz w:val="9"/>
                <w:szCs w:val="9"/>
                <w:color w:val="auto"/>
              </w:rPr>
              <w:t>2/9/2026</w:t>
            </w:r>
          </w:p>
        </w:tc>
        <w:tc>
          <w:tcPr>
            <w:tcW w:w="8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8,316</w:t>
            </w: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8,273</w:t>
            </w:r>
          </w:p>
        </w:tc>
        <w:tc>
          <w:tcPr>
            <w:tcW w:w="84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8,316</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Worldwide Express Operations, LLC</w:t>
            </w:r>
          </w:p>
        </w:tc>
        <w:tc>
          <w:tcPr>
            <w:tcW w:w="3000" w:type="dxa"/>
            <w:vAlign w:val="bottom"/>
            <w:shd w:val="clear" w:color="auto" w:fill="CFF0FC"/>
          </w:tcPr>
          <w:p>
            <w:pPr>
              <w:ind w:left="40"/>
              <w:spacing w:after="0"/>
              <w:rPr>
                <w:sz w:val="20"/>
                <w:szCs w:val="20"/>
                <w:color w:val="auto"/>
              </w:rPr>
            </w:pPr>
            <w:r>
              <w:rPr>
                <w:rFonts w:ascii="Arial" w:cs="Arial" w:eastAsia="Arial" w:hAnsi="Arial"/>
                <w:sz w:val="9"/>
                <w:szCs w:val="9"/>
                <w:color w:val="auto"/>
              </w:rPr>
              <w:t>Transportation services</w:t>
            </w:r>
          </w:p>
        </w:tc>
        <w:tc>
          <w:tcPr>
            <w:tcW w:w="8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-7711440</wp:posOffset>
            </wp:positionV>
            <wp:extent cx="6032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-7711440</wp:posOffset>
            </wp:positionV>
            <wp:extent cx="39433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-7428865</wp:posOffset>
            </wp:positionV>
            <wp:extent cx="6032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-7428865</wp:posOffset>
            </wp:positionV>
            <wp:extent cx="39433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-3116580</wp:posOffset>
            </wp:positionV>
            <wp:extent cx="6032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-3116580</wp:posOffset>
            </wp:positionV>
            <wp:extent cx="39433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-2087880</wp:posOffset>
            </wp:positionV>
            <wp:extent cx="6032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-2087880</wp:posOffset>
            </wp:positionV>
            <wp:extent cx="39433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-699135</wp:posOffset>
            </wp:positionV>
            <wp:extent cx="6032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-699135</wp:posOffset>
            </wp:positionV>
            <wp:extent cx="39433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94335"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15"/>
        </w:trPr>
        <w:tc>
          <w:tcPr>
            <w:tcW w:w="2500" w:type="dxa"/>
            <w:vAlign w:val="bottom"/>
          </w:tcPr>
          <w:p>
            <w:pPr>
              <w:ind w:left="160"/>
              <w:spacing w:after="0"/>
              <w:rPr>
                <w:sz w:val="20"/>
                <w:szCs w:val="20"/>
                <w:color w:val="auto"/>
              </w:rPr>
            </w:pPr>
            <w:r>
              <w:rPr>
                <w:rFonts w:ascii="Arial" w:cs="Arial" w:eastAsia="Arial" w:hAnsi="Arial"/>
                <w:sz w:val="9"/>
                <w:szCs w:val="9"/>
                <w:color w:val="auto"/>
              </w:rPr>
              <w:t>Second Lien Debt (j)</w:t>
            </w:r>
          </w:p>
        </w:tc>
        <w:tc>
          <w:tcPr>
            <w:tcW w:w="3460" w:type="dxa"/>
            <w:vAlign w:val="bottom"/>
          </w:tcPr>
          <w:p>
            <w:pPr>
              <w:ind w:left="2000"/>
              <w:spacing w:after="0"/>
              <w:rPr>
                <w:sz w:val="20"/>
                <w:szCs w:val="20"/>
                <w:color w:val="auto"/>
              </w:rPr>
            </w:pPr>
            <w:r>
              <w:rPr>
                <w:rFonts w:ascii="Arial" w:cs="Arial" w:eastAsia="Arial" w:hAnsi="Arial"/>
                <w:sz w:val="9"/>
                <w:szCs w:val="9"/>
                <w:color w:val="auto"/>
              </w:rPr>
              <w:t>(L + 7.00%) / (0.75%)</w:t>
            </w:r>
          </w:p>
        </w:tc>
        <w:tc>
          <w:tcPr>
            <w:tcW w:w="1160" w:type="dxa"/>
            <w:vAlign w:val="bottom"/>
          </w:tcPr>
          <w:p>
            <w:pPr>
              <w:ind w:left="600"/>
              <w:spacing w:after="0"/>
              <w:rPr>
                <w:sz w:val="20"/>
                <w:szCs w:val="20"/>
                <w:color w:val="auto"/>
              </w:rPr>
            </w:pPr>
            <w:r>
              <w:rPr>
                <w:rFonts w:ascii="Arial" w:cs="Arial" w:eastAsia="Arial" w:hAnsi="Arial"/>
                <w:sz w:val="9"/>
                <w:szCs w:val="9"/>
                <w:color w:val="auto"/>
              </w:rPr>
              <w:t>8/2/2021</w:t>
            </w:r>
          </w:p>
        </w:tc>
        <w:tc>
          <w:tcPr>
            <w:tcW w:w="940" w:type="dxa"/>
            <w:vAlign w:val="bottom"/>
          </w:tcPr>
          <w:p>
            <w:pPr>
              <w:jc w:val="right"/>
              <w:ind w:right="335"/>
              <w:spacing w:after="0"/>
              <w:rPr>
                <w:sz w:val="20"/>
                <w:szCs w:val="20"/>
                <w:color w:val="auto"/>
              </w:rPr>
            </w:pPr>
            <w:r>
              <w:rPr>
                <w:rFonts w:ascii="Arial" w:cs="Arial" w:eastAsia="Arial" w:hAnsi="Arial"/>
                <w:sz w:val="9"/>
                <w:szCs w:val="9"/>
                <w:color w:val="auto"/>
              </w:rPr>
              <w:t>7/26/2029</w:t>
            </w:r>
          </w:p>
        </w:tc>
        <w:tc>
          <w:tcPr>
            <w:tcW w:w="880" w:type="dxa"/>
            <w:vAlign w:val="bottom"/>
          </w:tcPr>
          <w:p>
            <w:pPr>
              <w:jc w:val="right"/>
              <w:ind w:right="195"/>
              <w:spacing w:after="0"/>
              <w:rPr>
                <w:sz w:val="20"/>
                <w:szCs w:val="20"/>
                <w:color w:val="auto"/>
              </w:rPr>
            </w:pPr>
            <w:r>
              <w:rPr>
                <w:rFonts w:ascii="Arial" w:cs="Arial" w:eastAsia="Arial" w:hAnsi="Arial"/>
                <w:sz w:val="9"/>
                <w:szCs w:val="9"/>
                <w:color w:val="auto"/>
              </w:rPr>
              <w:t>22,500</w:t>
            </w:r>
          </w:p>
        </w:tc>
        <w:tc>
          <w:tcPr>
            <w:tcW w:w="200" w:type="dxa"/>
            <w:vAlign w:val="bottom"/>
          </w:tcPr>
          <w:p>
            <w:pPr>
              <w:spacing w:after="0"/>
              <w:rPr>
                <w:sz w:val="9"/>
                <w:szCs w:val="9"/>
                <w:color w:val="auto"/>
              </w:rPr>
            </w:pP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21,747</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jc w:val="right"/>
              <w:ind w:right="95"/>
              <w:spacing w:after="0"/>
              <w:rPr>
                <w:sz w:val="20"/>
                <w:szCs w:val="20"/>
                <w:color w:val="auto"/>
              </w:rPr>
            </w:pPr>
            <w:r>
              <w:rPr>
                <w:rFonts w:ascii="Arial" w:cs="Arial" w:eastAsia="Arial" w:hAnsi="Arial"/>
                <w:sz w:val="9"/>
                <w:szCs w:val="9"/>
                <w:color w:val="auto"/>
              </w:rPr>
              <w:t>21,747</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(795,000) (j)</w:t>
            </w:r>
          </w:p>
        </w:tc>
        <w:tc>
          <w:tcPr>
            <w:tcW w:w="3460" w:type="dxa"/>
            <w:vAlign w:val="bottom"/>
            <w:shd w:val="clear" w:color="auto" w:fill="CFF0FC"/>
          </w:tcPr>
          <w:p>
            <w:pPr>
              <w:spacing w:after="0"/>
              <w:rPr>
                <w:sz w:val="9"/>
                <w:szCs w:val="9"/>
                <w:color w:val="auto"/>
              </w:rPr>
            </w:pPr>
          </w:p>
        </w:tc>
        <w:tc>
          <w:tcPr>
            <w:tcW w:w="1160" w:type="dxa"/>
            <w:vAlign w:val="bottom"/>
            <w:shd w:val="clear" w:color="auto" w:fill="CFF0FC"/>
          </w:tcPr>
          <w:p>
            <w:pPr>
              <w:ind w:left="600"/>
              <w:spacing w:after="0"/>
              <w:rPr>
                <w:sz w:val="20"/>
                <w:szCs w:val="20"/>
                <w:color w:val="auto"/>
              </w:rPr>
            </w:pPr>
            <w:r>
              <w:rPr>
                <w:rFonts w:ascii="Arial" w:cs="Arial" w:eastAsia="Arial" w:hAnsi="Arial"/>
                <w:sz w:val="9"/>
                <w:szCs w:val="9"/>
                <w:color w:val="auto"/>
              </w:rPr>
              <w:t>7/21/2021</w:t>
            </w:r>
          </w:p>
        </w:tc>
        <w:tc>
          <w:tcPr>
            <w:tcW w:w="9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795</w:t>
            </w: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6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894</w:t>
            </w: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Common Equity (752,380 units) (h)(j)</w:t>
            </w:r>
          </w:p>
        </w:tc>
        <w:tc>
          <w:tcPr>
            <w:tcW w:w="3460" w:type="dxa"/>
            <w:vAlign w:val="bottom"/>
          </w:tcPr>
          <w:p>
            <w:pPr>
              <w:spacing w:after="0"/>
              <w:rPr>
                <w:sz w:val="9"/>
                <w:szCs w:val="9"/>
                <w:color w:val="auto"/>
              </w:rPr>
            </w:pPr>
          </w:p>
        </w:tc>
        <w:tc>
          <w:tcPr>
            <w:tcW w:w="1160" w:type="dxa"/>
            <w:vAlign w:val="bottom"/>
          </w:tcPr>
          <w:p>
            <w:pPr>
              <w:ind w:left="600"/>
              <w:spacing w:after="0"/>
              <w:rPr>
                <w:sz w:val="20"/>
                <w:szCs w:val="20"/>
                <w:color w:val="auto"/>
              </w:rPr>
            </w:pPr>
            <w:r>
              <w:rPr>
                <w:rFonts w:ascii="Arial" w:cs="Arial" w:eastAsia="Arial" w:hAnsi="Arial"/>
                <w:sz w:val="9"/>
                <w:szCs w:val="9"/>
                <w:color w:val="auto"/>
              </w:rPr>
              <w:t>7/26/2021</w:t>
            </w: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225</w:t>
            </w: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691</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00" w:type="dxa"/>
            <w:vAlign w:val="bottom"/>
            <w:shd w:val="clear" w:color="auto" w:fill="CFF0FC"/>
          </w:tcPr>
          <w:p>
            <w:pPr>
              <w:spacing w:after="0"/>
              <w:rPr>
                <w:sz w:val="8"/>
                <w:szCs w:val="8"/>
                <w:color w:val="auto"/>
              </w:rPr>
            </w:pPr>
          </w:p>
        </w:tc>
        <w:tc>
          <w:tcPr>
            <w:tcW w:w="346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54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22,767</w:t>
            </w:r>
          </w:p>
        </w:tc>
        <w:tc>
          <w:tcPr>
            <w:tcW w:w="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560" w:type="dxa"/>
            <w:vAlign w:val="bottom"/>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23,332</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5 %</w:t>
            </w: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i w:val="1"/>
                <w:iCs w:val="1"/>
                <w:color w:val="auto"/>
              </w:rPr>
              <w:t>Xeeva, Inc.</w:t>
            </w:r>
          </w:p>
        </w:tc>
        <w:tc>
          <w:tcPr>
            <w:tcW w:w="3460" w:type="dxa"/>
            <w:vAlign w:val="bottom"/>
          </w:tcPr>
          <w:p>
            <w:pPr>
              <w:ind w:left="40"/>
              <w:spacing w:after="0"/>
              <w:rPr>
                <w:sz w:val="20"/>
                <w:szCs w:val="20"/>
                <w:color w:val="auto"/>
              </w:rPr>
            </w:pPr>
            <w:r>
              <w:rPr>
                <w:rFonts w:ascii="Arial" w:cs="Arial" w:eastAsia="Arial" w:hAnsi="Arial"/>
                <w:sz w:val="9"/>
                <w:szCs w:val="9"/>
                <w:color w:val="auto"/>
              </w:rPr>
              <w:t>Information Technology Services</w:t>
            </w: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w:t>
            </w:r>
          </w:p>
        </w:tc>
        <w:tc>
          <w:tcPr>
            <w:tcW w:w="3460" w:type="dxa"/>
            <w:vAlign w:val="bottom"/>
            <w:shd w:val="clear" w:color="auto" w:fill="CFF0FC"/>
          </w:tcPr>
          <w:p>
            <w:pPr>
              <w:ind w:left="2000"/>
              <w:spacing w:after="0"/>
              <w:rPr>
                <w:sz w:val="20"/>
                <w:szCs w:val="20"/>
                <w:color w:val="auto"/>
              </w:rPr>
            </w:pPr>
            <w:r>
              <w:rPr>
                <w:rFonts w:ascii="Arial" w:cs="Arial" w:eastAsia="Arial" w:hAnsi="Arial"/>
                <w:sz w:val="9"/>
                <w:szCs w:val="9"/>
                <w:color w:val="auto"/>
              </w:rPr>
              <w:t>(L + 10.50%) / (1.50%)</w:t>
            </w:r>
          </w:p>
        </w:tc>
        <w:tc>
          <w:tcPr>
            <w:tcW w:w="1160" w:type="dxa"/>
            <w:vAlign w:val="bottom"/>
            <w:shd w:val="clear" w:color="auto" w:fill="CFF0FC"/>
          </w:tcPr>
          <w:p>
            <w:pPr>
              <w:ind w:left="600"/>
              <w:spacing w:after="0"/>
              <w:rPr>
                <w:sz w:val="20"/>
                <w:szCs w:val="20"/>
                <w:color w:val="auto"/>
              </w:rPr>
            </w:pPr>
            <w:r>
              <w:rPr>
                <w:rFonts w:ascii="Arial" w:cs="Arial" w:eastAsia="Arial" w:hAnsi="Arial"/>
                <w:sz w:val="9"/>
                <w:szCs w:val="9"/>
                <w:color w:val="auto"/>
              </w:rPr>
              <w:t>2/11/2021</w:t>
            </w:r>
          </w:p>
        </w:tc>
        <w:tc>
          <w:tcPr>
            <w:tcW w:w="940" w:type="dxa"/>
            <w:vAlign w:val="bottom"/>
            <w:shd w:val="clear" w:color="auto" w:fill="CFF0FC"/>
          </w:tcPr>
          <w:p>
            <w:pPr>
              <w:jc w:val="right"/>
              <w:ind w:right="335"/>
              <w:spacing w:after="0"/>
              <w:rPr>
                <w:sz w:val="20"/>
                <w:szCs w:val="20"/>
                <w:color w:val="auto"/>
              </w:rPr>
            </w:pPr>
            <w:r>
              <w:rPr>
                <w:rFonts w:ascii="Arial" w:cs="Arial" w:eastAsia="Arial" w:hAnsi="Arial"/>
                <w:sz w:val="9"/>
                <w:szCs w:val="9"/>
                <w:color w:val="auto"/>
              </w:rPr>
              <w:t>2/11/2026</w:t>
            </w:r>
          </w:p>
        </w:tc>
        <w:tc>
          <w:tcPr>
            <w:tcW w:w="88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9,400</w:t>
            </w:r>
          </w:p>
        </w:tc>
        <w:tc>
          <w:tcPr>
            <w:tcW w:w="200" w:type="dxa"/>
            <w:vAlign w:val="bottom"/>
            <w:shd w:val="clear" w:color="auto" w:fill="CFF0FC"/>
          </w:tcPr>
          <w:p>
            <w:pPr>
              <w:spacing w:after="0"/>
              <w:rPr>
                <w:sz w:val="9"/>
                <w:szCs w:val="9"/>
                <w:color w:val="auto"/>
              </w:rPr>
            </w:pPr>
          </w:p>
        </w:tc>
        <w:tc>
          <w:tcPr>
            <w:tcW w:w="5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9,362</w:t>
            </w: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6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9,400</w:t>
            </w:r>
          </w:p>
        </w:tc>
        <w:tc>
          <w:tcPr>
            <w:tcW w:w="720" w:type="dxa"/>
            <w:vAlign w:val="bottom"/>
            <w:shd w:val="clear" w:color="auto" w:fill="CFF0FC"/>
          </w:tcPr>
          <w:p>
            <w:pPr>
              <w:jc w:val="right"/>
              <w:spacing w:after="0"/>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Zonkd, LLC</w:t>
            </w:r>
          </w:p>
        </w:tc>
        <w:tc>
          <w:tcPr>
            <w:tcW w:w="3460" w:type="dxa"/>
            <w:vAlign w:val="bottom"/>
            <w:shd w:val="clear" w:color="auto" w:fill="CFF0FC"/>
          </w:tcPr>
          <w:p>
            <w:pPr>
              <w:ind w:left="40"/>
              <w:spacing w:after="0"/>
              <w:rPr>
                <w:sz w:val="20"/>
                <w:szCs w:val="20"/>
                <w:color w:val="auto"/>
              </w:rPr>
            </w:pPr>
            <w:r>
              <w:rPr>
                <w:rFonts w:ascii="Arial" w:cs="Arial" w:eastAsia="Arial" w:hAnsi="Arial"/>
                <w:sz w:val="9"/>
                <w:szCs w:val="9"/>
                <w:color w:val="auto"/>
              </w:rPr>
              <w:t>Component Manufacturing</w:t>
            </w:r>
          </w:p>
        </w:tc>
        <w:tc>
          <w:tcPr>
            <w:tcW w:w="11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First Lien Debt (j)</w:t>
            </w:r>
          </w:p>
        </w:tc>
        <w:tc>
          <w:tcPr>
            <w:tcW w:w="3460" w:type="dxa"/>
            <w:vAlign w:val="bottom"/>
          </w:tcPr>
          <w:p>
            <w:pPr>
              <w:ind w:left="2000"/>
              <w:spacing w:after="0"/>
              <w:rPr>
                <w:sz w:val="20"/>
                <w:szCs w:val="20"/>
                <w:color w:val="auto"/>
              </w:rPr>
            </w:pPr>
            <w:r>
              <w:rPr>
                <w:rFonts w:ascii="Arial" w:cs="Arial" w:eastAsia="Arial" w:hAnsi="Arial"/>
                <w:sz w:val="9"/>
                <w:szCs w:val="9"/>
                <w:color w:val="auto"/>
              </w:rPr>
              <w:t>(L + 10.00%) / (1.00%)</w:t>
            </w:r>
          </w:p>
        </w:tc>
        <w:tc>
          <w:tcPr>
            <w:tcW w:w="1160" w:type="dxa"/>
            <w:vAlign w:val="bottom"/>
          </w:tcPr>
          <w:p>
            <w:pPr>
              <w:ind w:left="600"/>
              <w:spacing w:after="0"/>
              <w:rPr>
                <w:sz w:val="20"/>
                <w:szCs w:val="20"/>
                <w:color w:val="auto"/>
              </w:rPr>
            </w:pPr>
            <w:r>
              <w:rPr>
                <w:rFonts w:ascii="Arial" w:cs="Arial" w:eastAsia="Arial" w:hAnsi="Arial"/>
                <w:sz w:val="9"/>
                <w:szCs w:val="9"/>
                <w:color w:val="auto"/>
              </w:rPr>
              <w:t>3/18/2022</w:t>
            </w:r>
          </w:p>
        </w:tc>
        <w:tc>
          <w:tcPr>
            <w:tcW w:w="940" w:type="dxa"/>
            <w:vAlign w:val="bottom"/>
          </w:tcPr>
          <w:p>
            <w:pPr>
              <w:jc w:val="right"/>
              <w:ind w:right="335"/>
              <w:spacing w:after="0"/>
              <w:rPr>
                <w:sz w:val="20"/>
                <w:szCs w:val="20"/>
                <w:color w:val="auto"/>
              </w:rPr>
            </w:pPr>
            <w:r>
              <w:rPr>
                <w:rFonts w:ascii="Arial" w:cs="Arial" w:eastAsia="Arial" w:hAnsi="Arial"/>
                <w:sz w:val="9"/>
                <w:szCs w:val="9"/>
                <w:color w:val="auto"/>
              </w:rPr>
              <w:t>3/18/2027</w:t>
            </w:r>
          </w:p>
        </w:tc>
        <w:tc>
          <w:tcPr>
            <w:tcW w:w="880" w:type="dxa"/>
            <w:vAlign w:val="bottom"/>
          </w:tcPr>
          <w:p>
            <w:pPr>
              <w:jc w:val="right"/>
              <w:ind w:right="195"/>
              <w:spacing w:after="0"/>
              <w:rPr>
                <w:sz w:val="20"/>
                <w:szCs w:val="20"/>
                <w:color w:val="auto"/>
              </w:rPr>
            </w:pPr>
            <w:r>
              <w:rPr>
                <w:rFonts w:ascii="Arial" w:cs="Arial" w:eastAsia="Arial" w:hAnsi="Arial"/>
                <w:sz w:val="9"/>
                <w:szCs w:val="9"/>
                <w:color w:val="auto"/>
              </w:rPr>
              <w:t>5,000</w:t>
            </w:r>
          </w:p>
        </w:tc>
        <w:tc>
          <w:tcPr>
            <w:tcW w:w="200" w:type="dxa"/>
            <w:vAlign w:val="bottom"/>
          </w:tcPr>
          <w:p>
            <w:pPr>
              <w:spacing w:after="0"/>
              <w:rPr>
                <w:sz w:val="9"/>
                <w:szCs w:val="9"/>
                <w:color w:val="auto"/>
              </w:rPr>
            </w:pP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4,784</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jc w:val="right"/>
              <w:ind w:right="95"/>
              <w:spacing w:after="0"/>
              <w:rPr>
                <w:sz w:val="20"/>
                <w:szCs w:val="20"/>
                <w:color w:val="auto"/>
              </w:rPr>
            </w:pPr>
            <w:r>
              <w:rPr>
                <w:rFonts w:ascii="Arial" w:cs="Arial" w:eastAsia="Arial" w:hAnsi="Arial"/>
                <w:sz w:val="9"/>
                <w:szCs w:val="9"/>
                <w:color w:val="auto"/>
              </w:rPr>
              <w:t>4,784</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00" w:type="dxa"/>
            <w:vAlign w:val="bottom"/>
            <w:shd w:val="clear" w:color="auto" w:fill="CFF0FC"/>
          </w:tcPr>
          <w:p>
            <w:pPr>
              <w:ind w:left="160"/>
              <w:spacing w:after="0" w:line="81" w:lineRule="exact"/>
              <w:rPr>
                <w:sz w:val="20"/>
                <w:szCs w:val="20"/>
                <w:color w:val="auto"/>
              </w:rPr>
            </w:pPr>
            <w:r>
              <w:rPr>
                <w:rFonts w:ascii="Arial" w:cs="Arial" w:eastAsia="Arial" w:hAnsi="Arial"/>
                <w:sz w:val="9"/>
                <w:szCs w:val="9"/>
                <w:color w:val="auto"/>
                <w:w w:val="93"/>
              </w:rPr>
              <w:t>Delayed Draw Commitment ($1,000 unfunded commitment) (j)</w:t>
            </w:r>
          </w:p>
        </w:tc>
        <w:tc>
          <w:tcPr>
            <w:tcW w:w="3460" w:type="dxa"/>
            <w:vAlign w:val="bottom"/>
            <w:vMerge w:val="restart"/>
            <w:shd w:val="clear" w:color="auto" w:fill="CFF0FC"/>
          </w:tcPr>
          <w:p>
            <w:pPr>
              <w:ind w:left="2000"/>
              <w:spacing w:after="0"/>
              <w:rPr>
                <w:sz w:val="20"/>
                <w:szCs w:val="20"/>
                <w:color w:val="auto"/>
              </w:rPr>
            </w:pPr>
            <w:r>
              <w:rPr>
                <w:rFonts w:ascii="Arial" w:cs="Arial" w:eastAsia="Arial" w:hAnsi="Arial"/>
                <w:sz w:val="9"/>
                <w:szCs w:val="9"/>
                <w:color w:val="auto"/>
              </w:rPr>
              <w:t>(L + 10.00%) / (1.00%)</w:t>
            </w:r>
          </w:p>
        </w:tc>
        <w:tc>
          <w:tcPr>
            <w:tcW w:w="1160" w:type="dxa"/>
            <w:vAlign w:val="bottom"/>
            <w:vMerge w:val="restart"/>
            <w:shd w:val="clear" w:color="auto" w:fill="CFF0FC"/>
          </w:tcPr>
          <w:p>
            <w:pPr>
              <w:ind w:left="600"/>
              <w:spacing w:after="0"/>
              <w:rPr>
                <w:sz w:val="20"/>
                <w:szCs w:val="20"/>
                <w:color w:val="auto"/>
              </w:rPr>
            </w:pPr>
            <w:r>
              <w:rPr>
                <w:rFonts w:ascii="Arial" w:cs="Arial" w:eastAsia="Arial" w:hAnsi="Arial"/>
                <w:sz w:val="9"/>
                <w:szCs w:val="9"/>
                <w:color w:val="auto"/>
              </w:rPr>
              <w:t>3/18/2022</w:t>
            </w:r>
          </w:p>
        </w:tc>
        <w:tc>
          <w:tcPr>
            <w:tcW w:w="940" w:type="dxa"/>
            <w:vAlign w:val="bottom"/>
            <w:vMerge w:val="restart"/>
            <w:shd w:val="clear" w:color="auto" w:fill="CFF0FC"/>
          </w:tcPr>
          <w:p>
            <w:pPr>
              <w:jc w:val="right"/>
              <w:ind w:right="335"/>
              <w:spacing w:after="0"/>
              <w:rPr>
                <w:sz w:val="20"/>
                <w:szCs w:val="20"/>
                <w:color w:val="auto"/>
              </w:rPr>
            </w:pPr>
            <w:r>
              <w:rPr>
                <w:rFonts w:ascii="Arial" w:cs="Arial" w:eastAsia="Arial" w:hAnsi="Arial"/>
                <w:sz w:val="9"/>
                <w:szCs w:val="9"/>
                <w:color w:val="auto"/>
              </w:rPr>
              <w:t>3/18/2027</w:t>
            </w:r>
          </w:p>
        </w:tc>
        <w:tc>
          <w:tcPr>
            <w:tcW w:w="1080" w:type="dxa"/>
            <w:vAlign w:val="bottom"/>
            <w:gridSpan w:val="2"/>
            <w:vMerge w:val="restart"/>
            <w:shd w:val="clear" w:color="auto" w:fill="CFF0FC"/>
          </w:tcPr>
          <w:p>
            <w:pPr>
              <w:jc w:val="right"/>
              <w:ind w:right="395"/>
              <w:spacing w:after="0"/>
              <w:rPr>
                <w:sz w:val="20"/>
                <w:szCs w:val="20"/>
                <w:color w:val="auto"/>
              </w:rPr>
            </w:pPr>
            <w:r>
              <w:rPr>
                <w:rFonts w:ascii="Arial" w:cs="Arial" w:eastAsia="Arial" w:hAnsi="Arial"/>
                <w:sz w:val="9"/>
                <w:szCs w:val="9"/>
                <w:color w:val="auto"/>
              </w:rPr>
              <w:t>—</w:t>
            </w:r>
          </w:p>
        </w:tc>
        <w:tc>
          <w:tcPr>
            <w:tcW w:w="54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560" w:type="dxa"/>
            <w:vAlign w:val="bottom"/>
            <w:vMerge w:val="restart"/>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160"/>
              <w:spacing w:after="0"/>
              <w:rPr>
                <w:sz w:val="20"/>
                <w:szCs w:val="20"/>
                <w:color w:val="auto"/>
              </w:rPr>
            </w:pPr>
            <w:r>
              <w:rPr>
                <w:rFonts w:ascii="Arial" w:cs="Arial" w:eastAsia="Arial" w:hAnsi="Arial"/>
                <w:sz w:val="9"/>
                <w:szCs w:val="9"/>
                <w:color w:val="auto"/>
              </w:rPr>
              <w:t>(ad)</w:t>
            </w:r>
          </w:p>
        </w:tc>
        <w:tc>
          <w:tcPr>
            <w:tcW w:w="3460" w:type="dxa"/>
            <w:vAlign w:val="bottom"/>
            <w:vMerge w:val="continue"/>
            <w:shd w:val="clear" w:color="auto" w:fill="CFF0FC"/>
          </w:tcPr>
          <w:p>
            <w:pPr>
              <w:spacing w:after="0"/>
              <w:rPr>
                <w:sz w:val="9"/>
                <w:szCs w:val="9"/>
                <w:color w:val="auto"/>
              </w:rPr>
            </w:pPr>
          </w:p>
        </w:tc>
        <w:tc>
          <w:tcPr>
            <w:tcW w:w="1160" w:type="dxa"/>
            <w:vAlign w:val="bottom"/>
            <w:vMerge w:val="continue"/>
            <w:shd w:val="clear" w:color="auto" w:fill="CFF0FC"/>
          </w:tcPr>
          <w:p>
            <w:pPr>
              <w:spacing w:after="0"/>
              <w:rPr>
                <w:sz w:val="9"/>
                <w:szCs w:val="9"/>
                <w:color w:val="auto"/>
              </w:rPr>
            </w:pPr>
          </w:p>
        </w:tc>
        <w:tc>
          <w:tcPr>
            <w:tcW w:w="940" w:type="dxa"/>
            <w:vAlign w:val="bottom"/>
            <w:vMerge w:val="continue"/>
            <w:shd w:val="clear" w:color="auto" w:fill="CFF0FC"/>
          </w:tcPr>
          <w:p>
            <w:pPr>
              <w:spacing w:after="0"/>
              <w:rPr>
                <w:sz w:val="9"/>
                <w:szCs w:val="9"/>
                <w:color w:val="auto"/>
              </w:rPr>
            </w:pPr>
          </w:p>
        </w:tc>
        <w:tc>
          <w:tcPr>
            <w:tcW w:w="1080" w:type="dxa"/>
            <w:vAlign w:val="bottom"/>
            <w:gridSpan w:val="2"/>
            <w:vMerge w:val="continue"/>
            <w:shd w:val="clear" w:color="auto" w:fill="CFF0FC"/>
          </w:tcPr>
          <w:p>
            <w:pPr>
              <w:spacing w:after="0"/>
              <w:rPr>
                <w:sz w:val="9"/>
                <w:szCs w:val="9"/>
                <w:color w:val="auto"/>
              </w:rPr>
            </w:pPr>
          </w:p>
        </w:tc>
        <w:tc>
          <w:tcPr>
            <w:tcW w:w="540" w:type="dxa"/>
            <w:vAlign w:val="bottom"/>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60" w:type="dxa"/>
            <w:vAlign w:val="bottom"/>
            <w:vMerge w:val="continue"/>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60"/>
              <w:spacing w:after="0"/>
              <w:rPr>
                <w:sz w:val="20"/>
                <w:szCs w:val="20"/>
                <w:color w:val="auto"/>
              </w:rPr>
            </w:pPr>
            <w:r>
              <w:rPr>
                <w:rFonts w:ascii="Arial" w:cs="Arial" w:eastAsia="Arial" w:hAnsi="Arial"/>
                <w:sz w:val="9"/>
                <w:szCs w:val="9"/>
                <w:color w:val="auto"/>
              </w:rPr>
              <w:t>Common Equity (4,987 units) (h)(j)</w:t>
            </w:r>
          </w:p>
        </w:tc>
        <w:tc>
          <w:tcPr>
            <w:tcW w:w="3460" w:type="dxa"/>
            <w:vAlign w:val="bottom"/>
          </w:tcPr>
          <w:p>
            <w:pPr>
              <w:spacing w:after="0"/>
              <w:rPr>
                <w:sz w:val="9"/>
                <w:szCs w:val="9"/>
                <w:color w:val="auto"/>
              </w:rPr>
            </w:pPr>
          </w:p>
        </w:tc>
        <w:tc>
          <w:tcPr>
            <w:tcW w:w="1160" w:type="dxa"/>
            <w:vAlign w:val="bottom"/>
          </w:tcPr>
          <w:p>
            <w:pPr>
              <w:ind w:left="600"/>
              <w:spacing w:after="0"/>
              <w:rPr>
                <w:sz w:val="20"/>
                <w:szCs w:val="20"/>
                <w:color w:val="auto"/>
              </w:rPr>
            </w:pPr>
            <w:r>
              <w:rPr>
                <w:rFonts w:ascii="Arial" w:cs="Arial" w:eastAsia="Arial" w:hAnsi="Arial"/>
                <w:sz w:val="9"/>
                <w:szCs w:val="9"/>
                <w:color w:val="auto"/>
              </w:rPr>
              <w:t>3/18/2022</w:t>
            </w: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169</w:t>
            </w: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169</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00" w:type="dxa"/>
            <w:vAlign w:val="bottom"/>
            <w:shd w:val="clear" w:color="auto" w:fill="CFF0FC"/>
          </w:tcPr>
          <w:p>
            <w:pPr>
              <w:spacing w:after="0"/>
              <w:rPr>
                <w:sz w:val="8"/>
                <w:szCs w:val="8"/>
                <w:color w:val="auto"/>
              </w:rPr>
            </w:pPr>
          </w:p>
        </w:tc>
        <w:tc>
          <w:tcPr>
            <w:tcW w:w="346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540" w:type="dxa"/>
            <w:vAlign w:val="bottom"/>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4,953</w:t>
            </w:r>
          </w:p>
        </w:tc>
        <w:tc>
          <w:tcPr>
            <w:tcW w:w="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560" w:type="dxa"/>
            <w:vAlign w:val="bottom"/>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4,953</w:t>
            </w:r>
          </w:p>
        </w:tc>
        <w:tc>
          <w:tcPr>
            <w:tcW w:w="72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500" w:type="dxa"/>
            <w:vAlign w:val="bottom"/>
            <w:tcBorders>
              <w:bottom w:val="single" w:sz="8" w:color="CFF0FC"/>
            </w:tcBorders>
            <w:shd w:val="clear" w:color="auto" w:fill="CFF0FC"/>
          </w:tcPr>
          <w:p>
            <w:pPr>
              <w:ind w:left="20"/>
              <w:spacing w:after="0" w:line="102" w:lineRule="exact"/>
              <w:rPr>
                <w:sz w:val="20"/>
                <w:szCs w:val="20"/>
                <w:color w:val="auto"/>
              </w:rPr>
            </w:pPr>
            <w:r>
              <w:rPr>
                <w:rFonts w:ascii="Arial" w:cs="Arial" w:eastAsia="Arial" w:hAnsi="Arial"/>
                <w:sz w:val="9"/>
                <w:szCs w:val="9"/>
                <w:b w:val="1"/>
                <w:bCs w:val="1"/>
                <w:color w:val="auto"/>
              </w:rPr>
              <w:t>Total Non-control/Non-affiliate Investments</w:t>
            </w:r>
          </w:p>
        </w:tc>
        <w:tc>
          <w:tcPr>
            <w:tcW w:w="346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687,344</w:t>
            </w:r>
          </w:p>
        </w:tc>
        <w:tc>
          <w:tcPr>
            <w:tcW w:w="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704,146</w:t>
            </w:r>
          </w:p>
        </w:tc>
        <w:tc>
          <w:tcPr>
            <w:tcW w:w="720" w:type="dxa"/>
            <w:vAlign w:val="bottom"/>
            <w:tcBorders>
              <w:bottom w:val="single" w:sz="8" w:color="CFF0FC"/>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145 %</w:t>
            </w:r>
          </w:p>
        </w:tc>
        <w:tc>
          <w:tcPr>
            <w:tcW w:w="0" w:type="dxa"/>
            <w:vAlign w:val="bottom"/>
          </w:tcPr>
          <w:p>
            <w:pPr>
              <w:spacing w:after="0"/>
              <w:rPr>
                <w:sz w:val="1"/>
                <w:szCs w:val="1"/>
                <w:color w:val="auto"/>
              </w:rPr>
            </w:pPr>
          </w:p>
        </w:tc>
      </w:tr>
      <w:tr>
        <w:trPr>
          <w:trHeight w:val="88"/>
        </w:trPr>
        <w:tc>
          <w:tcPr>
            <w:tcW w:w="25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80" w:type="dxa"/>
            <w:vAlign w:val="bottom"/>
            <w:gridSpan w:val="2"/>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500" w:type="dxa"/>
            <w:vAlign w:val="bottom"/>
            <w:tcBorders>
              <w:bottom w:val="single" w:sz="8" w:color="CFF0FC"/>
            </w:tcBorders>
            <w:shd w:val="clear" w:color="auto" w:fill="CFF0FC"/>
          </w:tcPr>
          <w:p>
            <w:pPr>
              <w:ind w:left="20"/>
              <w:spacing w:after="0" w:line="102" w:lineRule="exact"/>
              <w:rPr>
                <w:sz w:val="20"/>
                <w:szCs w:val="20"/>
                <w:color w:val="auto"/>
              </w:rPr>
            </w:pPr>
            <w:r>
              <w:rPr>
                <w:rFonts w:ascii="Arial" w:cs="Arial" w:eastAsia="Arial" w:hAnsi="Arial"/>
                <w:sz w:val="9"/>
                <w:szCs w:val="9"/>
                <w:b w:val="1"/>
                <w:bCs w:val="1"/>
                <w:color w:val="auto"/>
              </w:rPr>
              <w:t>Total Investments</w:t>
            </w:r>
          </w:p>
        </w:tc>
        <w:tc>
          <w:tcPr>
            <w:tcW w:w="346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FF0FC"/>
          </w:tcPr>
          <w:p>
            <w:pPr>
              <w:jc w:val="right"/>
              <w:ind w:right="75"/>
              <w:spacing w:after="0" w:line="102" w:lineRule="exact"/>
              <w:rPr>
                <w:sz w:val="20"/>
                <w:szCs w:val="20"/>
                <w:color w:val="auto"/>
              </w:rPr>
            </w:pPr>
            <w:r>
              <w:rPr>
                <w:rFonts w:ascii="Arial" w:cs="Arial" w:eastAsia="Arial" w:hAnsi="Arial"/>
                <w:sz w:val="9"/>
                <w:szCs w:val="9"/>
                <w:color w:val="auto"/>
              </w:rPr>
              <w:t>739,714</w:t>
            </w:r>
          </w:p>
        </w:tc>
        <w:tc>
          <w:tcPr>
            <w:tcW w:w="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rPr>
              <w:t>810,520</w:t>
            </w:r>
          </w:p>
        </w:tc>
        <w:tc>
          <w:tcPr>
            <w:tcW w:w="720" w:type="dxa"/>
            <w:vAlign w:val="bottom"/>
            <w:tcBorders>
              <w:bottom w:val="single" w:sz="8" w:color="CFF0FC"/>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167 %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-196850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-179705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-196850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-179705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-25400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7" w:lineRule="exact"/>
        <w:rPr>
          <w:sz w:val="20"/>
          <w:szCs w:val="20"/>
          <w:color w:val="auto"/>
        </w:rPr>
      </w:pPr>
    </w:p>
    <w:p>
      <w:pPr>
        <w:ind w:left="140" w:hanging="119"/>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9"/>
          <w:szCs w:val="9"/>
          <w:color w:val="auto"/>
        </w:rPr>
        <w:t>See Note 3 to the consolidated financial statements for portfolio composition by geographic location.</w:t>
      </w:r>
    </w:p>
    <w:p>
      <w:pPr>
        <w:spacing w:after="0" w:line="10" w:lineRule="exact"/>
        <w:rPr>
          <w:rFonts w:ascii="Arial" w:cs="Arial" w:eastAsia="Arial" w:hAnsi="Arial"/>
          <w:sz w:val="9"/>
          <w:szCs w:val="9"/>
          <w:color w:val="auto"/>
        </w:rPr>
      </w:pPr>
    </w:p>
    <w:p>
      <w:pPr>
        <w:ind w:left="140" w:hanging="119"/>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9"/>
          <w:szCs w:val="9"/>
          <w:color w:val="auto"/>
        </w:rPr>
        <w:t>Equity ownership may be held in shares or units of companies related to the portfolio companies.</w:t>
      </w:r>
    </w:p>
    <w:p>
      <w:pPr>
        <w:spacing w:after="0" w:line="4" w:lineRule="exact"/>
        <w:rPr>
          <w:rFonts w:ascii="Arial" w:cs="Arial" w:eastAsia="Arial" w:hAnsi="Arial"/>
          <w:sz w:val="9"/>
          <w:szCs w:val="9"/>
          <w:color w:val="auto"/>
        </w:rPr>
      </w:pPr>
    </w:p>
    <w:p>
      <w:pPr>
        <w:ind w:left="140" w:hanging="119"/>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9"/>
          <w:szCs w:val="9"/>
          <w:color w:val="auto"/>
        </w:rPr>
        <w:t>All debt investments are income producing, unless otherwise indicated. Equity investments are non-income producing unless otherwise noted.</w:t>
      </w:r>
    </w:p>
    <w:p>
      <w:pPr>
        <w:spacing w:after="0" w:line="4" w:lineRule="exact"/>
        <w:rPr>
          <w:rFonts w:ascii="Arial" w:cs="Arial" w:eastAsia="Arial" w:hAnsi="Arial"/>
          <w:sz w:val="9"/>
          <w:szCs w:val="9"/>
          <w:color w:val="auto"/>
        </w:rPr>
      </w:pPr>
    </w:p>
    <w:p>
      <w:pPr>
        <w:ind w:left="20" w:right="200" w:firstLine="1"/>
        <w:spacing w:after="0" w:line="219" w:lineRule="auto"/>
        <w:tabs>
          <w:tab w:leader="none" w:pos="147" w:val="left"/>
        </w:tabs>
        <w:numPr>
          <w:ilvl w:val="0"/>
          <w:numId w:val="3"/>
        </w:numPr>
        <w:rPr>
          <w:rFonts w:ascii="Arial" w:cs="Arial" w:eastAsia="Arial" w:hAnsi="Arial"/>
          <w:sz w:val="9"/>
          <w:szCs w:val="9"/>
          <w:color w:val="auto"/>
        </w:rPr>
      </w:pPr>
      <w:r>
        <w:rPr>
          <w:rFonts w:ascii="Arial" w:cs="Arial" w:eastAsia="Arial" w:hAnsi="Arial"/>
          <w:sz w:val="9"/>
          <w:szCs w:val="9"/>
          <w:color w:val="auto"/>
        </w:rPr>
        <w:t>Variable rate investments bear interest at a rate indexed to LIBOR (L), Prime (P) or SOFR (S), which are reset monthly, bimonthly, quarterly, or semi-annually. Certain variable rate investments also include a LIBOR, Prime or SOFR interest rate floor. For each investment, the Company has provided the spread over the reference rate and the LIBOR, Prime or SOFR floor, if any, as of June 30, 2022.</w:t>
      </w:r>
    </w:p>
    <w:p>
      <w:pPr>
        <w:ind w:left="140" w:hanging="119"/>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9"/>
          <w:szCs w:val="9"/>
          <w:color w:val="auto"/>
        </w:rPr>
        <w:t>Rate includes the cash interest or dividend rate and paid-in-kind interest or dividend rate, if any, as of June 30, 2022. Generally, payment-in-kind interest can be paid-in-kind or all in cash.</w:t>
      </w:r>
    </w:p>
    <w:p>
      <w:pPr>
        <w:spacing w:after="0" w:line="4" w:lineRule="exact"/>
        <w:rPr>
          <w:rFonts w:ascii="Arial" w:cs="Arial" w:eastAsia="Arial" w:hAnsi="Arial"/>
          <w:sz w:val="9"/>
          <w:szCs w:val="9"/>
          <w:color w:val="auto"/>
        </w:rPr>
      </w:pPr>
    </w:p>
    <w:p>
      <w:pPr>
        <w:ind w:left="140" w:hanging="119"/>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9"/>
          <w:szCs w:val="9"/>
          <w:color w:val="auto"/>
        </w:rPr>
        <w:t>Investment date represents the date of the initial investment in the security.</w:t>
      </w:r>
    </w:p>
    <w:p>
      <w:pPr>
        <w:spacing w:after="0" w:line="4" w:lineRule="exact"/>
        <w:rPr>
          <w:rFonts w:ascii="Arial" w:cs="Arial" w:eastAsia="Arial" w:hAnsi="Arial"/>
          <w:sz w:val="9"/>
          <w:szCs w:val="9"/>
          <w:color w:val="auto"/>
        </w:rPr>
      </w:pPr>
    </w:p>
    <w:p>
      <w:pPr>
        <w:ind w:left="20" w:right="160" w:firstLine="1"/>
        <w:spacing w:after="0" w:line="219" w:lineRule="auto"/>
        <w:tabs>
          <w:tab w:leader="none" w:pos="147" w:val="left"/>
        </w:tabs>
        <w:numPr>
          <w:ilvl w:val="0"/>
          <w:numId w:val="3"/>
        </w:numPr>
        <w:rPr>
          <w:rFonts w:ascii="Arial" w:cs="Arial" w:eastAsia="Arial" w:hAnsi="Arial"/>
          <w:sz w:val="9"/>
          <w:szCs w:val="9"/>
          <w:color w:val="auto"/>
        </w:rPr>
      </w:pPr>
      <w:r>
        <w:rPr>
          <w:rFonts w:ascii="Arial" w:cs="Arial" w:eastAsia="Arial" w:hAnsi="Arial"/>
          <w:sz w:val="9"/>
          <w:szCs w:val="9"/>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140" w:hanging="119"/>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9"/>
          <w:szCs w:val="9"/>
          <w:color w:val="auto"/>
        </w:rPr>
        <w:t>Investment is held by a taxable subsidiary of the Company.</w:t>
      </w:r>
    </w:p>
    <w:p>
      <w:pPr>
        <w:spacing w:after="0" w:line="4" w:lineRule="exact"/>
        <w:rPr>
          <w:rFonts w:ascii="Arial" w:cs="Arial" w:eastAsia="Arial" w:hAnsi="Arial"/>
          <w:sz w:val="9"/>
          <w:szCs w:val="9"/>
          <w:color w:val="auto"/>
        </w:rPr>
      </w:pPr>
    </w:p>
    <w:p>
      <w:pPr>
        <w:ind w:left="120" w:hanging="99"/>
        <w:spacing w:after="0"/>
        <w:tabs>
          <w:tab w:leader="none" w:pos="120" w:val="left"/>
        </w:tabs>
        <w:numPr>
          <w:ilvl w:val="0"/>
          <w:numId w:val="3"/>
        </w:numPr>
        <w:rPr>
          <w:rFonts w:ascii="Arial" w:cs="Arial" w:eastAsia="Arial" w:hAnsi="Arial"/>
          <w:sz w:val="9"/>
          <w:szCs w:val="9"/>
          <w:color w:val="auto"/>
        </w:rPr>
      </w:pPr>
      <w:r>
        <w:rPr>
          <w:rFonts w:ascii="Arial" w:cs="Arial" w:eastAsia="Arial" w:hAnsi="Arial"/>
          <w:sz w:val="9"/>
          <w:szCs w:val="9"/>
          <w:color w:val="auto"/>
        </w:rPr>
        <w:t>The disclosed commitment represents the unfunded amount as of June 30, 2022. The Company is earning 0.50% interest on the unfunded balance of the commitment. The interest rate disclosed represents the rate which will be earned if the commitment is funded.</w:t>
      </w:r>
    </w:p>
    <w:p>
      <w:pPr>
        <w:spacing w:after="0" w:line="4" w:lineRule="exact"/>
        <w:rPr>
          <w:rFonts w:ascii="Arial" w:cs="Arial" w:eastAsia="Arial" w:hAnsi="Arial"/>
          <w:sz w:val="9"/>
          <w:szCs w:val="9"/>
          <w:color w:val="auto"/>
        </w:rPr>
      </w:pPr>
    </w:p>
    <w:p>
      <w:pPr>
        <w:ind w:left="120" w:hanging="99"/>
        <w:spacing w:after="0"/>
        <w:tabs>
          <w:tab w:leader="none" w:pos="120" w:val="left"/>
        </w:tabs>
        <w:numPr>
          <w:ilvl w:val="0"/>
          <w:numId w:val="3"/>
        </w:numPr>
        <w:rPr>
          <w:rFonts w:ascii="Arial" w:cs="Arial" w:eastAsia="Arial" w:hAnsi="Arial"/>
          <w:sz w:val="8"/>
          <w:szCs w:val="8"/>
          <w:color w:val="auto"/>
        </w:rPr>
      </w:pPr>
      <w:r>
        <w:rPr>
          <w:rFonts w:ascii="Arial" w:cs="Arial" w:eastAsia="Arial" w:hAnsi="Arial"/>
          <w:sz w:val="8"/>
          <w:szCs w:val="8"/>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6" w:lineRule="exact"/>
        <w:rPr>
          <w:rFonts w:ascii="Arial" w:cs="Arial" w:eastAsia="Arial" w:hAnsi="Arial"/>
          <w:sz w:val="8"/>
          <w:szCs w:val="8"/>
          <w:color w:val="auto"/>
        </w:rPr>
      </w:pPr>
    </w:p>
    <w:p>
      <w:pPr>
        <w:ind w:left="20" w:right="40" w:firstLine="1"/>
        <w:spacing w:after="0" w:line="219" w:lineRule="auto"/>
        <w:tabs>
          <w:tab w:leader="none" w:pos="147" w:val="left"/>
        </w:tabs>
        <w:numPr>
          <w:ilvl w:val="0"/>
          <w:numId w:val="3"/>
        </w:numPr>
        <w:rPr>
          <w:rFonts w:ascii="Arial" w:cs="Arial" w:eastAsia="Arial" w:hAnsi="Arial"/>
          <w:sz w:val="9"/>
          <w:szCs w:val="9"/>
          <w:color w:val="auto"/>
        </w:rPr>
      </w:pPr>
      <w:r>
        <w:rPr>
          <w:rFonts w:ascii="Arial" w:cs="Arial" w:eastAsia="Arial" w:hAnsi="Arial"/>
          <w:sz w:val="9"/>
          <w:szCs w:val="9"/>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20" w:right="80" w:firstLine="1"/>
        <w:spacing w:after="0" w:line="219" w:lineRule="auto"/>
        <w:tabs>
          <w:tab w:leader="none" w:pos="127" w:val="left"/>
        </w:tabs>
        <w:numPr>
          <w:ilvl w:val="0"/>
          <w:numId w:val="3"/>
        </w:numPr>
        <w:rPr>
          <w:rFonts w:ascii="Arial" w:cs="Arial" w:eastAsia="Arial" w:hAnsi="Arial"/>
          <w:sz w:val="9"/>
          <w:szCs w:val="9"/>
          <w:color w:val="auto"/>
        </w:rPr>
      </w:pPr>
      <w:r>
        <w:rPr>
          <w:rFonts w:ascii="Arial" w:cs="Arial" w:eastAsia="Arial" w:hAnsi="Arial"/>
          <w:sz w:val="9"/>
          <w:szCs w:val="9"/>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180" w:hanging="159"/>
        <w:spacing w:after="0"/>
        <w:tabs>
          <w:tab w:leader="none" w:pos="180" w:val="left"/>
        </w:tabs>
        <w:numPr>
          <w:ilvl w:val="0"/>
          <w:numId w:val="3"/>
        </w:numPr>
        <w:rPr>
          <w:rFonts w:ascii="Arial" w:cs="Arial" w:eastAsia="Arial" w:hAnsi="Arial"/>
          <w:sz w:val="9"/>
          <w:szCs w:val="9"/>
          <w:color w:val="auto"/>
        </w:rPr>
      </w:pPr>
      <w:r>
        <w:rPr>
          <w:rFonts w:ascii="Arial" w:cs="Arial" w:eastAsia="Arial" w:hAnsi="Arial"/>
          <w:sz w:val="9"/>
          <w:szCs w:val="9"/>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4" w:lineRule="exact"/>
        <w:rPr>
          <w:rFonts w:ascii="Arial" w:cs="Arial" w:eastAsia="Arial" w:hAnsi="Arial"/>
          <w:sz w:val="9"/>
          <w:szCs w:val="9"/>
          <w:color w:val="auto"/>
        </w:rPr>
      </w:pPr>
    </w:p>
    <w:p>
      <w:pPr>
        <w:ind w:left="140" w:hanging="119"/>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9"/>
          <w:szCs w:val="9"/>
          <w:color w:val="auto"/>
        </w:rPr>
        <w:t>Investment in portfolio company that has sold its operations and is in the process of winding down.</w:t>
      </w:r>
    </w:p>
    <w:p>
      <w:pPr>
        <w:spacing w:after="0" w:line="4" w:lineRule="exact"/>
        <w:rPr>
          <w:rFonts w:ascii="Arial" w:cs="Arial" w:eastAsia="Arial" w:hAnsi="Arial"/>
          <w:sz w:val="9"/>
          <w:szCs w:val="9"/>
          <w:color w:val="auto"/>
        </w:rPr>
      </w:pPr>
    </w:p>
    <w:p>
      <w:pPr>
        <w:ind w:left="20" w:right="60" w:firstLine="1"/>
        <w:spacing w:after="0" w:line="219" w:lineRule="auto"/>
        <w:tabs>
          <w:tab w:leader="none" w:pos="147" w:val="left"/>
        </w:tabs>
        <w:numPr>
          <w:ilvl w:val="0"/>
          <w:numId w:val="3"/>
        </w:numPr>
        <w:rPr>
          <w:rFonts w:ascii="Arial" w:cs="Arial" w:eastAsia="Arial" w:hAnsi="Arial"/>
          <w:sz w:val="9"/>
          <w:szCs w:val="9"/>
          <w:color w:val="auto"/>
        </w:rPr>
      </w:pPr>
      <w:r>
        <w:rPr>
          <w:rFonts w:ascii="Arial" w:cs="Arial" w:eastAsia="Arial" w:hAnsi="Arial"/>
          <w:sz w:val="9"/>
          <w:szCs w:val="9"/>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left="20" w:right="100" w:firstLine="1"/>
        <w:spacing w:after="0" w:line="219" w:lineRule="auto"/>
        <w:tabs>
          <w:tab w:leader="none" w:pos="147" w:val="left"/>
        </w:tabs>
        <w:numPr>
          <w:ilvl w:val="0"/>
          <w:numId w:val="3"/>
        </w:numPr>
        <w:rPr>
          <w:rFonts w:ascii="Arial" w:cs="Arial" w:eastAsia="Arial" w:hAnsi="Arial"/>
          <w:sz w:val="9"/>
          <w:szCs w:val="9"/>
          <w:color w:val="auto"/>
        </w:rPr>
      </w:pPr>
      <w:r>
        <w:rPr>
          <w:rFonts w:ascii="Arial" w:cs="Arial" w:eastAsia="Arial" w:hAnsi="Arial"/>
          <w:sz w:val="9"/>
          <w:szCs w:val="9"/>
          <w:color w:val="auto"/>
        </w:rPr>
        <w:t>In addition to the interest earned based on the stated interest rate of this security, the Company is entitled to receive an additional interest amount of 3.96%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40" w:hanging="119"/>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9"/>
          <w:szCs w:val="9"/>
          <w:color w:val="auto"/>
        </w:rPr>
        <w:t>Warrant entitles the Company to purchase 4.79% of the outstanding principal of Junior Subordinated Notes prior to exercise, and is non-income producing.</w:t>
      </w:r>
    </w:p>
    <w:p>
      <w:pPr>
        <w:spacing w:after="0" w:line="4" w:lineRule="exact"/>
        <w:rPr>
          <w:rFonts w:ascii="Arial" w:cs="Arial" w:eastAsia="Arial" w:hAnsi="Arial"/>
          <w:sz w:val="9"/>
          <w:szCs w:val="9"/>
          <w:color w:val="auto"/>
        </w:rPr>
      </w:pPr>
    </w:p>
    <w:p>
      <w:pPr>
        <w:ind w:left="20" w:right="120" w:firstLine="1"/>
        <w:spacing w:after="0" w:line="219" w:lineRule="auto"/>
        <w:tabs>
          <w:tab w:leader="none" w:pos="132" w:val="left"/>
        </w:tabs>
        <w:numPr>
          <w:ilvl w:val="0"/>
          <w:numId w:val="3"/>
        </w:numPr>
        <w:rPr>
          <w:rFonts w:ascii="Arial" w:cs="Arial" w:eastAsia="Arial" w:hAnsi="Arial"/>
          <w:sz w:val="9"/>
          <w:szCs w:val="9"/>
          <w:color w:val="auto"/>
        </w:rPr>
      </w:pPr>
      <w:r>
        <w:rPr>
          <w:rFonts w:ascii="Arial" w:cs="Arial" w:eastAsia="Arial" w:hAnsi="Arial"/>
          <w:sz w:val="9"/>
          <w:szCs w:val="9"/>
          <w:color w:val="auto"/>
        </w:rPr>
        <w:t>In addition to the interest earned based on the stated interest rate of this security, the Company is entitled to receive an additional interest amount of 4.40%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120" w:firstLine="1"/>
        <w:spacing w:after="0" w:line="219" w:lineRule="auto"/>
        <w:tabs>
          <w:tab w:leader="none" w:pos="137" w:val="left"/>
        </w:tabs>
        <w:numPr>
          <w:ilvl w:val="0"/>
          <w:numId w:val="3"/>
        </w:numPr>
        <w:rPr>
          <w:rFonts w:ascii="Arial" w:cs="Arial" w:eastAsia="Arial" w:hAnsi="Arial"/>
          <w:sz w:val="9"/>
          <w:szCs w:val="9"/>
          <w:color w:val="auto"/>
        </w:rPr>
      </w:pPr>
      <w:r>
        <w:rPr>
          <w:rFonts w:ascii="Arial" w:cs="Arial" w:eastAsia="Arial" w:hAnsi="Arial"/>
          <w:sz w:val="9"/>
          <w:szCs w:val="9"/>
          <w:color w:val="auto"/>
        </w:rPr>
        <w:t>In addition to the interest earned based on the stated interest rate of this security, the Company is entitled to receive an additional interest amount of 2.43%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240" w:firstLine="1"/>
        <w:spacing w:after="0" w:line="219" w:lineRule="auto"/>
        <w:tabs>
          <w:tab w:leader="none" w:pos="127" w:val="left"/>
        </w:tabs>
        <w:numPr>
          <w:ilvl w:val="0"/>
          <w:numId w:val="3"/>
        </w:numPr>
        <w:rPr>
          <w:rFonts w:ascii="Arial" w:cs="Arial" w:eastAsia="Arial" w:hAnsi="Arial"/>
          <w:sz w:val="9"/>
          <w:szCs w:val="9"/>
          <w:color w:val="auto"/>
        </w:rPr>
      </w:pPr>
      <w:r>
        <w:rPr>
          <w:rFonts w:ascii="Arial" w:cs="Arial" w:eastAsia="Arial" w:hAnsi="Arial"/>
          <w:sz w:val="9"/>
          <w:szCs w:val="9"/>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left="20" w:right="40" w:firstLine="1"/>
        <w:spacing w:after="0" w:line="219" w:lineRule="auto"/>
        <w:tabs>
          <w:tab w:leader="none" w:pos="147" w:val="left"/>
        </w:tabs>
        <w:numPr>
          <w:ilvl w:val="0"/>
          <w:numId w:val="3"/>
        </w:numPr>
        <w:rPr>
          <w:rFonts w:ascii="Arial" w:cs="Arial" w:eastAsia="Arial" w:hAnsi="Arial"/>
          <w:sz w:val="9"/>
          <w:szCs w:val="9"/>
          <w:color w:val="auto"/>
        </w:rPr>
      </w:pPr>
      <w:r>
        <w:rPr>
          <w:rFonts w:ascii="Arial" w:cs="Arial" w:eastAsia="Arial" w:hAnsi="Arial"/>
          <w:sz w:val="9"/>
          <w:szCs w:val="9"/>
          <w:color w:val="auto"/>
        </w:rPr>
        <w:t>In addition to the interest earned based on the stated interest rate of this security, the Company is entitled to receive an additional cash interest amount of 2.96% and PIK interest amount of 0.99%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100" w:firstLine="1"/>
        <w:spacing w:after="0" w:line="219" w:lineRule="auto"/>
        <w:tabs>
          <w:tab w:leader="none" w:pos="147" w:val="left"/>
        </w:tabs>
        <w:numPr>
          <w:ilvl w:val="0"/>
          <w:numId w:val="3"/>
        </w:numPr>
        <w:rPr>
          <w:rFonts w:ascii="Arial" w:cs="Arial" w:eastAsia="Arial" w:hAnsi="Arial"/>
          <w:sz w:val="9"/>
          <w:szCs w:val="9"/>
          <w:color w:val="auto"/>
        </w:rPr>
      </w:pPr>
      <w:r>
        <w:rPr>
          <w:rFonts w:ascii="Arial" w:cs="Arial" w:eastAsia="Arial" w:hAnsi="Arial"/>
          <w:sz w:val="9"/>
          <w:szCs w:val="9"/>
          <w:color w:val="auto"/>
        </w:rPr>
        <w:t>In addition to the interest earned based on the stated interest rate of this security, the Company is entitled to receive an additional interest amount of 3.38%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80" w:firstLine="1"/>
        <w:spacing w:after="0" w:line="219" w:lineRule="auto"/>
        <w:tabs>
          <w:tab w:leader="none" w:pos="167" w:val="left"/>
        </w:tabs>
        <w:numPr>
          <w:ilvl w:val="0"/>
          <w:numId w:val="3"/>
        </w:numPr>
        <w:rPr>
          <w:rFonts w:ascii="Arial" w:cs="Arial" w:eastAsia="Arial" w:hAnsi="Arial"/>
          <w:sz w:val="9"/>
          <w:szCs w:val="9"/>
          <w:color w:val="auto"/>
        </w:rPr>
      </w:pPr>
      <w:r>
        <w:rPr>
          <w:rFonts w:ascii="Arial" w:cs="Arial" w:eastAsia="Arial" w:hAnsi="Arial"/>
          <w:sz w:val="9"/>
          <w:szCs w:val="9"/>
          <w:color w:val="auto"/>
        </w:rPr>
        <w:t>In addition to the interest earned based on the stated interest rate of this security, the Company is entitled to receive an additional interest amount of 7.05%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100" w:firstLine="1"/>
        <w:spacing w:after="0" w:line="219" w:lineRule="auto"/>
        <w:tabs>
          <w:tab w:leader="none" w:pos="147" w:val="left"/>
        </w:tabs>
        <w:numPr>
          <w:ilvl w:val="0"/>
          <w:numId w:val="3"/>
        </w:numPr>
        <w:rPr>
          <w:rFonts w:ascii="Arial" w:cs="Arial" w:eastAsia="Arial" w:hAnsi="Arial"/>
          <w:sz w:val="9"/>
          <w:szCs w:val="9"/>
          <w:color w:val="auto"/>
        </w:rPr>
      </w:pPr>
      <w:r>
        <w:rPr>
          <w:rFonts w:ascii="Arial" w:cs="Arial" w:eastAsia="Arial" w:hAnsi="Arial"/>
          <w:sz w:val="9"/>
          <w:szCs w:val="9"/>
          <w:color w:val="auto"/>
        </w:rPr>
        <w:t>In addition to the interest earned based on the stated interest rate of this security, the Company is entitled to receive an additional interest amount of 2.77%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40" w:hanging="119"/>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9"/>
          <w:szCs w:val="9"/>
          <w:color w:val="auto"/>
        </w:rPr>
        <w:t>Investment was on non-accrual status as of June 30, 2022.</w:t>
      </w:r>
    </w:p>
    <w:p>
      <w:pPr>
        <w:spacing w:after="0" w:line="4" w:lineRule="exact"/>
        <w:rPr>
          <w:rFonts w:ascii="Arial" w:cs="Arial" w:eastAsia="Arial" w:hAnsi="Arial"/>
          <w:sz w:val="9"/>
          <w:szCs w:val="9"/>
          <w:color w:val="auto"/>
        </w:rPr>
      </w:pPr>
    </w:p>
    <w:p>
      <w:pPr>
        <w:ind w:left="20" w:right="100" w:firstLine="1"/>
        <w:spacing w:after="0" w:line="219" w:lineRule="auto"/>
        <w:tabs>
          <w:tab w:leader="none" w:pos="142" w:val="left"/>
        </w:tabs>
        <w:numPr>
          <w:ilvl w:val="0"/>
          <w:numId w:val="3"/>
        </w:numPr>
        <w:rPr>
          <w:rFonts w:ascii="Arial" w:cs="Arial" w:eastAsia="Arial" w:hAnsi="Arial"/>
          <w:sz w:val="9"/>
          <w:szCs w:val="9"/>
          <w:color w:val="auto"/>
        </w:rPr>
      </w:pPr>
      <w:r>
        <w:rPr>
          <w:rFonts w:ascii="Arial" w:cs="Arial" w:eastAsia="Arial" w:hAnsi="Arial"/>
          <w:sz w:val="9"/>
          <w:szCs w:val="9"/>
          <w:color w:val="auto"/>
        </w:rPr>
        <w:t>In addition to the interest earned based on the stated interest rate of this security, the Company is entitled to receive an additional interest amount of 4.57%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20" w:firstLine="1"/>
        <w:spacing w:after="0" w:line="219" w:lineRule="auto"/>
        <w:tabs>
          <w:tab w:leader="none" w:pos="182" w:val="left"/>
        </w:tabs>
        <w:numPr>
          <w:ilvl w:val="0"/>
          <w:numId w:val="4"/>
        </w:numPr>
        <w:rPr>
          <w:rFonts w:ascii="Arial" w:cs="Arial" w:eastAsia="Arial" w:hAnsi="Arial"/>
          <w:sz w:val="9"/>
          <w:szCs w:val="9"/>
          <w:color w:val="auto"/>
        </w:rPr>
      </w:pPr>
      <w:r>
        <w:rPr>
          <w:rFonts w:ascii="Arial" w:cs="Arial" w:eastAsia="Arial" w:hAnsi="Arial"/>
          <w:sz w:val="9"/>
          <w:szCs w:val="9"/>
          <w:color w:val="auto"/>
        </w:rPr>
        <w:t>The Company sold a participating interest of approximately $4.0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left="20" w:right="60"/>
        <w:spacing w:after="0" w:line="219" w:lineRule="auto"/>
        <w:rPr>
          <w:sz w:val="20"/>
          <w:szCs w:val="20"/>
          <w:color w:val="auto"/>
        </w:rPr>
      </w:pPr>
      <w:r>
        <w:rPr>
          <w:rFonts w:ascii="Arial" w:cs="Arial" w:eastAsia="Arial" w:hAnsi="Arial"/>
          <w:sz w:val="9"/>
          <w:szCs w:val="9"/>
          <w:color w:val="auto"/>
        </w:rPr>
        <w:t>(ab) In addition to the interest earned based on the stated interest rate of this security, the Company is entitled to receive an additional interest amount of 2.90%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spacing w:after="0"/>
        <w:rPr>
          <w:sz w:val="20"/>
          <w:szCs w:val="20"/>
          <w:color w:val="auto"/>
        </w:rPr>
      </w:pPr>
      <w:r>
        <w:rPr>
          <w:rFonts w:ascii="Arial" w:cs="Arial" w:eastAsia="Arial" w:hAnsi="Arial"/>
          <w:sz w:val="9"/>
          <w:szCs w:val="9"/>
          <w:color w:val="auto"/>
        </w:rPr>
        <w:t>(ac) The disclosed commitment represents the unfunded amount as of June 30, 2022. The Company is earning 1.00% interest on the unfunded balance of the commitment. The interest rate disclosed represents the rate earned on the outstanding, funded balance of the commitment.</w:t>
      </w:r>
    </w:p>
    <w:p>
      <w:pPr>
        <w:spacing w:after="0" w:line="5" w:lineRule="exact"/>
        <w:rPr>
          <w:sz w:val="20"/>
          <w:szCs w:val="20"/>
          <w:color w:val="auto"/>
        </w:rPr>
      </w:pPr>
    </w:p>
    <w:p>
      <w:pPr>
        <w:ind w:left="20"/>
        <w:spacing w:after="0"/>
        <w:rPr>
          <w:sz w:val="20"/>
          <w:szCs w:val="20"/>
          <w:color w:val="auto"/>
        </w:rPr>
      </w:pPr>
      <w:r>
        <w:rPr>
          <w:rFonts w:ascii="Arial" w:cs="Arial" w:eastAsia="Arial" w:hAnsi="Arial"/>
          <w:sz w:val="8"/>
          <w:szCs w:val="8"/>
          <w:color w:val="auto"/>
        </w:rPr>
        <w:t>(ad) The disclosed commitment represents the unfunded amount as of June 30, 2022. The Company is earning 2.00% interest on the unfunded balance of the commitment. The interest rate disclosed represents the rate earned on the outstanding, funded balance of the commitment.</w:t>
      </w:r>
    </w:p>
    <w:p>
      <w:pPr>
        <w:spacing w:after="0" w:line="16" w:lineRule="exact"/>
        <w:rPr>
          <w:sz w:val="20"/>
          <w:szCs w:val="20"/>
          <w:color w:val="auto"/>
        </w:rPr>
      </w:pPr>
    </w:p>
    <w:p>
      <w:pPr>
        <w:ind w:left="20" w:right="60"/>
        <w:spacing w:after="0" w:line="219" w:lineRule="auto"/>
        <w:rPr>
          <w:sz w:val="20"/>
          <w:szCs w:val="20"/>
          <w:color w:val="auto"/>
        </w:rPr>
      </w:pPr>
      <w:r>
        <w:rPr>
          <w:rFonts w:ascii="Arial" w:cs="Arial" w:eastAsia="Arial" w:hAnsi="Arial"/>
          <w:sz w:val="9"/>
          <w:szCs w:val="9"/>
          <w:color w:val="auto"/>
        </w:rPr>
        <w:t>(ae) In addition to the interest earned based on the stated interest rate of this security, the Company is entitled to receive an additional interest amount of 3.53%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80"/>
        <w:spacing w:after="0" w:line="219" w:lineRule="auto"/>
        <w:rPr>
          <w:sz w:val="20"/>
          <w:szCs w:val="20"/>
          <w:color w:val="auto"/>
        </w:rPr>
      </w:pPr>
      <w:r>
        <w:rPr>
          <w:rFonts w:ascii="Arial" w:cs="Arial" w:eastAsia="Arial" w:hAnsi="Arial"/>
          <w:sz w:val="9"/>
          <w:szCs w:val="9"/>
          <w:color w:val="auto"/>
        </w:rPr>
        <w:t>(af) In addition to the interest earned based on the stated interest rate of this security, the Company is entitled to receive an additional interest amount of 3.25%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60"/>
        <w:spacing w:after="0" w:line="219" w:lineRule="auto"/>
        <w:rPr>
          <w:sz w:val="20"/>
          <w:szCs w:val="20"/>
          <w:color w:val="auto"/>
        </w:rPr>
      </w:pPr>
      <w:r>
        <w:rPr>
          <w:rFonts w:ascii="Arial" w:cs="Arial" w:eastAsia="Arial" w:hAnsi="Arial"/>
          <w:sz w:val="9"/>
          <w:szCs w:val="9"/>
          <w:color w:val="auto"/>
        </w:rPr>
        <w:t>(ag) In addition to the interest earned based on the stated interest rate of this security, the Company is entitled to receive an additional interest amount of 4.72%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60"/>
        <w:spacing w:after="0" w:line="219" w:lineRule="auto"/>
        <w:rPr>
          <w:sz w:val="20"/>
          <w:szCs w:val="20"/>
          <w:color w:val="auto"/>
        </w:rPr>
      </w:pPr>
      <w:r>
        <w:rPr>
          <w:rFonts w:ascii="Arial" w:cs="Arial" w:eastAsia="Arial" w:hAnsi="Arial"/>
          <w:sz w:val="9"/>
          <w:szCs w:val="9"/>
          <w:color w:val="auto"/>
        </w:rPr>
        <w:t>(ah) In addition to the interest earned based on the stated interest rate of this security, the Company is entitled to receive an additional interest amount of 1.75%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80"/>
        <w:spacing w:after="0" w:line="219" w:lineRule="auto"/>
        <w:rPr>
          <w:sz w:val="20"/>
          <w:szCs w:val="20"/>
          <w:color w:val="auto"/>
        </w:rPr>
      </w:pPr>
      <w:r>
        <w:rPr>
          <w:rFonts w:ascii="Arial" w:cs="Arial" w:eastAsia="Arial" w:hAnsi="Arial"/>
          <w:sz w:val="9"/>
          <w:szCs w:val="9"/>
          <w:color w:val="auto"/>
        </w:rPr>
        <w:t>(ai) In addition to the interest earned based on the stated interest rate of this security, the Company is entitled to receive an additional interest amount of 4.77%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80"/>
        <w:spacing w:after="0" w:line="219" w:lineRule="auto"/>
        <w:rPr>
          <w:sz w:val="20"/>
          <w:szCs w:val="20"/>
          <w:color w:val="auto"/>
        </w:rPr>
      </w:pPr>
      <w:r>
        <w:rPr>
          <w:rFonts w:ascii="Arial" w:cs="Arial" w:eastAsia="Arial" w:hAnsi="Arial"/>
          <w:sz w:val="9"/>
          <w:szCs w:val="9"/>
          <w:color w:val="auto"/>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60"/>
        <w:spacing w:after="0" w:line="219" w:lineRule="auto"/>
        <w:rPr>
          <w:sz w:val="20"/>
          <w:szCs w:val="20"/>
          <w:color w:val="auto"/>
        </w:rPr>
      </w:pPr>
      <w:r>
        <w:rPr>
          <w:rFonts w:ascii="Arial" w:cs="Arial" w:eastAsia="Arial" w:hAnsi="Arial"/>
          <w:sz w:val="9"/>
          <w:szCs w:val="9"/>
          <w:color w:val="auto"/>
        </w:rPr>
        <w:t>(ak)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80"/>
        <w:spacing w:after="0" w:line="219" w:lineRule="auto"/>
        <w:rPr>
          <w:sz w:val="20"/>
          <w:szCs w:val="20"/>
          <w:color w:val="auto"/>
        </w:rPr>
      </w:pPr>
      <w:r>
        <w:rPr>
          <w:rFonts w:ascii="Arial" w:cs="Arial" w:eastAsia="Arial" w:hAnsi="Arial"/>
          <w:sz w:val="9"/>
          <w:szCs w:val="9"/>
          <w:color w:val="auto"/>
        </w:rPr>
        <w:t>(al) In addition to the interest earned based on the stated interest rate of this security, the Company is entitled to receive an additional interest amount of 2.95%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40"/>
        <w:spacing w:after="0" w:line="219" w:lineRule="auto"/>
        <w:rPr>
          <w:sz w:val="20"/>
          <w:szCs w:val="20"/>
          <w:color w:val="auto"/>
        </w:rPr>
      </w:pPr>
      <w:r>
        <w:rPr>
          <w:rFonts w:ascii="Arial" w:cs="Arial" w:eastAsia="Arial" w:hAnsi="Arial"/>
          <w:sz w:val="9"/>
          <w:szCs w:val="9"/>
          <w:color w:val="auto"/>
        </w:rPr>
        <w:t>(am) In addition to the interest earned based on the stated interest rate of this security, the Company is entitled to receive an additional interest amount of 6.44%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360"/>
        <w:spacing w:after="0" w:line="219" w:lineRule="auto"/>
        <w:rPr>
          <w:sz w:val="20"/>
          <w:szCs w:val="20"/>
          <w:color w:val="auto"/>
        </w:rPr>
      </w:pPr>
      <w:r>
        <w:rPr>
          <w:rFonts w:ascii="Arial" w:cs="Arial" w:eastAsia="Arial" w:hAnsi="Arial"/>
          <w:sz w:val="9"/>
          <w:szCs w:val="9"/>
          <w:color w:val="auto"/>
        </w:rPr>
        <w:t>(an) The Company sold a participating interest of approximately $13.5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left="20" w:right="100"/>
        <w:spacing w:after="0" w:line="219" w:lineRule="auto"/>
        <w:rPr>
          <w:sz w:val="20"/>
          <w:szCs w:val="20"/>
          <w:color w:val="auto"/>
        </w:rPr>
      </w:pPr>
      <w:r>
        <w:rPr>
          <w:rFonts w:ascii="Arial" w:cs="Arial" w:eastAsia="Arial" w:hAnsi="Arial"/>
          <w:sz w:val="9"/>
          <w:szCs w:val="9"/>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June 30, 2022, total non-qualifying assets at fair value represented 0.04% of the Company's total assets calculated in accordance with the 1940 Act.</w:t>
      </w:r>
    </w:p>
    <w:p>
      <w:pPr>
        <w:ind w:left="20" w:right="220"/>
        <w:spacing w:after="0" w:line="219" w:lineRule="auto"/>
        <w:rPr>
          <w:sz w:val="20"/>
          <w:szCs w:val="20"/>
          <w:color w:val="auto"/>
        </w:rPr>
      </w:pPr>
      <w:r>
        <w:rPr>
          <w:rFonts w:ascii="Arial" w:cs="Arial" w:eastAsia="Arial" w:hAnsi="Arial"/>
          <w:sz w:val="9"/>
          <w:szCs w:val="9"/>
          <w:color w:val="auto"/>
        </w:rPr>
        <w:t>(ap) In addition to the interest earned based on the stated interest rate of this security, the Company is entitled to receive an additional cash interest amount of 2.25%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60"/>
        <w:spacing w:after="0" w:line="219" w:lineRule="auto"/>
        <w:rPr>
          <w:sz w:val="20"/>
          <w:szCs w:val="20"/>
          <w:color w:val="auto"/>
        </w:rPr>
      </w:pPr>
      <w:r>
        <w:rPr>
          <w:rFonts w:ascii="Arial" w:cs="Arial" w:eastAsia="Arial" w:hAnsi="Arial"/>
          <w:sz w:val="9"/>
          <w:szCs w:val="9"/>
          <w:color w:val="auto"/>
        </w:rPr>
        <w:t>(aq) In addition to the interest earned based on the stated interest rate of this security, the Company is entitled to receive an additional interest amount of 4.79%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80"/>
        <w:spacing w:after="0" w:line="219" w:lineRule="auto"/>
        <w:rPr>
          <w:sz w:val="20"/>
          <w:szCs w:val="20"/>
          <w:color w:val="auto"/>
        </w:rPr>
      </w:pPr>
      <w:r>
        <w:rPr>
          <w:rFonts w:ascii="Arial" w:cs="Arial" w:eastAsia="Arial" w:hAnsi="Arial"/>
          <w:sz w:val="9"/>
          <w:szCs w:val="9"/>
          <w:color w:val="auto"/>
        </w:rPr>
        <w:t>(ar) In addition to the interest earned based on the stated interest rate of this security, the Company is entitled to receive an additional interest amount of 2.72%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80"/>
        <w:spacing w:after="0" w:line="219" w:lineRule="auto"/>
        <w:rPr>
          <w:sz w:val="20"/>
          <w:szCs w:val="20"/>
          <w:color w:val="auto"/>
        </w:rPr>
      </w:pPr>
      <w:r>
        <w:rPr>
          <w:rFonts w:ascii="Arial" w:cs="Arial" w:eastAsia="Arial" w:hAnsi="Arial"/>
          <w:sz w:val="9"/>
          <w:szCs w:val="9"/>
          <w:color w:val="auto"/>
        </w:rPr>
        <w:t>(as) In addition to the interest earned based on the stated interest rate of this security, the Company is entitled to receive an additional interest amount of 4.84%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80"/>
        <w:spacing w:after="0" w:line="219" w:lineRule="auto"/>
        <w:rPr>
          <w:sz w:val="20"/>
          <w:szCs w:val="20"/>
          <w:color w:val="auto"/>
        </w:rPr>
      </w:pPr>
      <w:r>
        <w:rPr>
          <w:rFonts w:ascii="Arial" w:cs="Arial" w:eastAsia="Arial" w:hAnsi="Arial"/>
          <w:sz w:val="9"/>
          <w:szCs w:val="9"/>
          <w:color w:val="auto"/>
        </w:rPr>
        <w:t>(at) In addition to the interest earned based on the stated interest rate of this security, the Company is entitled to receive an additional interest amount of 2.42%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0" w:right="60"/>
        <w:spacing w:after="0" w:line="219" w:lineRule="auto"/>
        <w:rPr>
          <w:sz w:val="20"/>
          <w:szCs w:val="20"/>
          <w:color w:val="auto"/>
        </w:rPr>
      </w:pPr>
      <w:r>
        <w:rPr>
          <w:rFonts w:ascii="Arial" w:cs="Arial" w:eastAsia="Arial" w:hAnsi="Arial"/>
          <w:sz w:val="9"/>
          <w:szCs w:val="9"/>
          <w:color w:val="auto"/>
        </w:rPr>
        <w:t>(au) In addition to the interest earned based on the stated interest rate of this security, the Company is entitled to receive an additional interest amount of 0.05%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center"/>
        <w:spacing w:after="0"/>
        <w:rPr>
          <w:sz w:val="20"/>
          <w:szCs w:val="20"/>
          <w:color w:val="auto"/>
        </w:rPr>
      </w:pPr>
      <w:r>
        <w:rPr>
          <w:rFonts w:ascii="Arial" w:cs="Arial" w:eastAsia="Arial" w:hAnsi="Arial"/>
          <w:sz w:val="9"/>
          <w:szCs w:val="9"/>
          <w:i w:val="1"/>
          <w:iCs w:val="1"/>
          <w:color w:val="auto"/>
        </w:rPr>
        <w:t>See Notes to Consolidated Financial Statements (unaudited).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jc w:val="center"/>
        <w:spacing w:after="0" w:line="234" w:lineRule="auto"/>
        <w:rPr>
          <w:sz w:val="20"/>
          <w:szCs w:val="20"/>
          <w:color w:val="auto"/>
        </w:rPr>
      </w:pPr>
      <w:r>
        <w:rPr>
          <w:rFonts w:ascii="Arial" w:cs="Arial" w:eastAsia="Arial" w:hAnsi="Arial"/>
          <w:sz w:val="18"/>
          <w:szCs w:val="18"/>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2740" w:type="dxa"/>
            <w:vAlign w:val="bottom"/>
            <w:gridSpan w:val="3"/>
          </w:tcPr>
          <w:p>
            <w:pPr>
              <w:ind w:left="20"/>
              <w:spacing w:after="0"/>
              <w:rPr>
                <w:sz w:val="20"/>
                <w:szCs w:val="20"/>
                <w:color w:val="auto"/>
              </w:rPr>
            </w:pPr>
            <w:r>
              <w:rPr>
                <w:rFonts w:ascii="Arial" w:cs="Arial" w:eastAsia="Arial" w:hAnsi="Arial"/>
                <w:sz w:val="9"/>
                <w:szCs w:val="9"/>
                <w:b w:val="1"/>
                <w:bCs w:val="1"/>
                <w:color w:val="auto"/>
              </w:rPr>
              <w:t>Portfolio Company (a)(b)</w:t>
            </w:r>
          </w:p>
        </w:tc>
        <w:tc>
          <w:tcPr>
            <w:tcW w:w="1900" w:type="dxa"/>
            <w:vAlign w:val="bottom"/>
          </w:tcPr>
          <w:p>
            <w:pPr>
              <w:spacing w:after="0"/>
              <w:rPr>
                <w:sz w:val="9"/>
                <w:szCs w:val="9"/>
                <w:color w:val="auto"/>
              </w:rPr>
            </w:pPr>
          </w:p>
        </w:tc>
        <w:tc>
          <w:tcPr>
            <w:tcW w:w="1160" w:type="dxa"/>
            <w:vAlign w:val="bottom"/>
          </w:tcPr>
          <w:p>
            <w:pPr>
              <w:ind w:left="200"/>
              <w:spacing w:after="0"/>
              <w:rPr>
                <w:sz w:val="20"/>
                <w:szCs w:val="20"/>
                <w:color w:val="auto"/>
              </w:rPr>
            </w:pPr>
            <w:r>
              <w:rPr>
                <w:rFonts w:ascii="Arial" w:cs="Arial" w:eastAsia="Arial" w:hAnsi="Arial"/>
                <w:sz w:val="9"/>
                <w:szCs w:val="9"/>
                <w:b w:val="1"/>
                <w:bCs w:val="1"/>
                <w:color w:val="auto"/>
              </w:rPr>
              <w:t>Variable Index</w:t>
            </w:r>
          </w:p>
        </w:tc>
        <w:tc>
          <w:tcPr>
            <w:tcW w:w="820" w:type="dxa"/>
            <w:vAlign w:val="bottom"/>
          </w:tcPr>
          <w:p>
            <w:pPr>
              <w:ind w:left="120"/>
              <w:spacing w:after="0"/>
              <w:rPr>
                <w:sz w:val="20"/>
                <w:szCs w:val="20"/>
                <w:color w:val="auto"/>
              </w:rPr>
            </w:pPr>
            <w:r>
              <w:rPr>
                <w:rFonts w:ascii="Arial" w:cs="Arial" w:eastAsia="Arial" w:hAnsi="Arial"/>
                <w:sz w:val="9"/>
                <w:szCs w:val="9"/>
                <w:b w:val="1"/>
                <w:bCs w:val="1"/>
                <w:color w:val="auto"/>
              </w:rPr>
              <w:t>Rate (e)</w:t>
            </w:r>
          </w:p>
        </w:tc>
        <w:tc>
          <w:tcPr>
            <w:tcW w:w="720" w:type="dxa"/>
            <w:vAlign w:val="bottom"/>
          </w:tcPr>
          <w:p>
            <w:pPr>
              <w:ind w:left="180"/>
              <w:spacing w:after="0"/>
              <w:rPr>
                <w:sz w:val="20"/>
                <w:szCs w:val="20"/>
                <w:color w:val="auto"/>
              </w:rPr>
            </w:pPr>
            <w:r>
              <w:rPr>
                <w:rFonts w:ascii="Arial" w:cs="Arial" w:eastAsia="Arial" w:hAnsi="Arial"/>
                <w:sz w:val="9"/>
                <w:szCs w:val="9"/>
                <w:b w:val="1"/>
                <w:bCs w:val="1"/>
                <w:color w:val="auto"/>
              </w:rPr>
              <w:t>Investment</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jc w:val="right"/>
              <w:ind w:right="95"/>
              <w:spacing w:after="0"/>
              <w:rPr>
                <w:sz w:val="20"/>
                <w:szCs w:val="20"/>
                <w:color w:val="auto"/>
              </w:rPr>
            </w:pPr>
            <w:r>
              <w:rPr>
                <w:rFonts w:ascii="Arial" w:cs="Arial" w:eastAsia="Arial" w:hAnsi="Arial"/>
                <w:sz w:val="9"/>
                <w:szCs w:val="9"/>
                <w:b w:val="1"/>
                <w:bCs w:val="1"/>
                <w:color w:val="auto"/>
                <w:w w:val="99"/>
              </w:rPr>
              <w:t>Principal</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ind w:right="195"/>
              <w:spacing w:after="0"/>
              <w:rPr>
                <w:sz w:val="20"/>
                <w:szCs w:val="20"/>
                <w:color w:val="auto"/>
              </w:rPr>
            </w:pPr>
            <w:r>
              <w:rPr>
                <w:rFonts w:ascii="Arial" w:cs="Arial" w:eastAsia="Arial" w:hAnsi="Arial"/>
                <w:sz w:val="9"/>
                <w:szCs w:val="9"/>
                <w:b w:val="1"/>
                <w:bCs w:val="1"/>
                <w:color w:val="auto"/>
              </w:rPr>
              <w:t>Fair</w:t>
            </w:r>
          </w:p>
        </w:tc>
        <w:tc>
          <w:tcPr>
            <w:tcW w:w="100" w:type="dxa"/>
            <w:vAlign w:val="bottom"/>
          </w:tcPr>
          <w:p>
            <w:pPr>
              <w:spacing w:after="0"/>
              <w:rPr>
                <w:sz w:val="9"/>
                <w:szCs w:val="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Percent of</w:t>
            </w:r>
          </w:p>
        </w:tc>
      </w:tr>
      <w:tr>
        <w:trPr>
          <w:trHeight w:val="117"/>
        </w:trPr>
        <w:tc>
          <w:tcPr>
            <w:tcW w:w="2740" w:type="dxa"/>
            <w:vAlign w:val="bottom"/>
            <w:gridSpan w:val="3"/>
          </w:tcPr>
          <w:p>
            <w:pPr>
              <w:ind w:left="20"/>
              <w:spacing w:after="0"/>
              <w:rPr>
                <w:sz w:val="20"/>
                <w:szCs w:val="20"/>
                <w:color w:val="auto"/>
              </w:rPr>
            </w:pPr>
            <w:r>
              <w:rPr>
                <w:rFonts w:ascii="Arial" w:cs="Arial" w:eastAsia="Arial" w:hAnsi="Arial"/>
                <w:sz w:val="9"/>
                <w:szCs w:val="9"/>
                <w:b w:val="1"/>
                <w:bCs w:val="1"/>
                <w:color w:val="auto"/>
              </w:rPr>
              <w:t>Investment Type (c)</w:t>
            </w:r>
          </w:p>
        </w:tc>
        <w:tc>
          <w:tcPr>
            <w:tcW w:w="1900" w:type="dxa"/>
            <w:vAlign w:val="bottom"/>
          </w:tcPr>
          <w:p>
            <w:pPr>
              <w:ind w:left="340"/>
              <w:spacing w:after="0"/>
              <w:rPr>
                <w:sz w:val="20"/>
                <w:szCs w:val="20"/>
                <w:color w:val="auto"/>
              </w:rPr>
            </w:pPr>
            <w:r>
              <w:rPr>
                <w:rFonts w:ascii="Arial" w:cs="Arial" w:eastAsia="Arial" w:hAnsi="Arial"/>
                <w:sz w:val="9"/>
                <w:szCs w:val="9"/>
                <w:b w:val="1"/>
                <w:bCs w:val="1"/>
                <w:color w:val="auto"/>
              </w:rPr>
              <w:t>Industry</w:t>
            </w:r>
          </w:p>
        </w:tc>
        <w:tc>
          <w:tcPr>
            <w:tcW w:w="1160" w:type="dxa"/>
            <w:vAlign w:val="bottom"/>
          </w:tcPr>
          <w:p>
            <w:pPr>
              <w:ind w:left="200"/>
              <w:spacing w:after="0"/>
              <w:rPr>
                <w:sz w:val="20"/>
                <w:szCs w:val="20"/>
                <w:color w:val="auto"/>
              </w:rPr>
            </w:pPr>
            <w:r>
              <w:rPr>
                <w:rFonts w:ascii="Arial" w:cs="Arial" w:eastAsia="Arial" w:hAnsi="Arial"/>
                <w:sz w:val="9"/>
                <w:szCs w:val="9"/>
                <w:b w:val="1"/>
                <w:bCs w:val="1"/>
                <w:color w:val="auto"/>
              </w:rPr>
              <w:t>Spread / Floor (d)</w:t>
            </w:r>
          </w:p>
        </w:tc>
        <w:tc>
          <w:tcPr>
            <w:tcW w:w="820" w:type="dxa"/>
            <w:vAlign w:val="bottom"/>
          </w:tcPr>
          <w:p>
            <w:pPr>
              <w:ind w:left="120"/>
              <w:spacing w:after="0"/>
              <w:rPr>
                <w:sz w:val="20"/>
                <w:szCs w:val="20"/>
                <w:color w:val="auto"/>
              </w:rPr>
            </w:pPr>
            <w:r>
              <w:rPr>
                <w:rFonts w:ascii="Arial" w:cs="Arial" w:eastAsia="Arial" w:hAnsi="Arial"/>
                <w:sz w:val="9"/>
                <w:szCs w:val="9"/>
                <w:b w:val="1"/>
                <w:bCs w:val="1"/>
                <w:color w:val="auto"/>
              </w:rPr>
              <w:t>Cash/PIK</w:t>
            </w:r>
          </w:p>
        </w:tc>
        <w:tc>
          <w:tcPr>
            <w:tcW w:w="720" w:type="dxa"/>
            <w:vAlign w:val="bottom"/>
          </w:tcPr>
          <w:p>
            <w:pPr>
              <w:ind w:left="180"/>
              <w:spacing w:after="0"/>
              <w:rPr>
                <w:sz w:val="20"/>
                <w:szCs w:val="20"/>
                <w:color w:val="auto"/>
              </w:rPr>
            </w:pPr>
            <w:r>
              <w:rPr>
                <w:rFonts w:ascii="Arial" w:cs="Arial" w:eastAsia="Arial" w:hAnsi="Arial"/>
                <w:sz w:val="9"/>
                <w:szCs w:val="9"/>
                <w:b w:val="1"/>
                <w:bCs w:val="1"/>
                <w:color w:val="auto"/>
              </w:rPr>
              <w:t>Date (f)</w:t>
            </w:r>
          </w:p>
        </w:tc>
        <w:tc>
          <w:tcPr>
            <w:tcW w:w="620" w:type="dxa"/>
            <w:vAlign w:val="bottom"/>
          </w:tcPr>
          <w:p>
            <w:pPr>
              <w:ind w:left="100"/>
              <w:spacing w:after="0"/>
              <w:rPr>
                <w:sz w:val="20"/>
                <w:szCs w:val="20"/>
                <w:color w:val="auto"/>
              </w:rPr>
            </w:pPr>
            <w:r>
              <w:rPr>
                <w:rFonts w:ascii="Arial" w:cs="Arial" w:eastAsia="Arial" w:hAnsi="Arial"/>
                <w:sz w:val="9"/>
                <w:szCs w:val="9"/>
                <w:b w:val="1"/>
                <w:bCs w:val="1"/>
                <w:color w:val="auto"/>
              </w:rPr>
              <w:t>Maturity</w:t>
            </w:r>
          </w:p>
        </w:tc>
        <w:tc>
          <w:tcPr>
            <w:tcW w:w="180" w:type="dxa"/>
            <w:vAlign w:val="bottom"/>
          </w:tcPr>
          <w:p>
            <w:pPr>
              <w:spacing w:after="0"/>
              <w:rPr>
                <w:sz w:val="10"/>
                <w:szCs w:val="10"/>
                <w:color w:val="auto"/>
              </w:rPr>
            </w:pPr>
          </w:p>
        </w:tc>
        <w:tc>
          <w:tcPr>
            <w:tcW w:w="540" w:type="dxa"/>
            <w:vAlign w:val="bottom"/>
          </w:tcPr>
          <w:p>
            <w:pPr>
              <w:jc w:val="right"/>
              <w:ind w:right="115"/>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175"/>
              <w:spacing w:after="0"/>
              <w:rPr>
                <w:sz w:val="20"/>
                <w:szCs w:val="20"/>
                <w:color w:val="auto"/>
              </w:rPr>
            </w:pPr>
            <w:r>
              <w:rPr>
                <w:rFonts w:ascii="Arial" w:cs="Arial" w:eastAsia="Arial" w:hAnsi="Arial"/>
                <w:sz w:val="9"/>
                <w:szCs w:val="9"/>
                <w:b w:val="1"/>
                <w:bCs w:val="1"/>
                <w:color w:val="auto"/>
              </w:rPr>
              <w:t>Cost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Arial" w:cs="Arial" w:eastAsia="Arial" w:hAnsi="Arial"/>
                <w:sz w:val="9"/>
                <w:szCs w:val="9"/>
                <w:b w:val="1"/>
                <w:bCs w:val="1"/>
                <w:color w:val="auto"/>
                <w:w w:val="99"/>
              </w:rPr>
              <w:t>Value (g)</w:t>
            </w:r>
          </w:p>
        </w:tc>
        <w:tc>
          <w:tcPr>
            <w:tcW w:w="100" w:type="dxa"/>
            <w:vAlign w:val="bottom"/>
          </w:tcPr>
          <w:p>
            <w:pPr>
              <w:spacing w:after="0"/>
              <w:rPr>
                <w:sz w:val="10"/>
                <w:szCs w:val="1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Net Assets</w:t>
            </w:r>
          </w:p>
        </w:tc>
      </w:tr>
      <w:tr>
        <w:trPr>
          <w:trHeight w:val="102"/>
        </w:trPr>
        <w:tc>
          <w:tcPr>
            <w:tcW w:w="9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90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5"/>
        </w:trPr>
        <w:tc>
          <w:tcPr>
            <w:tcW w:w="920" w:type="dxa"/>
            <w:vAlign w:val="bottom"/>
            <w:tcBorders>
              <w:left w:val="single" w:sz="8" w:color="CFF0FC"/>
              <w:bottom w:val="single" w:sz="8" w:color="auto"/>
            </w:tcBorders>
            <w:shd w:val="clear" w:color="auto" w:fill="CFF0FC"/>
          </w:tcPr>
          <w:p>
            <w:pPr>
              <w:ind w:left="20"/>
              <w:spacing w:after="0" w:line="95" w:lineRule="exact"/>
              <w:rPr>
                <w:sz w:val="20"/>
                <w:szCs w:val="20"/>
                <w:color w:val="auto"/>
              </w:rPr>
            </w:pPr>
            <w:r>
              <w:rPr>
                <w:rFonts w:ascii="Arial" w:cs="Arial" w:eastAsia="Arial" w:hAnsi="Arial"/>
                <w:sz w:val="9"/>
                <w:szCs w:val="9"/>
                <w:b w:val="1"/>
                <w:bCs w:val="1"/>
                <w:color w:val="auto"/>
                <w:w w:val="89"/>
              </w:rPr>
              <w:t>Control Investments (t)</w:t>
            </w:r>
          </w:p>
        </w:tc>
        <w:tc>
          <w:tcPr>
            <w:tcW w:w="1820" w:type="dxa"/>
            <w:vAlign w:val="bottom"/>
            <w:tcBorders>
              <w:bottom w:val="single" w:sz="8" w:color="CFF0FC"/>
            </w:tcBorders>
            <w:gridSpan w:val="2"/>
            <w:shd w:val="clear" w:color="auto" w:fill="CFF0FC"/>
          </w:tcPr>
          <w:p>
            <w:pPr>
              <w:spacing w:after="0"/>
              <w:rPr>
                <w:sz w:val="8"/>
                <w:szCs w:val="8"/>
                <w:color w:val="auto"/>
              </w:rPr>
            </w:pPr>
          </w:p>
        </w:tc>
        <w:tc>
          <w:tcPr>
            <w:tcW w:w="1900" w:type="dxa"/>
            <w:vAlign w:val="bottom"/>
            <w:tcBorders>
              <w:bottom w:val="single" w:sz="8" w:color="CFF0FC"/>
            </w:tcBorders>
            <w:shd w:val="clear" w:color="auto" w:fill="CFF0FC"/>
          </w:tcPr>
          <w:p>
            <w:pPr>
              <w:spacing w:after="0"/>
              <w:rPr>
                <w:sz w:val="8"/>
                <w:szCs w:val="8"/>
                <w:color w:val="auto"/>
              </w:rPr>
            </w:pPr>
          </w:p>
        </w:tc>
        <w:tc>
          <w:tcPr>
            <w:tcW w:w="116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shd w:val="clear" w:color="auto" w:fill="CFF0FC"/>
          </w:tcPr>
          <w:p>
            <w:pPr>
              <w:spacing w:after="0"/>
              <w:rPr>
                <w:sz w:val="8"/>
                <w:szCs w:val="8"/>
                <w:color w:val="auto"/>
              </w:rPr>
            </w:pPr>
          </w:p>
        </w:tc>
        <w:tc>
          <w:tcPr>
            <w:tcW w:w="720" w:type="dxa"/>
            <w:vAlign w:val="bottom"/>
            <w:tcBorders>
              <w:bottom w:val="single" w:sz="8" w:color="CFF0FC"/>
            </w:tcBorders>
            <w:shd w:val="clear" w:color="auto" w:fill="CFF0FC"/>
          </w:tcPr>
          <w:p>
            <w:pPr>
              <w:spacing w:after="0"/>
              <w:rPr>
                <w:sz w:val="8"/>
                <w:szCs w:val="8"/>
                <w:color w:val="auto"/>
              </w:rPr>
            </w:pPr>
          </w:p>
        </w:tc>
        <w:tc>
          <w:tcPr>
            <w:tcW w:w="620" w:type="dxa"/>
            <w:vAlign w:val="bottom"/>
            <w:tcBorders>
              <w:bottom w:val="single" w:sz="8" w:color="CFF0FC"/>
            </w:tcBorders>
            <w:shd w:val="clear" w:color="auto" w:fill="CFF0FC"/>
          </w:tcPr>
          <w:p>
            <w:pPr>
              <w:spacing w:after="0"/>
              <w:rPr>
                <w:sz w:val="8"/>
                <w:szCs w:val="8"/>
                <w:color w:val="auto"/>
              </w:rPr>
            </w:pPr>
          </w:p>
        </w:tc>
        <w:tc>
          <w:tcPr>
            <w:tcW w:w="180" w:type="dxa"/>
            <w:vAlign w:val="bottom"/>
            <w:tcBorders>
              <w:bottom w:val="single" w:sz="8" w:color="CFF0FC"/>
            </w:tcBorders>
            <w:shd w:val="clear" w:color="auto" w:fill="CFF0FC"/>
          </w:tcPr>
          <w:p>
            <w:pPr>
              <w:spacing w:after="0"/>
              <w:rPr>
                <w:sz w:val="8"/>
                <w:szCs w:val="8"/>
                <w:color w:val="auto"/>
              </w:rPr>
            </w:pPr>
          </w:p>
        </w:tc>
        <w:tc>
          <w:tcPr>
            <w:tcW w:w="54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480" w:type="dxa"/>
            <w:vAlign w:val="bottom"/>
            <w:tcBorders>
              <w:bottom w:val="single" w:sz="8" w:color="CFF0FC"/>
            </w:tcBorders>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54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66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r>
      <w:tr>
        <w:trPr>
          <w:trHeight w:val="101"/>
        </w:trPr>
        <w:tc>
          <w:tcPr>
            <w:tcW w:w="2740" w:type="dxa"/>
            <w:vAlign w:val="bottom"/>
            <w:gridSpan w:val="3"/>
          </w:tcPr>
          <w:p>
            <w:pPr>
              <w:ind w:left="20"/>
              <w:spacing w:after="0" w:line="102" w:lineRule="exact"/>
              <w:rPr>
                <w:sz w:val="20"/>
                <w:szCs w:val="20"/>
                <w:color w:val="auto"/>
              </w:rPr>
            </w:pPr>
            <w:r>
              <w:rPr>
                <w:rFonts w:ascii="Arial" w:cs="Arial" w:eastAsia="Arial" w:hAnsi="Arial"/>
                <w:sz w:val="9"/>
                <w:szCs w:val="9"/>
                <w:i w:val="1"/>
                <w:iCs w:val="1"/>
                <w:color w:val="auto"/>
              </w:rPr>
              <w:t>Hilco Plastics Holdings, LLC (dba Hilco Technologies) (n)</w:t>
            </w:r>
          </w:p>
        </w:tc>
        <w:tc>
          <w:tcPr>
            <w:tcW w:w="1900" w:type="dxa"/>
            <w:vAlign w:val="bottom"/>
          </w:tcPr>
          <w:p>
            <w:pPr>
              <w:ind w:left="340"/>
              <w:spacing w:after="0" w:line="102" w:lineRule="exact"/>
              <w:rPr>
                <w:sz w:val="20"/>
                <w:szCs w:val="20"/>
                <w:color w:val="auto"/>
              </w:rPr>
            </w:pPr>
            <w:r>
              <w:rPr>
                <w:rFonts w:ascii="Arial" w:cs="Arial" w:eastAsia="Arial" w:hAnsi="Arial"/>
                <w:sz w:val="9"/>
                <w:szCs w:val="9"/>
                <w:color w:val="auto"/>
              </w:rPr>
              <w:t>Component Manufacturing</w:t>
            </w: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(Units N/A)</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4/6/2021</w:t>
            </w: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360" w:type="dxa"/>
            <w:vAlign w:val="bottom"/>
            <w:gridSpan w:val="3"/>
            <w:shd w:val="clear" w:color="auto" w:fill="CFF0FC"/>
          </w:tcPr>
          <w:p>
            <w:pPr>
              <w:jc w:val="right"/>
              <w:ind w:right="78"/>
              <w:spacing w:after="0"/>
              <w:rPr>
                <w:sz w:val="20"/>
                <w:szCs w:val="20"/>
                <w:color w:val="auto"/>
              </w:rPr>
            </w:pPr>
            <w:r>
              <w:rPr>
                <w:rFonts w:ascii="Arial" w:cs="Arial" w:eastAsia="Arial" w:hAnsi="Arial"/>
                <w:sz w:val="9"/>
                <w:szCs w:val="9"/>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Mesa Line Services, LLC (n)</w:t>
            </w:r>
          </w:p>
        </w:tc>
        <w:tc>
          <w:tcPr>
            <w:tcW w:w="1900" w:type="dxa"/>
            <w:vAlign w:val="bottom"/>
            <w:shd w:val="clear" w:color="auto" w:fill="CFF0FC"/>
          </w:tcPr>
          <w:p>
            <w:pPr>
              <w:ind w:left="340"/>
              <w:spacing w:after="0"/>
              <w:rPr>
                <w:sz w:val="20"/>
                <w:szCs w:val="20"/>
                <w:color w:val="auto"/>
              </w:rPr>
            </w:pPr>
            <w:r>
              <w:rPr>
                <w:rFonts w:ascii="Arial" w:cs="Arial" w:eastAsia="Arial" w:hAnsi="Arial"/>
                <w:sz w:val="9"/>
                <w:szCs w:val="9"/>
                <w:color w:val="auto"/>
              </w:rPr>
              <w:t>Utilities: Services</w:t>
            </w: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Common Equity (10 shares) (j)</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4/22/2021</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2,151</w:t>
            </w:r>
          </w:p>
        </w:tc>
        <w:tc>
          <w:tcPr>
            <w:tcW w:w="860" w:type="dxa"/>
            <w:vAlign w:val="bottom"/>
            <w:gridSpan w:val="3"/>
          </w:tcPr>
          <w:p>
            <w:pPr>
              <w:jc w:val="right"/>
              <w:ind w:right="20"/>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20"/>
              <w:spacing w:after="0"/>
              <w:rPr>
                <w:sz w:val="20"/>
                <w:szCs w:val="20"/>
                <w:color w:val="auto"/>
              </w:rPr>
            </w:pPr>
            <w:r>
              <w:rPr>
                <w:rFonts w:ascii="Arial" w:cs="Arial" w:eastAsia="Arial" w:hAnsi="Arial"/>
                <w:sz w:val="9"/>
                <w:szCs w:val="9"/>
                <w:i w:val="1"/>
                <w:iCs w:val="1"/>
                <w:color w:val="auto"/>
              </w:rPr>
              <w:t>US GreenFiber, LLC (n)</w:t>
            </w:r>
          </w:p>
        </w:tc>
        <w:tc>
          <w:tcPr>
            <w:tcW w:w="1900" w:type="dxa"/>
            <w:vAlign w:val="bottom"/>
          </w:tcPr>
          <w:p>
            <w:pPr>
              <w:ind w:left="340"/>
              <w:spacing w:after="0"/>
              <w:rPr>
                <w:sz w:val="20"/>
                <w:szCs w:val="20"/>
                <w:color w:val="auto"/>
              </w:rPr>
            </w:pPr>
            <w:r>
              <w:rPr>
                <w:rFonts w:ascii="Arial" w:cs="Arial" w:eastAsia="Arial" w:hAnsi="Arial"/>
                <w:sz w:val="9"/>
                <w:szCs w:val="9"/>
                <w:color w:val="auto"/>
              </w:rPr>
              <w:t>Building Products Manufacturing</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Second Lien Debt (j)(y)</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10.00%/3.00%</w:t>
            </w: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7/3/2014</w:t>
            </w:r>
          </w:p>
        </w:tc>
        <w:tc>
          <w:tcPr>
            <w:tcW w:w="620" w:type="dxa"/>
            <w:vAlign w:val="bottom"/>
            <w:shd w:val="clear" w:color="auto" w:fill="CFF0FC"/>
          </w:tcPr>
          <w:p>
            <w:pPr>
              <w:ind w:left="100"/>
              <w:spacing w:after="0"/>
              <w:rPr>
                <w:sz w:val="20"/>
                <w:szCs w:val="20"/>
                <w:color w:val="auto"/>
              </w:rPr>
            </w:pPr>
            <w:r>
              <w:rPr>
                <w:rFonts w:ascii="Arial" w:cs="Arial" w:eastAsia="Arial" w:hAnsi="Arial"/>
                <w:sz w:val="9"/>
                <w:szCs w:val="9"/>
                <w:color w:val="auto"/>
              </w:rPr>
              <w:t>8/30/2024</w:t>
            </w:r>
          </w:p>
        </w:tc>
        <w:tc>
          <w:tcPr>
            <w:tcW w:w="18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5,226</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5,223</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Common Equity (2,522 units) (h)(j)</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7/3/2014</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586</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(425,508 units) (j)</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8/30/2019</w:t>
            </w: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1</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Common Equity (1,022,813 units) (h)(j)</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7/1/2020</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1,023</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260" w:type="dxa"/>
            <w:vAlign w:val="bottom"/>
            <w:shd w:val="clear" w:color="auto" w:fill="CFF0FC"/>
          </w:tcPr>
          <w:p>
            <w:pPr>
              <w:spacing w:after="0"/>
              <w:rPr>
                <w:sz w:val="8"/>
                <w:szCs w:val="8"/>
                <w:color w:val="auto"/>
              </w:rPr>
            </w:pPr>
          </w:p>
        </w:tc>
        <w:tc>
          <w:tcPr>
            <w:tcW w:w="190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6,833</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FF0FC"/>
          </w:tcPr>
          <w:p>
            <w:pPr>
              <w:jc w:val="right"/>
              <w:ind w:right="20"/>
              <w:spacing w:after="0" w:line="102" w:lineRule="exact"/>
              <w:rPr>
                <w:sz w:val="20"/>
                <w:szCs w:val="20"/>
                <w:color w:val="auto"/>
              </w:rPr>
            </w:pPr>
            <w:r>
              <w:rPr>
                <w:rFonts w:ascii="Arial" w:cs="Arial" w:eastAsia="Arial" w:hAnsi="Arial"/>
                <w:sz w:val="9"/>
                <w:szCs w:val="9"/>
                <w:color w:val="auto"/>
              </w:rPr>
              <w:t>0 %</w:t>
            </w:r>
          </w:p>
        </w:tc>
      </w:tr>
      <w:tr>
        <w:trPr>
          <w:trHeight w:val="108"/>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gridSpan w:val="3"/>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1"/>
        </w:trPr>
        <w:tc>
          <w:tcPr>
            <w:tcW w:w="2740" w:type="dxa"/>
            <w:vAlign w:val="bottom"/>
            <w:tcBorders>
              <w:left w:val="single" w:sz="8" w:color="CFF0FC"/>
              <w:bottom w:val="single" w:sz="8" w:color="CFF0FC"/>
            </w:tcBorders>
            <w:gridSpan w:val="3"/>
            <w:shd w:val="clear" w:color="auto" w:fill="CFF0FC"/>
          </w:tcPr>
          <w:p>
            <w:pPr>
              <w:ind w:left="20"/>
              <w:spacing w:after="0" w:line="102" w:lineRule="exact"/>
              <w:rPr>
                <w:sz w:val="20"/>
                <w:szCs w:val="20"/>
                <w:color w:val="auto"/>
              </w:rPr>
            </w:pPr>
            <w:r>
              <w:rPr>
                <w:rFonts w:ascii="Arial" w:cs="Arial" w:eastAsia="Arial" w:hAnsi="Arial"/>
                <w:sz w:val="9"/>
                <w:szCs w:val="9"/>
                <w:b w:val="1"/>
                <w:bCs w:val="1"/>
                <w:color w:val="auto"/>
              </w:rPr>
              <w:t>Total Control Investments</w:t>
            </w:r>
          </w:p>
        </w:tc>
        <w:tc>
          <w:tcPr>
            <w:tcW w:w="190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gridSpan w:val="2"/>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78"/>
              <w:spacing w:after="0"/>
              <w:rPr>
                <w:sz w:val="20"/>
                <w:szCs w:val="20"/>
                <w:color w:val="auto"/>
              </w:rPr>
            </w:pPr>
            <w:r>
              <w:rPr>
                <w:rFonts w:ascii="Arial" w:cs="Arial" w:eastAsia="Arial" w:hAnsi="Arial"/>
                <w:sz w:val="4"/>
                <w:szCs w:val="4"/>
                <w:color w:val="auto"/>
                <w:w w:val="87"/>
              </w:rPr>
              <w:t>$</w:t>
            </w:r>
          </w:p>
        </w:tc>
        <w:tc>
          <w:tcPr>
            <w:tcW w:w="48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6,833</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2,151</w:t>
            </w:r>
          </w:p>
        </w:tc>
        <w:tc>
          <w:tcPr>
            <w:tcW w:w="860" w:type="dxa"/>
            <w:vAlign w:val="bottom"/>
            <w:tcBorders>
              <w:bottom w:val="single" w:sz="8" w:color="CFF0FC"/>
            </w:tcBorders>
            <w:gridSpan w:val="3"/>
            <w:shd w:val="clear" w:color="auto" w:fill="CFF0FC"/>
          </w:tcPr>
          <w:p>
            <w:pPr>
              <w:jc w:val="right"/>
              <w:ind w:right="20"/>
              <w:spacing w:after="0" w:line="102" w:lineRule="exact"/>
              <w:rPr>
                <w:sz w:val="20"/>
                <w:szCs w:val="20"/>
                <w:color w:val="auto"/>
              </w:rPr>
            </w:pPr>
            <w:r>
              <w:rPr>
                <w:rFonts w:ascii="Arial" w:cs="Arial" w:eastAsia="Arial" w:hAnsi="Arial"/>
                <w:sz w:val="9"/>
                <w:szCs w:val="9"/>
                <w:color w:val="auto"/>
              </w:rPr>
              <w:t>0 %</w:t>
            </w:r>
          </w:p>
        </w:tc>
      </w:tr>
      <w:tr>
        <w:trPr>
          <w:trHeight w:val="89"/>
        </w:trPr>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4"/>
        </w:trPr>
        <w:tc>
          <w:tcPr>
            <w:tcW w:w="2740" w:type="dxa"/>
            <w:vAlign w:val="bottom"/>
            <w:tcBorders>
              <w:left w:val="single" w:sz="8" w:color="CFF0FC"/>
            </w:tcBorders>
            <w:gridSpan w:val="3"/>
            <w:shd w:val="clear" w:color="auto" w:fill="CFF0FC"/>
          </w:tcPr>
          <w:p>
            <w:pPr>
              <w:ind w:left="20"/>
              <w:spacing w:after="0" w:line="95" w:lineRule="exact"/>
              <w:rPr>
                <w:sz w:val="20"/>
                <w:szCs w:val="20"/>
                <w:color w:val="auto"/>
              </w:rPr>
            </w:pPr>
            <w:r>
              <w:rPr>
                <w:rFonts w:ascii="Arial" w:cs="Arial" w:eastAsia="Arial" w:hAnsi="Arial"/>
                <w:sz w:val="9"/>
                <w:szCs w:val="9"/>
                <w:b w:val="1"/>
                <w:bCs w:val="1"/>
                <w:color w:val="auto"/>
              </w:rPr>
              <w:t>Affiliate Investments (l)</w:t>
            </w:r>
          </w:p>
        </w:tc>
        <w:tc>
          <w:tcPr>
            <w:tcW w:w="190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20"/>
        </w:trPr>
        <w:tc>
          <w:tcPr>
            <w:tcW w:w="920" w:type="dxa"/>
            <w:vAlign w:val="bottom"/>
            <w:tcBorders>
              <w:left w:val="single" w:sz="8" w:color="CFF0FC"/>
            </w:tcBorders>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90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02"/>
        </w:trPr>
        <w:tc>
          <w:tcPr>
            <w:tcW w:w="2740" w:type="dxa"/>
            <w:vAlign w:val="bottom"/>
            <w:gridSpan w:val="3"/>
          </w:tcPr>
          <w:p>
            <w:pPr>
              <w:ind w:left="20"/>
              <w:spacing w:after="0" w:line="102" w:lineRule="exact"/>
              <w:rPr>
                <w:sz w:val="20"/>
                <w:szCs w:val="20"/>
                <w:color w:val="auto"/>
              </w:rPr>
            </w:pPr>
            <w:r>
              <w:rPr>
                <w:rFonts w:ascii="Arial" w:cs="Arial" w:eastAsia="Arial" w:hAnsi="Arial"/>
                <w:sz w:val="9"/>
                <w:szCs w:val="9"/>
                <w:i w:val="1"/>
                <w:iCs w:val="1"/>
                <w:color w:val="auto"/>
              </w:rPr>
              <w:t>Applegate Greenfiber Intermediate Inc. (fka US GreenFiber, LLC)</w:t>
            </w:r>
          </w:p>
        </w:tc>
        <w:tc>
          <w:tcPr>
            <w:tcW w:w="1900" w:type="dxa"/>
            <w:vAlign w:val="bottom"/>
          </w:tcPr>
          <w:p>
            <w:pPr>
              <w:ind w:left="340"/>
              <w:spacing w:after="0" w:line="102" w:lineRule="exact"/>
              <w:rPr>
                <w:sz w:val="20"/>
                <w:szCs w:val="20"/>
                <w:color w:val="auto"/>
              </w:rPr>
            </w:pPr>
            <w:r>
              <w:rPr>
                <w:rFonts w:ascii="Arial" w:cs="Arial" w:eastAsia="Arial" w:hAnsi="Arial"/>
                <w:sz w:val="9"/>
                <w:szCs w:val="9"/>
                <w:color w:val="auto"/>
              </w:rPr>
              <w:t>Building Products Manufacturing</w:t>
            </w: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Subordinated Debt (j)</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5.00%/5.00%</w:t>
            </w: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12/31/2021</w:t>
            </w:r>
          </w:p>
        </w:tc>
        <w:tc>
          <w:tcPr>
            <w:tcW w:w="620" w:type="dxa"/>
            <w:vAlign w:val="bottom"/>
            <w:shd w:val="clear" w:color="auto" w:fill="CFF0FC"/>
          </w:tcPr>
          <w:p>
            <w:pPr>
              <w:ind w:left="100"/>
              <w:spacing w:after="0"/>
              <w:rPr>
                <w:sz w:val="20"/>
                <w:szCs w:val="20"/>
                <w:color w:val="auto"/>
              </w:rPr>
            </w:pPr>
            <w:r>
              <w:rPr>
                <w:rFonts w:ascii="Arial" w:cs="Arial" w:eastAsia="Arial" w:hAnsi="Arial"/>
                <w:sz w:val="9"/>
                <w:szCs w:val="9"/>
                <w:color w:val="auto"/>
              </w:rPr>
              <w:t>12/31/2027</w:t>
            </w:r>
          </w:p>
        </w:tc>
        <w:tc>
          <w:tcPr>
            <w:tcW w:w="18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9,602</w:t>
            </w:r>
          </w:p>
        </w:tc>
        <w:tc>
          <w:tcPr>
            <w:tcW w:w="360" w:type="dxa"/>
            <w:vAlign w:val="bottom"/>
            <w:gridSpan w:val="3"/>
            <w:shd w:val="clear" w:color="auto" w:fill="CFF0FC"/>
          </w:tcPr>
          <w:p>
            <w:pPr>
              <w:jc w:val="right"/>
              <w:ind w:right="78"/>
              <w:spacing w:after="0"/>
              <w:rPr>
                <w:sz w:val="20"/>
                <w:szCs w:val="20"/>
                <w:color w:val="auto"/>
              </w:rPr>
            </w:pPr>
            <w:r>
              <w:rPr>
                <w:rFonts w:ascii="Arial" w:cs="Arial" w:eastAsia="Arial" w:hAnsi="Arial"/>
                <w:sz w:val="9"/>
                <w:szCs w:val="9"/>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9,602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9,602</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Common Equity (5,690units) (j)</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12/31/2021</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5,690</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5,690</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(7,113 units) (j)</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12/31/2021</w:t>
            </w: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7,113</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7,113</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Common Equity (2,012units) (j)</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12/31/2021</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260" w:type="dxa"/>
            <w:vAlign w:val="bottom"/>
            <w:shd w:val="clear" w:color="auto" w:fill="CFF0FC"/>
          </w:tcPr>
          <w:p>
            <w:pPr>
              <w:spacing w:after="0"/>
              <w:rPr>
                <w:sz w:val="8"/>
                <w:szCs w:val="8"/>
                <w:color w:val="auto"/>
              </w:rPr>
            </w:pPr>
          </w:p>
        </w:tc>
        <w:tc>
          <w:tcPr>
            <w:tcW w:w="190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22,405</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22,405</w:t>
            </w:r>
          </w:p>
        </w:tc>
        <w:tc>
          <w:tcPr>
            <w:tcW w:w="860" w:type="dxa"/>
            <w:vAlign w:val="bottom"/>
            <w:gridSpan w:val="3"/>
            <w:shd w:val="clear" w:color="auto" w:fill="CFF0FC"/>
          </w:tcPr>
          <w:p>
            <w:pPr>
              <w:jc w:val="right"/>
              <w:ind w:right="20"/>
              <w:spacing w:after="0" w:line="102" w:lineRule="exact"/>
              <w:rPr>
                <w:sz w:val="20"/>
                <w:szCs w:val="20"/>
                <w:color w:val="auto"/>
              </w:rPr>
            </w:pPr>
            <w:r>
              <w:rPr>
                <w:rFonts w:ascii="Arial" w:cs="Arial" w:eastAsia="Arial" w:hAnsi="Arial"/>
                <w:sz w:val="9"/>
                <w:szCs w:val="9"/>
                <w:color w:val="auto"/>
              </w:rPr>
              <w:t>4 %</w:t>
            </w:r>
          </w:p>
        </w:tc>
      </w:tr>
      <w:tr>
        <w:trPr>
          <w:trHeight w:val="108"/>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FAR Research Inc. (n)</w:t>
            </w:r>
          </w:p>
        </w:tc>
        <w:tc>
          <w:tcPr>
            <w:tcW w:w="1900" w:type="dxa"/>
            <w:vAlign w:val="bottom"/>
            <w:shd w:val="clear" w:color="auto" w:fill="CFF0FC"/>
          </w:tcPr>
          <w:p>
            <w:pPr>
              <w:ind w:left="340"/>
              <w:spacing w:after="0"/>
              <w:rPr>
                <w:sz w:val="20"/>
                <w:szCs w:val="20"/>
                <w:color w:val="auto"/>
              </w:rPr>
            </w:pPr>
            <w:r>
              <w:rPr>
                <w:rFonts w:ascii="Arial" w:cs="Arial" w:eastAsia="Arial" w:hAnsi="Arial"/>
                <w:sz w:val="9"/>
                <w:szCs w:val="9"/>
                <w:color w:val="auto"/>
              </w:rPr>
              <w:t>Specialty Chemicals</w:t>
            </w: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Common Equity (1,396 units)</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3/31/2014</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28</w:t>
            </w:r>
          </w:p>
        </w:tc>
        <w:tc>
          <w:tcPr>
            <w:tcW w:w="860" w:type="dxa"/>
            <w:vAlign w:val="bottom"/>
            <w:gridSpan w:val="3"/>
          </w:tcPr>
          <w:p>
            <w:pPr>
              <w:jc w:val="right"/>
              <w:ind w:right="20"/>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20"/>
              <w:spacing w:after="0"/>
              <w:rPr>
                <w:sz w:val="20"/>
                <w:szCs w:val="20"/>
                <w:color w:val="auto"/>
              </w:rPr>
            </w:pPr>
            <w:r>
              <w:rPr>
                <w:rFonts w:ascii="Arial" w:cs="Arial" w:eastAsia="Arial" w:hAnsi="Arial"/>
                <w:sz w:val="9"/>
                <w:szCs w:val="9"/>
                <w:i w:val="1"/>
                <w:iCs w:val="1"/>
                <w:color w:val="auto"/>
              </w:rPr>
              <w:t>Medsurant Holdings, LLC</w:t>
            </w:r>
          </w:p>
        </w:tc>
        <w:tc>
          <w:tcPr>
            <w:tcW w:w="1900" w:type="dxa"/>
            <w:vAlign w:val="bottom"/>
          </w:tcPr>
          <w:p>
            <w:pPr>
              <w:ind w:left="340"/>
              <w:spacing w:after="0"/>
              <w:rPr>
                <w:sz w:val="20"/>
                <w:szCs w:val="20"/>
                <w:color w:val="auto"/>
              </w:rPr>
            </w:pPr>
            <w:r>
              <w:rPr>
                <w:rFonts w:ascii="Arial" w:cs="Arial" w:eastAsia="Arial" w:hAnsi="Arial"/>
                <w:sz w:val="9"/>
                <w:szCs w:val="9"/>
                <w:color w:val="auto"/>
              </w:rPr>
              <w:t>Healthcare Services</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Preferred Equity (84,997 units) (h)(j)</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4/12/2011</w:t>
            </w: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716</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833</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Warrant (252,588 units) (h)(j)(m)</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4/12/2011</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2,258</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2,829</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260" w:type="dxa"/>
            <w:vAlign w:val="bottom"/>
            <w:shd w:val="clear" w:color="auto" w:fill="CFF0FC"/>
          </w:tcPr>
          <w:p>
            <w:pPr>
              <w:spacing w:after="0"/>
              <w:rPr>
                <w:sz w:val="8"/>
                <w:szCs w:val="8"/>
                <w:color w:val="auto"/>
              </w:rPr>
            </w:pPr>
          </w:p>
        </w:tc>
        <w:tc>
          <w:tcPr>
            <w:tcW w:w="190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2,974</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3,662</w:t>
            </w:r>
          </w:p>
        </w:tc>
        <w:tc>
          <w:tcPr>
            <w:tcW w:w="860" w:type="dxa"/>
            <w:vAlign w:val="bottom"/>
            <w:gridSpan w:val="3"/>
            <w:shd w:val="clear" w:color="auto" w:fill="CFF0FC"/>
          </w:tcPr>
          <w:p>
            <w:pPr>
              <w:jc w:val="right"/>
              <w:ind w:right="20"/>
              <w:spacing w:after="0" w:line="102" w:lineRule="exact"/>
              <w:rPr>
                <w:sz w:val="20"/>
                <w:szCs w:val="20"/>
                <w:color w:val="auto"/>
              </w:rPr>
            </w:pPr>
            <w:r>
              <w:rPr>
                <w:rFonts w:ascii="Arial" w:cs="Arial" w:eastAsia="Arial" w:hAnsi="Arial"/>
                <w:sz w:val="9"/>
                <w:szCs w:val="9"/>
                <w:color w:val="auto"/>
              </w:rPr>
              <w:t>1 %</w:t>
            </w:r>
          </w:p>
        </w:tc>
      </w:tr>
      <w:tr>
        <w:trPr>
          <w:trHeight w:val="108"/>
        </w:trPr>
        <w:tc>
          <w:tcPr>
            <w:tcW w:w="2740" w:type="dxa"/>
            <w:vAlign w:val="bottom"/>
            <w:gridSpan w:val="3"/>
          </w:tcPr>
          <w:p>
            <w:pPr>
              <w:ind w:left="20"/>
              <w:spacing w:after="0"/>
              <w:rPr>
                <w:sz w:val="20"/>
                <w:szCs w:val="20"/>
                <w:color w:val="auto"/>
              </w:rPr>
            </w:pPr>
            <w:r>
              <w:rPr>
                <w:rFonts w:ascii="Arial" w:cs="Arial" w:eastAsia="Arial" w:hAnsi="Arial"/>
                <w:sz w:val="9"/>
                <w:szCs w:val="9"/>
                <w:i w:val="1"/>
                <w:iCs w:val="1"/>
                <w:color w:val="auto"/>
              </w:rPr>
              <w:t>Mirage Trailers LLC</w:t>
            </w:r>
          </w:p>
        </w:tc>
        <w:tc>
          <w:tcPr>
            <w:tcW w:w="1900" w:type="dxa"/>
            <w:vAlign w:val="bottom"/>
          </w:tcPr>
          <w:p>
            <w:pPr>
              <w:ind w:left="340"/>
              <w:spacing w:after="0"/>
              <w:rPr>
                <w:sz w:val="20"/>
                <w:szCs w:val="20"/>
                <w:color w:val="auto"/>
              </w:rPr>
            </w:pPr>
            <w:r>
              <w:rPr>
                <w:rFonts w:ascii="Arial" w:cs="Arial" w:eastAsia="Arial" w:hAnsi="Arial"/>
                <w:sz w:val="9"/>
                <w:szCs w:val="9"/>
                <w:color w:val="auto"/>
              </w:rPr>
              <w:t>Utility Equipment Manufacturing</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Second Lien Debt (k)</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ind w:left="200"/>
              <w:spacing w:after="0"/>
              <w:rPr>
                <w:sz w:val="20"/>
                <w:szCs w:val="20"/>
                <w:color w:val="auto"/>
              </w:rPr>
            </w:pPr>
            <w:r>
              <w:rPr>
                <w:rFonts w:ascii="Arial" w:cs="Arial" w:eastAsia="Arial" w:hAnsi="Arial"/>
                <w:sz w:val="9"/>
                <w:szCs w:val="9"/>
                <w:color w:val="auto"/>
              </w:rPr>
              <w:t>(L + 10.00%) / (1.00%)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11.00%/5.00%</w:t>
            </w: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11/25/2015</w:t>
            </w:r>
          </w:p>
        </w:tc>
        <w:tc>
          <w:tcPr>
            <w:tcW w:w="620" w:type="dxa"/>
            <w:vAlign w:val="bottom"/>
            <w:shd w:val="clear" w:color="auto" w:fill="CFF0FC"/>
          </w:tcPr>
          <w:p>
            <w:pPr>
              <w:ind w:left="100"/>
              <w:spacing w:after="0"/>
              <w:rPr>
                <w:sz w:val="20"/>
                <w:szCs w:val="20"/>
                <w:color w:val="auto"/>
              </w:rPr>
            </w:pPr>
            <w:r>
              <w:rPr>
                <w:rFonts w:ascii="Arial" w:cs="Arial" w:eastAsia="Arial" w:hAnsi="Arial"/>
                <w:sz w:val="9"/>
                <w:szCs w:val="9"/>
                <w:color w:val="auto"/>
              </w:rPr>
              <w:t>4/30/2022</w:t>
            </w: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6,705</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6,793</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6,705</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Common Equity (2,500,000 shares)</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11/25/2015</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2,188</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3,970</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1"/>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260" w:type="dxa"/>
            <w:vAlign w:val="bottom"/>
            <w:shd w:val="clear" w:color="auto" w:fill="CFF0FC"/>
          </w:tcPr>
          <w:p>
            <w:pPr>
              <w:spacing w:after="0"/>
              <w:rPr>
                <w:sz w:val="8"/>
                <w:szCs w:val="8"/>
                <w:color w:val="auto"/>
              </w:rPr>
            </w:pPr>
          </w:p>
        </w:tc>
        <w:tc>
          <w:tcPr>
            <w:tcW w:w="190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8,981</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10,675</w:t>
            </w:r>
          </w:p>
        </w:tc>
        <w:tc>
          <w:tcPr>
            <w:tcW w:w="860" w:type="dxa"/>
            <w:vAlign w:val="bottom"/>
            <w:gridSpan w:val="3"/>
            <w:shd w:val="clear" w:color="auto" w:fill="CFF0FC"/>
          </w:tcPr>
          <w:p>
            <w:pPr>
              <w:jc w:val="right"/>
              <w:ind w:right="20"/>
              <w:spacing w:after="0" w:line="102" w:lineRule="exact"/>
              <w:rPr>
                <w:sz w:val="20"/>
                <w:szCs w:val="20"/>
                <w:color w:val="auto"/>
              </w:rPr>
            </w:pPr>
            <w:r>
              <w:rPr>
                <w:rFonts w:ascii="Arial" w:cs="Arial" w:eastAsia="Arial" w:hAnsi="Arial"/>
                <w:sz w:val="9"/>
                <w:szCs w:val="9"/>
                <w:color w:val="auto"/>
              </w:rPr>
              <w:t>2 %</w:t>
            </w:r>
          </w:p>
        </w:tc>
      </w:tr>
      <w:tr>
        <w:trPr>
          <w:trHeight w:val="108"/>
        </w:trPr>
        <w:tc>
          <w:tcPr>
            <w:tcW w:w="2740" w:type="dxa"/>
            <w:vAlign w:val="bottom"/>
            <w:gridSpan w:val="3"/>
          </w:tcPr>
          <w:p>
            <w:pPr>
              <w:ind w:left="20"/>
              <w:spacing w:after="0"/>
              <w:rPr>
                <w:sz w:val="20"/>
                <w:szCs w:val="20"/>
                <w:color w:val="auto"/>
              </w:rPr>
            </w:pPr>
            <w:r>
              <w:rPr>
                <w:rFonts w:ascii="Arial" w:cs="Arial" w:eastAsia="Arial" w:hAnsi="Arial"/>
                <w:sz w:val="9"/>
                <w:szCs w:val="9"/>
                <w:i w:val="1"/>
                <w:iCs w:val="1"/>
                <w:color w:val="auto"/>
              </w:rPr>
              <w:t>Pfanstiehl, Inc.</w:t>
            </w:r>
          </w:p>
        </w:tc>
        <w:tc>
          <w:tcPr>
            <w:tcW w:w="1900" w:type="dxa"/>
            <w:vAlign w:val="bottom"/>
          </w:tcPr>
          <w:p>
            <w:pPr>
              <w:ind w:left="340"/>
              <w:spacing w:after="0"/>
              <w:rPr>
                <w:sz w:val="20"/>
                <w:szCs w:val="20"/>
                <w:color w:val="auto"/>
              </w:rPr>
            </w:pPr>
            <w:r>
              <w:rPr>
                <w:rFonts w:ascii="Arial" w:cs="Arial" w:eastAsia="Arial" w:hAnsi="Arial"/>
                <w:sz w:val="9"/>
                <w:szCs w:val="9"/>
                <w:color w:val="auto"/>
              </w:rPr>
              <w:t>Healthcare Products</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(4,250 units) (j)</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3/29/2013</w:t>
            </w: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425</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57,639</w:t>
            </w: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9"/>
                <w:szCs w:val="9"/>
                <w:color w:val="auto"/>
              </w:rPr>
              <w:t>12 %</w:t>
            </w:r>
          </w:p>
        </w:tc>
      </w:tr>
      <w:tr>
        <w:trPr>
          <w:trHeight w:val="108"/>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Pinnergy, Ltd.</w:t>
            </w:r>
          </w:p>
        </w:tc>
        <w:tc>
          <w:tcPr>
            <w:tcW w:w="1900" w:type="dxa"/>
            <w:vAlign w:val="bottom"/>
            <w:shd w:val="clear" w:color="auto" w:fill="CFF0FC"/>
          </w:tcPr>
          <w:p>
            <w:pPr>
              <w:ind w:left="340"/>
              <w:spacing w:after="0"/>
              <w:rPr>
                <w:sz w:val="20"/>
                <w:szCs w:val="20"/>
                <w:color w:val="auto"/>
              </w:rPr>
            </w:pPr>
            <w:r>
              <w:rPr>
                <w:rFonts w:ascii="Arial" w:cs="Arial" w:eastAsia="Arial" w:hAnsi="Arial"/>
                <w:sz w:val="9"/>
                <w:szCs w:val="9"/>
                <w:color w:val="auto"/>
              </w:rPr>
              <w:t>Oil &amp; Gas Services</w:t>
            </w: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Common Equity - Class A-2 (42,500 units) (j)</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10/13/2016</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3,000</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21,178</w:t>
            </w:r>
          </w:p>
        </w:tc>
        <w:tc>
          <w:tcPr>
            <w:tcW w:w="860" w:type="dxa"/>
            <w:vAlign w:val="bottom"/>
            <w:gridSpan w:val="3"/>
          </w:tcPr>
          <w:p>
            <w:pPr>
              <w:jc w:val="right"/>
              <w:ind w:right="20"/>
              <w:spacing w:after="0"/>
              <w:rPr>
                <w:sz w:val="20"/>
                <w:szCs w:val="20"/>
                <w:color w:val="auto"/>
              </w:rPr>
            </w:pPr>
            <w:r>
              <w:rPr>
                <w:rFonts w:ascii="Arial" w:cs="Arial" w:eastAsia="Arial" w:hAnsi="Arial"/>
                <w:sz w:val="9"/>
                <w:szCs w:val="9"/>
                <w:color w:val="auto"/>
              </w:rPr>
              <w:t>4 %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20"/>
              <w:spacing w:after="0"/>
              <w:rPr>
                <w:sz w:val="20"/>
                <w:szCs w:val="20"/>
                <w:color w:val="auto"/>
              </w:rPr>
            </w:pPr>
            <w:r>
              <w:rPr>
                <w:rFonts w:ascii="Arial" w:cs="Arial" w:eastAsia="Arial" w:hAnsi="Arial"/>
                <w:sz w:val="9"/>
                <w:szCs w:val="9"/>
                <w:i w:val="1"/>
                <w:iCs w:val="1"/>
                <w:color w:val="auto"/>
              </w:rPr>
              <w:t>Spectra A&amp;D Acquisition, Inc. (fka FDS Avionics Corp.)</w:t>
            </w:r>
          </w:p>
        </w:tc>
        <w:tc>
          <w:tcPr>
            <w:tcW w:w="1900" w:type="dxa"/>
            <w:vAlign w:val="bottom"/>
          </w:tcPr>
          <w:p>
            <w:pPr>
              <w:ind w:left="340"/>
              <w:spacing w:after="0"/>
              <w:rPr>
                <w:sz w:val="20"/>
                <w:szCs w:val="20"/>
                <w:color w:val="auto"/>
              </w:rPr>
            </w:pPr>
            <w:r>
              <w:rPr>
                <w:rFonts w:ascii="Arial" w:cs="Arial" w:eastAsia="Arial" w:hAnsi="Arial"/>
                <w:sz w:val="9"/>
                <w:szCs w:val="9"/>
                <w:color w:val="auto"/>
              </w:rPr>
              <w:t>Aerospace &amp; Defense Manufacturing</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(k)(ag)</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ind w:left="200"/>
              <w:spacing w:after="0"/>
              <w:rPr>
                <w:sz w:val="20"/>
                <w:szCs w:val="20"/>
                <w:color w:val="auto"/>
              </w:rPr>
            </w:pPr>
            <w:r>
              <w:rPr>
                <w:rFonts w:ascii="Arial" w:cs="Arial" w:eastAsia="Arial" w:hAnsi="Arial"/>
                <w:sz w:val="9"/>
                <w:szCs w:val="9"/>
                <w:color w:val="auto"/>
              </w:rPr>
              <w:t>(L + 5.50%) / (1.00%)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6.50%/0.00%</w:t>
            </w: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2/12/2021</w:t>
            </w:r>
          </w:p>
        </w:tc>
        <w:tc>
          <w:tcPr>
            <w:tcW w:w="620" w:type="dxa"/>
            <w:vAlign w:val="bottom"/>
            <w:shd w:val="clear" w:color="auto" w:fill="CFF0FC"/>
          </w:tcPr>
          <w:p>
            <w:pPr>
              <w:ind w:left="100"/>
              <w:spacing w:after="0"/>
              <w:rPr>
                <w:sz w:val="20"/>
                <w:szCs w:val="20"/>
                <w:color w:val="auto"/>
              </w:rPr>
            </w:pPr>
            <w:r>
              <w:rPr>
                <w:rFonts w:ascii="Arial" w:cs="Arial" w:eastAsia="Arial" w:hAnsi="Arial"/>
                <w:sz w:val="9"/>
                <w:szCs w:val="9"/>
                <w:color w:val="auto"/>
              </w:rPr>
              <w:t>2/11/2026</w:t>
            </w: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13,000</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12,921</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13,000</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Common Equity (41,290 units) (j)</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2/12/2021</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2,609</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4,129</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(12,035 units) (j)</w:t>
            </w:r>
          </w:p>
        </w:tc>
        <w:tc>
          <w:tcPr>
            <w:tcW w:w="1900" w:type="dxa"/>
            <w:vAlign w:val="bottom"/>
            <w:tcBorders>
              <w:bottom w:val="single" w:sz="8" w:color="CFF0FC"/>
            </w:tcBorders>
            <w:shd w:val="clear" w:color="auto" w:fill="CFF0FC"/>
          </w:tcPr>
          <w:p>
            <w:pPr>
              <w:spacing w:after="0"/>
              <w:rPr>
                <w:sz w:val="9"/>
                <w:szCs w:val="9"/>
                <w:color w:val="auto"/>
              </w:rPr>
            </w:pPr>
          </w:p>
        </w:tc>
        <w:tc>
          <w:tcPr>
            <w:tcW w:w="11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8/25/2021</w:t>
            </w:r>
          </w:p>
        </w:tc>
        <w:tc>
          <w:tcPr>
            <w:tcW w:w="62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1,204</w:t>
            </w:r>
          </w:p>
        </w:tc>
        <w:tc>
          <w:tcPr>
            <w:tcW w:w="2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1,230</w:t>
            </w:r>
          </w:p>
        </w:tc>
        <w:tc>
          <w:tcPr>
            <w:tcW w:w="10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r>
      <w:tr>
        <w:trPr>
          <w:trHeight w:val="101"/>
        </w:trPr>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16,734</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18,359</w:t>
            </w:r>
          </w:p>
        </w:tc>
        <w:tc>
          <w:tcPr>
            <w:tcW w:w="860" w:type="dxa"/>
            <w:vAlign w:val="bottom"/>
            <w:gridSpan w:val="3"/>
          </w:tcPr>
          <w:p>
            <w:pPr>
              <w:jc w:val="right"/>
              <w:ind w:right="20"/>
              <w:spacing w:after="0" w:line="102" w:lineRule="exact"/>
              <w:rPr>
                <w:sz w:val="20"/>
                <w:szCs w:val="20"/>
                <w:color w:val="auto"/>
              </w:rPr>
            </w:pPr>
            <w:r>
              <w:rPr>
                <w:rFonts w:ascii="Arial" w:cs="Arial" w:eastAsia="Arial" w:hAnsi="Arial"/>
                <w:sz w:val="9"/>
                <w:szCs w:val="9"/>
                <w:color w:val="auto"/>
              </w:rPr>
              <w:t>4 %</w:t>
            </w:r>
          </w:p>
        </w:tc>
      </w:tr>
      <w:tr>
        <w:trPr>
          <w:trHeight w:val="108"/>
        </w:trPr>
        <w:tc>
          <w:tcPr>
            <w:tcW w:w="27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Steward Holding LLC (dba Steward Advanced Materials)</w:t>
            </w:r>
          </w:p>
        </w:tc>
        <w:tc>
          <w:tcPr>
            <w:tcW w:w="1900" w:type="dxa"/>
            <w:vAlign w:val="bottom"/>
            <w:shd w:val="clear" w:color="auto" w:fill="CFF0FC"/>
          </w:tcPr>
          <w:p>
            <w:pPr>
              <w:ind w:left="340"/>
              <w:spacing w:after="0"/>
              <w:rPr>
                <w:sz w:val="20"/>
                <w:szCs w:val="20"/>
                <w:color w:val="auto"/>
              </w:rPr>
            </w:pPr>
            <w:r>
              <w:rPr>
                <w:rFonts w:ascii="Arial" w:cs="Arial" w:eastAsia="Arial" w:hAnsi="Arial"/>
                <w:sz w:val="9"/>
                <w:szCs w:val="9"/>
                <w:color w:val="auto"/>
              </w:rPr>
              <w:t>Aerospace &amp; Defense Manufacturing</w:t>
            </w: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Common Equity (1,000,000 units)</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11/12/2015</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1,000</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3,338</w:t>
            </w:r>
          </w:p>
        </w:tc>
        <w:tc>
          <w:tcPr>
            <w:tcW w:w="860" w:type="dxa"/>
            <w:vAlign w:val="bottom"/>
            <w:gridSpan w:val="3"/>
          </w:tcPr>
          <w:p>
            <w:pPr>
              <w:jc w:val="right"/>
              <w:ind w:right="20"/>
              <w:spacing w:after="0"/>
              <w:rPr>
                <w:sz w:val="20"/>
                <w:szCs w:val="20"/>
                <w:color w:val="auto"/>
              </w:rPr>
            </w:pPr>
            <w:r>
              <w:rPr>
                <w:rFonts w:ascii="Arial" w:cs="Arial" w:eastAsia="Arial" w:hAnsi="Arial"/>
                <w:sz w:val="9"/>
                <w:szCs w:val="9"/>
                <w:color w:val="auto"/>
              </w:rPr>
              <w:t>1 %</w:t>
            </w:r>
          </w:p>
        </w:tc>
      </w:tr>
      <w:tr>
        <w:trPr>
          <w:trHeight w:val="108"/>
        </w:trPr>
        <w:tc>
          <w:tcPr>
            <w:tcW w:w="920" w:type="dxa"/>
            <w:vAlign w:val="bottom"/>
            <w:tcBorders>
              <w:left w:val="single" w:sz="8" w:color="CFF0FC"/>
              <w:bottom w:val="single" w:sz="8" w:color="CFF0FC"/>
            </w:tcBorders>
            <w:shd w:val="clear" w:color="auto" w:fill="CFF0FC"/>
          </w:tcPr>
          <w:p>
            <w:pPr>
              <w:spacing w:after="0"/>
              <w:rPr>
                <w:sz w:val="9"/>
                <w:szCs w:val="9"/>
                <w:color w:val="auto"/>
              </w:rPr>
            </w:pPr>
          </w:p>
        </w:tc>
        <w:tc>
          <w:tcPr>
            <w:tcW w:w="560" w:type="dxa"/>
            <w:vAlign w:val="bottom"/>
            <w:tcBorders>
              <w:bottom w:val="single" w:sz="8" w:color="CFF0FC"/>
            </w:tcBorders>
            <w:shd w:val="clear" w:color="auto" w:fill="CFF0FC"/>
          </w:tcPr>
          <w:p>
            <w:pPr>
              <w:spacing w:after="0"/>
              <w:rPr>
                <w:sz w:val="9"/>
                <w:szCs w:val="9"/>
                <w:color w:val="auto"/>
              </w:rPr>
            </w:pPr>
          </w:p>
        </w:tc>
        <w:tc>
          <w:tcPr>
            <w:tcW w:w="1260" w:type="dxa"/>
            <w:vAlign w:val="bottom"/>
            <w:tcBorders>
              <w:bottom w:val="single" w:sz="8" w:color="CFF0FC"/>
            </w:tcBorders>
            <w:shd w:val="clear" w:color="auto" w:fill="CFF0FC"/>
          </w:tcPr>
          <w:p>
            <w:pPr>
              <w:spacing w:after="0"/>
              <w:rPr>
                <w:sz w:val="9"/>
                <w:szCs w:val="9"/>
                <w:color w:val="auto"/>
              </w:rPr>
            </w:pPr>
          </w:p>
        </w:tc>
        <w:tc>
          <w:tcPr>
            <w:tcW w:w="1900" w:type="dxa"/>
            <w:vAlign w:val="bottom"/>
            <w:tcBorders>
              <w:bottom w:val="single" w:sz="8" w:color="CFF0FC"/>
            </w:tcBorders>
            <w:shd w:val="clear" w:color="auto" w:fill="CFF0FC"/>
          </w:tcPr>
          <w:p>
            <w:pPr>
              <w:spacing w:after="0"/>
              <w:rPr>
                <w:sz w:val="9"/>
                <w:szCs w:val="9"/>
                <w:color w:val="auto"/>
              </w:rPr>
            </w:pPr>
          </w:p>
        </w:tc>
        <w:tc>
          <w:tcPr>
            <w:tcW w:w="11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gridSpan w:val="2"/>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4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r>
      <w:tr>
        <w:trPr>
          <w:trHeight w:val="101"/>
        </w:trPr>
        <w:tc>
          <w:tcPr>
            <w:tcW w:w="2740" w:type="dxa"/>
            <w:vAlign w:val="bottom"/>
            <w:gridSpan w:val="3"/>
          </w:tcPr>
          <w:p>
            <w:pPr>
              <w:ind w:left="20"/>
              <w:spacing w:after="0" w:line="102" w:lineRule="exact"/>
              <w:rPr>
                <w:sz w:val="20"/>
                <w:szCs w:val="20"/>
                <w:color w:val="auto"/>
              </w:rPr>
            </w:pPr>
            <w:r>
              <w:rPr>
                <w:rFonts w:ascii="Arial" w:cs="Arial" w:eastAsia="Arial" w:hAnsi="Arial"/>
                <w:sz w:val="9"/>
                <w:szCs w:val="9"/>
                <w:b w:val="1"/>
                <w:bCs w:val="1"/>
                <w:color w:val="auto"/>
              </w:rPr>
              <w:t>Total Affiliate Investments</w:t>
            </w:r>
          </w:p>
        </w:tc>
        <w:tc>
          <w:tcPr>
            <w:tcW w:w="1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gridSpan w:val="3"/>
          </w:tcPr>
          <w:p>
            <w:pPr>
              <w:jc w:val="right"/>
              <w:ind w:right="78"/>
              <w:spacing w:after="0" w:line="102"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55,519</w:t>
            </w:r>
          </w:p>
        </w:tc>
        <w:tc>
          <w:tcPr>
            <w:tcW w:w="32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137,284</w:t>
            </w:r>
          </w:p>
        </w:tc>
        <w:tc>
          <w:tcPr>
            <w:tcW w:w="860" w:type="dxa"/>
            <w:vAlign w:val="bottom"/>
            <w:gridSpan w:val="3"/>
          </w:tcPr>
          <w:p>
            <w:pPr>
              <w:jc w:val="right"/>
              <w:ind w:right="20"/>
              <w:spacing w:after="0" w:line="102" w:lineRule="exact"/>
              <w:rPr>
                <w:sz w:val="20"/>
                <w:szCs w:val="20"/>
                <w:color w:val="auto"/>
              </w:rPr>
            </w:pPr>
            <w:r>
              <w:rPr>
                <w:rFonts w:ascii="Arial" w:cs="Arial" w:eastAsia="Arial" w:hAnsi="Arial"/>
                <w:sz w:val="9"/>
                <w:szCs w:val="9"/>
                <w:color w:val="auto"/>
              </w:rPr>
              <w:t>28 %</w:t>
            </w:r>
          </w:p>
        </w:tc>
      </w:tr>
      <w:tr>
        <w:trPr>
          <w:trHeight w:val="20"/>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
        </w:trPr>
        <w:tc>
          <w:tcPr>
            <w:tcW w:w="920" w:type="dxa"/>
            <w:vAlign w:val="bottom"/>
            <w:tcBorders>
              <w:left w:val="single" w:sz="8" w:color="CFF0FC"/>
            </w:tcBorders>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1260" w:type="dxa"/>
            <w:vAlign w:val="bottom"/>
            <w:shd w:val="clear" w:color="auto" w:fill="CFF0FC"/>
          </w:tcPr>
          <w:p>
            <w:pPr>
              <w:spacing w:after="0"/>
              <w:rPr>
                <w:sz w:val="7"/>
                <w:szCs w:val="7"/>
                <w:color w:val="auto"/>
              </w:rPr>
            </w:pPr>
          </w:p>
        </w:tc>
        <w:tc>
          <w:tcPr>
            <w:tcW w:w="1900" w:type="dxa"/>
            <w:vAlign w:val="bottom"/>
            <w:shd w:val="clear" w:color="auto" w:fill="CFF0FC"/>
          </w:tcPr>
          <w:p>
            <w:pPr>
              <w:spacing w:after="0"/>
              <w:rPr>
                <w:sz w:val="7"/>
                <w:szCs w:val="7"/>
                <w:color w:val="auto"/>
              </w:rPr>
            </w:pPr>
          </w:p>
        </w:tc>
        <w:tc>
          <w:tcPr>
            <w:tcW w:w="116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95"/>
        </w:trPr>
        <w:tc>
          <w:tcPr>
            <w:tcW w:w="1480" w:type="dxa"/>
            <w:vAlign w:val="bottom"/>
            <w:tcBorders>
              <w:bottom w:val="single" w:sz="8" w:color="auto"/>
            </w:tcBorders>
            <w:gridSpan w:val="2"/>
          </w:tcPr>
          <w:p>
            <w:pPr>
              <w:ind w:left="20"/>
              <w:spacing w:after="0" w:line="95" w:lineRule="exact"/>
              <w:rPr>
                <w:sz w:val="20"/>
                <w:szCs w:val="20"/>
                <w:color w:val="auto"/>
              </w:rPr>
            </w:pPr>
            <w:r>
              <w:rPr>
                <w:rFonts w:ascii="Arial" w:cs="Arial" w:eastAsia="Arial" w:hAnsi="Arial"/>
                <w:sz w:val="9"/>
                <w:szCs w:val="9"/>
                <w:b w:val="1"/>
                <w:bCs w:val="1"/>
                <w:color w:val="auto"/>
                <w:w w:val="89"/>
              </w:rPr>
              <w:t>Non-control/Non-affiliate Investments</w:t>
            </w:r>
          </w:p>
        </w:tc>
        <w:tc>
          <w:tcPr>
            <w:tcW w:w="12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2740" w:type="dxa"/>
            <w:vAlign w:val="bottom"/>
            <w:tcBorders>
              <w:left w:val="single" w:sz="8" w:color="CFF0FC"/>
            </w:tcBorders>
            <w:gridSpan w:val="3"/>
            <w:shd w:val="clear" w:color="auto" w:fill="CFF0FC"/>
          </w:tcPr>
          <w:p>
            <w:pPr>
              <w:ind w:left="20"/>
              <w:spacing w:after="0" w:line="102" w:lineRule="exact"/>
              <w:rPr>
                <w:sz w:val="20"/>
                <w:szCs w:val="20"/>
                <w:color w:val="auto"/>
              </w:rPr>
            </w:pPr>
            <w:r>
              <w:rPr>
                <w:rFonts w:ascii="Arial" w:cs="Arial" w:eastAsia="Arial" w:hAnsi="Arial"/>
                <w:sz w:val="9"/>
                <w:szCs w:val="9"/>
                <w:i w:val="1"/>
                <w:iCs w:val="1"/>
                <w:color w:val="auto"/>
              </w:rPr>
              <w:t>2KDirect, Inc. (dba iPromote)</w:t>
            </w:r>
          </w:p>
        </w:tc>
        <w:tc>
          <w:tcPr>
            <w:tcW w:w="1900" w:type="dxa"/>
            <w:vAlign w:val="bottom"/>
            <w:shd w:val="clear" w:color="auto" w:fill="CFF0FC"/>
          </w:tcPr>
          <w:p>
            <w:pPr>
              <w:ind w:left="340"/>
              <w:spacing w:after="0" w:line="102" w:lineRule="exact"/>
              <w:rPr>
                <w:sz w:val="20"/>
                <w:szCs w:val="20"/>
                <w:color w:val="auto"/>
              </w:rPr>
            </w:pPr>
            <w:r>
              <w:rPr>
                <w:rFonts w:ascii="Arial" w:cs="Arial" w:eastAsia="Arial" w:hAnsi="Arial"/>
                <w:sz w:val="9"/>
                <w:szCs w:val="9"/>
                <w:color w:val="auto"/>
              </w:rPr>
              <w:t>Information Technology Services</w:t>
            </w:r>
          </w:p>
        </w:tc>
        <w:tc>
          <w:tcPr>
            <w:tcW w:w="11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First Lien Debt (k)</w:t>
            </w:r>
          </w:p>
        </w:tc>
        <w:tc>
          <w:tcPr>
            <w:tcW w:w="1900" w:type="dxa"/>
            <w:vAlign w:val="bottom"/>
          </w:tcPr>
          <w:p>
            <w:pPr>
              <w:spacing w:after="0"/>
              <w:rPr>
                <w:sz w:val="9"/>
                <w:szCs w:val="9"/>
                <w:color w:val="auto"/>
              </w:rPr>
            </w:pPr>
          </w:p>
        </w:tc>
        <w:tc>
          <w:tcPr>
            <w:tcW w:w="1160" w:type="dxa"/>
            <w:vAlign w:val="bottom"/>
          </w:tcPr>
          <w:p>
            <w:pPr>
              <w:ind w:left="200"/>
              <w:spacing w:after="0"/>
              <w:rPr>
                <w:sz w:val="20"/>
                <w:szCs w:val="20"/>
                <w:color w:val="auto"/>
              </w:rPr>
            </w:pPr>
            <w:r>
              <w:rPr>
                <w:rFonts w:ascii="Arial" w:cs="Arial" w:eastAsia="Arial" w:hAnsi="Arial"/>
                <w:sz w:val="9"/>
                <w:szCs w:val="9"/>
                <w:color w:val="auto"/>
              </w:rPr>
              <w:t>(L + 6.75%) / (0.50%)</w:t>
            </w:r>
          </w:p>
        </w:tc>
        <w:tc>
          <w:tcPr>
            <w:tcW w:w="820" w:type="dxa"/>
            <w:vAlign w:val="bottom"/>
          </w:tcPr>
          <w:p>
            <w:pPr>
              <w:ind w:left="120"/>
              <w:spacing w:after="0"/>
              <w:rPr>
                <w:sz w:val="20"/>
                <w:szCs w:val="20"/>
                <w:color w:val="auto"/>
              </w:rPr>
            </w:pPr>
            <w:r>
              <w:rPr>
                <w:rFonts w:ascii="Arial" w:cs="Arial" w:eastAsia="Arial" w:hAnsi="Arial"/>
                <w:sz w:val="9"/>
                <w:szCs w:val="9"/>
                <w:color w:val="auto"/>
              </w:rPr>
              <w:t>7.25%/0.00%</w:t>
            </w:r>
          </w:p>
        </w:tc>
        <w:tc>
          <w:tcPr>
            <w:tcW w:w="720" w:type="dxa"/>
            <w:vAlign w:val="bottom"/>
          </w:tcPr>
          <w:p>
            <w:pPr>
              <w:ind w:left="180"/>
              <w:spacing w:after="0"/>
              <w:rPr>
                <w:sz w:val="20"/>
                <w:szCs w:val="20"/>
                <w:color w:val="auto"/>
              </w:rPr>
            </w:pPr>
            <w:r>
              <w:rPr>
                <w:rFonts w:ascii="Arial" w:cs="Arial" w:eastAsia="Arial" w:hAnsi="Arial"/>
                <w:sz w:val="9"/>
                <w:szCs w:val="9"/>
                <w:color w:val="auto"/>
              </w:rPr>
              <w:t>6/25/2021</w:t>
            </w:r>
          </w:p>
        </w:tc>
        <w:tc>
          <w:tcPr>
            <w:tcW w:w="620" w:type="dxa"/>
            <w:vAlign w:val="bottom"/>
          </w:tcPr>
          <w:p>
            <w:pPr>
              <w:ind w:left="100"/>
              <w:spacing w:after="0"/>
              <w:rPr>
                <w:sz w:val="20"/>
                <w:szCs w:val="20"/>
                <w:color w:val="auto"/>
              </w:rPr>
            </w:pPr>
            <w:r>
              <w:rPr>
                <w:rFonts w:ascii="Arial" w:cs="Arial" w:eastAsia="Arial" w:hAnsi="Arial"/>
                <w:sz w:val="9"/>
                <w:szCs w:val="9"/>
                <w:color w:val="auto"/>
              </w:rPr>
              <w:t>6/25/2026</w:t>
            </w:r>
          </w:p>
        </w:tc>
        <w:tc>
          <w:tcPr>
            <w:tcW w:w="180" w:type="dxa"/>
            <w:vAlign w:val="bottom"/>
          </w:tcPr>
          <w:p>
            <w:pPr>
              <w:jc w:val="right"/>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12,919</w:t>
            </w:r>
          </w:p>
        </w:tc>
        <w:tc>
          <w:tcPr>
            <w:tcW w:w="360" w:type="dxa"/>
            <w:vAlign w:val="bottom"/>
            <w:gridSpan w:val="3"/>
          </w:tcPr>
          <w:p>
            <w:pPr>
              <w:jc w:val="right"/>
              <w:ind w:right="78"/>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12,841</w:t>
            </w:r>
          </w:p>
        </w:tc>
        <w:tc>
          <w:tcPr>
            <w:tcW w:w="3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12,919</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(aa)(j)</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ind w:left="200"/>
              <w:spacing w:after="0"/>
              <w:rPr>
                <w:sz w:val="20"/>
                <w:szCs w:val="20"/>
                <w:color w:val="auto"/>
              </w:rPr>
            </w:pPr>
            <w:r>
              <w:rPr>
                <w:rFonts w:ascii="Arial" w:cs="Arial" w:eastAsia="Arial" w:hAnsi="Arial"/>
                <w:sz w:val="9"/>
                <w:szCs w:val="9"/>
                <w:color w:val="auto"/>
              </w:rPr>
              <w:t>(L + 6.75%) / (0.50%)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7.25%/0.00%</w:t>
            </w: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7/30/2021</w:t>
            </w:r>
          </w:p>
        </w:tc>
        <w:tc>
          <w:tcPr>
            <w:tcW w:w="620" w:type="dxa"/>
            <w:vAlign w:val="bottom"/>
            <w:shd w:val="clear" w:color="auto" w:fill="CFF0FC"/>
          </w:tcPr>
          <w:p>
            <w:pPr>
              <w:ind w:left="100"/>
              <w:spacing w:after="0"/>
              <w:rPr>
                <w:sz w:val="20"/>
                <w:szCs w:val="20"/>
                <w:color w:val="auto"/>
              </w:rPr>
            </w:pPr>
            <w:r>
              <w:rPr>
                <w:rFonts w:ascii="Arial" w:cs="Arial" w:eastAsia="Arial" w:hAnsi="Arial"/>
                <w:sz w:val="9"/>
                <w:szCs w:val="9"/>
                <w:color w:val="auto"/>
              </w:rPr>
              <w:t>6/25/2026</w:t>
            </w: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3,975</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3,975</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3,975</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Common Equity (1,000,000 units)</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6/25/2021</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1,000</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806</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1"/>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260" w:type="dxa"/>
            <w:vAlign w:val="bottom"/>
            <w:shd w:val="clear" w:color="auto" w:fill="CFF0FC"/>
          </w:tcPr>
          <w:p>
            <w:pPr>
              <w:spacing w:after="0"/>
              <w:rPr>
                <w:sz w:val="8"/>
                <w:szCs w:val="8"/>
                <w:color w:val="auto"/>
              </w:rPr>
            </w:pPr>
          </w:p>
        </w:tc>
        <w:tc>
          <w:tcPr>
            <w:tcW w:w="190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17,816</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17,700</w:t>
            </w:r>
          </w:p>
        </w:tc>
        <w:tc>
          <w:tcPr>
            <w:tcW w:w="860" w:type="dxa"/>
            <w:vAlign w:val="bottom"/>
            <w:gridSpan w:val="3"/>
            <w:shd w:val="clear" w:color="auto" w:fill="CFF0FC"/>
          </w:tcPr>
          <w:p>
            <w:pPr>
              <w:jc w:val="right"/>
              <w:ind w:right="20"/>
              <w:spacing w:after="0" w:line="102" w:lineRule="exact"/>
              <w:rPr>
                <w:sz w:val="20"/>
                <w:szCs w:val="20"/>
                <w:color w:val="auto"/>
              </w:rPr>
            </w:pPr>
            <w:r>
              <w:rPr>
                <w:rFonts w:ascii="Arial" w:cs="Arial" w:eastAsia="Arial" w:hAnsi="Arial"/>
                <w:sz w:val="9"/>
                <w:szCs w:val="9"/>
                <w:color w:val="auto"/>
              </w:rPr>
              <w:t>4 %</w:t>
            </w:r>
          </w:p>
        </w:tc>
      </w:tr>
      <w:tr>
        <w:trPr>
          <w:trHeight w:val="108"/>
        </w:trPr>
        <w:tc>
          <w:tcPr>
            <w:tcW w:w="2740" w:type="dxa"/>
            <w:vAlign w:val="bottom"/>
            <w:gridSpan w:val="3"/>
          </w:tcPr>
          <w:p>
            <w:pPr>
              <w:ind w:left="20"/>
              <w:spacing w:after="0"/>
              <w:rPr>
                <w:sz w:val="20"/>
                <w:szCs w:val="20"/>
                <w:color w:val="auto"/>
              </w:rPr>
            </w:pPr>
            <w:r>
              <w:rPr>
                <w:rFonts w:ascii="Arial" w:cs="Arial" w:eastAsia="Arial" w:hAnsi="Arial"/>
                <w:sz w:val="9"/>
                <w:szCs w:val="9"/>
                <w:i w:val="1"/>
                <w:iCs w:val="1"/>
                <w:color w:val="auto"/>
              </w:rPr>
              <w:t>Acendre Midco, Inc.</w:t>
            </w:r>
          </w:p>
        </w:tc>
        <w:tc>
          <w:tcPr>
            <w:tcW w:w="1900" w:type="dxa"/>
            <w:vAlign w:val="bottom"/>
          </w:tcPr>
          <w:p>
            <w:pPr>
              <w:ind w:left="340"/>
              <w:spacing w:after="0"/>
              <w:rPr>
                <w:sz w:val="20"/>
                <w:szCs w:val="20"/>
                <w:color w:val="auto"/>
              </w:rPr>
            </w:pPr>
            <w:r>
              <w:rPr>
                <w:rFonts w:ascii="Arial" w:cs="Arial" w:eastAsia="Arial" w:hAnsi="Arial"/>
                <w:sz w:val="9"/>
                <w:szCs w:val="9"/>
                <w:color w:val="auto"/>
              </w:rPr>
              <w:t>Information Technology Services</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(j)</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ind w:left="200"/>
              <w:spacing w:after="0"/>
              <w:rPr>
                <w:sz w:val="20"/>
                <w:szCs w:val="20"/>
                <w:color w:val="auto"/>
              </w:rPr>
            </w:pPr>
            <w:r>
              <w:rPr>
                <w:rFonts w:ascii="Arial" w:cs="Arial" w:eastAsia="Arial" w:hAnsi="Arial"/>
                <w:sz w:val="9"/>
                <w:szCs w:val="9"/>
                <w:color w:val="auto"/>
              </w:rPr>
              <w:t>(L + 7.75%) / (0.50%)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8.25%/0.00%</w:t>
            </w: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10/6/2021</w:t>
            </w:r>
          </w:p>
        </w:tc>
        <w:tc>
          <w:tcPr>
            <w:tcW w:w="620" w:type="dxa"/>
            <w:vAlign w:val="bottom"/>
            <w:shd w:val="clear" w:color="auto" w:fill="CFF0FC"/>
          </w:tcPr>
          <w:p>
            <w:pPr>
              <w:ind w:left="100"/>
              <w:spacing w:after="0"/>
              <w:rPr>
                <w:sz w:val="20"/>
                <w:szCs w:val="20"/>
                <w:color w:val="auto"/>
              </w:rPr>
            </w:pPr>
            <w:r>
              <w:rPr>
                <w:rFonts w:ascii="Arial" w:cs="Arial" w:eastAsia="Arial" w:hAnsi="Arial"/>
                <w:sz w:val="9"/>
                <w:szCs w:val="9"/>
                <w:color w:val="auto"/>
              </w:rPr>
              <w:t>10/6/2026</w:t>
            </w: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5,500</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5,485</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5,485</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First Lien Debt (j)</w:t>
            </w:r>
          </w:p>
        </w:tc>
        <w:tc>
          <w:tcPr>
            <w:tcW w:w="1900" w:type="dxa"/>
            <w:vAlign w:val="bottom"/>
          </w:tcPr>
          <w:p>
            <w:pPr>
              <w:spacing w:after="0"/>
              <w:rPr>
                <w:sz w:val="9"/>
                <w:szCs w:val="9"/>
                <w:color w:val="auto"/>
              </w:rPr>
            </w:pPr>
          </w:p>
        </w:tc>
        <w:tc>
          <w:tcPr>
            <w:tcW w:w="1160" w:type="dxa"/>
            <w:vAlign w:val="bottom"/>
          </w:tcPr>
          <w:p>
            <w:pPr>
              <w:ind w:left="200"/>
              <w:spacing w:after="0"/>
              <w:rPr>
                <w:sz w:val="20"/>
                <w:szCs w:val="20"/>
                <w:color w:val="auto"/>
              </w:rPr>
            </w:pPr>
            <w:r>
              <w:rPr>
                <w:rFonts w:ascii="Arial" w:cs="Arial" w:eastAsia="Arial" w:hAnsi="Arial"/>
                <w:sz w:val="9"/>
                <w:szCs w:val="9"/>
                <w:color w:val="auto"/>
              </w:rPr>
              <w:t>(L + 7.75%) / (0.50%)</w:t>
            </w:r>
          </w:p>
        </w:tc>
        <w:tc>
          <w:tcPr>
            <w:tcW w:w="820" w:type="dxa"/>
            <w:vAlign w:val="bottom"/>
          </w:tcPr>
          <w:p>
            <w:pPr>
              <w:ind w:left="120"/>
              <w:spacing w:after="0"/>
              <w:rPr>
                <w:sz w:val="20"/>
                <w:szCs w:val="20"/>
                <w:color w:val="auto"/>
              </w:rPr>
            </w:pPr>
            <w:r>
              <w:rPr>
                <w:rFonts w:ascii="Arial" w:cs="Arial" w:eastAsia="Arial" w:hAnsi="Arial"/>
                <w:sz w:val="9"/>
                <w:szCs w:val="9"/>
                <w:color w:val="auto"/>
              </w:rPr>
              <w:t>8.25%/0.00%</w:t>
            </w:r>
          </w:p>
        </w:tc>
        <w:tc>
          <w:tcPr>
            <w:tcW w:w="720" w:type="dxa"/>
            <w:vAlign w:val="bottom"/>
          </w:tcPr>
          <w:p>
            <w:pPr>
              <w:ind w:left="180"/>
              <w:spacing w:after="0"/>
              <w:rPr>
                <w:sz w:val="20"/>
                <w:szCs w:val="20"/>
                <w:color w:val="auto"/>
              </w:rPr>
            </w:pPr>
            <w:r>
              <w:rPr>
                <w:rFonts w:ascii="Arial" w:cs="Arial" w:eastAsia="Arial" w:hAnsi="Arial"/>
                <w:sz w:val="9"/>
                <w:szCs w:val="9"/>
                <w:color w:val="auto"/>
              </w:rPr>
              <w:t>10/6/2021</w:t>
            </w:r>
          </w:p>
        </w:tc>
        <w:tc>
          <w:tcPr>
            <w:tcW w:w="620" w:type="dxa"/>
            <w:vAlign w:val="bottom"/>
          </w:tcPr>
          <w:p>
            <w:pPr>
              <w:ind w:left="100"/>
              <w:spacing w:after="0"/>
              <w:rPr>
                <w:sz w:val="20"/>
                <w:szCs w:val="20"/>
                <w:color w:val="auto"/>
              </w:rPr>
            </w:pPr>
            <w:r>
              <w:rPr>
                <w:rFonts w:ascii="Arial" w:cs="Arial" w:eastAsia="Arial" w:hAnsi="Arial"/>
                <w:sz w:val="9"/>
                <w:szCs w:val="9"/>
                <w:color w:val="auto"/>
              </w:rPr>
              <w:t>10/6/2026</w:t>
            </w:r>
          </w:p>
        </w:tc>
        <w:tc>
          <w:tcPr>
            <w:tcW w:w="1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12,500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12,436</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12,436</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Revolving Loan ($1,000 unfunded commitment) (i)(j)</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10/6/2021</w:t>
            </w: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Common Equity (500,000 shares) (j)</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10/6/2021</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371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371</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Warrant (150,000 shares) (j)(m)</w:t>
            </w:r>
          </w:p>
        </w:tc>
        <w:tc>
          <w:tcPr>
            <w:tcW w:w="1900" w:type="dxa"/>
            <w:vAlign w:val="bottom"/>
            <w:tcBorders>
              <w:bottom w:val="single" w:sz="8" w:color="CFF0FC"/>
            </w:tcBorders>
            <w:shd w:val="clear" w:color="auto" w:fill="CFF0FC"/>
          </w:tcPr>
          <w:p>
            <w:pPr>
              <w:spacing w:after="0"/>
              <w:rPr>
                <w:sz w:val="9"/>
                <w:szCs w:val="9"/>
                <w:color w:val="auto"/>
              </w:rPr>
            </w:pPr>
          </w:p>
        </w:tc>
        <w:tc>
          <w:tcPr>
            <w:tcW w:w="11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10/6/2021</w:t>
            </w:r>
          </w:p>
        </w:tc>
        <w:tc>
          <w:tcPr>
            <w:tcW w:w="62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129</w:t>
            </w:r>
          </w:p>
        </w:tc>
        <w:tc>
          <w:tcPr>
            <w:tcW w:w="2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129</w:t>
            </w:r>
          </w:p>
        </w:tc>
        <w:tc>
          <w:tcPr>
            <w:tcW w:w="10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r>
      <w:tr>
        <w:trPr>
          <w:trHeight w:val="102"/>
        </w:trPr>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18,421</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18,421</w:t>
            </w:r>
          </w:p>
        </w:tc>
        <w:tc>
          <w:tcPr>
            <w:tcW w:w="860" w:type="dxa"/>
            <w:vAlign w:val="bottom"/>
            <w:gridSpan w:val="3"/>
          </w:tcPr>
          <w:p>
            <w:pPr>
              <w:jc w:val="right"/>
              <w:ind w:right="20"/>
              <w:spacing w:after="0" w:line="102" w:lineRule="exact"/>
              <w:rPr>
                <w:sz w:val="20"/>
                <w:szCs w:val="20"/>
                <w:color w:val="auto"/>
              </w:rPr>
            </w:pPr>
            <w:r>
              <w:rPr>
                <w:rFonts w:ascii="Arial" w:cs="Arial" w:eastAsia="Arial" w:hAnsi="Arial"/>
                <w:sz w:val="9"/>
                <w:szCs w:val="9"/>
                <w:color w:val="auto"/>
              </w:rPr>
              <w:t>4 %</w:t>
            </w:r>
          </w:p>
        </w:tc>
      </w:tr>
      <w:tr>
        <w:trPr>
          <w:trHeight w:val="108"/>
        </w:trPr>
        <w:tc>
          <w:tcPr>
            <w:tcW w:w="27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Aeronix Inc.</w:t>
            </w:r>
          </w:p>
        </w:tc>
        <w:tc>
          <w:tcPr>
            <w:tcW w:w="1900" w:type="dxa"/>
            <w:vAlign w:val="bottom"/>
            <w:shd w:val="clear" w:color="auto" w:fill="CFF0FC"/>
          </w:tcPr>
          <w:p>
            <w:pPr>
              <w:ind w:left="340"/>
              <w:spacing w:after="0"/>
              <w:rPr>
                <w:sz w:val="20"/>
                <w:szCs w:val="20"/>
                <w:color w:val="auto"/>
              </w:rPr>
            </w:pPr>
            <w:r>
              <w:rPr>
                <w:rFonts w:ascii="Arial" w:cs="Arial" w:eastAsia="Arial" w:hAnsi="Arial"/>
                <w:sz w:val="9"/>
                <w:szCs w:val="9"/>
                <w:color w:val="auto"/>
              </w:rPr>
              <w:t>Aerospace &amp; Defense Manufacturing</w:t>
            </w: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First Lien Debt (ai)</w:t>
            </w:r>
          </w:p>
        </w:tc>
        <w:tc>
          <w:tcPr>
            <w:tcW w:w="1900" w:type="dxa"/>
            <w:vAlign w:val="bottom"/>
          </w:tcPr>
          <w:p>
            <w:pPr>
              <w:spacing w:after="0"/>
              <w:rPr>
                <w:sz w:val="9"/>
                <w:szCs w:val="9"/>
                <w:color w:val="auto"/>
              </w:rPr>
            </w:pPr>
          </w:p>
        </w:tc>
        <w:tc>
          <w:tcPr>
            <w:tcW w:w="1160" w:type="dxa"/>
            <w:vAlign w:val="bottom"/>
          </w:tcPr>
          <w:p>
            <w:pPr>
              <w:ind w:left="200"/>
              <w:spacing w:after="0"/>
              <w:rPr>
                <w:sz w:val="20"/>
                <w:szCs w:val="20"/>
                <w:color w:val="auto"/>
              </w:rPr>
            </w:pPr>
            <w:r>
              <w:rPr>
                <w:rFonts w:ascii="Arial" w:cs="Arial" w:eastAsia="Arial" w:hAnsi="Arial"/>
                <w:sz w:val="9"/>
                <w:szCs w:val="9"/>
                <w:color w:val="auto"/>
              </w:rPr>
              <w:t>(L + 5.88%) / (0.50%)</w:t>
            </w:r>
          </w:p>
        </w:tc>
        <w:tc>
          <w:tcPr>
            <w:tcW w:w="820" w:type="dxa"/>
            <w:vAlign w:val="bottom"/>
          </w:tcPr>
          <w:p>
            <w:pPr>
              <w:ind w:left="120"/>
              <w:spacing w:after="0"/>
              <w:rPr>
                <w:sz w:val="20"/>
                <w:szCs w:val="20"/>
                <w:color w:val="auto"/>
              </w:rPr>
            </w:pPr>
            <w:r>
              <w:rPr>
                <w:rFonts w:ascii="Arial" w:cs="Arial" w:eastAsia="Arial" w:hAnsi="Arial"/>
                <w:sz w:val="9"/>
                <w:szCs w:val="9"/>
                <w:color w:val="auto"/>
              </w:rPr>
              <w:t>6.38%/0.00%</w:t>
            </w:r>
          </w:p>
        </w:tc>
        <w:tc>
          <w:tcPr>
            <w:tcW w:w="720" w:type="dxa"/>
            <w:vAlign w:val="bottom"/>
          </w:tcPr>
          <w:p>
            <w:pPr>
              <w:ind w:left="180"/>
              <w:spacing w:after="0"/>
              <w:rPr>
                <w:sz w:val="20"/>
                <w:szCs w:val="20"/>
                <w:color w:val="auto"/>
              </w:rPr>
            </w:pPr>
            <w:r>
              <w:rPr>
                <w:rFonts w:ascii="Arial" w:cs="Arial" w:eastAsia="Arial" w:hAnsi="Arial"/>
                <w:sz w:val="9"/>
                <w:szCs w:val="9"/>
                <w:color w:val="auto"/>
              </w:rPr>
              <w:t>6/11/2021</w:t>
            </w:r>
          </w:p>
        </w:tc>
        <w:tc>
          <w:tcPr>
            <w:tcW w:w="620" w:type="dxa"/>
            <w:vAlign w:val="bottom"/>
          </w:tcPr>
          <w:p>
            <w:pPr>
              <w:ind w:left="100"/>
              <w:spacing w:after="0"/>
              <w:rPr>
                <w:sz w:val="20"/>
                <w:szCs w:val="20"/>
                <w:color w:val="auto"/>
              </w:rPr>
            </w:pPr>
            <w:r>
              <w:rPr>
                <w:rFonts w:ascii="Arial" w:cs="Arial" w:eastAsia="Arial" w:hAnsi="Arial"/>
                <w:sz w:val="9"/>
                <w:szCs w:val="9"/>
                <w:color w:val="auto"/>
              </w:rPr>
              <w:t>6/11/2026</w:t>
            </w:r>
          </w:p>
        </w:tc>
        <w:tc>
          <w:tcPr>
            <w:tcW w:w="1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14,250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14,165</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14,250</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(500 units)</w:t>
            </w:r>
          </w:p>
        </w:tc>
        <w:tc>
          <w:tcPr>
            <w:tcW w:w="1900" w:type="dxa"/>
            <w:vAlign w:val="bottom"/>
            <w:tcBorders>
              <w:bottom w:val="single" w:sz="8" w:color="CFF0FC"/>
            </w:tcBorders>
            <w:shd w:val="clear" w:color="auto" w:fill="CFF0FC"/>
          </w:tcPr>
          <w:p>
            <w:pPr>
              <w:spacing w:after="0"/>
              <w:rPr>
                <w:sz w:val="9"/>
                <w:szCs w:val="9"/>
                <w:color w:val="auto"/>
              </w:rPr>
            </w:pPr>
          </w:p>
        </w:tc>
        <w:tc>
          <w:tcPr>
            <w:tcW w:w="11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6/11/2021</w:t>
            </w:r>
          </w:p>
        </w:tc>
        <w:tc>
          <w:tcPr>
            <w:tcW w:w="62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2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742</w:t>
            </w:r>
          </w:p>
        </w:tc>
        <w:tc>
          <w:tcPr>
            <w:tcW w:w="10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r>
      <w:tr>
        <w:trPr>
          <w:trHeight w:val="102"/>
        </w:trPr>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14,665</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14,992</w:t>
            </w:r>
          </w:p>
        </w:tc>
        <w:tc>
          <w:tcPr>
            <w:tcW w:w="860" w:type="dxa"/>
            <w:vAlign w:val="bottom"/>
            <w:gridSpan w:val="3"/>
          </w:tcPr>
          <w:p>
            <w:pPr>
              <w:jc w:val="right"/>
              <w:ind w:right="20"/>
              <w:spacing w:after="0" w:line="102" w:lineRule="exact"/>
              <w:rPr>
                <w:sz w:val="20"/>
                <w:szCs w:val="20"/>
                <w:color w:val="auto"/>
              </w:rPr>
            </w:pPr>
            <w:r>
              <w:rPr>
                <w:rFonts w:ascii="Arial" w:cs="Arial" w:eastAsia="Arial" w:hAnsi="Arial"/>
                <w:sz w:val="9"/>
                <w:szCs w:val="9"/>
                <w:color w:val="auto"/>
              </w:rPr>
              <w:t>3 %</w:t>
            </w:r>
          </w:p>
        </w:tc>
      </w:tr>
      <w:tr>
        <w:trPr>
          <w:trHeight w:val="108"/>
        </w:trPr>
        <w:tc>
          <w:tcPr>
            <w:tcW w:w="27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Allredi, LLC (fka Marco Group International OpCo, LLC)</w:t>
            </w:r>
          </w:p>
        </w:tc>
        <w:tc>
          <w:tcPr>
            <w:tcW w:w="1900" w:type="dxa"/>
            <w:vAlign w:val="bottom"/>
            <w:shd w:val="clear" w:color="auto" w:fill="CFF0FC"/>
          </w:tcPr>
          <w:p>
            <w:pPr>
              <w:ind w:left="340"/>
              <w:spacing w:after="0"/>
              <w:rPr>
                <w:sz w:val="20"/>
                <w:szCs w:val="20"/>
                <w:color w:val="auto"/>
              </w:rPr>
            </w:pPr>
            <w:r>
              <w:rPr>
                <w:rFonts w:ascii="Arial" w:cs="Arial" w:eastAsia="Arial" w:hAnsi="Arial"/>
                <w:sz w:val="9"/>
                <w:szCs w:val="9"/>
                <w:color w:val="auto"/>
              </w:rPr>
              <w:t>Industrial Cleaning &amp; Coatings</w:t>
            </w: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Second Lien Debt</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10.50%/1.75%</w:t>
            </w:r>
          </w:p>
        </w:tc>
        <w:tc>
          <w:tcPr>
            <w:tcW w:w="720" w:type="dxa"/>
            <w:vAlign w:val="bottom"/>
          </w:tcPr>
          <w:p>
            <w:pPr>
              <w:ind w:left="180"/>
              <w:spacing w:after="0"/>
              <w:rPr>
                <w:sz w:val="20"/>
                <w:szCs w:val="20"/>
                <w:color w:val="auto"/>
              </w:rPr>
            </w:pPr>
            <w:r>
              <w:rPr>
                <w:rFonts w:ascii="Arial" w:cs="Arial" w:eastAsia="Arial" w:hAnsi="Arial"/>
                <w:sz w:val="9"/>
                <w:szCs w:val="9"/>
                <w:color w:val="auto"/>
              </w:rPr>
              <w:t>3/2/2020</w:t>
            </w:r>
          </w:p>
        </w:tc>
        <w:tc>
          <w:tcPr>
            <w:tcW w:w="620" w:type="dxa"/>
            <w:vAlign w:val="bottom"/>
          </w:tcPr>
          <w:p>
            <w:pPr>
              <w:ind w:left="100"/>
              <w:spacing w:after="0"/>
              <w:rPr>
                <w:sz w:val="20"/>
                <w:szCs w:val="20"/>
                <w:color w:val="auto"/>
              </w:rPr>
            </w:pPr>
            <w:r>
              <w:rPr>
                <w:rFonts w:ascii="Arial" w:cs="Arial" w:eastAsia="Arial" w:hAnsi="Arial"/>
                <w:sz w:val="9"/>
                <w:szCs w:val="9"/>
                <w:color w:val="auto"/>
              </w:rPr>
              <w:t>9/2/2026</w:t>
            </w:r>
          </w:p>
        </w:tc>
        <w:tc>
          <w:tcPr>
            <w:tcW w:w="1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10,260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10,189</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8,317</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(570,636 units) (h)(j)</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7/21/2017</w:t>
            </w: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637</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166</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Common Equity (39,443 units) (h)(j)</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11/24/2021</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65</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1"/>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260" w:type="dxa"/>
            <w:vAlign w:val="bottom"/>
            <w:shd w:val="clear" w:color="auto" w:fill="CFF0FC"/>
          </w:tcPr>
          <w:p>
            <w:pPr>
              <w:spacing w:after="0"/>
              <w:rPr>
                <w:sz w:val="8"/>
                <w:szCs w:val="8"/>
                <w:color w:val="auto"/>
              </w:rPr>
            </w:pPr>
          </w:p>
        </w:tc>
        <w:tc>
          <w:tcPr>
            <w:tcW w:w="190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10,848</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8,548</w:t>
            </w:r>
          </w:p>
        </w:tc>
        <w:tc>
          <w:tcPr>
            <w:tcW w:w="860" w:type="dxa"/>
            <w:vAlign w:val="bottom"/>
            <w:gridSpan w:val="3"/>
            <w:shd w:val="clear" w:color="auto" w:fill="CFF0FC"/>
          </w:tcPr>
          <w:p>
            <w:pPr>
              <w:jc w:val="right"/>
              <w:ind w:right="20"/>
              <w:spacing w:after="0" w:line="102" w:lineRule="exact"/>
              <w:rPr>
                <w:sz w:val="20"/>
                <w:szCs w:val="20"/>
                <w:color w:val="auto"/>
              </w:rPr>
            </w:pPr>
            <w:r>
              <w:rPr>
                <w:rFonts w:ascii="Arial" w:cs="Arial" w:eastAsia="Arial" w:hAnsi="Arial"/>
                <w:sz w:val="9"/>
                <w:szCs w:val="9"/>
                <w:color w:val="auto"/>
              </w:rPr>
              <w:t>2 %</w:t>
            </w:r>
          </w:p>
        </w:tc>
      </w:tr>
      <w:tr>
        <w:trPr>
          <w:trHeight w:val="108"/>
        </w:trPr>
        <w:tc>
          <w:tcPr>
            <w:tcW w:w="2740" w:type="dxa"/>
            <w:vAlign w:val="bottom"/>
            <w:gridSpan w:val="3"/>
          </w:tcPr>
          <w:p>
            <w:pPr>
              <w:ind w:left="20"/>
              <w:spacing w:after="0"/>
              <w:rPr>
                <w:sz w:val="20"/>
                <w:szCs w:val="20"/>
                <w:color w:val="auto"/>
              </w:rPr>
            </w:pPr>
            <w:r>
              <w:rPr>
                <w:rFonts w:ascii="Arial" w:cs="Arial" w:eastAsia="Arial" w:hAnsi="Arial"/>
                <w:sz w:val="9"/>
                <w:szCs w:val="9"/>
                <w:i w:val="1"/>
                <w:iCs w:val="1"/>
                <w:color w:val="auto"/>
              </w:rPr>
              <w:t>American AllWaste LLC (dba WasteWater Transport Services)</w:t>
            </w:r>
          </w:p>
        </w:tc>
        <w:tc>
          <w:tcPr>
            <w:tcW w:w="1900" w:type="dxa"/>
            <w:vAlign w:val="bottom"/>
          </w:tcPr>
          <w:p>
            <w:pPr>
              <w:ind w:left="340"/>
              <w:spacing w:after="0"/>
              <w:rPr>
                <w:sz w:val="20"/>
                <w:szCs w:val="20"/>
                <w:color w:val="auto"/>
              </w:rPr>
            </w:pPr>
            <w:r>
              <w:rPr>
                <w:rFonts w:ascii="Arial" w:cs="Arial" w:eastAsia="Arial" w:hAnsi="Arial"/>
                <w:sz w:val="9"/>
                <w:szCs w:val="9"/>
                <w:color w:val="auto"/>
              </w:rPr>
              <w:t>Environmental Industries</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(j)(p)</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ind w:left="200"/>
              <w:spacing w:after="0"/>
              <w:rPr>
                <w:sz w:val="20"/>
                <w:szCs w:val="20"/>
                <w:color w:val="auto"/>
              </w:rPr>
            </w:pPr>
            <w:r>
              <w:rPr>
                <w:rFonts w:ascii="Arial" w:cs="Arial" w:eastAsia="Arial" w:hAnsi="Arial"/>
                <w:sz w:val="9"/>
                <w:szCs w:val="9"/>
                <w:color w:val="auto"/>
              </w:rPr>
              <w:t>(L + 6.15%) / (1.00%)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7.15%/0.00%</w:t>
            </w: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6/28/2021</w:t>
            </w:r>
          </w:p>
        </w:tc>
        <w:tc>
          <w:tcPr>
            <w:tcW w:w="620" w:type="dxa"/>
            <w:vAlign w:val="bottom"/>
            <w:shd w:val="clear" w:color="auto" w:fill="CFF0FC"/>
          </w:tcPr>
          <w:p>
            <w:pPr>
              <w:ind w:left="100"/>
              <w:spacing w:after="0"/>
              <w:rPr>
                <w:sz w:val="20"/>
                <w:szCs w:val="20"/>
                <w:color w:val="auto"/>
              </w:rPr>
            </w:pPr>
            <w:r>
              <w:rPr>
                <w:rFonts w:ascii="Arial" w:cs="Arial" w:eastAsia="Arial" w:hAnsi="Arial"/>
                <w:sz w:val="9"/>
                <w:szCs w:val="9"/>
                <w:color w:val="auto"/>
              </w:rPr>
              <w:t>6/28/2026</w:t>
            </w: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20,500</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20,281</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20,281</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First Lien Debt (j)(o)</w:t>
            </w:r>
          </w:p>
        </w:tc>
        <w:tc>
          <w:tcPr>
            <w:tcW w:w="1900" w:type="dxa"/>
            <w:vAlign w:val="bottom"/>
          </w:tcPr>
          <w:p>
            <w:pPr>
              <w:spacing w:after="0"/>
              <w:rPr>
                <w:sz w:val="9"/>
                <w:szCs w:val="9"/>
                <w:color w:val="auto"/>
              </w:rPr>
            </w:pPr>
          </w:p>
        </w:tc>
        <w:tc>
          <w:tcPr>
            <w:tcW w:w="1160" w:type="dxa"/>
            <w:vAlign w:val="bottom"/>
          </w:tcPr>
          <w:p>
            <w:pPr>
              <w:ind w:left="200"/>
              <w:spacing w:after="0"/>
              <w:rPr>
                <w:sz w:val="20"/>
                <w:szCs w:val="20"/>
                <w:color w:val="auto"/>
              </w:rPr>
            </w:pPr>
            <w:r>
              <w:rPr>
                <w:rFonts w:ascii="Arial" w:cs="Arial" w:eastAsia="Arial" w:hAnsi="Arial"/>
                <w:sz w:val="9"/>
                <w:szCs w:val="9"/>
                <w:color w:val="auto"/>
              </w:rPr>
              <w:t>(L + 3.75%) / (1.00%)</w:t>
            </w:r>
          </w:p>
        </w:tc>
        <w:tc>
          <w:tcPr>
            <w:tcW w:w="820" w:type="dxa"/>
            <w:vAlign w:val="bottom"/>
          </w:tcPr>
          <w:p>
            <w:pPr>
              <w:ind w:left="120"/>
              <w:spacing w:after="0"/>
              <w:rPr>
                <w:sz w:val="20"/>
                <w:szCs w:val="20"/>
                <w:color w:val="auto"/>
              </w:rPr>
            </w:pPr>
            <w:r>
              <w:rPr>
                <w:rFonts w:ascii="Arial" w:cs="Arial" w:eastAsia="Arial" w:hAnsi="Arial"/>
                <w:sz w:val="9"/>
                <w:szCs w:val="9"/>
                <w:color w:val="auto"/>
              </w:rPr>
              <w:t>4.75%/0.00%</w:t>
            </w:r>
          </w:p>
        </w:tc>
        <w:tc>
          <w:tcPr>
            <w:tcW w:w="720" w:type="dxa"/>
            <w:vAlign w:val="bottom"/>
          </w:tcPr>
          <w:p>
            <w:pPr>
              <w:ind w:left="180"/>
              <w:spacing w:after="0"/>
              <w:rPr>
                <w:sz w:val="20"/>
                <w:szCs w:val="20"/>
                <w:color w:val="auto"/>
              </w:rPr>
            </w:pPr>
            <w:r>
              <w:rPr>
                <w:rFonts w:ascii="Arial" w:cs="Arial" w:eastAsia="Arial" w:hAnsi="Arial"/>
                <w:sz w:val="9"/>
                <w:szCs w:val="9"/>
                <w:color w:val="auto"/>
              </w:rPr>
              <w:t>6/28/2021</w:t>
            </w:r>
          </w:p>
        </w:tc>
        <w:tc>
          <w:tcPr>
            <w:tcW w:w="620" w:type="dxa"/>
            <w:vAlign w:val="bottom"/>
          </w:tcPr>
          <w:p>
            <w:pPr>
              <w:ind w:left="100"/>
              <w:spacing w:after="0"/>
              <w:rPr>
                <w:sz w:val="20"/>
                <w:szCs w:val="20"/>
                <w:color w:val="auto"/>
              </w:rPr>
            </w:pPr>
            <w:r>
              <w:rPr>
                <w:rFonts w:ascii="Arial" w:cs="Arial" w:eastAsia="Arial" w:hAnsi="Arial"/>
                <w:sz w:val="9"/>
                <w:szCs w:val="9"/>
                <w:color w:val="auto"/>
              </w:rPr>
              <w:t>12/31/2022</w:t>
            </w:r>
          </w:p>
        </w:tc>
        <w:tc>
          <w:tcPr>
            <w:tcW w:w="1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330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330</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330</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Preferred Equity (500 units) (h)(j)</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5/31/2018</w:t>
            </w: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439</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Preferred Equity (207 units) (h)(j)</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8/6/2019</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250</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187</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Preferred Equity (141 units) (h)(j)</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11/2/2020</w:t>
            </w: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171</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128</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Preferred Equity (74 units) (h)(j)</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12/29/2021</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97</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97</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1"/>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260" w:type="dxa"/>
            <w:vAlign w:val="bottom"/>
            <w:shd w:val="clear" w:color="auto" w:fill="CFF0FC"/>
          </w:tcPr>
          <w:p>
            <w:pPr>
              <w:spacing w:after="0"/>
              <w:rPr>
                <w:sz w:val="8"/>
                <w:szCs w:val="8"/>
                <w:color w:val="auto"/>
              </w:rPr>
            </w:pPr>
          </w:p>
        </w:tc>
        <w:tc>
          <w:tcPr>
            <w:tcW w:w="190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21,629</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21,462</w:t>
            </w:r>
          </w:p>
        </w:tc>
        <w:tc>
          <w:tcPr>
            <w:tcW w:w="860" w:type="dxa"/>
            <w:vAlign w:val="bottom"/>
            <w:gridSpan w:val="3"/>
            <w:shd w:val="clear" w:color="auto" w:fill="CFF0FC"/>
          </w:tcPr>
          <w:p>
            <w:pPr>
              <w:jc w:val="right"/>
              <w:ind w:right="20"/>
              <w:spacing w:after="0" w:line="102" w:lineRule="exact"/>
              <w:rPr>
                <w:sz w:val="20"/>
                <w:szCs w:val="20"/>
                <w:color w:val="auto"/>
              </w:rPr>
            </w:pPr>
            <w:r>
              <w:rPr>
                <w:rFonts w:ascii="Arial" w:cs="Arial" w:eastAsia="Arial" w:hAnsi="Arial"/>
                <w:sz w:val="9"/>
                <w:szCs w:val="9"/>
                <w:color w:val="auto"/>
              </w:rPr>
              <w:t>4 %</w:t>
            </w:r>
          </w:p>
        </w:tc>
      </w:tr>
      <w:tr>
        <w:trPr>
          <w:trHeight w:val="108"/>
        </w:trPr>
        <w:tc>
          <w:tcPr>
            <w:tcW w:w="2740" w:type="dxa"/>
            <w:vAlign w:val="bottom"/>
            <w:gridSpan w:val="3"/>
          </w:tcPr>
          <w:p>
            <w:pPr>
              <w:ind w:left="20"/>
              <w:spacing w:after="0"/>
              <w:rPr>
                <w:sz w:val="20"/>
                <w:szCs w:val="20"/>
                <w:color w:val="auto"/>
              </w:rPr>
            </w:pPr>
            <w:r>
              <w:rPr>
                <w:rFonts w:ascii="Arial" w:cs="Arial" w:eastAsia="Arial" w:hAnsi="Arial"/>
                <w:sz w:val="9"/>
                <w:szCs w:val="9"/>
                <w:i w:val="1"/>
                <w:iCs w:val="1"/>
                <w:color w:val="auto"/>
              </w:rPr>
              <w:t>Applied Data Corporation</w:t>
            </w:r>
          </w:p>
        </w:tc>
        <w:tc>
          <w:tcPr>
            <w:tcW w:w="1900" w:type="dxa"/>
            <w:vAlign w:val="bottom"/>
          </w:tcPr>
          <w:p>
            <w:pPr>
              <w:ind w:left="340"/>
              <w:spacing w:after="0"/>
              <w:rPr>
                <w:sz w:val="20"/>
                <w:szCs w:val="20"/>
                <w:color w:val="auto"/>
              </w:rPr>
            </w:pPr>
            <w:r>
              <w:rPr>
                <w:rFonts w:ascii="Arial" w:cs="Arial" w:eastAsia="Arial" w:hAnsi="Arial"/>
                <w:sz w:val="9"/>
                <w:szCs w:val="9"/>
                <w:color w:val="auto"/>
              </w:rPr>
              <w:t>Information Technology Services</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(k)(v)</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ind w:left="200"/>
              <w:spacing w:after="0"/>
              <w:rPr>
                <w:sz w:val="20"/>
                <w:szCs w:val="20"/>
                <w:color w:val="auto"/>
              </w:rPr>
            </w:pPr>
            <w:r>
              <w:rPr>
                <w:rFonts w:ascii="Arial" w:cs="Arial" w:eastAsia="Arial" w:hAnsi="Arial"/>
                <w:sz w:val="9"/>
                <w:szCs w:val="9"/>
                <w:color w:val="auto"/>
              </w:rPr>
              <w:t>(L + 6.25%) / (1.50%)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7.75%/0.00%</w:t>
            </w: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11/6/2020</w:t>
            </w:r>
          </w:p>
        </w:tc>
        <w:tc>
          <w:tcPr>
            <w:tcW w:w="620" w:type="dxa"/>
            <w:vAlign w:val="bottom"/>
            <w:shd w:val="clear" w:color="auto" w:fill="CFF0FC"/>
          </w:tcPr>
          <w:p>
            <w:pPr>
              <w:ind w:left="100"/>
              <w:spacing w:after="0"/>
              <w:rPr>
                <w:sz w:val="20"/>
                <w:szCs w:val="20"/>
                <w:color w:val="auto"/>
              </w:rPr>
            </w:pPr>
            <w:r>
              <w:rPr>
                <w:rFonts w:ascii="Arial" w:cs="Arial" w:eastAsia="Arial" w:hAnsi="Arial"/>
                <w:sz w:val="9"/>
                <w:szCs w:val="9"/>
                <w:color w:val="auto"/>
              </w:rPr>
              <w:t>11/6/2025</w:t>
            </w: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11,500</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11,441</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11,500</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Common Equity (22 units)</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11/6/2020</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15</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111</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Preferred Equity (1,104,539 units)</w:t>
            </w:r>
          </w:p>
        </w:tc>
        <w:tc>
          <w:tcPr>
            <w:tcW w:w="1900" w:type="dxa"/>
            <w:vAlign w:val="bottom"/>
            <w:tcBorders>
              <w:bottom w:val="single" w:sz="8" w:color="CFF0FC"/>
            </w:tcBorders>
            <w:shd w:val="clear" w:color="auto" w:fill="CFF0FC"/>
          </w:tcPr>
          <w:p>
            <w:pPr>
              <w:spacing w:after="0"/>
              <w:rPr>
                <w:sz w:val="9"/>
                <w:szCs w:val="9"/>
                <w:color w:val="auto"/>
              </w:rPr>
            </w:pPr>
          </w:p>
        </w:tc>
        <w:tc>
          <w:tcPr>
            <w:tcW w:w="11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11/6/2020</w:t>
            </w:r>
          </w:p>
        </w:tc>
        <w:tc>
          <w:tcPr>
            <w:tcW w:w="62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1,105</w:t>
            </w:r>
          </w:p>
        </w:tc>
        <w:tc>
          <w:tcPr>
            <w:tcW w:w="2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1,194</w:t>
            </w:r>
          </w:p>
        </w:tc>
        <w:tc>
          <w:tcPr>
            <w:tcW w:w="10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r>
      <w:tr>
        <w:trPr>
          <w:trHeight w:val="101"/>
        </w:trPr>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12,561</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12,805</w:t>
            </w:r>
          </w:p>
        </w:tc>
        <w:tc>
          <w:tcPr>
            <w:tcW w:w="860" w:type="dxa"/>
            <w:vAlign w:val="bottom"/>
            <w:gridSpan w:val="3"/>
          </w:tcPr>
          <w:p>
            <w:pPr>
              <w:jc w:val="right"/>
              <w:ind w:right="20"/>
              <w:spacing w:after="0" w:line="102" w:lineRule="exact"/>
              <w:rPr>
                <w:sz w:val="20"/>
                <w:szCs w:val="20"/>
                <w:color w:val="auto"/>
              </w:rPr>
            </w:pPr>
            <w:r>
              <w:rPr>
                <w:rFonts w:ascii="Arial" w:cs="Arial" w:eastAsia="Arial" w:hAnsi="Arial"/>
                <w:sz w:val="9"/>
                <w:szCs w:val="9"/>
                <w:color w:val="auto"/>
              </w:rPr>
              <w:t>3 %</w:t>
            </w:r>
          </w:p>
        </w:tc>
      </w:tr>
      <w:tr>
        <w:trPr>
          <w:trHeight w:val="108"/>
        </w:trPr>
        <w:tc>
          <w:tcPr>
            <w:tcW w:w="27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Argo Turboserve Corporation</w:t>
            </w:r>
          </w:p>
        </w:tc>
        <w:tc>
          <w:tcPr>
            <w:tcW w:w="1900" w:type="dxa"/>
            <w:vAlign w:val="bottom"/>
            <w:shd w:val="clear" w:color="auto" w:fill="CFF0FC"/>
          </w:tcPr>
          <w:p>
            <w:pPr>
              <w:ind w:left="340"/>
              <w:spacing w:after="0"/>
              <w:rPr>
                <w:sz w:val="20"/>
                <w:szCs w:val="20"/>
                <w:color w:val="auto"/>
              </w:rPr>
            </w:pPr>
            <w:r>
              <w:rPr>
                <w:rFonts w:ascii="Arial" w:cs="Arial" w:eastAsia="Arial" w:hAnsi="Arial"/>
                <w:sz w:val="9"/>
                <w:szCs w:val="9"/>
                <w:color w:val="auto"/>
              </w:rPr>
              <w:t>Business Services</w:t>
            </w: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Second Lien Debt (j)</w:t>
            </w:r>
          </w:p>
        </w:tc>
        <w:tc>
          <w:tcPr>
            <w:tcW w:w="1900" w:type="dxa"/>
            <w:vAlign w:val="bottom"/>
          </w:tcPr>
          <w:p>
            <w:pPr>
              <w:spacing w:after="0"/>
              <w:rPr>
                <w:sz w:val="9"/>
                <w:szCs w:val="9"/>
                <w:color w:val="auto"/>
              </w:rPr>
            </w:pPr>
          </w:p>
        </w:tc>
        <w:tc>
          <w:tcPr>
            <w:tcW w:w="1160" w:type="dxa"/>
            <w:vAlign w:val="bottom"/>
          </w:tcPr>
          <w:p>
            <w:pPr>
              <w:ind w:left="200"/>
              <w:spacing w:after="0"/>
              <w:rPr>
                <w:sz w:val="20"/>
                <w:szCs w:val="20"/>
                <w:color w:val="auto"/>
              </w:rPr>
            </w:pPr>
            <w:r>
              <w:rPr>
                <w:rFonts w:ascii="Arial" w:cs="Arial" w:eastAsia="Arial" w:hAnsi="Arial"/>
                <w:sz w:val="9"/>
                <w:szCs w:val="9"/>
                <w:color w:val="auto"/>
              </w:rPr>
              <w:t>(L + 12.00%) / (2.00%)</w:t>
            </w:r>
          </w:p>
        </w:tc>
        <w:tc>
          <w:tcPr>
            <w:tcW w:w="820" w:type="dxa"/>
            <w:vAlign w:val="bottom"/>
          </w:tcPr>
          <w:p>
            <w:pPr>
              <w:ind w:left="120"/>
              <w:spacing w:after="0"/>
              <w:rPr>
                <w:sz w:val="20"/>
                <w:szCs w:val="20"/>
                <w:color w:val="auto"/>
              </w:rPr>
            </w:pPr>
            <w:r>
              <w:rPr>
                <w:rFonts w:ascii="Arial" w:cs="Arial" w:eastAsia="Arial" w:hAnsi="Arial"/>
                <w:sz w:val="9"/>
                <w:szCs w:val="9"/>
                <w:color w:val="auto"/>
              </w:rPr>
              <w:t>14.00%/0.00%</w:t>
            </w:r>
          </w:p>
        </w:tc>
        <w:tc>
          <w:tcPr>
            <w:tcW w:w="720" w:type="dxa"/>
            <w:vAlign w:val="bottom"/>
          </w:tcPr>
          <w:p>
            <w:pPr>
              <w:ind w:left="180"/>
              <w:spacing w:after="0"/>
              <w:rPr>
                <w:sz w:val="20"/>
                <w:szCs w:val="20"/>
                <w:color w:val="auto"/>
              </w:rPr>
            </w:pPr>
            <w:r>
              <w:rPr>
                <w:rFonts w:ascii="Arial" w:cs="Arial" w:eastAsia="Arial" w:hAnsi="Arial"/>
                <w:sz w:val="9"/>
                <w:szCs w:val="9"/>
                <w:color w:val="auto"/>
              </w:rPr>
              <w:t>12/26/2018</w:t>
            </w:r>
          </w:p>
        </w:tc>
        <w:tc>
          <w:tcPr>
            <w:tcW w:w="620" w:type="dxa"/>
            <w:vAlign w:val="bottom"/>
          </w:tcPr>
          <w:p>
            <w:pPr>
              <w:ind w:left="100"/>
              <w:spacing w:after="0"/>
              <w:rPr>
                <w:sz w:val="20"/>
                <w:szCs w:val="20"/>
                <w:color w:val="auto"/>
              </w:rPr>
            </w:pPr>
            <w:r>
              <w:rPr>
                <w:rFonts w:ascii="Arial" w:cs="Arial" w:eastAsia="Arial" w:hAnsi="Arial"/>
                <w:sz w:val="9"/>
                <w:szCs w:val="9"/>
                <w:color w:val="auto"/>
              </w:rPr>
              <w:t>6/28/2023</w:t>
            </w:r>
          </w:p>
        </w:tc>
        <w:tc>
          <w:tcPr>
            <w:tcW w:w="1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11,906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11,881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11,906</w:t>
            </w:r>
          </w:p>
        </w:tc>
        <w:tc>
          <w:tcPr>
            <w:tcW w:w="860" w:type="dxa"/>
            <w:vAlign w:val="bottom"/>
            <w:gridSpan w:val="3"/>
          </w:tcPr>
          <w:p>
            <w:pPr>
              <w:jc w:val="right"/>
              <w:ind w:right="20"/>
              <w:spacing w:after="0"/>
              <w:rPr>
                <w:sz w:val="20"/>
                <w:szCs w:val="20"/>
                <w:color w:val="auto"/>
              </w:rPr>
            </w:pPr>
            <w:r>
              <w:rPr>
                <w:rFonts w:ascii="Arial" w:cs="Arial" w:eastAsia="Arial" w:hAnsi="Arial"/>
                <w:sz w:val="9"/>
                <w:szCs w:val="9"/>
                <w:color w:val="auto"/>
              </w:rPr>
              <w:t>2 %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20"/>
              <w:spacing w:after="0"/>
              <w:rPr>
                <w:sz w:val="20"/>
                <w:szCs w:val="20"/>
                <w:color w:val="auto"/>
              </w:rPr>
            </w:pPr>
            <w:r>
              <w:rPr>
                <w:rFonts w:ascii="Arial" w:cs="Arial" w:eastAsia="Arial" w:hAnsi="Arial"/>
                <w:sz w:val="9"/>
                <w:szCs w:val="9"/>
                <w:i w:val="1"/>
                <w:iCs w:val="1"/>
                <w:color w:val="auto"/>
              </w:rPr>
              <w:t>Auto CRM LLC (dba Dealer Holdings)</w:t>
            </w:r>
          </w:p>
        </w:tc>
        <w:tc>
          <w:tcPr>
            <w:tcW w:w="1900" w:type="dxa"/>
            <w:vAlign w:val="bottom"/>
          </w:tcPr>
          <w:p>
            <w:pPr>
              <w:ind w:left="340"/>
              <w:spacing w:after="0"/>
              <w:rPr>
                <w:sz w:val="20"/>
                <w:szCs w:val="20"/>
                <w:color w:val="auto"/>
              </w:rPr>
            </w:pPr>
            <w:r>
              <w:rPr>
                <w:rFonts w:ascii="Arial" w:cs="Arial" w:eastAsia="Arial" w:hAnsi="Arial"/>
                <w:sz w:val="9"/>
                <w:szCs w:val="9"/>
                <w:color w:val="auto"/>
              </w:rPr>
              <w:t>Information Technology Services</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First Lien Debt (j)</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ind w:left="200"/>
              <w:spacing w:after="0"/>
              <w:rPr>
                <w:sz w:val="20"/>
                <w:szCs w:val="20"/>
                <w:color w:val="auto"/>
              </w:rPr>
            </w:pPr>
            <w:r>
              <w:rPr>
                <w:rFonts w:ascii="Arial" w:cs="Arial" w:eastAsia="Arial" w:hAnsi="Arial"/>
                <w:sz w:val="9"/>
                <w:szCs w:val="9"/>
                <w:color w:val="auto"/>
              </w:rPr>
              <w:t>(P + 5.50%) / (3.25%)</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8.75%/0.85%</w:t>
            </w: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10/1/2021</w:t>
            </w:r>
          </w:p>
        </w:tc>
        <w:tc>
          <w:tcPr>
            <w:tcW w:w="620" w:type="dxa"/>
            <w:vAlign w:val="bottom"/>
            <w:shd w:val="clear" w:color="auto" w:fill="CFF0FC"/>
          </w:tcPr>
          <w:p>
            <w:pPr>
              <w:ind w:left="100"/>
              <w:spacing w:after="0"/>
              <w:rPr>
                <w:sz w:val="20"/>
                <w:szCs w:val="20"/>
                <w:color w:val="auto"/>
              </w:rPr>
            </w:pPr>
            <w:r>
              <w:rPr>
                <w:rFonts w:ascii="Arial" w:cs="Arial" w:eastAsia="Arial" w:hAnsi="Arial"/>
                <w:sz w:val="9"/>
                <w:szCs w:val="9"/>
                <w:color w:val="auto"/>
              </w:rPr>
              <w:t>10/1/2026</w:t>
            </w: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7,516</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7,445</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7,445</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Subordinated Debt (j)</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0.00%/12.75%</w:t>
            </w:r>
          </w:p>
        </w:tc>
        <w:tc>
          <w:tcPr>
            <w:tcW w:w="720" w:type="dxa"/>
            <w:vAlign w:val="bottom"/>
          </w:tcPr>
          <w:p>
            <w:pPr>
              <w:ind w:left="180"/>
              <w:spacing w:after="0"/>
              <w:rPr>
                <w:sz w:val="20"/>
                <w:szCs w:val="20"/>
                <w:color w:val="auto"/>
              </w:rPr>
            </w:pPr>
            <w:r>
              <w:rPr>
                <w:rFonts w:ascii="Arial" w:cs="Arial" w:eastAsia="Arial" w:hAnsi="Arial"/>
                <w:sz w:val="9"/>
                <w:szCs w:val="9"/>
                <w:color w:val="auto"/>
              </w:rPr>
              <w:t>10/1/2021</w:t>
            </w:r>
          </w:p>
        </w:tc>
        <w:tc>
          <w:tcPr>
            <w:tcW w:w="620" w:type="dxa"/>
            <w:vAlign w:val="bottom"/>
          </w:tcPr>
          <w:p>
            <w:pPr>
              <w:ind w:left="100"/>
              <w:spacing w:after="0"/>
              <w:rPr>
                <w:sz w:val="20"/>
                <w:szCs w:val="20"/>
                <w:color w:val="auto"/>
              </w:rPr>
            </w:pPr>
            <w:r>
              <w:rPr>
                <w:rFonts w:ascii="Arial" w:cs="Arial" w:eastAsia="Arial" w:hAnsi="Arial"/>
                <w:sz w:val="9"/>
                <w:szCs w:val="9"/>
                <w:color w:val="auto"/>
              </w:rPr>
              <w:t>12/31/2026</w:t>
            </w:r>
          </w:p>
        </w:tc>
        <w:tc>
          <w:tcPr>
            <w:tcW w:w="1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516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512</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512</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(500 units) (j)</w:t>
            </w:r>
          </w:p>
        </w:tc>
        <w:tc>
          <w:tcPr>
            <w:tcW w:w="1900" w:type="dxa"/>
            <w:vAlign w:val="bottom"/>
            <w:tcBorders>
              <w:bottom w:val="single" w:sz="8" w:color="CFF0FC"/>
            </w:tcBorders>
            <w:shd w:val="clear" w:color="auto" w:fill="CFF0FC"/>
          </w:tcPr>
          <w:p>
            <w:pPr>
              <w:spacing w:after="0"/>
              <w:rPr>
                <w:sz w:val="9"/>
                <w:szCs w:val="9"/>
                <w:color w:val="auto"/>
              </w:rPr>
            </w:pPr>
          </w:p>
        </w:tc>
        <w:tc>
          <w:tcPr>
            <w:tcW w:w="11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10/1/2021</w:t>
            </w:r>
          </w:p>
        </w:tc>
        <w:tc>
          <w:tcPr>
            <w:tcW w:w="62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2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10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r>
      <w:tr>
        <w:trPr>
          <w:trHeight w:val="102"/>
        </w:trPr>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8,457</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8,457</w:t>
            </w:r>
          </w:p>
        </w:tc>
        <w:tc>
          <w:tcPr>
            <w:tcW w:w="860" w:type="dxa"/>
            <w:vAlign w:val="bottom"/>
            <w:gridSpan w:val="3"/>
          </w:tcPr>
          <w:p>
            <w:pPr>
              <w:jc w:val="right"/>
              <w:ind w:right="20"/>
              <w:spacing w:after="0" w:line="102" w:lineRule="exact"/>
              <w:rPr>
                <w:sz w:val="20"/>
                <w:szCs w:val="20"/>
                <w:color w:val="auto"/>
              </w:rPr>
            </w:pPr>
            <w:r>
              <w:rPr>
                <w:rFonts w:ascii="Arial" w:cs="Arial" w:eastAsia="Arial" w:hAnsi="Arial"/>
                <w:sz w:val="9"/>
                <w:szCs w:val="9"/>
                <w:color w:val="auto"/>
              </w:rPr>
              <w:t>2 %</w:t>
            </w:r>
          </w:p>
        </w:tc>
      </w:tr>
      <w:tr>
        <w:trPr>
          <w:trHeight w:val="108"/>
        </w:trPr>
        <w:tc>
          <w:tcPr>
            <w:tcW w:w="27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AVC Investors, LLC (dba Auveco)</w:t>
            </w:r>
          </w:p>
        </w:tc>
        <w:tc>
          <w:tcPr>
            <w:tcW w:w="1900" w:type="dxa"/>
            <w:vAlign w:val="bottom"/>
            <w:shd w:val="clear" w:color="auto" w:fill="CFF0FC"/>
          </w:tcPr>
          <w:p>
            <w:pPr>
              <w:ind w:left="340"/>
              <w:spacing w:after="0"/>
              <w:rPr>
                <w:sz w:val="20"/>
                <w:szCs w:val="20"/>
                <w:color w:val="auto"/>
              </w:rPr>
            </w:pPr>
            <w:r>
              <w:rPr>
                <w:rFonts w:ascii="Arial" w:cs="Arial" w:eastAsia="Arial" w:hAnsi="Arial"/>
                <w:sz w:val="9"/>
                <w:szCs w:val="9"/>
                <w:color w:val="auto"/>
              </w:rPr>
              <w:t>Specialty Distribution</w:t>
            </w: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Common Equity (5,000 units) (j)</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1/3/2018</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382</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751</w:t>
            </w:r>
          </w:p>
        </w:tc>
        <w:tc>
          <w:tcPr>
            <w:tcW w:w="860" w:type="dxa"/>
            <w:vAlign w:val="bottom"/>
            <w:gridSpan w:val="3"/>
          </w:tcPr>
          <w:p>
            <w:pPr>
              <w:jc w:val="right"/>
              <w:ind w:right="20"/>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20"/>
              <w:spacing w:after="0"/>
              <w:rPr>
                <w:sz w:val="20"/>
                <w:szCs w:val="20"/>
                <w:color w:val="auto"/>
              </w:rPr>
            </w:pPr>
            <w:r>
              <w:rPr>
                <w:rFonts w:ascii="Arial" w:cs="Arial" w:eastAsia="Arial" w:hAnsi="Arial"/>
                <w:sz w:val="9"/>
                <w:szCs w:val="9"/>
                <w:i w:val="1"/>
                <w:iCs w:val="1"/>
                <w:color w:val="auto"/>
              </w:rPr>
              <w:t>B&amp;B Roadway and Security Solutions, LLC (n)</w:t>
            </w:r>
          </w:p>
        </w:tc>
        <w:tc>
          <w:tcPr>
            <w:tcW w:w="1900" w:type="dxa"/>
            <w:vAlign w:val="bottom"/>
          </w:tcPr>
          <w:p>
            <w:pPr>
              <w:ind w:left="340"/>
              <w:spacing w:after="0"/>
              <w:rPr>
                <w:sz w:val="20"/>
                <w:szCs w:val="20"/>
                <w:color w:val="auto"/>
              </w:rPr>
            </w:pPr>
            <w:r>
              <w:rPr>
                <w:rFonts w:ascii="Arial" w:cs="Arial" w:eastAsia="Arial" w:hAnsi="Arial"/>
                <w:sz w:val="9"/>
                <w:szCs w:val="9"/>
                <w:color w:val="auto"/>
              </w:rPr>
              <w:t>Component Manufacturing</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Common Equity (50,000 units) (h)(j)</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2/27/2018</w:t>
            </w: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w:t>
            </w: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9"/>
                <w:szCs w:val="9"/>
                <w:i w:val="1"/>
                <w:iCs w:val="1"/>
                <w:color w:val="auto"/>
              </w:rPr>
              <w:t>Bandon Fitness (Texas), Inc.</w:t>
            </w:r>
          </w:p>
        </w:tc>
        <w:tc>
          <w:tcPr>
            <w:tcW w:w="1900" w:type="dxa"/>
            <w:vAlign w:val="bottom"/>
            <w:shd w:val="clear" w:color="auto" w:fill="CFF0FC"/>
          </w:tcPr>
          <w:p>
            <w:pPr>
              <w:ind w:left="340"/>
              <w:spacing w:after="0"/>
              <w:rPr>
                <w:sz w:val="20"/>
                <w:szCs w:val="20"/>
                <w:color w:val="auto"/>
              </w:rPr>
            </w:pPr>
            <w:r>
              <w:rPr>
                <w:rFonts w:ascii="Arial" w:cs="Arial" w:eastAsia="Arial" w:hAnsi="Arial"/>
                <w:sz w:val="9"/>
                <w:szCs w:val="9"/>
                <w:color w:val="auto"/>
              </w:rPr>
              <w:t>Retail</w:t>
            </w: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160"/>
              <w:spacing w:after="0"/>
              <w:rPr>
                <w:sz w:val="20"/>
                <w:szCs w:val="20"/>
                <w:color w:val="auto"/>
              </w:rPr>
            </w:pPr>
            <w:r>
              <w:rPr>
                <w:rFonts w:ascii="Arial" w:cs="Arial" w:eastAsia="Arial" w:hAnsi="Arial"/>
                <w:sz w:val="9"/>
                <w:szCs w:val="9"/>
                <w:color w:val="auto"/>
              </w:rPr>
              <w:t>Common Equity (545,810 units) (j)</w:t>
            </w:r>
          </w:p>
        </w:tc>
        <w:tc>
          <w:tcPr>
            <w:tcW w:w="1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ind w:left="180"/>
              <w:spacing w:after="0"/>
              <w:rPr>
                <w:sz w:val="20"/>
                <w:szCs w:val="20"/>
                <w:color w:val="auto"/>
              </w:rPr>
            </w:pPr>
            <w:r>
              <w:rPr>
                <w:rFonts w:ascii="Arial" w:cs="Arial" w:eastAsia="Arial" w:hAnsi="Arial"/>
                <w:sz w:val="9"/>
                <w:szCs w:val="9"/>
                <w:color w:val="auto"/>
              </w:rPr>
              <w:t>8/9/2019</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931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1,533</w:t>
            </w:r>
          </w:p>
        </w:tc>
        <w:tc>
          <w:tcPr>
            <w:tcW w:w="860" w:type="dxa"/>
            <w:vAlign w:val="bottom"/>
            <w:gridSpan w:val="3"/>
          </w:tcPr>
          <w:p>
            <w:pPr>
              <w:jc w:val="right"/>
              <w:ind w:right="20"/>
              <w:spacing w:after="0"/>
              <w:rPr>
                <w:sz w:val="20"/>
                <w:szCs w:val="20"/>
                <w:color w:val="auto"/>
              </w:rPr>
            </w:pPr>
            <w:r>
              <w:rPr>
                <w:rFonts w:ascii="Arial" w:cs="Arial" w:eastAsia="Arial" w:hAnsi="Arial"/>
                <w:sz w:val="9"/>
                <w:szCs w:val="9"/>
                <w:color w:val="auto"/>
              </w:rPr>
              <w:t>0 %</w:t>
            </w:r>
          </w:p>
        </w:tc>
      </w:tr>
      <w:tr>
        <w:trPr>
          <w:trHeight w:val="108"/>
        </w:trPr>
        <w:tc>
          <w:tcPr>
            <w:tcW w:w="92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2740" w:type="dxa"/>
            <w:vAlign w:val="bottom"/>
            <w:gridSpan w:val="3"/>
          </w:tcPr>
          <w:p>
            <w:pPr>
              <w:ind w:left="20"/>
              <w:spacing w:after="0"/>
              <w:rPr>
                <w:sz w:val="20"/>
                <w:szCs w:val="20"/>
                <w:color w:val="auto"/>
              </w:rPr>
            </w:pPr>
            <w:r>
              <w:rPr>
                <w:rFonts w:ascii="Arial" w:cs="Arial" w:eastAsia="Arial" w:hAnsi="Arial"/>
                <w:sz w:val="9"/>
                <w:szCs w:val="9"/>
                <w:i w:val="1"/>
                <w:iCs w:val="1"/>
                <w:color w:val="auto"/>
              </w:rPr>
              <w:t>BCM One Group Holdings, Inc.</w:t>
            </w:r>
          </w:p>
        </w:tc>
        <w:tc>
          <w:tcPr>
            <w:tcW w:w="1900" w:type="dxa"/>
            <w:vAlign w:val="bottom"/>
          </w:tcPr>
          <w:p>
            <w:pPr>
              <w:ind w:left="340"/>
              <w:spacing w:after="0"/>
              <w:rPr>
                <w:sz w:val="20"/>
                <w:szCs w:val="20"/>
                <w:color w:val="auto"/>
              </w:rPr>
            </w:pPr>
            <w:r>
              <w:rPr>
                <w:rFonts w:ascii="Arial" w:cs="Arial" w:eastAsia="Arial" w:hAnsi="Arial"/>
                <w:sz w:val="9"/>
                <w:szCs w:val="9"/>
                <w:color w:val="auto"/>
              </w:rPr>
              <w:t>Information Technology Services</w:t>
            </w: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740" w:type="dxa"/>
            <w:vAlign w:val="bottom"/>
            <w:tcBorders>
              <w:left w:val="single" w:sz="8" w:color="CFF0FC"/>
            </w:tcBorders>
            <w:gridSpan w:val="3"/>
            <w:shd w:val="clear" w:color="auto" w:fill="CFF0FC"/>
          </w:tcPr>
          <w:p>
            <w:pPr>
              <w:ind w:left="160"/>
              <w:spacing w:after="0"/>
              <w:rPr>
                <w:sz w:val="20"/>
                <w:szCs w:val="20"/>
                <w:color w:val="auto"/>
              </w:rPr>
            </w:pPr>
            <w:r>
              <w:rPr>
                <w:rFonts w:ascii="Arial" w:cs="Arial" w:eastAsia="Arial" w:hAnsi="Arial"/>
                <w:sz w:val="9"/>
                <w:szCs w:val="9"/>
                <w:color w:val="auto"/>
              </w:rPr>
              <w:t>Subordinated Debt (j)</w:t>
            </w:r>
          </w:p>
        </w:tc>
        <w:tc>
          <w:tcPr>
            <w:tcW w:w="19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10.25%/0.00%</w:t>
            </w:r>
          </w:p>
        </w:tc>
        <w:tc>
          <w:tcPr>
            <w:tcW w:w="720" w:type="dxa"/>
            <w:vAlign w:val="bottom"/>
            <w:shd w:val="clear" w:color="auto" w:fill="CFF0FC"/>
          </w:tcPr>
          <w:p>
            <w:pPr>
              <w:ind w:left="180"/>
              <w:spacing w:after="0"/>
              <w:rPr>
                <w:sz w:val="20"/>
                <w:szCs w:val="20"/>
                <w:color w:val="auto"/>
              </w:rPr>
            </w:pPr>
            <w:r>
              <w:rPr>
                <w:rFonts w:ascii="Arial" w:cs="Arial" w:eastAsia="Arial" w:hAnsi="Arial"/>
                <w:sz w:val="9"/>
                <w:szCs w:val="9"/>
                <w:color w:val="auto"/>
              </w:rPr>
              <w:t>11/17/2021</w:t>
            </w:r>
          </w:p>
        </w:tc>
        <w:tc>
          <w:tcPr>
            <w:tcW w:w="620" w:type="dxa"/>
            <w:vAlign w:val="bottom"/>
            <w:shd w:val="clear" w:color="auto" w:fill="CFF0FC"/>
          </w:tcPr>
          <w:p>
            <w:pPr>
              <w:ind w:left="100"/>
              <w:spacing w:after="0"/>
              <w:rPr>
                <w:sz w:val="20"/>
                <w:szCs w:val="20"/>
                <w:color w:val="auto"/>
              </w:rPr>
            </w:pPr>
            <w:r>
              <w:rPr>
                <w:rFonts w:ascii="Arial" w:cs="Arial" w:eastAsia="Arial" w:hAnsi="Arial"/>
                <w:sz w:val="9"/>
                <w:szCs w:val="9"/>
                <w:color w:val="auto"/>
              </w:rPr>
              <w:t>11/17/2028</w:t>
            </w:r>
          </w:p>
        </w:tc>
        <w:tc>
          <w:tcPr>
            <w:tcW w:w="1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10,000</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9"/>
                <w:szCs w:val="9"/>
                <w:color w:val="auto"/>
              </w:rPr>
              <w:t>9,950</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9"/>
                <w:szCs w:val="9"/>
                <w:color w:val="auto"/>
              </w:rPr>
              <w:t>9,950</w:t>
            </w: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9"/>
                <w:szCs w:val="9"/>
                <w:color w:val="auto"/>
              </w:rPr>
              <w:t>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-6325870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-6308725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-6325870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-6308725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-4213860</wp:posOffset>
            </wp:positionV>
            <wp:extent cx="685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-4213860</wp:posOffset>
            </wp:positionV>
            <wp:extent cx="685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-3931285</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-3931285</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-2927985</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-2927985</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-2645410</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-2645410</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-1384935</wp:posOffset>
            </wp:positionV>
            <wp:extent cx="685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-1384935</wp:posOffset>
            </wp:positionV>
            <wp:extent cx="685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-828040</wp:posOffset>
            </wp:positionV>
            <wp:extent cx="6858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-828040</wp:posOffset>
            </wp:positionV>
            <wp:extent cx="6858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08"/>
        </w:trPr>
        <w:tc>
          <w:tcPr>
            <w:tcW w:w="284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Bedford Precision Parts LLC</w:t>
            </w:r>
          </w:p>
        </w:tc>
        <w:tc>
          <w:tcPr>
            <w:tcW w:w="2960" w:type="dxa"/>
            <w:vAlign w:val="bottom"/>
            <w:shd w:val="clear" w:color="auto" w:fill="CFF0FC"/>
          </w:tcPr>
          <w:p>
            <w:pPr>
              <w:ind w:left="240"/>
              <w:spacing w:after="0"/>
              <w:rPr>
                <w:sz w:val="20"/>
                <w:szCs w:val="20"/>
                <w:color w:val="auto"/>
              </w:rPr>
            </w:pPr>
            <w:r>
              <w:rPr>
                <w:rFonts w:ascii="Arial" w:cs="Arial" w:eastAsia="Arial" w:hAnsi="Arial"/>
                <w:sz w:val="9"/>
                <w:szCs w:val="9"/>
                <w:color w:val="auto"/>
              </w:rPr>
              <w:t>Specialty Distribution</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First Lien Debt (j)(s)</w:t>
            </w:r>
          </w:p>
        </w:tc>
        <w:tc>
          <w:tcPr>
            <w:tcW w:w="2960" w:type="dxa"/>
            <w:vAlign w:val="bottom"/>
          </w:tcPr>
          <w:p>
            <w:pPr>
              <w:ind w:left="2000"/>
              <w:spacing w:after="0"/>
              <w:rPr>
                <w:sz w:val="20"/>
                <w:szCs w:val="20"/>
                <w:color w:val="auto"/>
              </w:rPr>
            </w:pPr>
            <w:r>
              <w:rPr>
                <w:rFonts w:ascii="Arial" w:cs="Arial" w:eastAsia="Arial" w:hAnsi="Arial"/>
                <w:sz w:val="9"/>
                <w:szCs w:val="9"/>
                <w:color w:val="auto"/>
              </w:rPr>
              <w:t>(L + 6.25%) / (1.00%)</w:t>
            </w:r>
          </w:p>
        </w:tc>
        <w:tc>
          <w:tcPr>
            <w:tcW w:w="820" w:type="dxa"/>
            <w:vAlign w:val="bottom"/>
          </w:tcPr>
          <w:p>
            <w:pPr>
              <w:ind w:left="120"/>
              <w:spacing w:after="0"/>
              <w:rPr>
                <w:sz w:val="20"/>
                <w:szCs w:val="20"/>
                <w:color w:val="auto"/>
              </w:rPr>
            </w:pPr>
            <w:r>
              <w:rPr>
                <w:rFonts w:ascii="Arial" w:cs="Arial" w:eastAsia="Arial" w:hAnsi="Arial"/>
                <w:sz w:val="9"/>
                <w:szCs w:val="9"/>
                <w:color w:val="auto"/>
              </w:rPr>
              <w:t>7.25%/0.00%</w:t>
            </w:r>
          </w:p>
        </w:tc>
        <w:tc>
          <w:tcPr>
            <w:tcW w:w="700" w:type="dxa"/>
            <w:vAlign w:val="bottom"/>
          </w:tcPr>
          <w:p>
            <w:pPr>
              <w:ind w:left="180"/>
              <w:spacing w:after="0"/>
              <w:rPr>
                <w:sz w:val="20"/>
                <w:szCs w:val="20"/>
                <w:color w:val="auto"/>
              </w:rPr>
            </w:pPr>
            <w:r>
              <w:rPr>
                <w:rFonts w:ascii="Arial" w:cs="Arial" w:eastAsia="Arial" w:hAnsi="Arial"/>
                <w:sz w:val="9"/>
                <w:szCs w:val="9"/>
                <w:color w:val="auto"/>
              </w:rPr>
              <w:t>3/12/2019</w:t>
            </w:r>
          </w:p>
        </w:tc>
        <w:tc>
          <w:tcPr>
            <w:tcW w:w="820" w:type="dxa"/>
            <w:vAlign w:val="bottom"/>
          </w:tcPr>
          <w:p>
            <w:pPr>
              <w:ind w:left="120"/>
              <w:spacing w:after="0"/>
              <w:rPr>
                <w:sz w:val="20"/>
                <w:szCs w:val="20"/>
                <w:color w:val="auto"/>
              </w:rPr>
            </w:pPr>
            <w:r>
              <w:rPr>
                <w:rFonts w:ascii="Arial" w:cs="Arial" w:eastAsia="Arial" w:hAnsi="Arial"/>
                <w:sz w:val="9"/>
                <w:szCs w:val="9"/>
                <w:color w:val="auto"/>
              </w:rPr>
              <w:t>3/12/2024</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4,531</w:t>
            </w:r>
          </w:p>
        </w:tc>
        <w:tc>
          <w:tcPr>
            <w:tcW w:w="620" w:type="dxa"/>
            <w:vAlign w:val="bottom"/>
          </w:tcPr>
          <w:p>
            <w:pPr>
              <w:jc w:val="right"/>
              <w:spacing w:after="0"/>
              <w:rPr>
                <w:sz w:val="20"/>
                <w:szCs w:val="20"/>
                <w:color w:val="auto"/>
              </w:rPr>
            </w:pPr>
            <w:r>
              <w:rPr>
                <w:rFonts w:ascii="Arial" w:cs="Arial" w:eastAsia="Arial" w:hAnsi="Arial"/>
                <w:sz w:val="9"/>
                <w:szCs w:val="9"/>
                <w:color w:val="auto"/>
              </w:rPr>
              <w:t>4,514</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4,531</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(500,000 units) (h)(j)</w:t>
            </w:r>
          </w:p>
        </w:tc>
        <w:tc>
          <w:tcPr>
            <w:tcW w:w="29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3/12/2019</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22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358</w:t>
            </w:r>
          </w:p>
        </w:tc>
        <w:tc>
          <w:tcPr>
            <w:tcW w:w="8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5,014</w:t>
            </w:r>
          </w:p>
        </w:tc>
        <w:tc>
          <w:tcPr>
            <w:tcW w:w="8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4,889</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Cardback Intermediate, LLC (dba Chargeback Gurus)</w:t>
            </w:r>
          </w:p>
        </w:tc>
        <w:tc>
          <w:tcPr>
            <w:tcW w:w="2960" w:type="dxa"/>
            <w:vAlign w:val="bottom"/>
            <w:shd w:val="clear" w:color="auto" w:fill="CFF0FC"/>
          </w:tcPr>
          <w:p>
            <w:pPr>
              <w:ind w:left="240"/>
              <w:spacing w:after="0"/>
              <w:rPr>
                <w:sz w:val="20"/>
                <w:szCs w:val="20"/>
                <w:color w:val="auto"/>
              </w:rPr>
            </w:pPr>
            <w:r>
              <w:rPr>
                <w:rFonts w:ascii="Arial" w:cs="Arial" w:eastAsia="Arial" w:hAnsi="Arial"/>
                <w:sz w:val="9"/>
                <w:szCs w:val="9"/>
                <w:color w:val="auto"/>
              </w:rPr>
              <w:t>Information Technology Services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First Lien Debt (j)(ah)</w:t>
            </w:r>
          </w:p>
        </w:tc>
        <w:tc>
          <w:tcPr>
            <w:tcW w:w="2960" w:type="dxa"/>
            <w:vAlign w:val="bottom"/>
          </w:tcPr>
          <w:p>
            <w:pPr>
              <w:ind w:left="2000"/>
              <w:spacing w:after="0"/>
              <w:rPr>
                <w:sz w:val="20"/>
                <w:szCs w:val="20"/>
                <w:color w:val="auto"/>
              </w:rPr>
            </w:pPr>
            <w:r>
              <w:rPr>
                <w:rFonts w:ascii="Arial" w:cs="Arial" w:eastAsia="Arial" w:hAnsi="Arial"/>
                <w:sz w:val="9"/>
                <w:szCs w:val="9"/>
                <w:color w:val="auto"/>
              </w:rPr>
              <w:t>(L + 6.75%) / (0.75%)</w:t>
            </w:r>
          </w:p>
        </w:tc>
        <w:tc>
          <w:tcPr>
            <w:tcW w:w="820" w:type="dxa"/>
            <w:vAlign w:val="bottom"/>
          </w:tcPr>
          <w:p>
            <w:pPr>
              <w:ind w:left="120"/>
              <w:spacing w:after="0"/>
              <w:rPr>
                <w:sz w:val="20"/>
                <w:szCs w:val="20"/>
                <w:color w:val="auto"/>
              </w:rPr>
            </w:pPr>
            <w:r>
              <w:rPr>
                <w:rFonts w:ascii="Arial" w:cs="Arial" w:eastAsia="Arial" w:hAnsi="Arial"/>
                <w:sz w:val="9"/>
                <w:szCs w:val="9"/>
                <w:color w:val="auto"/>
              </w:rPr>
              <w:t>7.50%/0.00%</w:t>
            </w:r>
          </w:p>
        </w:tc>
        <w:tc>
          <w:tcPr>
            <w:tcW w:w="700" w:type="dxa"/>
            <w:vAlign w:val="bottom"/>
          </w:tcPr>
          <w:p>
            <w:pPr>
              <w:ind w:left="180"/>
              <w:spacing w:after="0"/>
              <w:rPr>
                <w:sz w:val="20"/>
                <w:szCs w:val="20"/>
                <w:color w:val="auto"/>
              </w:rPr>
            </w:pPr>
            <w:r>
              <w:rPr>
                <w:rFonts w:ascii="Arial" w:cs="Arial" w:eastAsia="Arial" w:hAnsi="Arial"/>
                <w:sz w:val="9"/>
                <w:szCs w:val="9"/>
                <w:color w:val="auto"/>
              </w:rPr>
              <w:t>8/10/2021</w:t>
            </w:r>
          </w:p>
        </w:tc>
        <w:tc>
          <w:tcPr>
            <w:tcW w:w="820" w:type="dxa"/>
            <w:vAlign w:val="bottom"/>
          </w:tcPr>
          <w:p>
            <w:pPr>
              <w:ind w:left="120"/>
              <w:spacing w:after="0"/>
              <w:rPr>
                <w:sz w:val="20"/>
                <w:szCs w:val="20"/>
                <w:color w:val="auto"/>
              </w:rPr>
            </w:pPr>
            <w:r>
              <w:rPr>
                <w:rFonts w:ascii="Arial" w:cs="Arial" w:eastAsia="Arial" w:hAnsi="Arial"/>
                <w:sz w:val="9"/>
                <w:szCs w:val="9"/>
                <w:color w:val="auto"/>
              </w:rPr>
              <w:t>8/10/2026</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14,000</w:t>
            </w:r>
          </w:p>
        </w:tc>
        <w:tc>
          <w:tcPr>
            <w:tcW w:w="620" w:type="dxa"/>
            <w:vAlign w:val="bottom"/>
          </w:tcPr>
          <w:p>
            <w:pPr>
              <w:jc w:val="right"/>
              <w:spacing w:after="0"/>
              <w:rPr>
                <w:sz w:val="20"/>
                <w:szCs w:val="20"/>
                <w:color w:val="auto"/>
              </w:rPr>
            </w:pPr>
            <w:r>
              <w:rPr>
                <w:rFonts w:ascii="Arial" w:cs="Arial" w:eastAsia="Arial" w:hAnsi="Arial"/>
                <w:sz w:val="9"/>
                <w:szCs w:val="9"/>
                <w:color w:val="auto"/>
              </w:rPr>
              <w:t>13,928</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13,928</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(495 shares) (j)</w:t>
            </w:r>
          </w:p>
        </w:tc>
        <w:tc>
          <w:tcPr>
            <w:tcW w:w="29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8/10/2021</w:t>
            </w: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125</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125</w:t>
            </w: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Preferred Equity (495 shares) (j)</w:t>
            </w: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8/10/2021</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125</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125</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shd w:val="clear" w:color="auto" w:fill="CFF0FC"/>
          </w:tcPr>
          <w:p>
            <w:pPr>
              <w:spacing w:after="0"/>
              <w:rPr>
                <w:sz w:val="8"/>
                <w:szCs w:val="8"/>
                <w:color w:val="auto"/>
              </w:rPr>
            </w:pPr>
          </w:p>
        </w:tc>
        <w:tc>
          <w:tcPr>
            <w:tcW w:w="29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14,178</w:t>
            </w:r>
          </w:p>
        </w:tc>
        <w:tc>
          <w:tcPr>
            <w:tcW w:w="2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14,178</w:t>
            </w:r>
          </w:p>
        </w:tc>
        <w:tc>
          <w:tcPr>
            <w:tcW w:w="86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rPr>
                <w:sz w:val="20"/>
                <w:szCs w:val="20"/>
                <w:color w:val="auto"/>
              </w:rPr>
            </w:pPr>
            <w:r>
              <w:rPr>
                <w:rFonts w:ascii="Arial" w:cs="Arial" w:eastAsia="Arial" w:hAnsi="Arial"/>
                <w:sz w:val="9"/>
                <w:szCs w:val="9"/>
                <w:i w:val="1"/>
                <w:iCs w:val="1"/>
                <w:color w:val="auto"/>
              </w:rPr>
              <w:t>Cardboard Box LLC (dba Anthony's Coal Fired Pizza)</w:t>
            </w:r>
          </w:p>
        </w:tc>
        <w:tc>
          <w:tcPr>
            <w:tcW w:w="2960" w:type="dxa"/>
            <w:vAlign w:val="bottom"/>
          </w:tcPr>
          <w:p>
            <w:pPr>
              <w:ind w:left="240"/>
              <w:spacing w:after="0"/>
              <w:rPr>
                <w:sz w:val="20"/>
                <w:szCs w:val="20"/>
                <w:color w:val="auto"/>
              </w:rPr>
            </w:pPr>
            <w:r>
              <w:rPr>
                <w:rFonts w:ascii="Arial" w:cs="Arial" w:eastAsia="Arial" w:hAnsi="Arial"/>
                <w:sz w:val="9"/>
                <w:szCs w:val="9"/>
                <w:color w:val="auto"/>
              </w:rPr>
              <w:t>Restaurants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(521,021 units) (j)(ao)</w:t>
            </w:r>
          </w:p>
        </w:tc>
        <w:tc>
          <w:tcPr>
            <w:tcW w:w="29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12/15/2015</w:t>
            </w: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521</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74</w:t>
            </w: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Preferred Equity (1,043,133 units) (j)(ao)</w:t>
            </w: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12/6/2019</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96</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283</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shd w:val="clear" w:color="auto" w:fill="CFF0FC"/>
          </w:tcPr>
          <w:p>
            <w:pPr>
              <w:spacing w:after="0"/>
              <w:rPr>
                <w:sz w:val="8"/>
                <w:szCs w:val="8"/>
                <w:color w:val="auto"/>
              </w:rPr>
            </w:pPr>
          </w:p>
        </w:tc>
        <w:tc>
          <w:tcPr>
            <w:tcW w:w="29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617</w:t>
            </w:r>
          </w:p>
        </w:tc>
        <w:tc>
          <w:tcPr>
            <w:tcW w:w="2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357</w:t>
            </w:r>
          </w:p>
        </w:tc>
        <w:tc>
          <w:tcPr>
            <w:tcW w:w="86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rPr>
                <w:sz w:val="20"/>
                <w:szCs w:val="20"/>
                <w:color w:val="auto"/>
              </w:rPr>
            </w:pPr>
            <w:r>
              <w:rPr>
                <w:rFonts w:ascii="Arial" w:cs="Arial" w:eastAsia="Arial" w:hAnsi="Arial"/>
                <w:sz w:val="9"/>
                <w:szCs w:val="9"/>
                <w:i w:val="1"/>
                <w:iCs w:val="1"/>
                <w:color w:val="auto"/>
              </w:rPr>
              <w:t>Combined Systems, Inc.</w:t>
            </w:r>
          </w:p>
        </w:tc>
        <w:tc>
          <w:tcPr>
            <w:tcW w:w="2960" w:type="dxa"/>
            <w:vAlign w:val="bottom"/>
          </w:tcPr>
          <w:p>
            <w:pPr>
              <w:ind w:left="240"/>
              <w:spacing w:after="0"/>
              <w:rPr>
                <w:sz w:val="20"/>
                <w:szCs w:val="20"/>
                <w:color w:val="auto"/>
              </w:rPr>
            </w:pPr>
            <w:r>
              <w:rPr>
                <w:rFonts w:ascii="Arial" w:cs="Arial" w:eastAsia="Arial" w:hAnsi="Arial"/>
                <w:sz w:val="9"/>
                <w:szCs w:val="9"/>
                <w:color w:val="auto"/>
              </w:rPr>
              <w:t>Aerospace &amp; Defense Manufacturing</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w:t>
            </w:r>
          </w:p>
        </w:tc>
        <w:tc>
          <w:tcPr>
            <w:tcW w:w="2960" w:type="dxa"/>
            <w:vAlign w:val="bottom"/>
            <w:shd w:val="clear" w:color="auto" w:fill="CFF0FC"/>
          </w:tcPr>
          <w:p>
            <w:pPr>
              <w:ind w:left="2000"/>
              <w:spacing w:after="0"/>
              <w:rPr>
                <w:sz w:val="20"/>
                <w:szCs w:val="20"/>
                <w:color w:val="auto"/>
              </w:rPr>
            </w:pPr>
            <w:r>
              <w:rPr>
                <w:rFonts w:ascii="Arial" w:cs="Arial" w:eastAsia="Arial" w:hAnsi="Arial"/>
                <w:sz w:val="9"/>
                <w:szCs w:val="9"/>
                <w:color w:val="auto"/>
              </w:rPr>
              <w:t>(L + 11.00%) / (2.00%)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13.00%/0.00%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1/31/2020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1/31/2025</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7,091</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7,055</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7,119</w:t>
            </w: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Revolving Loan ($605 unfunded commitment) (j)(ac)</w:t>
            </w:r>
          </w:p>
        </w:tc>
        <w:tc>
          <w:tcPr>
            <w:tcW w:w="2960" w:type="dxa"/>
            <w:vAlign w:val="bottom"/>
          </w:tcPr>
          <w:p>
            <w:pPr>
              <w:ind w:left="2000"/>
              <w:spacing w:after="0"/>
              <w:rPr>
                <w:sz w:val="20"/>
                <w:szCs w:val="20"/>
                <w:color w:val="auto"/>
              </w:rPr>
            </w:pPr>
            <w:r>
              <w:rPr>
                <w:rFonts w:ascii="Arial" w:cs="Arial" w:eastAsia="Arial" w:hAnsi="Arial"/>
                <w:sz w:val="9"/>
                <w:szCs w:val="9"/>
                <w:color w:val="auto"/>
              </w:rPr>
              <w:t>(L + 10.00%) / (2.00%)</w:t>
            </w:r>
          </w:p>
        </w:tc>
        <w:tc>
          <w:tcPr>
            <w:tcW w:w="820" w:type="dxa"/>
            <w:vAlign w:val="bottom"/>
          </w:tcPr>
          <w:p>
            <w:pPr>
              <w:ind w:left="120"/>
              <w:spacing w:after="0"/>
              <w:rPr>
                <w:sz w:val="20"/>
                <w:szCs w:val="20"/>
                <w:color w:val="auto"/>
              </w:rPr>
            </w:pPr>
            <w:r>
              <w:rPr>
                <w:rFonts w:ascii="Arial" w:cs="Arial" w:eastAsia="Arial" w:hAnsi="Arial"/>
                <w:sz w:val="9"/>
                <w:szCs w:val="9"/>
                <w:color w:val="auto"/>
              </w:rPr>
              <w:t>15.00%/0.00%</w:t>
            </w:r>
          </w:p>
        </w:tc>
        <w:tc>
          <w:tcPr>
            <w:tcW w:w="700" w:type="dxa"/>
            <w:vAlign w:val="bottom"/>
          </w:tcPr>
          <w:p>
            <w:pPr>
              <w:ind w:left="180"/>
              <w:spacing w:after="0"/>
              <w:rPr>
                <w:sz w:val="20"/>
                <w:szCs w:val="20"/>
                <w:color w:val="auto"/>
              </w:rPr>
            </w:pPr>
            <w:r>
              <w:rPr>
                <w:rFonts w:ascii="Arial" w:cs="Arial" w:eastAsia="Arial" w:hAnsi="Arial"/>
                <w:sz w:val="9"/>
                <w:szCs w:val="9"/>
                <w:color w:val="auto"/>
              </w:rPr>
              <w:t>1/31/2020</w:t>
            </w:r>
          </w:p>
        </w:tc>
        <w:tc>
          <w:tcPr>
            <w:tcW w:w="820" w:type="dxa"/>
            <w:vAlign w:val="bottom"/>
          </w:tcPr>
          <w:p>
            <w:pPr>
              <w:ind w:left="120"/>
              <w:spacing w:after="0"/>
              <w:rPr>
                <w:sz w:val="20"/>
                <w:szCs w:val="20"/>
                <w:color w:val="auto"/>
              </w:rPr>
            </w:pPr>
            <w:r>
              <w:rPr>
                <w:rFonts w:ascii="Arial" w:cs="Arial" w:eastAsia="Arial" w:hAnsi="Arial"/>
                <w:sz w:val="9"/>
                <w:szCs w:val="9"/>
                <w:color w:val="auto"/>
              </w:rPr>
              <w:t>1/31/2025</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3,395</w:t>
            </w:r>
          </w:p>
        </w:tc>
        <w:tc>
          <w:tcPr>
            <w:tcW w:w="620" w:type="dxa"/>
            <w:vAlign w:val="bottom"/>
          </w:tcPr>
          <w:p>
            <w:pPr>
              <w:jc w:val="right"/>
              <w:spacing w:after="0"/>
              <w:rPr>
                <w:sz w:val="20"/>
                <w:szCs w:val="20"/>
                <w:color w:val="auto"/>
              </w:rPr>
            </w:pPr>
            <w:r>
              <w:rPr>
                <w:rFonts w:ascii="Arial" w:cs="Arial" w:eastAsia="Arial" w:hAnsi="Arial"/>
                <w:sz w:val="9"/>
                <w:szCs w:val="9"/>
                <w:color w:val="auto"/>
              </w:rPr>
              <w:t>3,380</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3,395</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shd w:val="clear" w:color="auto" w:fill="CFF0FC"/>
          </w:tcPr>
          <w:p>
            <w:pPr>
              <w:spacing w:after="0"/>
              <w:rPr>
                <w:sz w:val="8"/>
                <w:szCs w:val="8"/>
                <w:color w:val="auto"/>
              </w:rPr>
            </w:pPr>
          </w:p>
        </w:tc>
        <w:tc>
          <w:tcPr>
            <w:tcW w:w="29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10,435</w:t>
            </w:r>
          </w:p>
        </w:tc>
        <w:tc>
          <w:tcPr>
            <w:tcW w:w="2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10,514</w:t>
            </w:r>
          </w:p>
        </w:tc>
        <w:tc>
          <w:tcPr>
            <w:tcW w:w="86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rPr>
                <w:sz w:val="20"/>
                <w:szCs w:val="20"/>
                <w:color w:val="auto"/>
              </w:rPr>
            </w:pPr>
            <w:r>
              <w:rPr>
                <w:rFonts w:ascii="Arial" w:cs="Arial" w:eastAsia="Arial" w:hAnsi="Arial"/>
                <w:sz w:val="9"/>
                <w:szCs w:val="9"/>
                <w:i w:val="1"/>
                <w:iCs w:val="1"/>
                <w:color w:val="auto"/>
              </w:rPr>
              <w:t>Comply365, LLC</w:t>
            </w:r>
          </w:p>
        </w:tc>
        <w:tc>
          <w:tcPr>
            <w:tcW w:w="2960" w:type="dxa"/>
            <w:vAlign w:val="bottom"/>
          </w:tcPr>
          <w:p>
            <w:pPr>
              <w:ind w:left="240"/>
              <w:spacing w:after="0"/>
              <w:rPr>
                <w:sz w:val="20"/>
                <w:szCs w:val="20"/>
                <w:color w:val="auto"/>
              </w:rPr>
            </w:pPr>
            <w:r>
              <w:rPr>
                <w:rFonts w:ascii="Arial" w:cs="Arial" w:eastAsia="Arial" w:hAnsi="Arial"/>
                <w:sz w:val="9"/>
                <w:szCs w:val="9"/>
                <w:color w:val="auto"/>
              </w:rPr>
              <w:t>Aerospace &amp; Defense Manufacturing</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(ad)</w:t>
            </w:r>
          </w:p>
        </w:tc>
        <w:tc>
          <w:tcPr>
            <w:tcW w:w="2960" w:type="dxa"/>
            <w:vAlign w:val="bottom"/>
            <w:shd w:val="clear" w:color="auto" w:fill="CFF0FC"/>
          </w:tcPr>
          <w:p>
            <w:pPr>
              <w:ind w:left="2000"/>
              <w:spacing w:after="0"/>
              <w:rPr>
                <w:sz w:val="20"/>
                <w:szCs w:val="20"/>
                <w:color w:val="auto"/>
              </w:rPr>
            </w:pPr>
            <w:r>
              <w:rPr>
                <w:rFonts w:ascii="Arial" w:cs="Arial" w:eastAsia="Arial" w:hAnsi="Arial"/>
                <w:sz w:val="9"/>
                <w:szCs w:val="9"/>
                <w:color w:val="auto"/>
              </w:rPr>
              <w:t>(L + 8.00%) / (1.00%)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9.00%/0.00%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12/11/2020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12/11/2025</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8,562</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8,447</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8,562</w:t>
            </w: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Common Equity (1,000,000 units)</w:t>
            </w: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12/11/2020</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1,000</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1,341</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shd w:val="clear" w:color="auto" w:fill="CFF0FC"/>
          </w:tcPr>
          <w:p>
            <w:pPr>
              <w:spacing w:after="0"/>
              <w:rPr>
                <w:sz w:val="8"/>
                <w:szCs w:val="8"/>
                <w:color w:val="auto"/>
              </w:rPr>
            </w:pPr>
          </w:p>
        </w:tc>
        <w:tc>
          <w:tcPr>
            <w:tcW w:w="29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9,447</w:t>
            </w:r>
          </w:p>
        </w:tc>
        <w:tc>
          <w:tcPr>
            <w:tcW w:w="2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9,903</w:t>
            </w:r>
          </w:p>
        </w:tc>
        <w:tc>
          <w:tcPr>
            <w:tcW w:w="86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rPr>
                <w:sz w:val="20"/>
                <w:szCs w:val="20"/>
                <w:color w:val="auto"/>
              </w:rPr>
            </w:pPr>
            <w:r>
              <w:rPr>
                <w:rFonts w:ascii="Arial" w:cs="Arial" w:eastAsia="Arial" w:hAnsi="Arial"/>
                <w:sz w:val="9"/>
                <w:szCs w:val="9"/>
                <w:i w:val="1"/>
                <w:iCs w:val="1"/>
                <w:color w:val="auto"/>
              </w:rPr>
              <w:t>CRS Solutions Holdings, LLC (dba CRS Texas)</w:t>
            </w:r>
          </w:p>
        </w:tc>
        <w:tc>
          <w:tcPr>
            <w:tcW w:w="2960" w:type="dxa"/>
            <w:vAlign w:val="bottom"/>
          </w:tcPr>
          <w:p>
            <w:pPr>
              <w:ind w:left="240"/>
              <w:spacing w:after="0"/>
              <w:rPr>
                <w:sz w:val="20"/>
                <w:szCs w:val="20"/>
                <w:color w:val="auto"/>
              </w:rPr>
            </w:pPr>
            <w:r>
              <w:rPr>
                <w:rFonts w:ascii="Arial" w:cs="Arial" w:eastAsia="Arial" w:hAnsi="Arial"/>
                <w:sz w:val="9"/>
                <w:szCs w:val="9"/>
                <w:color w:val="auto"/>
              </w:rPr>
              <w:t>Business Services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(538,875 units) (h)(j)</w:t>
            </w:r>
          </w:p>
        </w:tc>
        <w:tc>
          <w:tcPr>
            <w:tcW w:w="29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3/14/2018</w:t>
            </w: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621</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686</w:t>
            </w:r>
          </w:p>
        </w:tc>
        <w:tc>
          <w:tcPr>
            <w:tcW w:w="86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Dataguise, Inc.</w:t>
            </w:r>
          </w:p>
        </w:tc>
        <w:tc>
          <w:tcPr>
            <w:tcW w:w="2960" w:type="dxa"/>
            <w:vAlign w:val="bottom"/>
            <w:shd w:val="clear" w:color="auto" w:fill="CFF0FC"/>
          </w:tcPr>
          <w:p>
            <w:pPr>
              <w:ind w:left="240"/>
              <w:spacing w:after="0"/>
              <w:rPr>
                <w:sz w:val="20"/>
                <w:szCs w:val="20"/>
                <w:color w:val="auto"/>
              </w:rPr>
            </w:pPr>
            <w:r>
              <w:rPr>
                <w:rFonts w:ascii="Arial" w:cs="Arial" w:eastAsia="Arial" w:hAnsi="Arial"/>
                <w:sz w:val="9"/>
                <w:szCs w:val="9"/>
                <w:color w:val="auto"/>
              </w:rPr>
              <w:t>Information Technology Services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First Lien Debt (j)</w:t>
            </w:r>
          </w:p>
        </w:tc>
        <w:tc>
          <w:tcPr>
            <w:tcW w:w="2960" w:type="dxa"/>
            <w:vAlign w:val="bottom"/>
          </w:tcPr>
          <w:p>
            <w:pPr>
              <w:spacing w:after="0"/>
              <w:rPr>
                <w:sz w:val="9"/>
                <w:szCs w:val="9"/>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11.00%/0.00%</w:t>
            </w:r>
          </w:p>
        </w:tc>
        <w:tc>
          <w:tcPr>
            <w:tcW w:w="700" w:type="dxa"/>
            <w:vAlign w:val="bottom"/>
          </w:tcPr>
          <w:p>
            <w:pPr>
              <w:ind w:left="180"/>
              <w:spacing w:after="0"/>
              <w:rPr>
                <w:sz w:val="20"/>
                <w:szCs w:val="20"/>
                <w:color w:val="auto"/>
              </w:rPr>
            </w:pPr>
            <w:r>
              <w:rPr>
                <w:rFonts w:ascii="Arial" w:cs="Arial" w:eastAsia="Arial" w:hAnsi="Arial"/>
                <w:sz w:val="9"/>
                <w:szCs w:val="9"/>
                <w:color w:val="auto"/>
              </w:rPr>
              <w:t>12/31/2020</w:t>
            </w:r>
          </w:p>
        </w:tc>
        <w:tc>
          <w:tcPr>
            <w:tcW w:w="820" w:type="dxa"/>
            <w:vAlign w:val="bottom"/>
          </w:tcPr>
          <w:p>
            <w:pPr>
              <w:ind w:left="120"/>
              <w:spacing w:after="0"/>
              <w:rPr>
                <w:sz w:val="20"/>
                <w:szCs w:val="20"/>
                <w:color w:val="auto"/>
              </w:rPr>
            </w:pPr>
            <w:r>
              <w:rPr>
                <w:rFonts w:ascii="Arial" w:cs="Arial" w:eastAsia="Arial" w:hAnsi="Arial"/>
                <w:sz w:val="9"/>
                <w:szCs w:val="9"/>
                <w:color w:val="auto"/>
              </w:rPr>
              <w:t>12/31/2023</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19,850</w:t>
            </w:r>
          </w:p>
        </w:tc>
        <w:tc>
          <w:tcPr>
            <w:tcW w:w="620" w:type="dxa"/>
            <w:vAlign w:val="bottom"/>
          </w:tcPr>
          <w:p>
            <w:pPr>
              <w:jc w:val="right"/>
              <w:spacing w:after="0"/>
              <w:rPr>
                <w:sz w:val="20"/>
                <w:szCs w:val="20"/>
                <w:color w:val="auto"/>
              </w:rPr>
            </w:pPr>
            <w:r>
              <w:rPr>
                <w:rFonts w:ascii="Arial" w:cs="Arial" w:eastAsia="Arial" w:hAnsi="Arial"/>
                <w:sz w:val="9"/>
                <w:szCs w:val="9"/>
                <w:color w:val="auto"/>
              </w:rPr>
              <w:t>19,783</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19,800</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(909 shares) (j)</w:t>
            </w:r>
          </w:p>
        </w:tc>
        <w:tc>
          <w:tcPr>
            <w:tcW w:w="29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12/31/2020</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1,500</w:t>
            </w:r>
          </w:p>
        </w:tc>
        <w:tc>
          <w:tcPr>
            <w:tcW w:w="22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1,528</w:t>
            </w:r>
          </w:p>
        </w:tc>
        <w:tc>
          <w:tcPr>
            <w:tcW w:w="8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21,283</w:t>
            </w:r>
          </w:p>
        </w:tc>
        <w:tc>
          <w:tcPr>
            <w:tcW w:w="8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21,328</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Diversified Search LLC</w:t>
            </w:r>
          </w:p>
        </w:tc>
        <w:tc>
          <w:tcPr>
            <w:tcW w:w="2960" w:type="dxa"/>
            <w:vAlign w:val="bottom"/>
            <w:shd w:val="clear" w:color="auto" w:fill="CFF0FC"/>
          </w:tcPr>
          <w:p>
            <w:pPr>
              <w:ind w:left="240"/>
              <w:spacing w:after="0"/>
              <w:rPr>
                <w:sz w:val="20"/>
                <w:szCs w:val="20"/>
                <w:color w:val="auto"/>
              </w:rPr>
            </w:pPr>
            <w:r>
              <w:rPr>
                <w:rFonts w:ascii="Arial" w:cs="Arial" w:eastAsia="Arial" w:hAnsi="Arial"/>
                <w:sz w:val="9"/>
                <w:szCs w:val="9"/>
                <w:color w:val="auto"/>
              </w:rPr>
              <w:t>Business Services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First Lien Debt (k)(r)</w:t>
            </w:r>
          </w:p>
        </w:tc>
        <w:tc>
          <w:tcPr>
            <w:tcW w:w="2960" w:type="dxa"/>
            <w:vAlign w:val="bottom"/>
          </w:tcPr>
          <w:p>
            <w:pPr>
              <w:ind w:left="2000"/>
              <w:spacing w:after="0"/>
              <w:rPr>
                <w:sz w:val="20"/>
                <w:szCs w:val="20"/>
                <w:color w:val="auto"/>
              </w:rPr>
            </w:pPr>
            <w:r>
              <w:rPr>
                <w:rFonts w:ascii="Arial" w:cs="Arial" w:eastAsia="Arial" w:hAnsi="Arial"/>
                <w:sz w:val="9"/>
                <w:szCs w:val="9"/>
                <w:color w:val="auto"/>
              </w:rPr>
              <w:t>(L + 6.50%) / (1.00%)</w:t>
            </w:r>
          </w:p>
        </w:tc>
        <w:tc>
          <w:tcPr>
            <w:tcW w:w="820" w:type="dxa"/>
            <w:vAlign w:val="bottom"/>
          </w:tcPr>
          <w:p>
            <w:pPr>
              <w:ind w:left="120"/>
              <w:spacing w:after="0"/>
              <w:rPr>
                <w:sz w:val="20"/>
                <w:szCs w:val="20"/>
                <w:color w:val="auto"/>
              </w:rPr>
            </w:pPr>
            <w:r>
              <w:rPr>
                <w:rFonts w:ascii="Arial" w:cs="Arial" w:eastAsia="Arial" w:hAnsi="Arial"/>
                <w:sz w:val="9"/>
                <w:szCs w:val="9"/>
                <w:color w:val="auto"/>
              </w:rPr>
              <w:t>7.50%/0.00%</w:t>
            </w:r>
          </w:p>
        </w:tc>
        <w:tc>
          <w:tcPr>
            <w:tcW w:w="700" w:type="dxa"/>
            <w:vAlign w:val="bottom"/>
          </w:tcPr>
          <w:p>
            <w:pPr>
              <w:ind w:left="180"/>
              <w:spacing w:after="0"/>
              <w:rPr>
                <w:sz w:val="20"/>
                <w:szCs w:val="20"/>
                <w:color w:val="auto"/>
              </w:rPr>
            </w:pPr>
            <w:r>
              <w:rPr>
                <w:rFonts w:ascii="Arial" w:cs="Arial" w:eastAsia="Arial" w:hAnsi="Arial"/>
                <w:sz w:val="9"/>
                <w:szCs w:val="9"/>
                <w:color w:val="auto"/>
              </w:rPr>
              <w:t>2/7/2019</w:t>
            </w:r>
          </w:p>
        </w:tc>
        <w:tc>
          <w:tcPr>
            <w:tcW w:w="820" w:type="dxa"/>
            <w:vAlign w:val="bottom"/>
          </w:tcPr>
          <w:p>
            <w:pPr>
              <w:ind w:left="120"/>
              <w:spacing w:after="0"/>
              <w:rPr>
                <w:sz w:val="20"/>
                <w:szCs w:val="20"/>
                <w:color w:val="auto"/>
              </w:rPr>
            </w:pPr>
            <w:r>
              <w:rPr>
                <w:rFonts w:ascii="Arial" w:cs="Arial" w:eastAsia="Arial" w:hAnsi="Arial"/>
                <w:sz w:val="9"/>
                <w:szCs w:val="9"/>
                <w:color w:val="auto"/>
              </w:rPr>
              <w:t>2/7/2024</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18,355</w:t>
            </w:r>
          </w:p>
        </w:tc>
        <w:tc>
          <w:tcPr>
            <w:tcW w:w="620" w:type="dxa"/>
            <w:vAlign w:val="bottom"/>
          </w:tcPr>
          <w:p>
            <w:pPr>
              <w:jc w:val="right"/>
              <w:spacing w:after="0"/>
              <w:rPr>
                <w:sz w:val="20"/>
                <w:szCs w:val="20"/>
                <w:color w:val="auto"/>
              </w:rPr>
            </w:pPr>
            <w:r>
              <w:rPr>
                <w:rFonts w:ascii="Arial" w:cs="Arial" w:eastAsia="Arial" w:hAnsi="Arial"/>
                <w:sz w:val="9"/>
                <w:szCs w:val="9"/>
                <w:color w:val="auto"/>
              </w:rPr>
              <w:t>18,190</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18,355</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(573 units) (h)(j)</w:t>
            </w:r>
          </w:p>
        </w:tc>
        <w:tc>
          <w:tcPr>
            <w:tcW w:w="29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2/7/2019</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593</w:t>
            </w:r>
          </w:p>
        </w:tc>
        <w:tc>
          <w:tcPr>
            <w:tcW w:w="22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797</w:t>
            </w:r>
          </w:p>
        </w:tc>
        <w:tc>
          <w:tcPr>
            <w:tcW w:w="8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18,783</w:t>
            </w:r>
          </w:p>
        </w:tc>
        <w:tc>
          <w:tcPr>
            <w:tcW w:w="8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19,152</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EBL, LLC (EbLens)</w:t>
            </w:r>
          </w:p>
        </w:tc>
        <w:tc>
          <w:tcPr>
            <w:tcW w:w="2960" w:type="dxa"/>
            <w:vAlign w:val="bottom"/>
            <w:shd w:val="clear" w:color="auto" w:fill="CFF0FC"/>
          </w:tcPr>
          <w:p>
            <w:pPr>
              <w:ind w:left="240"/>
              <w:spacing w:after="0"/>
              <w:rPr>
                <w:sz w:val="20"/>
                <w:szCs w:val="20"/>
                <w:color w:val="auto"/>
              </w:rPr>
            </w:pPr>
            <w:r>
              <w:rPr>
                <w:rFonts w:ascii="Arial" w:cs="Arial" w:eastAsia="Arial" w:hAnsi="Arial"/>
                <w:sz w:val="9"/>
                <w:szCs w:val="9"/>
                <w:color w:val="auto"/>
              </w:rPr>
              <w:t>Retail</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Second Lien Debt (j)</w:t>
            </w:r>
          </w:p>
        </w:tc>
        <w:tc>
          <w:tcPr>
            <w:tcW w:w="2960" w:type="dxa"/>
            <w:vAlign w:val="bottom"/>
          </w:tcPr>
          <w:p>
            <w:pPr>
              <w:spacing w:after="0"/>
              <w:rPr>
                <w:sz w:val="9"/>
                <w:szCs w:val="9"/>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12.00%/1.00%</w:t>
            </w:r>
          </w:p>
        </w:tc>
        <w:tc>
          <w:tcPr>
            <w:tcW w:w="700" w:type="dxa"/>
            <w:vAlign w:val="bottom"/>
          </w:tcPr>
          <w:p>
            <w:pPr>
              <w:ind w:left="180"/>
              <w:spacing w:after="0"/>
              <w:rPr>
                <w:sz w:val="20"/>
                <w:szCs w:val="20"/>
                <w:color w:val="auto"/>
              </w:rPr>
            </w:pPr>
            <w:r>
              <w:rPr>
                <w:rFonts w:ascii="Arial" w:cs="Arial" w:eastAsia="Arial" w:hAnsi="Arial"/>
                <w:sz w:val="9"/>
                <w:szCs w:val="9"/>
                <w:color w:val="auto"/>
              </w:rPr>
              <w:t>7/13/2017</w:t>
            </w:r>
          </w:p>
        </w:tc>
        <w:tc>
          <w:tcPr>
            <w:tcW w:w="820" w:type="dxa"/>
            <w:vAlign w:val="bottom"/>
          </w:tcPr>
          <w:p>
            <w:pPr>
              <w:ind w:left="120"/>
              <w:spacing w:after="0"/>
              <w:rPr>
                <w:sz w:val="20"/>
                <w:szCs w:val="20"/>
                <w:color w:val="auto"/>
              </w:rPr>
            </w:pPr>
            <w:r>
              <w:rPr>
                <w:rFonts w:ascii="Arial" w:cs="Arial" w:eastAsia="Arial" w:hAnsi="Arial"/>
                <w:sz w:val="9"/>
                <w:szCs w:val="9"/>
                <w:color w:val="auto"/>
              </w:rPr>
              <w:t>1/13/2023</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9,326</w:t>
            </w:r>
          </w:p>
        </w:tc>
        <w:tc>
          <w:tcPr>
            <w:tcW w:w="620" w:type="dxa"/>
            <w:vAlign w:val="bottom"/>
          </w:tcPr>
          <w:p>
            <w:pPr>
              <w:jc w:val="right"/>
              <w:spacing w:after="0"/>
              <w:rPr>
                <w:sz w:val="20"/>
                <w:szCs w:val="20"/>
                <w:color w:val="auto"/>
              </w:rPr>
            </w:pPr>
            <w:r>
              <w:rPr>
                <w:rFonts w:ascii="Arial" w:cs="Arial" w:eastAsia="Arial" w:hAnsi="Arial"/>
                <w:sz w:val="9"/>
                <w:szCs w:val="9"/>
                <w:color w:val="auto"/>
              </w:rPr>
              <w:t>9,305</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9,036</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(75,000 units) (j)</w:t>
            </w:r>
          </w:p>
        </w:tc>
        <w:tc>
          <w:tcPr>
            <w:tcW w:w="29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7/13/2017</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750</w:t>
            </w:r>
          </w:p>
        </w:tc>
        <w:tc>
          <w:tcPr>
            <w:tcW w:w="22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230</w:t>
            </w:r>
          </w:p>
        </w:tc>
        <w:tc>
          <w:tcPr>
            <w:tcW w:w="8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10,055</w:t>
            </w:r>
          </w:p>
        </w:tc>
        <w:tc>
          <w:tcPr>
            <w:tcW w:w="8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9,266</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ECM Industries, LLC</w:t>
            </w:r>
          </w:p>
        </w:tc>
        <w:tc>
          <w:tcPr>
            <w:tcW w:w="2960" w:type="dxa"/>
            <w:vAlign w:val="bottom"/>
            <w:shd w:val="clear" w:color="auto" w:fill="CFF0FC"/>
          </w:tcPr>
          <w:p>
            <w:pPr>
              <w:ind w:left="240"/>
              <w:spacing w:after="0"/>
              <w:rPr>
                <w:sz w:val="20"/>
                <w:szCs w:val="20"/>
                <w:color w:val="auto"/>
              </w:rPr>
            </w:pPr>
            <w:r>
              <w:rPr>
                <w:rFonts w:ascii="Arial" w:cs="Arial" w:eastAsia="Arial" w:hAnsi="Arial"/>
                <w:sz w:val="9"/>
                <w:szCs w:val="9"/>
                <w:color w:val="auto"/>
              </w:rPr>
              <w:t>Component Manufacturing</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Common Equity (1,000,000 units) (h)(j)</w:t>
            </w: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4/30/2020</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243</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1,397</w:t>
            </w:r>
          </w:p>
        </w:tc>
        <w:tc>
          <w:tcPr>
            <w:tcW w:w="860" w:type="dxa"/>
            <w:vAlign w:val="bottom"/>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spacing w:after="0"/>
              <w:rPr>
                <w:sz w:val="9"/>
                <w:szCs w:val="9"/>
                <w:color w:val="auto"/>
              </w:rPr>
            </w:pPr>
          </w:p>
        </w:tc>
        <w:tc>
          <w:tcPr>
            <w:tcW w:w="29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rPr>
                <w:sz w:val="20"/>
                <w:szCs w:val="20"/>
                <w:color w:val="auto"/>
              </w:rPr>
            </w:pPr>
            <w:r>
              <w:rPr>
                <w:rFonts w:ascii="Arial" w:cs="Arial" w:eastAsia="Arial" w:hAnsi="Arial"/>
                <w:sz w:val="9"/>
                <w:szCs w:val="9"/>
                <w:i w:val="1"/>
                <w:iCs w:val="1"/>
                <w:color w:val="auto"/>
              </w:rPr>
              <w:t>Elements Brands, LLC</w:t>
            </w:r>
          </w:p>
        </w:tc>
        <w:tc>
          <w:tcPr>
            <w:tcW w:w="2960" w:type="dxa"/>
            <w:vAlign w:val="bottom"/>
          </w:tcPr>
          <w:p>
            <w:pPr>
              <w:ind w:left="240"/>
              <w:spacing w:after="0"/>
              <w:rPr>
                <w:sz w:val="20"/>
                <w:szCs w:val="20"/>
                <w:color w:val="auto"/>
              </w:rPr>
            </w:pPr>
            <w:r>
              <w:rPr>
                <w:rFonts w:ascii="Arial" w:cs="Arial" w:eastAsia="Arial" w:hAnsi="Arial"/>
                <w:sz w:val="9"/>
                <w:szCs w:val="9"/>
                <w:color w:val="auto"/>
              </w:rPr>
              <w:t>Consumer Products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w:t>
            </w:r>
          </w:p>
        </w:tc>
        <w:tc>
          <w:tcPr>
            <w:tcW w:w="2960" w:type="dxa"/>
            <w:vAlign w:val="bottom"/>
            <w:shd w:val="clear" w:color="auto" w:fill="CFF0FC"/>
          </w:tcPr>
          <w:p>
            <w:pPr>
              <w:spacing w:after="0"/>
              <w:rPr>
                <w:sz w:val="9"/>
                <w:szCs w:val="9"/>
                <w:color w:val="auto"/>
              </w:rPr>
            </w:pP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12.25%/0.00%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12/31/2020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12/31/2025</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5,775</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5,748</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5,775</w:t>
            </w: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Revolving Loan ($838 unfunded commitment) (i)(j)</w:t>
            </w:r>
          </w:p>
        </w:tc>
        <w:tc>
          <w:tcPr>
            <w:tcW w:w="2960" w:type="dxa"/>
            <w:vAlign w:val="bottom"/>
          </w:tcPr>
          <w:p>
            <w:pPr>
              <w:spacing w:after="0"/>
              <w:rPr>
                <w:sz w:val="9"/>
                <w:szCs w:val="9"/>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12.25%/0.00%</w:t>
            </w:r>
          </w:p>
        </w:tc>
        <w:tc>
          <w:tcPr>
            <w:tcW w:w="700" w:type="dxa"/>
            <w:vAlign w:val="bottom"/>
          </w:tcPr>
          <w:p>
            <w:pPr>
              <w:ind w:left="180"/>
              <w:spacing w:after="0"/>
              <w:rPr>
                <w:sz w:val="20"/>
                <w:szCs w:val="20"/>
                <w:color w:val="auto"/>
              </w:rPr>
            </w:pPr>
            <w:r>
              <w:rPr>
                <w:rFonts w:ascii="Arial" w:cs="Arial" w:eastAsia="Arial" w:hAnsi="Arial"/>
                <w:sz w:val="9"/>
                <w:szCs w:val="9"/>
                <w:color w:val="auto"/>
              </w:rPr>
              <w:t>12/31/2020</w:t>
            </w:r>
          </w:p>
        </w:tc>
        <w:tc>
          <w:tcPr>
            <w:tcW w:w="820" w:type="dxa"/>
            <w:vAlign w:val="bottom"/>
          </w:tcPr>
          <w:p>
            <w:pPr>
              <w:ind w:left="120"/>
              <w:spacing w:after="0"/>
              <w:rPr>
                <w:sz w:val="20"/>
                <w:szCs w:val="20"/>
                <w:color w:val="auto"/>
              </w:rPr>
            </w:pPr>
            <w:r>
              <w:rPr>
                <w:rFonts w:ascii="Arial" w:cs="Arial" w:eastAsia="Arial" w:hAnsi="Arial"/>
                <w:sz w:val="9"/>
                <w:szCs w:val="9"/>
                <w:color w:val="auto"/>
              </w:rPr>
              <w:t>12/31/2025</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2,162</w:t>
            </w:r>
          </w:p>
        </w:tc>
        <w:tc>
          <w:tcPr>
            <w:tcW w:w="620" w:type="dxa"/>
            <w:vAlign w:val="bottom"/>
          </w:tcPr>
          <w:p>
            <w:pPr>
              <w:jc w:val="right"/>
              <w:spacing w:after="0"/>
              <w:rPr>
                <w:sz w:val="20"/>
                <w:szCs w:val="20"/>
                <w:color w:val="auto"/>
              </w:rPr>
            </w:pPr>
            <w:r>
              <w:rPr>
                <w:rFonts w:ascii="Arial" w:cs="Arial" w:eastAsia="Arial" w:hAnsi="Arial"/>
                <w:sz w:val="9"/>
                <w:szCs w:val="9"/>
                <w:color w:val="auto"/>
              </w:rPr>
              <w:t>2,149</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2,162</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shd w:val="clear" w:color="auto" w:fill="CFF0FC"/>
          </w:tcPr>
          <w:p>
            <w:pPr>
              <w:spacing w:after="0"/>
              <w:rPr>
                <w:sz w:val="8"/>
                <w:szCs w:val="8"/>
                <w:color w:val="auto"/>
              </w:rPr>
            </w:pPr>
          </w:p>
        </w:tc>
        <w:tc>
          <w:tcPr>
            <w:tcW w:w="29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7,897</w:t>
            </w:r>
          </w:p>
        </w:tc>
        <w:tc>
          <w:tcPr>
            <w:tcW w:w="2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7,937</w:t>
            </w:r>
          </w:p>
        </w:tc>
        <w:tc>
          <w:tcPr>
            <w:tcW w:w="86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81"/>
        </w:trPr>
        <w:tc>
          <w:tcPr>
            <w:tcW w:w="2840" w:type="dxa"/>
            <w:vAlign w:val="bottom"/>
          </w:tcPr>
          <w:p>
            <w:pPr>
              <w:ind w:left="20"/>
              <w:spacing w:after="0" w:line="81" w:lineRule="exact"/>
              <w:rPr>
                <w:sz w:val="20"/>
                <w:szCs w:val="20"/>
                <w:color w:val="auto"/>
              </w:rPr>
            </w:pPr>
            <w:r>
              <w:rPr>
                <w:rFonts w:ascii="Arial" w:cs="Arial" w:eastAsia="Arial" w:hAnsi="Arial"/>
                <w:sz w:val="9"/>
                <w:szCs w:val="9"/>
                <w:i w:val="1"/>
                <w:iCs w:val="1"/>
                <w:color w:val="auto"/>
              </w:rPr>
              <w:t>Frontline Food Services, LLC</w:t>
            </w:r>
          </w:p>
        </w:tc>
        <w:tc>
          <w:tcPr>
            <w:tcW w:w="2960" w:type="dxa"/>
            <w:vAlign w:val="bottom"/>
            <w:vMerge w:val="restart"/>
          </w:tcPr>
          <w:p>
            <w:pPr>
              <w:ind w:left="240"/>
              <w:spacing w:after="0"/>
              <w:rPr>
                <w:sz w:val="20"/>
                <w:szCs w:val="20"/>
                <w:color w:val="auto"/>
              </w:rPr>
            </w:pPr>
            <w:r>
              <w:rPr>
                <w:rFonts w:ascii="Arial" w:cs="Arial" w:eastAsia="Arial" w:hAnsi="Arial"/>
                <w:sz w:val="9"/>
                <w:szCs w:val="9"/>
                <w:color w:val="auto"/>
              </w:rPr>
              <w:t>Vending Equipment Manufacturing</w:t>
            </w:r>
          </w:p>
        </w:tc>
        <w:tc>
          <w:tcPr>
            <w:tcW w:w="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rPr>
                <w:sz w:val="20"/>
                <w:szCs w:val="20"/>
                <w:color w:val="auto"/>
              </w:rPr>
            </w:pPr>
            <w:r>
              <w:rPr>
                <w:rFonts w:ascii="Arial" w:cs="Arial" w:eastAsia="Arial" w:hAnsi="Arial"/>
                <w:sz w:val="9"/>
                <w:szCs w:val="9"/>
                <w:i w:val="1"/>
                <w:iCs w:val="1"/>
                <w:color w:val="auto"/>
              </w:rPr>
              <w:t>(f/k/a Accent Food Services, LLC)</w:t>
            </w:r>
          </w:p>
        </w:tc>
        <w:tc>
          <w:tcPr>
            <w:tcW w:w="29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Preferred Equity (Class A Units) (46 units) (j)</w:t>
            </w:r>
          </w:p>
        </w:tc>
        <w:tc>
          <w:tcPr>
            <w:tcW w:w="29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12/31/2020</w:t>
            </w: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2,000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1,431</w:t>
            </w: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Common Equity (Class B Units) (124 units) (j)</w:t>
            </w: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12/31/2020</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Preferred Equity (Class C Units) (100 units) (j)</w:t>
            </w:r>
          </w:p>
        </w:tc>
        <w:tc>
          <w:tcPr>
            <w:tcW w:w="29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12/31/2020</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w:t>
            </w:r>
          </w:p>
        </w:tc>
        <w:tc>
          <w:tcPr>
            <w:tcW w:w="22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w:t>
            </w:r>
          </w:p>
        </w:tc>
        <w:tc>
          <w:tcPr>
            <w:tcW w:w="8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2,000</w:t>
            </w:r>
          </w:p>
        </w:tc>
        <w:tc>
          <w:tcPr>
            <w:tcW w:w="8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1,431</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Global Plasma Solutions, Inc.</w:t>
            </w:r>
          </w:p>
        </w:tc>
        <w:tc>
          <w:tcPr>
            <w:tcW w:w="2960" w:type="dxa"/>
            <w:vAlign w:val="bottom"/>
            <w:shd w:val="clear" w:color="auto" w:fill="CFF0FC"/>
          </w:tcPr>
          <w:p>
            <w:pPr>
              <w:ind w:left="240"/>
              <w:spacing w:after="0"/>
              <w:rPr>
                <w:sz w:val="20"/>
                <w:szCs w:val="20"/>
                <w:color w:val="auto"/>
              </w:rPr>
            </w:pPr>
            <w:r>
              <w:rPr>
                <w:rFonts w:ascii="Arial" w:cs="Arial" w:eastAsia="Arial" w:hAnsi="Arial"/>
                <w:sz w:val="9"/>
                <w:szCs w:val="9"/>
                <w:color w:val="auto"/>
              </w:rPr>
              <w:t>Component Manufacturing</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Common Equity (947 shares) (j)</w:t>
            </w: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9/21/2018</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52</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2,097</w:t>
            </w:r>
          </w:p>
        </w:tc>
        <w:tc>
          <w:tcPr>
            <w:tcW w:w="860" w:type="dxa"/>
            <w:vAlign w:val="bottom"/>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spacing w:after="0"/>
              <w:rPr>
                <w:sz w:val="9"/>
                <w:szCs w:val="9"/>
                <w:color w:val="auto"/>
              </w:rPr>
            </w:pPr>
          </w:p>
        </w:tc>
        <w:tc>
          <w:tcPr>
            <w:tcW w:w="29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rPr>
                <w:sz w:val="20"/>
                <w:szCs w:val="20"/>
                <w:color w:val="auto"/>
              </w:rPr>
            </w:pPr>
            <w:r>
              <w:rPr>
                <w:rFonts w:ascii="Arial" w:cs="Arial" w:eastAsia="Arial" w:hAnsi="Arial"/>
                <w:sz w:val="9"/>
                <w:szCs w:val="9"/>
                <w:i w:val="1"/>
                <w:iCs w:val="1"/>
                <w:color w:val="auto"/>
              </w:rPr>
              <w:t>GP&amp;C Operations, LLC (dba Garlock Printing and Converting)</w:t>
            </w:r>
          </w:p>
        </w:tc>
        <w:tc>
          <w:tcPr>
            <w:tcW w:w="2960" w:type="dxa"/>
            <w:vAlign w:val="bottom"/>
          </w:tcPr>
          <w:p>
            <w:pPr>
              <w:ind w:left="240"/>
              <w:spacing w:after="0"/>
              <w:rPr>
                <w:sz w:val="20"/>
                <w:szCs w:val="20"/>
                <w:color w:val="auto"/>
              </w:rPr>
            </w:pPr>
            <w:r>
              <w:rPr>
                <w:rFonts w:ascii="Arial" w:cs="Arial" w:eastAsia="Arial" w:hAnsi="Arial"/>
                <w:sz w:val="9"/>
                <w:szCs w:val="9"/>
                <w:color w:val="auto"/>
              </w:rPr>
              <w:t>Component Manufacturing</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(w)</w:t>
            </w:r>
          </w:p>
        </w:tc>
        <w:tc>
          <w:tcPr>
            <w:tcW w:w="2960" w:type="dxa"/>
            <w:vAlign w:val="bottom"/>
            <w:shd w:val="clear" w:color="auto" w:fill="CFF0FC"/>
          </w:tcPr>
          <w:p>
            <w:pPr>
              <w:ind w:left="2000"/>
              <w:spacing w:after="0"/>
              <w:rPr>
                <w:sz w:val="20"/>
                <w:szCs w:val="20"/>
                <w:color w:val="auto"/>
              </w:rPr>
            </w:pPr>
            <w:r>
              <w:rPr>
                <w:rFonts w:ascii="Arial" w:cs="Arial" w:eastAsia="Arial" w:hAnsi="Arial"/>
                <w:sz w:val="9"/>
                <w:szCs w:val="9"/>
                <w:color w:val="auto"/>
              </w:rPr>
              <w:t>(L + 7.25%) / (1.00%)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8.25%/0.00%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1/22/2021</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1/22/2026</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11,000</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10,866</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11,000</w:t>
            </w: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Common Equity (515,625 units) (h)(j)</w:t>
            </w: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1/22/2021</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516</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432</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shd w:val="clear" w:color="auto" w:fill="CFF0FC"/>
          </w:tcPr>
          <w:p>
            <w:pPr>
              <w:spacing w:after="0"/>
              <w:rPr>
                <w:sz w:val="8"/>
                <w:szCs w:val="8"/>
                <w:color w:val="auto"/>
              </w:rPr>
            </w:pPr>
          </w:p>
        </w:tc>
        <w:tc>
          <w:tcPr>
            <w:tcW w:w="29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11,382</w:t>
            </w:r>
          </w:p>
        </w:tc>
        <w:tc>
          <w:tcPr>
            <w:tcW w:w="2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11,432</w:t>
            </w:r>
          </w:p>
        </w:tc>
        <w:tc>
          <w:tcPr>
            <w:tcW w:w="86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rPr>
                <w:sz w:val="20"/>
                <w:szCs w:val="20"/>
                <w:color w:val="auto"/>
              </w:rPr>
            </w:pPr>
            <w:r>
              <w:rPr>
                <w:rFonts w:ascii="Arial" w:cs="Arial" w:eastAsia="Arial" w:hAnsi="Arial"/>
                <w:sz w:val="9"/>
                <w:szCs w:val="9"/>
                <w:i w:val="1"/>
                <w:iCs w:val="1"/>
                <w:color w:val="auto"/>
              </w:rPr>
              <w:t>Green Cubes Technology, LLC (dba Green Cubes)</w:t>
            </w:r>
          </w:p>
        </w:tc>
        <w:tc>
          <w:tcPr>
            <w:tcW w:w="2960" w:type="dxa"/>
            <w:vAlign w:val="bottom"/>
          </w:tcPr>
          <w:p>
            <w:pPr>
              <w:ind w:left="240"/>
              <w:spacing w:after="0"/>
              <w:rPr>
                <w:sz w:val="20"/>
                <w:szCs w:val="20"/>
                <w:color w:val="auto"/>
              </w:rPr>
            </w:pPr>
            <w:r>
              <w:rPr>
                <w:rFonts w:ascii="Arial" w:cs="Arial" w:eastAsia="Arial" w:hAnsi="Arial"/>
                <w:sz w:val="9"/>
                <w:szCs w:val="9"/>
                <w:color w:val="auto"/>
              </w:rPr>
              <w:t>Information Technology Services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w:t>
            </w:r>
          </w:p>
        </w:tc>
        <w:tc>
          <w:tcPr>
            <w:tcW w:w="2960" w:type="dxa"/>
            <w:vAlign w:val="bottom"/>
            <w:shd w:val="clear" w:color="auto" w:fill="CFF0FC"/>
          </w:tcPr>
          <w:p>
            <w:pPr>
              <w:ind w:left="2000"/>
              <w:spacing w:after="0"/>
              <w:rPr>
                <w:sz w:val="20"/>
                <w:szCs w:val="20"/>
                <w:color w:val="auto"/>
              </w:rPr>
            </w:pPr>
            <w:r>
              <w:rPr>
                <w:rFonts w:ascii="Arial" w:cs="Arial" w:eastAsia="Arial" w:hAnsi="Arial"/>
                <w:sz w:val="9"/>
                <w:szCs w:val="9"/>
                <w:color w:val="auto"/>
              </w:rPr>
              <w:t>(L + 13.00%) / (0.00%)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13.21%/0.00%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12/17/2021</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12/17/2024</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13,000</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12,928</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12,928</w:t>
            </w:r>
          </w:p>
        </w:tc>
        <w:tc>
          <w:tcPr>
            <w:tcW w:w="860" w:type="dxa"/>
            <w:vAlign w:val="bottom"/>
            <w:shd w:val="clear" w:color="auto" w:fill="CFF0FC"/>
          </w:tcPr>
          <w:p>
            <w:pPr>
              <w:jc w:val="right"/>
              <w:spacing w:after="0"/>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Gurobi Optimization, LLC</w:t>
            </w:r>
          </w:p>
        </w:tc>
        <w:tc>
          <w:tcPr>
            <w:tcW w:w="2960" w:type="dxa"/>
            <w:vAlign w:val="bottom"/>
            <w:shd w:val="clear" w:color="auto" w:fill="CFF0FC"/>
          </w:tcPr>
          <w:p>
            <w:pPr>
              <w:ind w:left="240"/>
              <w:spacing w:after="0"/>
              <w:rPr>
                <w:sz w:val="20"/>
                <w:szCs w:val="20"/>
                <w:color w:val="auto"/>
              </w:rPr>
            </w:pPr>
            <w:r>
              <w:rPr>
                <w:rFonts w:ascii="Arial" w:cs="Arial" w:eastAsia="Arial" w:hAnsi="Arial"/>
                <w:sz w:val="9"/>
                <w:szCs w:val="9"/>
                <w:color w:val="auto"/>
              </w:rPr>
              <w:t>Information Technology Services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Common Equity (3 shares)</w:t>
            </w: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12/19/2017</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607</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2,569</w:t>
            </w:r>
          </w:p>
        </w:tc>
        <w:tc>
          <w:tcPr>
            <w:tcW w:w="860" w:type="dxa"/>
            <w:vAlign w:val="bottom"/>
          </w:tcPr>
          <w:p>
            <w:pPr>
              <w:jc w:val="right"/>
              <w:spacing w:after="0"/>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spacing w:after="0"/>
              <w:rPr>
                <w:sz w:val="9"/>
                <w:szCs w:val="9"/>
                <w:color w:val="auto"/>
              </w:rPr>
            </w:pPr>
          </w:p>
        </w:tc>
        <w:tc>
          <w:tcPr>
            <w:tcW w:w="29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rPr>
                <w:sz w:val="20"/>
                <w:szCs w:val="20"/>
                <w:color w:val="auto"/>
              </w:rPr>
            </w:pPr>
            <w:r>
              <w:rPr>
                <w:rFonts w:ascii="Arial" w:cs="Arial" w:eastAsia="Arial" w:hAnsi="Arial"/>
                <w:sz w:val="9"/>
                <w:szCs w:val="9"/>
                <w:i w:val="1"/>
                <w:iCs w:val="1"/>
                <w:color w:val="auto"/>
              </w:rPr>
              <w:t>Haematologic Technologies, Inc.</w:t>
            </w:r>
          </w:p>
        </w:tc>
        <w:tc>
          <w:tcPr>
            <w:tcW w:w="2960" w:type="dxa"/>
            <w:vAlign w:val="bottom"/>
          </w:tcPr>
          <w:p>
            <w:pPr>
              <w:ind w:left="240"/>
              <w:spacing w:after="0"/>
              <w:rPr>
                <w:sz w:val="20"/>
                <w:szCs w:val="20"/>
                <w:color w:val="auto"/>
              </w:rPr>
            </w:pPr>
            <w:r>
              <w:rPr>
                <w:rFonts w:ascii="Arial" w:cs="Arial" w:eastAsia="Arial" w:hAnsi="Arial"/>
                <w:sz w:val="9"/>
                <w:szCs w:val="9"/>
                <w:color w:val="auto"/>
              </w:rPr>
              <w:t>Healthcare Services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(x)</w:t>
            </w:r>
          </w:p>
        </w:tc>
        <w:tc>
          <w:tcPr>
            <w:tcW w:w="2960" w:type="dxa"/>
            <w:vAlign w:val="bottom"/>
            <w:shd w:val="clear" w:color="auto" w:fill="CFF0FC"/>
          </w:tcPr>
          <w:p>
            <w:pPr>
              <w:ind w:left="2000"/>
              <w:spacing w:after="0"/>
              <w:rPr>
                <w:sz w:val="20"/>
                <w:szCs w:val="20"/>
                <w:color w:val="auto"/>
              </w:rPr>
            </w:pPr>
            <w:r>
              <w:rPr>
                <w:rFonts w:ascii="Arial" w:cs="Arial" w:eastAsia="Arial" w:hAnsi="Arial"/>
                <w:sz w:val="9"/>
                <w:szCs w:val="9"/>
                <w:color w:val="auto"/>
              </w:rPr>
              <w:t>(L + 8.25%) / (2.00%)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10.25%/0.00%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10/11/2019</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10/11/2024</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5,378</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5,355</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4,945</w:t>
            </w: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Common Equity (630 units) (h)(j)</w:t>
            </w: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10/11/2019</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630</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120</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shd w:val="clear" w:color="auto" w:fill="CFF0FC"/>
          </w:tcPr>
          <w:p>
            <w:pPr>
              <w:spacing w:after="0"/>
              <w:rPr>
                <w:sz w:val="8"/>
                <w:szCs w:val="8"/>
                <w:color w:val="auto"/>
              </w:rPr>
            </w:pPr>
          </w:p>
        </w:tc>
        <w:tc>
          <w:tcPr>
            <w:tcW w:w="29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5,985</w:t>
            </w:r>
          </w:p>
        </w:tc>
        <w:tc>
          <w:tcPr>
            <w:tcW w:w="2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5,065</w:t>
            </w:r>
          </w:p>
        </w:tc>
        <w:tc>
          <w:tcPr>
            <w:tcW w:w="86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rPr>
                <w:sz w:val="20"/>
                <w:szCs w:val="20"/>
                <w:color w:val="auto"/>
              </w:rPr>
            </w:pPr>
            <w:r>
              <w:rPr>
                <w:rFonts w:ascii="Arial" w:cs="Arial" w:eastAsia="Arial" w:hAnsi="Arial"/>
                <w:sz w:val="9"/>
                <w:szCs w:val="9"/>
                <w:i w:val="1"/>
                <w:iCs w:val="1"/>
                <w:color w:val="auto"/>
              </w:rPr>
              <w:t>Hallmark Health Care Solutions, Inc.</w:t>
            </w:r>
          </w:p>
        </w:tc>
        <w:tc>
          <w:tcPr>
            <w:tcW w:w="2960" w:type="dxa"/>
            <w:vAlign w:val="bottom"/>
          </w:tcPr>
          <w:p>
            <w:pPr>
              <w:ind w:left="240"/>
              <w:spacing w:after="0"/>
              <w:rPr>
                <w:sz w:val="20"/>
                <w:szCs w:val="20"/>
                <w:color w:val="auto"/>
              </w:rPr>
            </w:pPr>
            <w:r>
              <w:rPr>
                <w:rFonts w:ascii="Arial" w:cs="Arial" w:eastAsia="Arial" w:hAnsi="Arial"/>
                <w:sz w:val="9"/>
                <w:szCs w:val="9"/>
                <w:color w:val="auto"/>
              </w:rPr>
              <w:t>Healthcare Services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(j)(ae)</w:t>
            </w:r>
          </w:p>
        </w:tc>
        <w:tc>
          <w:tcPr>
            <w:tcW w:w="2960" w:type="dxa"/>
            <w:vAlign w:val="bottom"/>
            <w:shd w:val="clear" w:color="auto" w:fill="CFF0FC"/>
          </w:tcPr>
          <w:p>
            <w:pPr>
              <w:ind w:left="2000"/>
              <w:spacing w:after="0"/>
              <w:rPr>
                <w:sz w:val="20"/>
                <w:szCs w:val="20"/>
                <w:color w:val="auto"/>
              </w:rPr>
            </w:pPr>
            <w:r>
              <w:rPr>
                <w:rFonts w:ascii="Arial" w:cs="Arial" w:eastAsia="Arial" w:hAnsi="Arial"/>
                <w:sz w:val="9"/>
                <w:szCs w:val="9"/>
                <w:color w:val="auto"/>
              </w:rPr>
              <w:t>(L + 7.25%) / (1.50%)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8.75%/0.00%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12/4/2020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12/4/2025</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8,440</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8,390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8,440</w:t>
            </w: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Common Equity (750,000 units) (j)</w:t>
            </w: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12/4/2020</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750</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2,068</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shd w:val="clear" w:color="auto" w:fill="CFF0FC"/>
          </w:tcPr>
          <w:p>
            <w:pPr>
              <w:spacing w:after="0"/>
              <w:rPr>
                <w:sz w:val="8"/>
                <w:szCs w:val="8"/>
                <w:color w:val="auto"/>
              </w:rPr>
            </w:pPr>
          </w:p>
        </w:tc>
        <w:tc>
          <w:tcPr>
            <w:tcW w:w="29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9,140</w:t>
            </w:r>
          </w:p>
        </w:tc>
        <w:tc>
          <w:tcPr>
            <w:tcW w:w="2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10,508</w:t>
            </w:r>
          </w:p>
        </w:tc>
        <w:tc>
          <w:tcPr>
            <w:tcW w:w="86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rPr>
                <w:sz w:val="20"/>
                <w:szCs w:val="20"/>
                <w:color w:val="auto"/>
              </w:rPr>
            </w:pPr>
            <w:r>
              <w:rPr>
                <w:rFonts w:ascii="Arial" w:cs="Arial" w:eastAsia="Arial" w:hAnsi="Arial"/>
                <w:sz w:val="9"/>
                <w:szCs w:val="9"/>
                <w:i w:val="1"/>
                <w:iCs w:val="1"/>
                <w:color w:val="auto"/>
              </w:rPr>
              <w:t>Healthfuse, LLC</w:t>
            </w:r>
          </w:p>
        </w:tc>
        <w:tc>
          <w:tcPr>
            <w:tcW w:w="2960" w:type="dxa"/>
            <w:vAlign w:val="bottom"/>
          </w:tcPr>
          <w:p>
            <w:pPr>
              <w:ind w:left="240"/>
              <w:spacing w:after="0"/>
              <w:rPr>
                <w:sz w:val="20"/>
                <w:szCs w:val="20"/>
                <w:color w:val="auto"/>
              </w:rPr>
            </w:pPr>
            <w:r>
              <w:rPr>
                <w:rFonts w:ascii="Arial" w:cs="Arial" w:eastAsia="Arial" w:hAnsi="Arial"/>
                <w:sz w:val="9"/>
                <w:szCs w:val="9"/>
                <w:color w:val="auto"/>
              </w:rPr>
              <w:t>Healthcare Services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(af)</w:t>
            </w:r>
          </w:p>
        </w:tc>
        <w:tc>
          <w:tcPr>
            <w:tcW w:w="2960" w:type="dxa"/>
            <w:vAlign w:val="bottom"/>
            <w:shd w:val="clear" w:color="auto" w:fill="CFF0FC"/>
          </w:tcPr>
          <w:p>
            <w:pPr>
              <w:ind w:left="2000"/>
              <w:spacing w:after="0"/>
              <w:rPr>
                <w:sz w:val="20"/>
                <w:szCs w:val="20"/>
                <w:color w:val="auto"/>
              </w:rPr>
            </w:pPr>
            <w:r>
              <w:rPr>
                <w:rFonts w:ascii="Arial" w:cs="Arial" w:eastAsia="Arial" w:hAnsi="Arial"/>
                <w:sz w:val="9"/>
                <w:szCs w:val="9"/>
                <w:color w:val="auto"/>
              </w:rPr>
              <w:t>(L + 7.25%) / (1.00%)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8.25%/0.00%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11/13/2020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11/13/2025</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5,940</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5,908</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5,940</w:t>
            </w: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Preferred Equity (197,980 units)</w:t>
            </w: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11/13/2020</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750</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920</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shd w:val="clear" w:color="auto" w:fill="CFF0FC"/>
          </w:tcPr>
          <w:p>
            <w:pPr>
              <w:spacing w:after="0"/>
              <w:rPr>
                <w:sz w:val="8"/>
                <w:szCs w:val="8"/>
                <w:color w:val="auto"/>
              </w:rPr>
            </w:pPr>
          </w:p>
        </w:tc>
        <w:tc>
          <w:tcPr>
            <w:tcW w:w="29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6,658</w:t>
            </w:r>
          </w:p>
        </w:tc>
        <w:tc>
          <w:tcPr>
            <w:tcW w:w="2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6,860</w:t>
            </w:r>
          </w:p>
        </w:tc>
        <w:tc>
          <w:tcPr>
            <w:tcW w:w="86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rPr>
                <w:sz w:val="20"/>
                <w:szCs w:val="20"/>
                <w:color w:val="auto"/>
              </w:rPr>
            </w:pPr>
            <w:r>
              <w:rPr>
                <w:rFonts w:ascii="Arial" w:cs="Arial" w:eastAsia="Arial" w:hAnsi="Arial"/>
                <w:sz w:val="9"/>
                <w:szCs w:val="9"/>
                <w:i w:val="1"/>
                <w:iCs w:val="1"/>
                <w:color w:val="auto"/>
              </w:rPr>
              <w:t>Hub Acquisition Sub, LLC (dba Hub Pen)</w:t>
            </w:r>
          </w:p>
        </w:tc>
        <w:tc>
          <w:tcPr>
            <w:tcW w:w="2960" w:type="dxa"/>
            <w:vAlign w:val="bottom"/>
          </w:tcPr>
          <w:p>
            <w:pPr>
              <w:ind w:left="240"/>
              <w:spacing w:after="0"/>
              <w:rPr>
                <w:sz w:val="20"/>
                <w:szCs w:val="20"/>
                <w:color w:val="auto"/>
              </w:rPr>
            </w:pPr>
            <w:r>
              <w:rPr>
                <w:rFonts w:ascii="Arial" w:cs="Arial" w:eastAsia="Arial" w:hAnsi="Arial"/>
                <w:sz w:val="9"/>
                <w:szCs w:val="9"/>
                <w:color w:val="auto"/>
              </w:rPr>
              <w:t>Promotional products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Second Lien Debt (k)</w:t>
            </w:r>
          </w:p>
        </w:tc>
        <w:tc>
          <w:tcPr>
            <w:tcW w:w="2960" w:type="dxa"/>
            <w:vAlign w:val="bottom"/>
            <w:shd w:val="clear" w:color="auto" w:fill="CFF0FC"/>
          </w:tcPr>
          <w:p>
            <w:pPr>
              <w:spacing w:after="0"/>
              <w:rPr>
                <w:sz w:val="9"/>
                <w:szCs w:val="9"/>
                <w:color w:val="auto"/>
              </w:rPr>
            </w:pP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13.50%/0.00%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3/23/2016</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3/31/2023</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25,000</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24,986</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22,501</w:t>
            </w: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Common Equity (3,750 units)</w:t>
            </w: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3/23/2016</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114</w:t>
            </w:r>
          </w:p>
        </w:tc>
        <w:tc>
          <w:tcPr>
            <w:tcW w:w="22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Preferred Equity (868 units) (j)</w:t>
            </w:r>
          </w:p>
        </w:tc>
        <w:tc>
          <w:tcPr>
            <w:tcW w:w="29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10/16/2020</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150</w:t>
            </w:r>
          </w:p>
        </w:tc>
        <w:tc>
          <w:tcPr>
            <w:tcW w:w="22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w:t>
            </w:r>
          </w:p>
        </w:tc>
        <w:tc>
          <w:tcPr>
            <w:tcW w:w="8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25,250</w:t>
            </w:r>
          </w:p>
        </w:tc>
        <w:tc>
          <w:tcPr>
            <w:tcW w:w="8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22,501</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5 %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IBH Holdings, LLC (fka Inflexxion, Inc.)</w:t>
            </w:r>
          </w:p>
        </w:tc>
        <w:tc>
          <w:tcPr>
            <w:tcW w:w="2960" w:type="dxa"/>
            <w:vAlign w:val="bottom"/>
            <w:shd w:val="clear" w:color="auto" w:fill="CFF0FC"/>
          </w:tcPr>
          <w:p>
            <w:pPr>
              <w:ind w:left="240"/>
              <w:spacing w:after="0"/>
              <w:rPr>
                <w:sz w:val="20"/>
                <w:szCs w:val="20"/>
                <w:color w:val="auto"/>
              </w:rPr>
            </w:pPr>
            <w:r>
              <w:rPr>
                <w:rFonts w:ascii="Arial" w:cs="Arial" w:eastAsia="Arial" w:hAnsi="Arial"/>
                <w:sz w:val="9"/>
                <w:szCs w:val="9"/>
                <w:color w:val="auto"/>
              </w:rPr>
              <w:t>Business Services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Common Equity (150,000 units)</w:t>
            </w: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6/20/2018</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203</w:t>
            </w:r>
          </w:p>
        </w:tc>
        <w:tc>
          <w:tcPr>
            <w:tcW w:w="860" w:type="dxa"/>
            <w:vAlign w:val="bottom"/>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spacing w:after="0"/>
              <w:rPr>
                <w:sz w:val="9"/>
                <w:szCs w:val="9"/>
                <w:color w:val="auto"/>
              </w:rPr>
            </w:pPr>
          </w:p>
        </w:tc>
        <w:tc>
          <w:tcPr>
            <w:tcW w:w="29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rPr>
                <w:sz w:val="20"/>
                <w:szCs w:val="20"/>
                <w:color w:val="auto"/>
              </w:rPr>
            </w:pPr>
            <w:r>
              <w:rPr>
                <w:rFonts w:ascii="Arial" w:cs="Arial" w:eastAsia="Arial" w:hAnsi="Arial"/>
                <w:sz w:val="9"/>
                <w:szCs w:val="9"/>
                <w:i w:val="1"/>
                <w:iCs w:val="1"/>
                <w:color w:val="auto"/>
              </w:rPr>
              <w:t>Ipro Tech, LLC</w:t>
            </w:r>
          </w:p>
        </w:tc>
        <w:tc>
          <w:tcPr>
            <w:tcW w:w="2960" w:type="dxa"/>
            <w:vAlign w:val="bottom"/>
          </w:tcPr>
          <w:p>
            <w:pPr>
              <w:ind w:left="240"/>
              <w:spacing w:after="0"/>
              <w:rPr>
                <w:sz w:val="20"/>
                <w:szCs w:val="20"/>
                <w:color w:val="auto"/>
              </w:rPr>
            </w:pPr>
            <w:r>
              <w:rPr>
                <w:rFonts w:ascii="Arial" w:cs="Arial" w:eastAsia="Arial" w:hAnsi="Arial"/>
                <w:sz w:val="9"/>
                <w:szCs w:val="9"/>
                <w:color w:val="auto"/>
              </w:rPr>
              <w:t>Information Technology Services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(j)(u)</w:t>
            </w:r>
          </w:p>
        </w:tc>
        <w:tc>
          <w:tcPr>
            <w:tcW w:w="2960" w:type="dxa"/>
            <w:vAlign w:val="bottom"/>
            <w:shd w:val="clear" w:color="auto" w:fill="CFF0FC"/>
          </w:tcPr>
          <w:p>
            <w:pPr>
              <w:ind w:left="2000"/>
              <w:spacing w:after="0"/>
              <w:rPr>
                <w:sz w:val="20"/>
                <w:szCs w:val="20"/>
                <w:color w:val="auto"/>
              </w:rPr>
            </w:pPr>
            <w:r>
              <w:rPr>
                <w:rFonts w:ascii="Arial" w:cs="Arial" w:eastAsia="Arial" w:hAnsi="Arial"/>
                <w:sz w:val="9"/>
                <w:szCs w:val="9"/>
                <w:color w:val="auto"/>
              </w:rPr>
              <w:t>(L + 7.00%) / (1.00%)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8.00%/1.00%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6/30/2020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7/28/2025</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19,380</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18,429</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19,012</w:t>
            </w: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Preferred Equity (682,075 units) (j)</w:t>
            </w: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7/28/2021</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682</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682</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shd w:val="clear" w:color="auto" w:fill="CFF0FC"/>
          </w:tcPr>
          <w:p>
            <w:pPr>
              <w:spacing w:after="0"/>
              <w:rPr>
                <w:sz w:val="8"/>
                <w:szCs w:val="8"/>
                <w:color w:val="auto"/>
              </w:rPr>
            </w:pPr>
          </w:p>
        </w:tc>
        <w:tc>
          <w:tcPr>
            <w:tcW w:w="29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19,111</w:t>
            </w:r>
          </w:p>
        </w:tc>
        <w:tc>
          <w:tcPr>
            <w:tcW w:w="2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19,694</w:t>
            </w:r>
          </w:p>
        </w:tc>
        <w:tc>
          <w:tcPr>
            <w:tcW w:w="86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rPr>
                <w:sz w:val="20"/>
                <w:szCs w:val="20"/>
                <w:color w:val="auto"/>
              </w:rPr>
            </w:pPr>
            <w:r>
              <w:rPr>
                <w:rFonts w:ascii="Arial" w:cs="Arial" w:eastAsia="Arial" w:hAnsi="Arial"/>
                <w:sz w:val="9"/>
                <w:szCs w:val="9"/>
                <w:i w:val="1"/>
                <w:iCs w:val="1"/>
                <w:color w:val="auto"/>
              </w:rPr>
              <w:t>ISI PSG Holdings, LLC (dba Incentive Solutions, Inc.)</w:t>
            </w:r>
          </w:p>
        </w:tc>
        <w:tc>
          <w:tcPr>
            <w:tcW w:w="2960" w:type="dxa"/>
            <w:vAlign w:val="bottom"/>
          </w:tcPr>
          <w:p>
            <w:pPr>
              <w:ind w:left="240"/>
              <w:spacing w:after="0"/>
              <w:rPr>
                <w:sz w:val="20"/>
                <w:szCs w:val="20"/>
                <w:color w:val="auto"/>
              </w:rPr>
            </w:pPr>
            <w:r>
              <w:rPr>
                <w:rFonts w:ascii="Arial" w:cs="Arial" w:eastAsia="Arial" w:hAnsi="Arial"/>
                <w:sz w:val="9"/>
                <w:szCs w:val="9"/>
                <w:color w:val="auto"/>
              </w:rPr>
              <w:t>Business Services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(j)(aj)</w:t>
            </w:r>
          </w:p>
        </w:tc>
        <w:tc>
          <w:tcPr>
            <w:tcW w:w="2960" w:type="dxa"/>
            <w:vAlign w:val="bottom"/>
            <w:shd w:val="clear" w:color="auto" w:fill="CFF0FC"/>
          </w:tcPr>
          <w:p>
            <w:pPr>
              <w:ind w:left="2000"/>
              <w:spacing w:after="0"/>
              <w:rPr>
                <w:sz w:val="20"/>
                <w:szCs w:val="20"/>
                <w:color w:val="auto"/>
              </w:rPr>
            </w:pPr>
            <w:r>
              <w:rPr>
                <w:rFonts w:ascii="Arial" w:cs="Arial" w:eastAsia="Arial" w:hAnsi="Arial"/>
                <w:sz w:val="9"/>
                <w:szCs w:val="9"/>
                <w:color w:val="auto"/>
              </w:rPr>
              <w:t>(L + 7.50%) / (0.50%)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8.00%/0.00%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4/5/2021</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4/5/2026</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12,483</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12,394</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12,404</w:t>
            </w: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First Lien Debt (j)(an)</w:t>
            </w:r>
          </w:p>
        </w:tc>
        <w:tc>
          <w:tcPr>
            <w:tcW w:w="2960" w:type="dxa"/>
            <w:vAlign w:val="bottom"/>
          </w:tcPr>
          <w:p>
            <w:pPr>
              <w:ind w:left="2000"/>
              <w:spacing w:after="0"/>
              <w:rPr>
                <w:sz w:val="20"/>
                <w:szCs w:val="20"/>
                <w:color w:val="auto"/>
              </w:rPr>
            </w:pPr>
            <w:r>
              <w:rPr>
                <w:rFonts w:ascii="Arial" w:cs="Arial" w:eastAsia="Arial" w:hAnsi="Arial"/>
                <w:sz w:val="9"/>
                <w:szCs w:val="9"/>
                <w:color w:val="auto"/>
              </w:rPr>
              <w:t>(L + 7.50%) / (0.50%)</w:t>
            </w:r>
          </w:p>
        </w:tc>
        <w:tc>
          <w:tcPr>
            <w:tcW w:w="820" w:type="dxa"/>
            <w:vAlign w:val="bottom"/>
          </w:tcPr>
          <w:p>
            <w:pPr>
              <w:ind w:left="120"/>
              <w:spacing w:after="0"/>
              <w:rPr>
                <w:sz w:val="20"/>
                <w:szCs w:val="20"/>
                <w:color w:val="auto"/>
              </w:rPr>
            </w:pPr>
            <w:r>
              <w:rPr>
                <w:rFonts w:ascii="Arial" w:cs="Arial" w:eastAsia="Arial" w:hAnsi="Arial"/>
                <w:sz w:val="9"/>
                <w:szCs w:val="9"/>
                <w:color w:val="auto"/>
              </w:rPr>
              <w:t>8.00%/0.00%</w:t>
            </w:r>
          </w:p>
        </w:tc>
        <w:tc>
          <w:tcPr>
            <w:tcW w:w="700" w:type="dxa"/>
            <w:vAlign w:val="bottom"/>
          </w:tcPr>
          <w:p>
            <w:pPr>
              <w:ind w:left="180"/>
              <w:spacing w:after="0"/>
              <w:rPr>
                <w:sz w:val="20"/>
                <w:szCs w:val="20"/>
                <w:color w:val="auto"/>
              </w:rPr>
            </w:pPr>
            <w:r>
              <w:rPr>
                <w:rFonts w:ascii="Arial" w:cs="Arial" w:eastAsia="Arial" w:hAnsi="Arial"/>
                <w:sz w:val="9"/>
                <w:szCs w:val="9"/>
                <w:color w:val="auto"/>
              </w:rPr>
              <w:t>6/30/2021</w:t>
            </w:r>
          </w:p>
        </w:tc>
        <w:tc>
          <w:tcPr>
            <w:tcW w:w="820" w:type="dxa"/>
            <w:vAlign w:val="bottom"/>
          </w:tcPr>
          <w:p>
            <w:pPr>
              <w:ind w:left="120"/>
              <w:spacing w:after="0"/>
              <w:rPr>
                <w:sz w:val="20"/>
                <w:szCs w:val="20"/>
                <w:color w:val="auto"/>
              </w:rPr>
            </w:pPr>
            <w:r>
              <w:rPr>
                <w:rFonts w:ascii="Arial" w:cs="Arial" w:eastAsia="Arial" w:hAnsi="Arial"/>
                <w:sz w:val="9"/>
                <w:szCs w:val="9"/>
                <w:color w:val="auto"/>
              </w:rPr>
              <w:t>4/5/2026</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13,331</w:t>
            </w:r>
          </w:p>
        </w:tc>
        <w:tc>
          <w:tcPr>
            <w:tcW w:w="620" w:type="dxa"/>
            <w:vAlign w:val="bottom"/>
          </w:tcPr>
          <w:p>
            <w:pPr>
              <w:jc w:val="right"/>
              <w:spacing w:after="0"/>
              <w:rPr>
                <w:sz w:val="20"/>
                <w:szCs w:val="20"/>
                <w:color w:val="auto"/>
              </w:rPr>
            </w:pPr>
            <w:r>
              <w:rPr>
                <w:rFonts w:ascii="Arial" w:cs="Arial" w:eastAsia="Arial" w:hAnsi="Arial"/>
                <w:sz w:val="9"/>
                <w:szCs w:val="9"/>
                <w:color w:val="auto"/>
              </w:rPr>
              <w:t>13,331</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13,247</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(256,964 units) (h)(j)</w:t>
            </w:r>
          </w:p>
        </w:tc>
        <w:tc>
          <w:tcPr>
            <w:tcW w:w="29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4/5/2021</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22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592</w:t>
            </w:r>
          </w:p>
        </w:tc>
        <w:tc>
          <w:tcPr>
            <w:tcW w:w="8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26,225</w:t>
            </w:r>
          </w:p>
        </w:tc>
        <w:tc>
          <w:tcPr>
            <w:tcW w:w="8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26,243</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5 %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K2 Merger Agreement Agent, LLC (fka K2 Industrial Services, Inc.) (n)</w:t>
            </w:r>
          </w:p>
        </w:tc>
        <w:tc>
          <w:tcPr>
            <w:tcW w:w="2960" w:type="dxa"/>
            <w:vAlign w:val="bottom"/>
            <w:shd w:val="clear" w:color="auto" w:fill="CFF0FC"/>
          </w:tcPr>
          <w:p>
            <w:pPr>
              <w:ind w:left="240"/>
              <w:spacing w:after="0"/>
              <w:rPr>
                <w:sz w:val="20"/>
                <w:szCs w:val="20"/>
                <w:color w:val="auto"/>
              </w:rPr>
            </w:pPr>
            <w:r>
              <w:rPr>
                <w:rFonts w:ascii="Arial" w:cs="Arial" w:eastAsia="Arial" w:hAnsi="Arial"/>
                <w:sz w:val="9"/>
                <w:szCs w:val="9"/>
                <w:color w:val="auto"/>
              </w:rPr>
              <w:t>Industrial Cleaning &amp; Coatings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Second Lien Debt (j)</w:t>
            </w:r>
          </w:p>
        </w:tc>
        <w:tc>
          <w:tcPr>
            <w:tcW w:w="2960" w:type="dxa"/>
            <w:vAlign w:val="bottom"/>
          </w:tcPr>
          <w:p>
            <w:pPr>
              <w:spacing w:after="0"/>
              <w:rPr>
                <w:sz w:val="9"/>
                <w:szCs w:val="9"/>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0.00%/10.00%</w:t>
            </w:r>
          </w:p>
        </w:tc>
        <w:tc>
          <w:tcPr>
            <w:tcW w:w="700" w:type="dxa"/>
            <w:vAlign w:val="bottom"/>
          </w:tcPr>
          <w:p>
            <w:pPr>
              <w:ind w:left="180"/>
              <w:spacing w:after="0"/>
              <w:rPr>
                <w:sz w:val="20"/>
                <w:szCs w:val="20"/>
                <w:color w:val="auto"/>
              </w:rPr>
            </w:pPr>
            <w:r>
              <w:rPr>
                <w:rFonts w:ascii="Arial" w:cs="Arial" w:eastAsia="Arial" w:hAnsi="Arial"/>
                <w:sz w:val="9"/>
                <w:szCs w:val="9"/>
                <w:color w:val="auto"/>
              </w:rPr>
              <w:t>1/28/2019</w:t>
            </w:r>
          </w:p>
        </w:tc>
        <w:tc>
          <w:tcPr>
            <w:tcW w:w="820" w:type="dxa"/>
            <w:vAlign w:val="bottom"/>
          </w:tcPr>
          <w:p>
            <w:pPr>
              <w:ind w:left="120"/>
              <w:spacing w:after="0"/>
              <w:rPr>
                <w:sz w:val="20"/>
                <w:szCs w:val="20"/>
                <w:color w:val="auto"/>
              </w:rPr>
            </w:pPr>
            <w:r>
              <w:rPr>
                <w:rFonts w:ascii="Arial" w:cs="Arial" w:eastAsia="Arial" w:hAnsi="Arial"/>
                <w:sz w:val="9"/>
                <w:szCs w:val="9"/>
                <w:color w:val="auto"/>
              </w:rPr>
              <w:t>1/28/2023</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2,368</w:t>
            </w:r>
          </w:p>
        </w:tc>
        <w:tc>
          <w:tcPr>
            <w:tcW w:w="620" w:type="dxa"/>
            <w:vAlign w:val="bottom"/>
          </w:tcPr>
          <w:p>
            <w:pPr>
              <w:jc w:val="right"/>
              <w:spacing w:after="0"/>
              <w:rPr>
                <w:sz w:val="20"/>
                <w:szCs w:val="20"/>
                <w:color w:val="auto"/>
              </w:rPr>
            </w:pPr>
            <w:r>
              <w:rPr>
                <w:rFonts w:ascii="Arial" w:cs="Arial" w:eastAsia="Arial" w:hAnsi="Arial"/>
                <w:sz w:val="9"/>
                <w:szCs w:val="9"/>
                <w:color w:val="auto"/>
              </w:rPr>
              <w:t>2,368</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2,368</w:t>
            </w:r>
          </w:p>
        </w:tc>
        <w:tc>
          <w:tcPr>
            <w:tcW w:w="860" w:type="dxa"/>
            <w:vAlign w:val="bottom"/>
          </w:tcPr>
          <w:p>
            <w:pPr>
              <w:jc w:val="right"/>
              <w:spacing w:after="0"/>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spacing w:after="0"/>
              <w:rPr>
                <w:sz w:val="9"/>
                <w:szCs w:val="9"/>
                <w:color w:val="auto"/>
              </w:rPr>
            </w:pPr>
          </w:p>
        </w:tc>
        <w:tc>
          <w:tcPr>
            <w:tcW w:w="29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rPr>
                <w:sz w:val="20"/>
                <w:szCs w:val="20"/>
                <w:color w:val="auto"/>
              </w:rPr>
            </w:pPr>
            <w:r>
              <w:rPr>
                <w:rFonts w:ascii="Arial" w:cs="Arial" w:eastAsia="Arial" w:hAnsi="Arial"/>
                <w:sz w:val="9"/>
                <w:szCs w:val="9"/>
                <w:i w:val="1"/>
                <w:iCs w:val="1"/>
                <w:color w:val="auto"/>
              </w:rPr>
              <w:t>The Kyjen Company, LLC (dba Outward Hound)</w:t>
            </w:r>
          </w:p>
        </w:tc>
        <w:tc>
          <w:tcPr>
            <w:tcW w:w="2960" w:type="dxa"/>
            <w:vAlign w:val="bottom"/>
          </w:tcPr>
          <w:p>
            <w:pPr>
              <w:ind w:left="240"/>
              <w:spacing w:after="0"/>
              <w:rPr>
                <w:sz w:val="20"/>
                <w:szCs w:val="20"/>
                <w:color w:val="auto"/>
              </w:rPr>
            </w:pPr>
            <w:r>
              <w:rPr>
                <w:rFonts w:ascii="Arial" w:cs="Arial" w:eastAsia="Arial" w:hAnsi="Arial"/>
                <w:sz w:val="9"/>
                <w:szCs w:val="9"/>
                <w:color w:val="auto"/>
              </w:rPr>
              <w:t>Consumer Products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(855 shares) (j)</w:t>
            </w:r>
          </w:p>
        </w:tc>
        <w:tc>
          <w:tcPr>
            <w:tcW w:w="29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12/8/2017</w:t>
            </w: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933</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1,465</w:t>
            </w:r>
          </w:p>
        </w:tc>
        <w:tc>
          <w:tcPr>
            <w:tcW w:w="86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Level Education Group, LLC (dba CE4Less)</w:t>
            </w:r>
          </w:p>
        </w:tc>
        <w:tc>
          <w:tcPr>
            <w:tcW w:w="2960" w:type="dxa"/>
            <w:vAlign w:val="bottom"/>
            <w:shd w:val="clear" w:color="auto" w:fill="CFF0FC"/>
          </w:tcPr>
          <w:p>
            <w:pPr>
              <w:ind w:left="240"/>
              <w:spacing w:after="0"/>
              <w:rPr>
                <w:sz w:val="20"/>
                <w:szCs w:val="20"/>
                <w:color w:val="auto"/>
              </w:rPr>
            </w:pPr>
            <w:r>
              <w:rPr>
                <w:rFonts w:ascii="Arial" w:cs="Arial" w:eastAsia="Arial" w:hAnsi="Arial"/>
                <w:sz w:val="9"/>
                <w:szCs w:val="9"/>
                <w:color w:val="auto"/>
              </w:rPr>
              <w:t>Business Services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First Lien Debt (ak)</w:t>
            </w:r>
          </w:p>
        </w:tc>
        <w:tc>
          <w:tcPr>
            <w:tcW w:w="2960" w:type="dxa"/>
            <w:vAlign w:val="bottom"/>
          </w:tcPr>
          <w:p>
            <w:pPr>
              <w:ind w:left="2000"/>
              <w:spacing w:after="0"/>
              <w:rPr>
                <w:sz w:val="20"/>
                <w:szCs w:val="20"/>
                <w:color w:val="auto"/>
              </w:rPr>
            </w:pPr>
            <w:r>
              <w:rPr>
                <w:rFonts w:ascii="Arial" w:cs="Arial" w:eastAsia="Arial" w:hAnsi="Arial"/>
                <w:sz w:val="9"/>
                <w:szCs w:val="9"/>
                <w:color w:val="auto"/>
              </w:rPr>
              <w:t>(L + 6.75%) / (0.50%)</w:t>
            </w:r>
          </w:p>
        </w:tc>
        <w:tc>
          <w:tcPr>
            <w:tcW w:w="820" w:type="dxa"/>
            <w:vAlign w:val="bottom"/>
          </w:tcPr>
          <w:p>
            <w:pPr>
              <w:ind w:left="120"/>
              <w:spacing w:after="0"/>
              <w:rPr>
                <w:sz w:val="20"/>
                <w:szCs w:val="20"/>
                <w:color w:val="auto"/>
              </w:rPr>
            </w:pPr>
            <w:r>
              <w:rPr>
                <w:rFonts w:ascii="Arial" w:cs="Arial" w:eastAsia="Arial" w:hAnsi="Arial"/>
                <w:sz w:val="9"/>
                <w:szCs w:val="9"/>
                <w:color w:val="auto"/>
              </w:rPr>
              <w:t>7.25%/0.00%</w:t>
            </w:r>
          </w:p>
        </w:tc>
        <w:tc>
          <w:tcPr>
            <w:tcW w:w="700" w:type="dxa"/>
            <w:vAlign w:val="bottom"/>
          </w:tcPr>
          <w:p>
            <w:pPr>
              <w:ind w:left="180"/>
              <w:spacing w:after="0"/>
              <w:rPr>
                <w:sz w:val="20"/>
                <w:szCs w:val="20"/>
                <w:color w:val="auto"/>
              </w:rPr>
            </w:pPr>
            <w:r>
              <w:rPr>
                <w:rFonts w:ascii="Arial" w:cs="Arial" w:eastAsia="Arial" w:hAnsi="Arial"/>
                <w:sz w:val="9"/>
                <w:szCs w:val="9"/>
                <w:color w:val="auto"/>
              </w:rPr>
              <w:t>4/1/2021</w:t>
            </w:r>
          </w:p>
        </w:tc>
        <w:tc>
          <w:tcPr>
            <w:tcW w:w="820" w:type="dxa"/>
            <w:vAlign w:val="bottom"/>
          </w:tcPr>
          <w:p>
            <w:pPr>
              <w:ind w:left="120"/>
              <w:spacing w:after="0"/>
              <w:rPr>
                <w:sz w:val="20"/>
                <w:szCs w:val="20"/>
                <w:color w:val="auto"/>
              </w:rPr>
            </w:pPr>
            <w:r>
              <w:rPr>
                <w:rFonts w:ascii="Arial" w:cs="Arial" w:eastAsia="Arial" w:hAnsi="Arial"/>
                <w:sz w:val="9"/>
                <w:szCs w:val="9"/>
                <w:color w:val="auto"/>
              </w:rPr>
              <w:t>4/1/2026</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5,431</w:t>
            </w:r>
          </w:p>
        </w:tc>
        <w:tc>
          <w:tcPr>
            <w:tcW w:w="620" w:type="dxa"/>
            <w:vAlign w:val="bottom"/>
          </w:tcPr>
          <w:p>
            <w:pPr>
              <w:jc w:val="right"/>
              <w:spacing w:after="0"/>
              <w:rPr>
                <w:sz w:val="20"/>
                <w:szCs w:val="20"/>
                <w:color w:val="auto"/>
              </w:rPr>
            </w:pPr>
            <w:r>
              <w:rPr>
                <w:rFonts w:ascii="Arial" w:cs="Arial" w:eastAsia="Arial" w:hAnsi="Arial"/>
                <w:sz w:val="9"/>
                <w:szCs w:val="9"/>
                <w:color w:val="auto"/>
              </w:rPr>
              <w:t>5,396</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5,431</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(1,000,000 units) (j)</w:t>
            </w:r>
          </w:p>
        </w:tc>
        <w:tc>
          <w:tcPr>
            <w:tcW w:w="29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4/1/2021</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1,000</w:t>
            </w:r>
          </w:p>
        </w:tc>
        <w:tc>
          <w:tcPr>
            <w:tcW w:w="22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1,313</w:t>
            </w:r>
          </w:p>
        </w:tc>
        <w:tc>
          <w:tcPr>
            <w:tcW w:w="8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6,396</w:t>
            </w:r>
          </w:p>
        </w:tc>
        <w:tc>
          <w:tcPr>
            <w:tcW w:w="8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6,744</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LifeSpan Biosciences, Inc.</w:t>
            </w:r>
          </w:p>
        </w:tc>
        <w:tc>
          <w:tcPr>
            <w:tcW w:w="2960" w:type="dxa"/>
            <w:vAlign w:val="bottom"/>
            <w:shd w:val="clear" w:color="auto" w:fill="CFF0FC"/>
          </w:tcPr>
          <w:p>
            <w:pPr>
              <w:ind w:left="240"/>
              <w:spacing w:after="0"/>
              <w:rPr>
                <w:sz w:val="20"/>
                <w:szCs w:val="20"/>
                <w:color w:val="auto"/>
              </w:rPr>
            </w:pPr>
            <w:r>
              <w:rPr>
                <w:rFonts w:ascii="Arial" w:cs="Arial" w:eastAsia="Arial" w:hAnsi="Arial"/>
                <w:sz w:val="9"/>
                <w:szCs w:val="9"/>
                <w:color w:val="auto"/>
              </w:rPr>
              <w:t>Healthcare Products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Subordinated Debt (j)</w:t>
            </w:r>
          </w:p>
        </w:tc>
        <w:tc>
          <w:tcPr>
            <w:tcW w:w="2960" w:type="dxa"/>
            <w:vAlign w:val="bottom"/>
          </w:tcPr>
          <w:p>
            <w:pPr>
              <w:spacing w:after="0"/>
              <w:rPr>
                <w:sz w:val="9"/>
                <w:szCs w:val="9"/>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11.50%/0.00%</w:t>
            </w:r>
          </w:p>
        </w:tc>
        <w:tc>
          <w:tcPr>
            <w:tcW w:w="700" w:type="dxa"/>
            <w:vAlign w:val="bottom"/>
          </w:tcPr>
          <w:p>
            <w:pPr>
              <w:ind w:left="180"/>
              <w:spacing w:after="0"/>
              <w:rPr>
                <w:sz w:val="20"/>
                <w:szCs w:val="20"/>
                <w:color w:val="auto"/>
              </w:rPr>
            </w:pPr>
            <w:r>
              <w:rPr>
                <w:rFonts w:ascii="Arial" w:cs="Arial" w:eastAsia="Arial" w:hAnsi="Arial"/>
                <w:sz w:val="9"/>
                <w:szCs w:val="9"/>
                <w:color w:val="auto"/>
              </w:rPr>
              <w:t>3/19/2021</w:t>
            </w:r>
          </w:p>
        </w:tc>
        <w:tc>
          <w:tcPr>
            <w:tcW w:w="820" w:type="dxa"/>
            <w:vAlign w:val="bottom"/>
          </w:tcPr>
          <w:p>
            <w:pPr>
              <w:ind w:left="120"/>
              <w:spacing w:after="0"/>
              <w:rPr>
                <w:sz w:val="20"/>
                <w:szCs w:val="20"/>
                <w:color w:val="auto"/>
              </w:rPr>
            </w:pPr>
            <w:r>
              <w:rPr>
                <w:rFonts w:ascii="Arial" w:cs="Arial" w:eastAsia="Arial" w:hAnsi="Arial"/>
                <w:sz w:val="9"/>
                <w:szCs w:val="9"/>
                <w:color w:val="auto"/>
              </w:rPr>
              <w:t>9/19/2026</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16,000</w:t>
            </w:r>
          </w:p>
        </w:tc>
        <w:tc>
          <w:tcPr>
            <w:tcW w:w="620" w:type="dxa"/>
            <w:vAlign w:val="bottom"/>
          </w:tcPr>
          <w:p>
            <w:pPr>
              <w:jc w:val="right"/>
              <w:spacing w:after="0"/>
              <w:rPr>
                <w:sz w:val="20"/>
                <w:szCs w:val="20"/>
                <w:color w:val="auto"/>
              </w:rPr>
            </w:pPr>
            <w:r>
              <w:rPr>
                <w:rFonts w:ascii="Arial" w:cs="Arial" w:eastAsia="Arial" w:hAnsi="Arial"/>
                <w:sz w:val="9"/>
                <w:szCs w:val="9"/>
                <w:color w:val="auto"/>
              </w:rPr>
              <w:t>15,931</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16,000</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(100 shares) (j)</w:t>
            </w:r>
          </w:p>
        </w:tc>
        <w:tc>
          <w:tcPr>
            <w:tcW w:w="29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3/19/2021</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1,000</w:t>
            </w:r>
          </w:p>
        </w:tc>
        <w:tc>
          <w:tcPr>
            <w:tcW w:w="22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981</w:t>
            </w:r>
          </w:p>
        </w:tc>
        <w:tc>
          <w:tcPr>
            <w:tcW w:w="8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16,931</w:t>
            </w:r>
          </w:p>
        </w:tc>
        <w:tc>
          <w:tcPr>
            <w:tcW w:w="8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16,981</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Midwest Transit Equipment, Inc.</w:t>
            </w:r>
          </w:p>
        </w:tc>
        <w:tc>
          <w:tcPr>
            <w:tcW w:w="2960" w:type="dxa"/>
            <w:vAlign w:val="bottom"/>
            <w:shd w:val="clear" w:color="auto" w:fill="CFF0FC"/>
          </w:tcPr>
          <w:p>
            <w:pPr>
              <w:ind w:left="240"/>
              <w:spacing w:after="0"/>
              <w:rPr>
                <w:sz w:val="20"/>
                <w:szCs w:val="20"/>
                <w:color w:val="auto"/>
              </w:rPr>
            </w:pPr>
            <w:r>
              <w:rPr>
                <w:rFonts w:ascii="Arial" w:cs="Arial" w:eastAsia="Arial" w:hAnsi="Arial"/>
                <w:sz w:val="9"/>
                <w:szCs w:val="9"/>
                <w:color w:val="auto"/>
              </w:rPr>
              <w:t>Transportation services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Warrant (7,192 shares) (j)(m)</w:t>
            </w: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6/23/2017</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180</w:t>
            </w:r>
          </w:p>
        </w:tc>
        <w:tc>
          <w:tcPr>
            <w:tcW w:w="22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Warrant (4.79% of Junior Subordinated Notes) (j)(q)</w:t>
            </w:r>
          </w:p>
        </w:tc>
        <w:tc>
          <w:tcPr>
            <w:tcW w:w="29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6/23/2017</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190</w:t>
            </w:r>
          </w:p>
        </w:tc>
        <w:tc>
          <w:tcPr>
            <w:tcW w:w="22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246</w:t>
            </w:r>
          </w:p>
        </w:tc>
        <w:tc>
          <w:tcPr>
            <w:tcW w:w="8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9"/>
                <w:szCs w:val="9"/>
                <w:color w:val="auto"/>
              </w:rPr>
              <w:t>370</w:t>
            </w:r>
          </w:p>
        </w:tc>
        <w:tc>
          <w:tcPr>
            <w:tcW w:w="8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246</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Mobilewalla, Inc.</w:t>
            </w:r>
          </w:p>
        </w:tc>
        <w:tc>
          <w:tcPr>
            <w:tcW w:w="2960" w:type="dxa"/>
            <w:vAlign w:val="bottom"/>
            <w:shd w:val="clear" w:color="auto" w:fill="CFF0FC"/>
          </w:tcPr>
          <w:p>
            <w:pPr>
              <w:ind w:left="240"/>
              <w:spacing w:after="0"/>
              <w:rPr>
                <w:sz w:val="20"/>
                <w:szCs w:val="20"/>
                <w:color w:val="auto"/>
              </w:rPr>
            </w:pPr>
            <w:r>
              <w:rPr>
                <w:rFonts w:ascii="Arial" w:cs="Arial" w:eastAsia="Arial" w:hAnsi="Arial"/>
                <w:sz w:val="9"/>
                <w:szCs w:val="9"/>
                <w:color w:val="auto"/>
              </w:rPr>
              <w:t>Information Technology Services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First Lien Debt (j)</w:t>
            </w:r>
          </w:p>
        </w:tc>
        <w:tc>
          <w:tcPr>
            <w:tcW w:w="2960" w:type="dxa"/>
            <w:vAlign w:val="bottom"/>
          </w:tcPr>
          <w:p>
            <w:pPr>
              <w:ind w:left="2000"/>
              <w:spacing w:after="0"/>
              <w:rPr>
                <w:sz w:val="20"/>
                <w:szCs w:val="20"/>
                <w:color w:val="auto"/>
              </w:rPr>
            </w:pPr>
            <w:r>
              <w:rPr>
                <w:rFonts w:ascii="Arial" w:cs="Arial" w:eastAsia="Arial" w:hAnsi="Arial"/>
                <w:sz w:val="9"/>
                <w:szCs w:val="9"/>
                <w:color w:val="auto"/>
              </w:rPr>
              <w:t>(L + 11.50%) / (0.50%)</w:t>
            </w:r>
          </w:p>
        </w:tc>
        <w:tc>
          <w:tcPr>
            <w:tcW w:w="820" w:type="dxa"/>
            <w:vAlign w:val="bottom"/>
          </w:tcPr>
          <w:p>
            <w:pPr>
              <w:ind w:left="120"/>
              <w:spacing w:after="0"/>
              <w:rPr>
                <w:sz w:val="20"/>
                <w:szCs w:val="20"/>
                <w:color w:val="auto"/>
              </w:rPr>
            </w:pPr>
            <w:r>
              <w:rPr>
                <w:rFonts w:ascii="Arial" w:cs="Arial" w:eastAsia="Arial" w:hAnsi="Arial"/>
                <w:sz w:val="9"/>
                <w:szCs w:val="9"/>
                <w:color w:val="auto"/>
              </w:rPr>
              <w:t>12.00%/0.00%</w:t>
            </w:r>
          </w:p>
        </w:tc>
        <w:tc>
          <w:tcPr>
            <w:tcW w:w="700" w:type="dxa"/>
            <w:vAlign w:val="bottom"/>
          </w:tcPr>
          <w:p>
            <w:pPr>
              <w:ind w:left="180"/>
              <w:spacing w:after="0"/>
              <w:rPr>
                <w:sz w:val="20"/>
                <w:szCs w:val="20"/>
                <w:color w:val="auto"/>
              </w:rPr>
            </w:pPr>
            <w:r>
              <w:rPr>
                <w:rFonts w:ascii="Arial" w:cs="Arial" w:eastAsia="Arial" w:hAnsi="Arial"/>
                <w:sz w:val="9"/>
                <w:szCs w:val="9"/>
                <w:color w:val="auto"/>
              </w:rPr>
              <w:t>12/17/2021</w:t>
            </w:r>
          </w:p>
        </w:tc>
        <w:tc>
          <w:tcPr>
            <w:tcW w:w="820" w:type="dxa"/>
            <w:vAlign w:val="bottom"/>
          </w:tcPr>
          <w:p>
            <w:pPr>
              <w:ind w:left="120"/>
              <w:spacing w:after="0"/>
              <w:rPr>
                <w:sz w:val="20"/>
                <w:szCs w:val="20"/>
                <w:color w:val="auto"/>
              </w:rPr>
            </w:pPr>
            <w:r>
              <w:rPr>
                <w:rFonts w:ascii="Arial" w:cs="Arial" w:eastAsia="Arial" w:hAnsi="Arial"/>
                <w:sz w:val="9"/>
                <w:szCs w:val="9"/>
                <w:color w:val="auto"/>
              </w:rPr>
              <w:t>12/17/2024</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5,715</w:t>
            </w:r>
          </w:p>
        </w:tc>
        <w:tc>
          <w:tcPr>
            <w:tcW w:w="620" w:type="dxa"/>
            <w:vAlign w:val="bottom"/>
          </w:tcPr>
          <w:p>
            <w:pPr>
              <w:jc w:val="right"/>
              <w:spacing w:after="0"/>
              <w:rPr>
                <w:sz w:val="20"/>
                <w:szCs w:val="20"/>
                <w:color w:val="auto"/>
              </w:rPr>
            </w:pPr>
            <w:r>
              <w:rPr>
                <w:rFonts w:ascii="Arial" w:cs="Arial" w:eastAsia="Arial" w:hAnsi="Arial"/>
                <w:sz w:val="9"/>
                <w:szCs w:val="9"/>
                <w:color w:val="auto"/>
              </w:rPr>
              <w:t>5,687</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5,687</w:t>
            </w:r>
          </w:p>
        </w:tc>
        <w:tc>
          <w:tcPr>
            <w:tcW w:w="860" w:type="dxa"/>
            <w:vAlign w:val="bottom"/>
          </w:tcPr>
          <w:p>
            <w:pPr>
              <w:jc w:val="right"/>
              <w:spacing w:after="0"/>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spacing w:after="0"/>
              <w:rPr>
                <w:sz w:val="9"/>
                <w:szCs w:val="9"/>
                <w:color w:val="auto"/>
              </w:rPr>
            </w:pPr>
          </w:p>
        </w:tc>
        <w:tc>
          <w:tcPr>
            <w:tcW w:w="29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20"/>
              <w:spacing w:after="0"/>
              <w:rPr>
                <w:sz w:val="20"/>
                <w:szCs w:val="20"/>
                <w:color w:val="auto"/>
              </w:rPr>
            </w:pPr>
            <w:r>
              <w:rPr>
                <w:rFonts w:ascii="Arial" w:cs="Arial" w:eastAsia="Arial" w:hAnsi="Arial"/>
                <w:sz w:val="9"/>
                <w:szCs w:val="9"/>
                <w:i w:val="1"/>
                <w:iCs w:val="1"/>
                <w:color w:val="auto"/>
              </w:rPr>
              <w:t>Netbase Solutions, Inc. (dba Netbase Quid)</w:t>
            </w:r>
          </w:p>
        </w:tc>
        <w:tc>
          <w:tcPr>
            <w:tcW w:w="2960" w:type="dxa"/>
            <w:vAlign w:val="bottom"/>
          </w:tcPr>
          <w:p>
            <w:pPr>
              <w:ind w:left="240"/>
              <w:spacing w:after="0"/>
              <w:rPr>
                <w:sz w:val="20"/>
                <w:szCs w:val="20"/>
                <w:color w:val="auto"/>
              </w:rPr>
            </w:pPr>
            <w:r>
              <w:rPr>
                <w:rFonts w:ascii="Arial" w:cs="Arial" w:eastAsia="Arial" w:hAnsi="Arial"/>
                <w:sz w:val="9"/>
                <w:szCs w:val="9"/>
                <w:color w:val="auto"/>
              </w:rPr>
              <w:t>Information Technology Services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(k)(ap)</w:t>
            </w:r>
          </w:p>
        </w:tc>
        <w:tc>
          <w:tcPr>
            <w:tcW w:w="2960" w:type="dxa"/>
            <w:vAlign w:val="bottom"/>
            <w:shd w:val="clear" w:color="auto" w:fill="CFF0FC"/>
          </w:tcPr>
          <w:p>
            <w:pPr>
              <w:ind w:left="2000"/>
              <w:spacing w:after="0"/>
              <w:rPr>
                <w:sz w:val="20"/>
                <w:szCs w:val="20"/>
                <w:color w:val="auto"/>
              </w:rPr>
            </w:pPr>
            <w:r>
              <w:rPr>
                <w:rFonts w:ascii="Arial" w:cs="Arial" w:eastAsia="Arial" w:hAnsi="Arial"/>
                <w:sz w:val="9"/>
                <w:szCs w:val="9"/>
                <w:color w:val="auto"/>
              </w:rPr>
              <w:t>(P + 5.50%) / (3.25%)</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8.75%/1.50%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11/18/2021</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11/18/2025</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16,568</w:t>
            </w:r>
          </w:p>
        </w:tc>
        <w:tc>
          <w:tcPr>
            <w:tcW w:w="620" w:type="dxa"/>
            <w:vAlign w:val="bottom"/>
            <w:shd w:val="clear" w:color="auto" w:fill="CFF0FC"/>
          </w:tcPr>
          <w:p>
            <w:pPr>
              <w:jc w:val="right"/>
              <w:spacing w:after="0"/>
              <w:rPr>
                <w:sz w:val="20"/>
                <w:szCs w:val="20"/>
                <w:color w:val="auto"/>
              </w:rPr>
            </w:pPr>
            <w:r>
              <w:rPr>
                <w:rFonts w:ascii="Arial" w:cs="Arial" w:eastAsia="Arial" w:hAnsi="Arial"/>
                <w:sz w:val="9"/>
                <w:szCs w:val="9"/>
                <w:color w:val="auto"/>
              </w:rPr>
              <w:t>16,448</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16,448</w:t>
            </w:r>
          </w:p>
        </w:tc>
        <w:tc>
          <w:tcPr>
            <w:tcW w:w="860" w:type="dxa"/>
            <w:vAlign w:val="bottom"/>
            <w:shd w:val="clear" w:color="auto" w:fill="CFF0FC"/>
          </w:tcPr>
          <w:p>
            <w:pPr>
              <w:jc w:val="right"/>
              <w:spacing w:after="0"/>
              <w:rPr>
                <w:sz w:val="20"/>
                <w:szCs w:val="20"/>
                <w:color w:val="auto"/>
              </w:rPr>
            </w:pPr>
            <w:r>
              <w:rPr>
                <w:rFonts w:ascii="Arial" w:cs="Arial" w:eastAsia="Arial" w:hAnsi="Arial"/>
                <w:sz w:val="9"/>
                <w:szCs w:val="9"/>
                <w:color w:val="auto"/>
              </w:rPr>
              <w:t>4 %</w:t>
            </w: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NGT Acquisition Holdings, LLC (dba Techniks Industries)</w:t>
            </w:r>
          </w:p>
        </w:tc>
        <w:tc>
          <w:tcPr>
            <w:tcW w:w="2960" w:type="dxa"/>
            <w:vAlign w:val="bottom"/>
            <w:shd w:val="clear" w:color="auto" w:fill="CFF0FC"/>
          </w:tcPr>
          <w:p>
            <w:pPr>
              <w:ind w:left="240"/>
              <w:spacing w:after="0"/>
              <w:rPr>
                <w:sz w:val="20"/>
                <w:szCs w:val="20"/>
                <w:color w:val="auto"/>
              </w:rPr>
            </w:pPr>
            <w:r>
              <w:rPr>
                <w:rFonts w:ascii="Arial" w:cs="Arial" w:eastAsia="Arial" w:hAnsi="Arial"/>
                <w:sz w:val="9"/>
                <w:szCs w:val="9"/>
                <w:color w:val="auto"/>
              </w:rPr>
              <w:t>Component Manufacturing</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rPr>
                <w:sz w:val="20"/>
                <w:szCs w:val="20"/>
                <w:color w:val="auto"/>
              </w:rPr>
            </w:pPr>
            <w:r>
              <w:rPr>
                <w:rFonts w:ascii="Arial" w:cs="Arial" w:eastAsia="Arial" w:hAnsi="Arial"/>
                <w:sz w:val="9"/>
                <w:szCs w:val="9"/>
                <w:color w:val="auto"/>
              </w:rPr>
              <w:t>Common Equity (378 units) (j)</w:t>
            </w: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5/24/2017</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500</w:t>
            </w:r>
          </w:p>
        </w:tc>
        <w:tc>
          <w:tcPr>
            <w:tcW w:w="860" w:type="dxa"/>
            <w:vAlign w:val="bottom"/>
            <w:gridSpan w:val="2"/>
          </w:tcPr>
          <w:p>
            <w:pPr>
              <w:jc w:val="right"/>
              <w:spacing w:after="0"/>
              <w:rPr>
                <w:sz w:val="20"/>
                <w:szCs w:val="20"/>
                <w:color w:val="auto"/>
              </w:rPr>
            </w:pPr>
            <w:r>
              <w:rPr>
                <w:rFonts w:ascii="Arial" w:cs="Arial" w:eastAsia="Arial" w:hAnsi="Arial"/>
                <w:sz w:val="9"/>
                <w:szCs w:val="9"/>
                <w:color w:val="auto"/>
              </w:rPr>
              <w:t>204</w:t>
            </w:r>
          </w:p>
        </w:tc>
        <w:tc>
          <w:tcPr>
            <w:tcW w:w="860" w:type="dxa"/>
            <w:vAlign w:val="bottom"/>
          </w:tcPr>
          <w:p>
            <w:pPr>
              <w:jc w:val="right"/>
              <w:spacing w:after="0"/>
              <w:rPr>
                <w:sz w:val="20"/>
                <w:szCs w:val="20"/>
                <w:color w:val="auto"/>
              </w:rPr>
            </w:pPr>
            <w:r>
              <w:rPr>
                <w:rFonts w:ascii="Arial" w:cs="Arial" w:eastAsia="Arial" w:hAnsi="Arial"/>
                <w:sz w:val="9"/>
                <w:szCs w:val="9"/>
                <w:color w:val="auto"/>
              </w:rPr>
              <w:t>0 %</w:t>
            </w: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spacing w:after="0"/>
              <w:rPr>
                <w:sz w:val="9"/>
                <w:szCs w:val="9"/>
                <w:color w:val="auto"/>
              </w:rPr>
            </w:pPr>
          </w:p>
        </w:tc>
        <w:tc>
          <w:tcPr>
            <w:tcW w:w="29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-8037195</wp:posOffset>
            </wp:positionV>
            <wp:extent cx="685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-8037195</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-6348730</wp:posOffset>
            </wp:positionV>
            <wp:extent cx="68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-6348730</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-6065520</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-6065520</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-5782945</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-5782945</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-4891405</wp:posOffset>
            </wp:positionV>
            <wp:extent cx="685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-4891405</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-2790825</wp:posOffset>
            </wp:positionV>
            <wp:extent cx="685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-2790825</wp:posOffset>
            </wp:positionV>
            <wp:extent cx="685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-1950720</wp:posOffset>
            </wp:positionV>
            <wp:extent cx="685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-1950720</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-1256665</wp:posOffset>
            </wp:positionV>
            <wp:extent cx="685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-1256665</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-973455</wp:posOffset>
            </wp:positionV>
            <wp:extent cx="685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-973455</wp:posOffset>
            </wp:positionV>
            <wp:extent cx="685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-690880</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-690880</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15"/>
        </w:trPr>
        <w:tc>
          <w:tcPr>
            <w:tcW w:w="2780" w:type="dxa"/>
            <w:vAlign w:val="bottom"/>
          </w:tcPr>
          <w:p>
            <w:pPr>
              <w:ind w:left="20"/>
              <w:spacing w:after="0"/>
              <w:rPr>
                <w:sz w:val="20"/>
                <w:szCs w:val="20"/>
                <w:color w:val="auto"/>
              </w:rPr>
            </w:pPr>
            <w:r>
              <w:rPr>
                <w:rFonts w:ascii="Arial" w:cs="Arial" w:eastAsia="Arial" w:hAnsi="Arial"/>
                <w:sz w:val="9"/>
                <w:szCs w:val="9"/>
                <w:i w:val="1"/>
                <w:iCs w:val="1"/>
                <w:color w:val="auto"/>
              </w:rPr>
              <w:t>OMC Investors, LLC (dba Ohio Medical Corporation)</w:t>
            </w:r>
          </w:p>
        </w:tc>
        <w:tc>
          <w:tcPr>
            <w:tcW w:w="3020" w:type="dxa"/>
            <w:vAlign w:val="bottom"/>
          </w:tcPr>
          <w:p>
            <w:pPr>
              <w:ind w:left="300"/>
              <w:spacing w:after="0"/>
              <w:rPr>
                <w:sz w:val="20"/>
                <w:szCs w:val="20"/>
                <w:color w:val="auto"/>
              </w:rPr>
            </w:pPr>
            <w:r>
              <w:rPr>
                <w:rFonts w:ascii="Arial" w:cs="Arial" w:eastAsia="Arial" w:hAnsi="Arial"/>
                <w:sz w:val="9"/>
                <w:szCs w:val="9"/>
                <w:color w:val="auto"/>
              </w:rPr>
              <w:t>Healthcare Products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9"/>
        </w:trPr>
        <w:tc>
          <w:tcPr>
            <w:tcW w:w="2780" w:type="dxa"/>
            <w:vAlign w:val="bottom"/>
            <w:shd w:val="clear" w:color="auto" w:fill="CFF0FC"/>
          </w:tcPr>
          <w:p>
            <w:pPr>
              <w:ind w:left="160"/>
              <w:spacing w:after="0"/>
              <w:rPr>
                <w:sz w:val="20"/>
                <w:szCs w:val="20"/>
                <w:color w:val="auto"/>
              </w:rPr>
            </w:pPr>
            <w:r>
              <w:rPr>
                <w:rFonts w:ascii="Arial" w:cs="Arial" w:eastAsia="Arial" w:hAnsi="Arial"/>
                <w:sz w:val="9"/>
                <w:szCs w:val="9"/>
                <w:color w:val="auto"/>
              </w:rPr>
              <w:t>Second Lien Debt</w:t>
            </w: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13.00%/0.00%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1/26/2021</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6/30/2024</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5,000</w:t>
            </w: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4,963</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5,000</w:t>
            </w: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Common Equity (5,000 units)</w:t>
            </w: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1/15/2016</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209</w:t>
            </w: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743</w:t>
            </w:r>
          </w:p>
        </w:tc>
        <w:tc>
          <w:tcPr>
            <w:tcW w:w="860" w:type="dxa"/>
            <w:vAlign w:val="bottom"/>
          </w:tcPr>
          <w:p>
            <w:pPr>
              <w:spacing w:after="0"/>
              <w:rPr>
                <w:sz w:val="9"/>
                <w:szCs w:val="9"/>
                <w:color w:val="auto"/>
              </w:rPr>
            </w:pPr>
          </w:p>
        </w:tc>
      </w:tr>
      <w:tr>
        <w:trPr>
          <w:trHeight w:val="102"/>
        </w:trPr>
        <w:tc>
          <w:tcPr>
            <w:tcW w:w="2780" w:type="dxa"/>
            <w:vAlign w:val="bottom"/>
            <w:shd w:val="clear" w:color="auto" w:fill="CFF0FC"/>
          </w:tcPr>
          <w:p>
            <w:pPr>
              <w:spacing w:after="0"/>
              <w:rPr>
                <w:sz w:val="8"/>
                <w:szCs w:val="8"/>
                <w:color w:val="auto"/>
              </w:rPr>
            </w:pPr>
          </w:p>
        </w:tc>
        <w:tc>
          <w:tcPr>
            <w:tcW w:w="30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5,172</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5,743</w:t>
            </w:r>
          </w:p>
        </w:tc>
        <w:tc>
          <w:tcPr>
            <w:tcW w:w="86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1 %</w:t>
            </w:r>
          </w:p>
        </w:tc>
      </w:tr>
      <w:tr>
        <w:trPr>
          <w:trHeight w:val="108"/>
        </w:trPr>
        <w:tc>
          <w:tcPr>
            <w:tcW w:w="2780" w:type="dxa"/>
            <w:vAlign w:val="bottom"/>
          </w:tcPr>
          <w:p>
            <w:pPr>
              <w:ind w:left="20"/>
              <w:spacing w:after="0"/>
              <w:rPr>
                <w:sz w:val="20"/>
                <w:szCs w:val="20"/>
                <w:color w:val="auto"/>
              </w:rPr>
            </w:pPr>
            <w:r>
              <w:rPr>
                <w:rFonts w:ascii="Arial" w:cs="Arial" w:eastAsia="Arial" w:hAnsi="Arial"/>
                <w:sz w:val="9"/>
                <w:szCs w:val="9"/>
                <w:i w:val="1"/>
                <w:iCs w:val="1"/>
                <w:color w:val="auto"/>
              </w:rPr>
              <w:t>Palisade Company, LLC</w:t>
            </w:r>
          </w:p>
        </w:tc>
        <w:tc>
          <w:tcPr>
            <w:tcW w:w="3020" w:type="dxa"/>
            <w:vAlign w:val="bottom"/>
          </w:tcPr>
          <w:p>
            <w:pPr>
              <w:ind w:left="300"/>
              <w:spacing w:after="0"/>
              <w:rPr>
                <w:sz w:val="20"/>
                <w:szCs w:val="20"/>
                <w:color w:val="auto"/>
              </w:rPr>
            </w:pPr>
            <w:r>
              <w:rPr>
                <w:rFonts w:ascii="Arial" w:cs="Arial" w:eastAsia="Arial" w:hAnsi="Arial"/>
                <w:sz w:val="9"/>
                <w:szCs w:val="9"/>
                <w:color w:val="auto"/>
              </w:rPr>
              <w:t>Information Technology Services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(50 shares) (j)</w:t>
            </w: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11/15/2018</w:t>
            </w: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1,224</w:t>
            </w:r>
          </w:p>
        </w:tc>
        <w:tc>
          <w:tcPr>
            <w:tcW w:w="86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27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Palmetto Moon, LLC</w:t>
            </w:r>
          </w:p>
        </w:tc>
        <w:tc>
          <w:tcPr>
            <w:tcW w:w="3020" w:type="dxa"/>
            <w:vAlign w:val="bottom"/>
            <w:shd w:val="clear" w:color="auto" w:fill="CFF0FC"/>
          </w:tcPr>
          <w:p>
            <w:pPr>
              <w:ind w:left="300"/>
              <w:spacing w:after="0"/>
              <w:rPr>
                <w:sz w:val="20"/>
                <w:szCs w:val="20"/>
                <w:color w:val="auto"/>
              </w:rPr>
            </w:pPr>
            <w:r>
              <w:rPr>
                <w:rFonts w:ascii="Arial" w:cs="Arial" w:eastAsia="Arial" w:hAnsi="Arial"/>
                <w:sz w:val="9"/>
                <w:szCs w:val="9"/>
                <w:color w:val="auto"/>
              </w:rPr>
              <w:t>Retail</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Common Equity (499 units) (j)</w:t>
            </w: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11/3/2016</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265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895</w:t>
            </w:r>
          </w:p>
        </w:tc>
        <w:tc>
          <w:tcPr>
            <w:tcW w:w="860" w:type="dxa"/>
            <w:vAlign w:val="bottom"/>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278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20"/>
              <w:spacing w:after="0"/>
              <w:rPr>
                <w:sz w:val="20"/>
                <w:szCs w:val="20"/>
                <w:color w:val="auto"/>
              </w:rPr>
            </w:pPr>
            <w:r>
              <w:rPr>
                <w:rFonts w:ascii="Arial" w:cs="Arial" w:eastAsia="Arial" w:hAnsi="Arial"/>
                <w:sz w:val="9"/>
                <w:szCs w:val="9"/>
                <w:i w:val="1"/>
                <w:iCs w:val="1"/>
                <w:color w:val="auto"/>
              </w:rPr>
              <w:t>Pool &amp; Electrical Products, LLC (n)</w:t>
            </w:r>
          </w:p>
        </w:tc>
        <w:tc>
          <w:tcPr>
            <w:tcW w:w="3020" w:type="dxa"/>
            <w:vAlign w:val="bottom"/>
          </w:tcPr>
          <w:p>
            <w:pPr>
              <w:ind w:left="300"/>
              <w:spacing w:after="0"/>
              <w:rPr>
                <w:sz w:val="20"/>
                <w:szCs w:val="20"/>
                <w:color w:val="auto"/>
              </w:rPr>
            </w:pPr>
            <w:r>
              <w:rPr>
                <w:rFonts w:ascii="Arial" w:cs="Arial" w:eastAsia="Arial" w:hAnsi="Arial"/>
                <w:sz w:val="9"/>
                <w:szCs w:val="9"/>
                <w:color w:val="auto"/>
              </w:rPr>
              <w:t>Specialty Distribution</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(15,000 units) (h)(j)</w:t>
            </w: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10/28/2020</w:t>
            </w: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549</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4,466</w:t>
            </w:r>
          </w:p>
        </w:tc>
        <w:tc>
          <w:tcPr>
            <w:tcW w:w="860" w:type="dxa"/>
            <w:vAlign w:val="bottom"/>
            <w:shd w:val="clear" w:color="auto" w:fill="CFF0FC"/>
          </w:tcPr>
          <w:p>
            <w:pPr>
              <w:jc w:val="right"/>
              <w:spacing w:after="0"/>
              <w:rPr>
                <w:sz w:val="20"/>
                <w:szCs w:val="20"/>
                <w:color w:val="auto"/>
              </w:rPr>
            </w:pPr>
            <w:r>
              <w:rPr>
                <w:rFonts w:ascii="Arial" w:cs="Arial" w:eastAsia="Arial" w:hAnsi="Arial"/>
                <w:sz w:val="9"/>
                <w:szCs w:val="9"/>
                <w:color w:val="auto"/>
              </w:rPr>
              <w:t>1 %</w:t>
            </w:r>
          </w:p>
        </w:tc>
      </w:tr>
      <w:tr>
        <w:trPr>
          <w:trHeight w:val="108"/>
        </w:trPr>
        <w:tc>
          <w:tcPr>
            <w:tcW w:w="27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Power Grid Components, Inc.</w:t>
            </w:r>
          </w:p>
        </w:tc>
        <w:tc>
          <w:tcPr>
            <w:tcW w:w="3020" w:type="dxa"/>
            <w:vAlign w:val="bottom"/>
            <w:shd w:val="clear" w:color="auto" w:fill="CFF0FC"/>
          </w:tcPr>
          <w:p>
            <w:pPr>
              <w:ind w:left="300"/>
              <w:spacing w:after="0"/>
              <w:rPr>
                <w:sz w:val="20"/>
                <w:szCs w:val="20"/>
                <w:color w:val="auto"/>
              </w:rPr>
            </w:pPr>
            <w:r>
              <w:rPr>
                <w:rFonts w:ascii="Arial" w:cs="Arial" w:eastAsia="Arial" w:hAnsi="Arial"/>
                <w:sz w:val="9"/>
                <w:szCs w:val="9"/>
                <w:color w:val="auto"/>
              </w:rPr>
              <w:t>Specialty Distribution</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Second Lien Debt (k)</w:t>
            </w:r>
          </w:p>
        </w:tc>
        <w:tc>
          <w:tcPr>
            <w:tcW w:w="3020" w:type="dxa"/>
            <w:vAlign w:val="bottom"/>
          </w:tcPr>
          <w:p>
            <w:pPr>
              <w:spacing w:after="0"/>
              <w:rPr>
                <w:sz w:val="9"/>
                <w:szCs w:val="9"/>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11.00%/1.00%</w:t>
            </w:r>
          </w:p>
        </w:tc>
        <w:tc>
          <w:tcPr>
            <w:tcW w:w="700" w:type="dxa"/>
            <w:vAlign w:val="bottom"/>
          </w:tcPr>
          <w:p>
            <w:pPr>
              <w:ind w:left="180"/>
              <w:spacing w:after="0"/>
              <w:rPr>
                <w:sz w:val="20"/>
                <w:szCs w:val="20"/>
                <w:color w:val="auto"/>
              </w:rPr>
            </w:pPr>
            <w:r>
              <w:rPr>
                <w:rFonts w:ascii="Arial" w:cs="Arial" w:eastAsia="Arial" w:hAnsi="Arial"/>
                <w:sz w:val="9"/>
                <w:szCs w:val="9"/>
                <w:color w:val="auto"/>
              </w:rPr>
              <w:t>4/12/2018</w:t>
            </w:r>
          </w:p>
        </w:tc>
        <w:tc>
          <w:tcPr>
            <w:tcW w:w="820" w:type="dxa"/>
            <w:vAlign w:val="bottom"/>
          </w:tcPr>
          <w:p>
            <w:pPr>
              <w:ind w:left="120"/>
              <w:spacing w:after="0"/>
              <w:rPr>
                <w:sz w:val="20"/>
                <w:szCs w:val="20"/>
                <w:color w:val="auto"/>
              </w:rPr>
            </w:pPr>
            <w:r>
              <w:rPr>
                <w:rFonts w:ascii="Arial" w:cs="Arial" w:eastAsia="Arial" w:hAnsi="Arial"/>
                <w:sz w:val="9"/>
                <w:szCs w:val="9"/>
                <w:color w:val="auto"/>
              </w:rPr>
              <w:t>12/2/2025</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17,570</w:t>
            </w: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17,510</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17,570</w:t>
            </w: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160"/>
              <w:spacing w:after="0"/>
              <w:rPr>
                <w:sz w:val="20"/>
                <w:szCs w:val="20"/>
                <w:color w:val="auto"/>
              </w:rPr>
            </w:pPr>
            <w:r>
              <w:rPr>
                <w:rFonts w:ascii="Arial" w:cs="Arial" w:eastAsia="Arial" w:hAnsi="Arial"/>
                <w:sz w:val="9"/>
                <w:szCs w:val="9"/>
                <w:color w:val="auto"/>
              </w:rPr>
              <w:t>Preferred Equity (392 shares) (j)</w:t>
            </w: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4/12/2018</w:t>
            </w: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392</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564</w:t>
            </w: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Preferred Equity (48 shares) (j)</w:t>
            </w: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12/2/2019</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48</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70</w:t>
            </w:r>
          </w:p>
        </w:tc>
        <w:tc>
          <w:tcPr>
            <w:tcW w:w="860" w:type="dxa"/>
            <w:vAlign w:val="bottom"/>
          </w:tcPr>
          <w:p>
            <w:pPr>
              <w:spacing w:after="0"/>
              <w:rPr>
                <w:sz w:val="9"/>
                <w:szCs w:val="9"/>
                <w:color w:val="auto"/>
              </w:rPr>
            </w:pPr>
          </w:p>
        </w:tc>
      </w:tr>
      <w:tr>
        <w:trPr>
          <w:trHeight w:val="108"/>
        </w:trPr>
        <w:tc>
          <w:tcPr>
            <w:tcW w:w="27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(10,622 shares) (j)</w:t>
            </w:r>
          </w:p>
        </w:tc>
        <w:tc>
          <w:tcPr>
            <w:tcW w:w="30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4/12/2018</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462</w:t>
            </w:r>
          </w:p>
        </w:tc>
        <w:tc>
          <w:tcPr>
            <w:tcW w:w="22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259</w:t>
            </w:r>
          </w:p>
        </w:tc>
        <w:tc>
          <w:tcPr>
            <w:tcW w:w="860" w:type="dxa"/>
            <w:vAlign w:val="bottom"/>
            <w:tcBorders>
              <w:bottom w:val="single" w:sz="8" w:color="CFF0FC"/>
            </w:tcBorders>
            <w:shd w:val="clear" w:color="auto" w:fill="CFF0FC"/>
          </w:tcPr>
          <w:p>
            <w:pPr>
              <w:spacing w:after="0"/>
              <w:rPr>
                <w:sz w:val="9"/>
                <w:szCs w:val="9"/>
                <w:color w:val="auto"/>
              </w:rPr>
            </w:pPr>
          </w:p>
        </w:tc>
      </w:tr>
      <w:tr>
        <w:trPr>
          <w:trHeight w:val="102"/>
        </w:trPr>
        <w:tc>
          <w:tcPr>
            <w:tcW w:w="27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18,412</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18,463</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4 %</w:t>
            </w:r>
          </w:p>
        </w:tc>
      </w:tr>
      <w:tr>
        <w:trPr>
          <w:trHeight w:val="108"/>
        </w:trPr>
        <w:tc>
          <w:tcPr>
            <w:tcW w:w="278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PowerGrid Services Acquisition, LLC</w:t>
            </w:r>
          </w:p>
        </w:tc>
        <w:tc>
          <w:tcPr>
            <w:tcW w:w="3020" w:type="dxa"/>
            <w:vAlign w:val="bottom"/>
            <w:shd w:val="clear" w:color="auto" w:fill="CFF0FC"/>
          </w:tcPr>
          <w:p>
            <w:pPr>
              <w:ind w:left="300"/>
              <w:spacing w:after="0"/>
              <w:rPr>
                <w:sz w:val="20"/>
                <w:szCs w:val="20"/>
                <w:color w:val="auto"/>
              </w:rPr>
            </w:pPr>
            <w:r>
              <w:rPr>
                <w:rFonts w:ascii="Arial" w:cs="Arial" w:eastAsia="Arial" w:hAnsi="Arial"/>
                <w:sz w:val="9"/>
                <w:szCs w:val="9"/>
                <w:color w:val="auto"/>
              </w:rPr>
              <w:t>Utilities: Services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Second Lien Debt (j)</w:t>
            </w:r>
          </w:p>
        </w:tc>
        <w:tc>
          <w:tcPr>
            <w:tcW w:w="3020" w:type="dxa"/>
            <w:vAlign w:val="bottom"/>
          </w:tcPr>
          <w:p>
            <w:pPr>
              <w:ind w:left="2060"/>
              <w:spacing w:after="0"/>
              <w:rPr>
                <w:sz w:val="20"/>
                <w:szCs w:val="20"/>
                <w:color w:val="auto"/>
              </w:rPr>
            </w:pPr>
            <w:r>
              <w:rPr>
                <w:rFonts w:ascii="Arial" w:cs="Arial" w:eastAsia="Arial" w:hAnsi="Arial"/>
                <w:sz w:val="9"/>
                <w:szCs w:val="9"/>
                <w:color w:val="auto"/>
              </w:rPr>
              <w:t>(L + 9.50%) / (1.00%)</w:t>
            </w:r>
          </w:p>
        </w:tc>
        <w:tc>
          <w:tcPr>
            <w:tcW w:w="820" w:type="dxa"/>
            <w:vAlign w:val="bottom"/>
          </w:tcPr>
          <w:p>
            <w:pPr>
              <w:ind w:left="120"/>
              <w:spacing w:after="0"/>
              <w:rPr>
                <w:sz w:val="20"/>
                <w:szCs w:val="20"/>
                <w:color w:val="auto"/>
              </w:rPr>
            </w:pPr>
            <w:r>
              <w:rPr>
                <w:rFonts w:ascii="Arial" w:cs="Arial" w:eastAsia="Arial" w:hAnsi="Arial"/>
                <w:sz w:val="9"/>
                <w:szCs w:val="9"/>
                <w:color w:val="auto"/>
              </w:rPr>
              <w:t>10.50%/0.00%</w:t>
            </w:r>
          </w:p>
        </w:tc>
        <w:tc>
          <w:tcPr>
            <w:tcW w:w="700" w:type="dxa"/>
            <w:vAlign w:val="bottom"/>
          </w:tcPr>
          <w:p>
            <w:pPr>
              <w:ind w:left="180"/>
              <w:spacing w:after="0"/>
              <w:rPr>
                <w:sz w:val="20"/>
                <w:szCs w:val="20"/>
                <w:color w:val="auto"/>
              </w:rPr>
            </w:pPr>
            <w:r>
              <w:rPr>
                <w:rFonts w:ascii="Arial" w:cs="Arial" w:eastAsia="Arial" w:hAnsi="Arial"/>
                <w:sz w:val="9"/>
                <w:szCs w:val="9"/>
                <w:color w:val="auto"/>
              </w:rPr>
              <w:t>9/21/2021</w:t>
            </w:r>
          </w:p>
        </w:tc>
        <w:tc>
          <w:tcPr>
            <w:tcW w:w="820" w:type="dxa"/>
            <w:vAlign w:val="bottom"/>
          </w:tcPr>
          <w:p>
            <w:pPr>
              <w:ind w:left="120"/>
              <w:spacing w:after="0"/>
              <w:rPr>
                <w:sz w:val="20"/>
                <w:szCs w:val="20"/>
                <w:color w:val="auto"/>
              </w:rPr>
            </w:pPr>
            <w:r>
              <w:rPr>
                <w:rFonts w:ascii="Arial" w:cs="Arial" w:eastAsia="Arial" w:hAnsi="Arial"/>
                <w:sz w:val="9"/>
                <w:szCs w:val="9"/>
                <w:color w:val="auto"/>
              </w:rPr>
              <w:t>3/21/2029</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10,831</w:t>
            </w: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10,779</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10,779</w:t>
            </w:r>
          </w:p>
        </w:tc>
        <w:tc>
          <w:tcPr>
            <w:tcW w:w="860" w:type="dxa"/>
            <w:vAlign w:val="bottom"/>
          </w:tcPr>
          <w:p>
            <w:pPr>
              <w:spacing w:after="0"/>
              <w:rPr>
                <w:sz w:val="9"/>
                <w:szCs w:val="9"/>
                <w:color w:val="auto"/>
              </w:rPr>
            </w:pPr>
          </w:p>
        </w:tc>
      </w:tr>
      <w:tr>
        <w:trPr>
          <w:trHeight w:val="108"/>
        </w:trPr>
        <w:tc>
          <w:tcPr>
            <w:tcW w:w="27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(5,000 units) (h)(j)</w:t>
            </w:r>
          </w:p>
        </w:tc>
        <w:tc>
          <w:tcPr>
            <w:tcW w:w="30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9/21/2021</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22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860" w:type="dxa"/>
            <w:vAlign w:val="bottom"/>
            <w:tcBorders>
              <w:bottom w:val="single" w:sz="8" w:color="CFF0FC"/>
            </w:tcBorders>
            <w:shd w:val="clear" w:color="auto" w:fill="CFF0FC"/>
          </w:tcPr>
          <w:p>
            <w:pPr>
              <w:spacing w:after="0"/>
              <w:rPr>
                <w:sz w:val="9"/>
                <w:szCs w:val="9"/>
                <w:color w:val="auto"/>
              </w:rPr>
            </w:pPr>
          </w:p>
        </w:tc>
      </w:tr>
      <w:tr>
        <w:trPr>
          <w:trHeight w:val="102"/>
        </w:trPr>
        <w:tc>
          <w:tcPr>
            <w:tcW w:w="27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11,279</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11,279</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2 %</w:t>
            </w:r>
          </w:p>
        </w:tc>
      </w:tr>
      <w:tr>
        <w:trPr>
          <w:trHeight w:val="108"/>
        </w:trPr>
        <w:tc>
          <w:tcPr>
            <w:tcW w:w="278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Prime AE Group, Inc.</w:t>
            </w:r>
          </w:p>
        </w:tc>
        <w:tc>
          <w:tcPr>
            <w:tcW w:w="3020" w:type="dxa"/>
            <w:vAlign w:val="bottom"/>
            <w:shd w:val="clear" w:color="auto" w:fill="CFF0FC"/>
          </w:tcPr>
          <w:p>
            <w:pPr>
              <w:ind w:left="300"/>
              <w:spacing w:after="0"/>
              <w:rPr>
                <w:sz w:val="20"/>
                <w:szCs w:val="20"/>
                <w:color w:val="auto"/>
              </w:rPr>
            </w:pPr>
            <w:r>
              <w:rPr>
                <w:rFonts w:ascii="Arial" w:cs="Arial" w:eastAsia="Arial" w:hAnsi="Arial"/>
                <w:sz w:val="9"/>
                <w:szCs w:val="9"/>
                <w:color w:val="auto"/>
              </w:rPr>
              <w:t>Business Services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First Lien Debt (j)</w:t>
            </w:r>
          </w:p>
        </w:tc>
        <w:tc>
          <w:tcPr>
            <w:tcW w:w="3020" w:type="dxa"/>
            <w:vAlign w:val="bottom"/>
          </w:tcPr>
          <w:p>
            <w:pPr>
              <w:ind w:left="2060"/>
              <w:spacing w:after="0"/>
              <w:rPr>
                <w:sz w:val="20"/>
                <w:szCs w:val="20"/>
                <w:color w:val="auto"/>
              </w:rPr>
            </w:pPr>
            <w:r>
              <w:rPr>
                <w:rFonts w:ascii="Arial" w:cs="Arial" w:eastAsia="Arial" w:hAnsi="Arial"/>
                <w:sz w:val="9"/>
                <w:szCs w:val="9"/>
                <w:color w:val="auto"/>
              </w:rPr>
              <w:t>(L + 6.25%) / (2.00%)</w:t>
            </w:r>
          </w:p>
        </w:tc>
        <w:tc>
          <w:tcPr>
            <w:tcW w:w="820" w:type="dxa"/>
            <w:vAlign w:val="bottom"/>
          </w:tcPr>
          <w:p>
            <w:pPr>
              <w:ind w:left="120"/>
              <w:spacing w:after="0"/>
              <w:rPr>
                <w:sz w:val="20"/>
                <w:szCs w:val="20"/>
                <w:color w:val="auto"/>
              </w:rPr>
            </w:pPr>
            <w:r>
              <w:rPr>
                <w:rFonts w:ascii="Arial" w:cs="Arial" w:eastAsia="Arial" w:hAnsi="Arial"/>
                <w:sz w:val="9"/>
                <w:szCs w:val="9"/>
                <w:color w:val="auto"/>
              </w:rPr>
              <w:t>8.25%/0.00%</w:t>
            </w:r>
          </w:p>
        </w:tc>
        <w:tc>
          <w:tcPr>
            <w:tcW w:w="700" w:type="dxa"/>
            <w:vAlign w:val="bottom"/>
          </w:tcPr>
          <w:p>
            <w:pPr>
              <w:ind w:left="180"/>
              <w:spacing w:after="0"/>
              <w:rPr>
                <w:sz w:val="20"/>
                <w:szCs w:val="20"/>
                <w:color w:val="auto"/>
              </w:rPr>
            </w:pPr>
            <w:r>
              <w:rPr>
                <w:rFonts w:ascii="Arial" w:cs="Arial" w:eastAsia="Arial" w:hAnsi="Arial"/>
                <w:sz w:val="9"/>
                <w:szCs w:val="9"/>
                <w:color w:val="auto"/>
              </w:rPr>
              <w:t>11/25/2019</w:t>
            </w:r>
          </w:p>
        </w:tc>
        <w:tc>
          <w:tcPr>
            <w:tcW w:w="820" w:type="dxa"/>
            <w:vAlign w:val="bottom"/>
          </w:tcPr>
          <w:p>
            <w:pPr>
              <w:ind w:left="120"/>
              <w:spacing w:after="0"/>
              <w:rPr>
                <w:sz w:val="20"/>
                <w:szCs w:val="20"/>
                <w:color w:val="auto"/>
              </w:rPr>
            </w:pPr>
            <w:r>
              <w:rPr>
                <w:rFonts w:ascii="Arial" w:cs="Arial" w:eastAsia="Arial" w:hAnsi="Arial"/>
                <w:sz w:val="9"/>
                <w:szCs w:val="9"/>
                <w:color w:val="auto"/>
              </w:rPr>
              <w:t>11/25/2024</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6,167</w:t>
            </w: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6,055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6,167</w:t>
            </w:r>
          </w:p>
        </w:tc>
        <w:tc>
          <w:tcPr>
            <w:tcW w:w="860" w:type="dxa"/>
            <w:vAlign w:val="bottom"/>
          </w:tcPr>
          <w:p>
            <w:pPr>
              <w:spacing w:after="0"/>
              <w:rPr>
                <w:sz w:val="9"/>
                <w:szCs w:val="9"/>
                <w:color w:val="auto"/>
              </w:rPr>
            </w:pPr>
          </w:p>
        </w:tc>
      </w:tr>
      <w:tr>
        <w:trPr>
          <w:trHeight w:val="108"/>
        </w:trPr>
        <w:tc>
          <w:tcPr>
            <w:tcW w:w="27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Preferred Equity (900,000 shares) (j)</w:t>
            </w:r>
          </w:p>
        </w:tc>
        <w:tc>
          <w:tcPr>
            <w:tcW w:w="30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11/25/2019</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900</w:t>
            </w:r>
          </w:p>
        </w:tc>
        <w:tc>
          <w:tcPr>
            <w:tcW w:w="22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462</w:t>
            </w:r>
          </w:p>
        </w:tc>
        <w:tc>
          <w:tcPr>
            <w:tcW w:w="860" w:type="dxa"/>
            <w:vAlign w:val="bottom"/>
            <w:tcBorders>
              <w:bottom w:val="single" w:sz="8" w:color="CFF0FC"/>
            </w:tcBorders>
            <w:shd w:val="clear" w:color="auto" w:fill="CFF0FC"/>
          </w:tcPr>
          <w:p>
            <w:pPr>
              <w:spacing w:after="0"/>
              <w:rPr>
                <w:sz w:val="9"/>
                <w:szCs w:val="9"/>
                <w:color w:val="auto"/>
              </w:rPr>
            </w:pPr>
          </w:p>
        </w:tc>
      </w:tr>
      <w:tr>
        <w:trPr>
          <w:trHeight w:val="102"/>
        </w:trPr>
        <w:tc>
          <w:tcPr>
            <w:tcW w:w="27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6,955</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6,629</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2 %</w:t>
            </w:r>
          </w:p>
        </w:tc>
      </w:tr>
      <w:tr>
        <w:trPr>
          <w:trHeight w:val="108"/>
        </w:trPr>
        <w:tc>
          <w:tcPr>
            <w:tcW w:w="278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Pugh Lubricants, LLC (n)</w:t>
            </w:r>
          </w:p>
        </w:tc>
        <w:tc>
          <w:tcPr>
            <w:tcW w:w="3020" w:type="dxa"/>
            <w:vAlign w:val="bottom"/>
            <w:shd w:val="clear" w:color="auto" w:fill="CFF0FC"/>
          </w:tcPr>
          <w:p>
            <w:pPr>
              <w:ind w:left="300"/>
              <w:spacing w:after="0"/>
              <w:rPr>
                <w:sz w:val="20"/>
                <w:szCs w:val="20"/>
                <w:color w:val="auto"/>
              </w:rPr>
            </w:pPr>
            <w:r>
              <w:rPr>
                <w:rFonts w:ascii="Arial" w:cs="Arial" w:eastAsia="Arial" w:hAnsi="Arial"/>
                <w:sz w:val="9"/>
                <w:szCs w:val="9"/>
                <w:color w:val="auto"/>
              </w:rPr>
              <w:t>Specialty Distribution</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Common Equity (3,062 units) (h)(j)</w:t>
            </w: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11/10/2016</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278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20"/>
              <w:spacing w:after="0"/>
              <w:rPr>
                <w:sz w:val="20"/>
                <w:szCs w:val="20"/>
                <w:color w:val="auto"/>
              </w:rPr>
            </w:pPr>
            <w:r>
              <w:rPr>
                <w:rFonts w:ascii="Arial" w:cs="Arial" w:eastAsia="Arial" w:hAnsi="Arial"/>
                <w:sz w:val="9"/>
                <w:szCs w:val="9"/>
                <w:i w:val="1"/>
                <w:iCs w:val="1"/>
                <w:color w:val="auto"/>
              </w:rPr>
              <w:t>Rhino Assembly Company, LLC</w:t>
            </w:r>
          </w:p>
        </w:tc>
        <w:tc>
          <w:tcPr>
            <w:tcW w:w="3020" w:type="dxa"/>
            <w:vAlign w:val="bottom"/>
          </w:tcPr>
          <w:p>
            <w:pPr>
              <w:ind w:left="300"/>
              <w:spacing w:after="0"/>
              <w:rPr>
                <w:sz w:val="20"/>
                <w:szCs w:val="20"/>
                <w:color w:val="auto"/>
              </w:rPr>
            </w:pPr>
            <w:r>
              <w:rPr>
                <w:rFonts w:ascii="Arial" w:cs="Arial" w:eastAsia="Arial" w:hAnsi="Arial"/>
                <w:sz w:val="9"/>
                <w:szCs w:val="9"/>
                <w:color w:val="auto"/>
              </w:rPr>
              <w:t>Specialty Distribution</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160"/>
              <w:spacing w:after="0"/>
              <w:rPr>
                <w:sz w:val="20"/>
                <w:szCs w:val="20"/>
                <w:color w:val="auto"/>
              </w:rPr>
            </w:pPr>
            <w:r>
              <w:rPr>
                <w:rFonts w:ascii="Arial" w:cs="Arial" w:eastAsia="Arial" w:hAnsi="Arial"/>
                <w:sz w:val="9"/>
                <w:szCs w:val="9"/>
                <w:color w:val="auto"/>
              </w:rPr>
              <w:t>Second Lien Debt (k)</w:t>
            </w: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12.00%/1.00%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8/11/2017</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2/11/2023</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13,804</w:t>
            </w: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13,791</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13,804</w:t>
            </w: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Delayed Draw Commitment ($875 unfunded commitment) (i)(j)</w:t>
            </w:r>
          </w:p>
        </w:tc>
        <w:tc>
          <w:tcPr>
            <w:tcW w:w="3020" w:type="dxa"/>
            <w:vAlign w:val="bottom"/>
          </w:tcPr>
          <w:p>
            <w:pPr>
              <w:spacing w:after="0"/>
              <w:rPr>
                <w:sz w:val="9"/>
                <w:szCs w:val="9"/>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12.00%/1.00%</w:t>
            </w:r>
          </w:p>
        </w:tc>
        <w:tc>
          <w:tcPr>
            <w:tcW w:w="700" w:type="dxa"/>
            <w:vAlign w:val="bottom"/>
          </w:tcPr>
          <w:p>
            <w:pPr>
              <w:ind w:left="180"/>
              <w:spacing w:after="0"/>
              <w:rPr>
                <w:sz w:val="20"/>
                <w:szCs w:val="20"/>
                <w:color w:val="auto"/>
              </w:rPr>
            </w:pPr>
            <w:r>
              <w:rPr>
                <w:rFonts w:ascii="Arial" w:cs="Arial" w:eastAsia="Arial" w:hAnsi="Arial"/>
                <w:sz w:val="9"/>
                <w:szCs w:val="9"/>
                <w:color w:val="auto"/>
              </w:rPr>
              <w:t>8/11/2017</w:t>
            </w:r>
          </w:p>
        </w:tc>
        <w:tc>
          <w:tcPr>
            <w:tcW w:w="820" w:type="dxa"/>
            <w:vAlign w:val="bottom"/>
          </w:tcPr>
          <w:p>
            <w:pPr>
              <w:ind w:left="120"/>
              <w:spacing w:after="0"/>
              <w:rPr>
                <w:sz w:val="20"/>
                <w:szCs w:val="20"/>
                <w:color w:val="auto"/>
              </w:rPr>
            </w:pPr>
            <w:r>
              <w:rPr>
                <w:rFonts w:ascii="Arial" w:cs="Arial" w:eastAsia="Arial" w:hAnsi="Arial"/>
                <w:sz w:val="9"/>
                <w:szCs w:val="9"/>
                <w:color w:val="auto"/>
              </w:rPr>
              <w:t>5/17/2022</w:t>
            </w:r>
          </w:p>
        </w:tc>
        <w:tc>
          <w:tcPr>
            <w:tcW w:w="940" w:type="dxa"/>
            <w:vAlign w:val="bottom"/>
            <w:gridSpan w:val="2"/>
          </w:tcPr>
          <w:p>
            <w:pPr>
              <w:jc w:val="right"/>
              <w:ind w:right="398"/>
              <w:spacing w:after="0"/>
              <w:rPr>
                <w:sz w:val="20"/>
                <w:szCs w:val="20"/>
                <w:color w:val="auto"/>
              </w:rPr>
            </w:pPr>
            <w:r>
              <w:rPr>
                <w:rFonts w:ascii="Arial" w:cs="Arial" w:eastAsia="Arial" w:hAnsi="Arial"/>
                <w:sz w:val="9"/>
                <w:szCs w:val="9"/>
                <w:color w:val="auto"/>
              </w:rPr>
              <w:t>—</w:t>
            </w: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(Class A Units) (8,864 units) (h)(j)</w:t>
            </w: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8/11/2017</w:t>
            </w: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925</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1,115</w:t>
            </w: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Preferred Equity (Units N/A) (h)(j)</w:t>
            </w: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12/10/2020</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268</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282</w:t>
            </w:r>
          </w:p>
        </w:tc>
        <w:tc>
          <w:tcPr>
            <w:tcW w:w="860" w:type="dxa"/>
            <w:vAlign w:val="bottom"/>
          </w:tcPr>
          <w:p>
            <w:pPr>
              <w:spacing w:after="0"/>
              <w:rPr>
                <w:sz w:val="9"/>
                <w:szCs w:val="9"/>
                <w:color w:val="auto"/>
              </w:rPr>
            </w:pPr>
          </w:p>
        </w:tc>
      </w:tr>
      <w:tr>
        <w:trPr>
          <w:trHeight w:val="108"/>
        </w:trPr>
        <w:tc>
          <w:tcPr>
            <w:tcW w:w="27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(Class W Units) (710 units) (h)(j)</w:t>
            </w:r>
          </w:p>
        </w:tc>
        <w:tc>
          <w:tcPr>
            <w:tcW w:w="30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12/10/2020</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w:t>
            </w:r>
          </w:p>
        </w:tc>
        <w:tc>
          <w:tcPr>
            <w:tcW w:w="22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w:t>
            </w:r>
          </w:p>
        </w:tc>
        <w:tc>
          <w:tcPr>
            <w:tcW w:w="860" w:type="dxa"/>
            <w:vAlign w:val="bottom"/>
            <w:tcBorders>
              <w:bottom w:val="single" w:sz="8" w:color="CFF0FC"/>
            </w:tcBorders>
            <w:shd w:val="clear" w:color="auto" w:fill="CFF0FC"/>
          </w:tcPr>
          <w:p>
            <w:pPr>
              <w:spacing w:after="0"/>
              <w:rPr>
                <w:sz w:val="9"/>
                <w:szCs w:val="9"/>
                <w:color w:val="auto"/>
              </w:rPr>
            </w:pPr>
          </w:p>
        </w:tc>
      </w:tr>
      <w:tr>
        <w:trPr>
          <w:trHeight w:val="102"/>
        </w:trPr>
        <w:tc>
          <w:tcPr>
            <w:tcW w:w="27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14,984</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15,201</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3 %</w:t>
            </w:r>
          </w:p>
        </w:tc>
      </w:tr>
      <w:tr>
        <w:trPr>
          <w:trHeight w:val="108"/>
        </w:trPr>
        <w:tc>
          <w:tcPr>
            <w:tcW w:w="278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Road Safety Services, Inc.</w:t>
            </w:r>
          </w:p>
        </w:tc>
        <w:tc>
          <w:tcPr>
            <w:tcW w:w="3020" w:type="dxa"/>
            <w:vAlign w:val="bottom"/>
            <w:shd w:val="clear" w:color="auto" w:fill="CFF0FC"/>
          </w:tcPr>
          <w:p>
            <w:pPr>
              <w:ind w:left="300"/>
              <w:spacing w:after="0"/>
              <w:rPr>
                <w:sz w:val="20"/>
                <w:szCs w:val="20"/>
                <w:color w:val="auto"/>
              </w:rPr>
            </w:pPr>
            <w:r>
              <w:rPr>
                <w:rFonts w:ascii="Arial" w:cs="Arial" w:eastAsia="Arial" w:hAnsi="Arial"/>
                <w:sz w:val="9"/>
                <w:szCs w:val="9"/>
                <w:color w:val="auto"/>
              </w:rPr>
              <w:t>Business Services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Second Lien Debt</w:t>
            </w:r>
          </w:p>
        </w:tc>
        <w:tc>
          <w:tcPr>
            <w:tcW w:w="3020" w:type="dxa"/>
            <w:vAlign w:val="bottom"/>
          </w:tcPr>
          <w:p>
            <w:pPr>
              <w:spacing w:after="0"/>
              <w:rPr>
                <w:sz w:val="9"/>
                <w:szCs w:val="9"/>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11.25%/2.00%</w:t>
            </w:r>
          </w:p>
        </w:tc>
        <w:tc>
          <w:tcPr>
            <w:tcW w:w="700" w:type="dxa"/>
            <w:vAlign w:val="bottom"/>
          </w:tcPr>
          <w:p>
            <w:pPr>
              <w:ind w:left="180"/>
              <w:spacing w:after="0"/>
              <w:rPr>
                <w:sz w:val="20"/>
                <w:szCs w:val="20"/>
                <w:color w:val="auto"/>
              </w:rPr>
            </w:pPr>
            <w:r>
              <w:rPr>
                <w:rFonts w:ascii="Arial" w:cs="Arial" w:eastAsia="Arial" w:hAnsi="Arial"/>
                <w:sz w:val="9"/>
                <w:szCs w:val="9"/>
                <w:color w:val="auto"/>
              </w:rPr>
              <w:t>9/18/2018</w:t>
            </w:r>
          </w:p>
        </w:tc>
        <w:tc>
          <w:tcPr>
            <w:tcW w:w="820" w:type="dxa"/>
            <w:vAlign w:val="bottom"/>
          </w:tcPr>
          <w:p>
            <w:pPr>
              <w:ind w:left="120"/>
              <w:spacing w:after="0"/>
              <w:rPr>
                <w:sz w:val="20"/>
                <w:szCs w:val="20"/>
                <w:color w:val="auto"/>
              </w:rPr>
            </w:pPr>
            <w:r>
              <w:rPr>
                <w:rFonts w:ascii="Arial" w:cs="Arial" w:eastAsia="Arial" w:hAnsi="Arial"/>
                <w:sz w:val="9"/>
                <w:szCs w:val="9"/>
                <w:color w:val="auto"/>
              </w:rPr>
              <w:t>9/18/2025</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15,525</w:t>
            </w: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15,481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15,525</w:t>
            </w:r>
          </w:p>
        </w:tc>
        <w:tc>
          <w:tcPr>
            <w:tcW w:w="860" w:type="dxa"/>
            <w:vAlign w:val="bottom"/>
          </w:tcPr>
          <w:p>
            <w:pPr>
              <w:spacing w:after="0"/>
              <w:rPr>
                <w:sz w:val="9"/>
                <w:szCs w:val="9"/>
                <w:color w:val="auto"/>
              </w:rPr>
            </w:pPr>
          </w:p>
        </w:tc>
      </w:tr>
      <w:tr>
        <w:trPr>
          <w:trHeight w:val="108"/>
        </w:trPr>
        <w:tc>
          <w:tcPr>
            <w:tcW w:w="27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(779 units)</w:t>
            </w:r>
          </w:p>
        </w:tc>
        <w:tc>
          <w:tcPr>
            <w:tcW w:w="30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9/18/2018</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1,121</w:t>
            </w:r>
          </w:p>
        </w:tc>
        <w:tc>
          <w:tcPr>
            <w:tcW w:w="22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1,285</w:t>
            </w:r>
          </w:p>
        </w:tc>
        <w:tc>
          <w:tcPr>
            <w:tcW w:w="860" w:type="dxa"/>
            <w:vAlign w:val="bottom"/>
            <w:tcBorders>
              <w:bottom w:val="single" w:sz="8" w:color="CFF0FC"/>
            </w:tcBorders>
            <w:shd w:val="clear" w:color="auto" w:fill="CFF0FC"/>
          </w:tcPr>
          <w:p>
            <w:pPr>
              <w:spacing w:after="0"/>
              <w:rPr>
                <w:sz w:val="9"/>
                <w:szCs w:val="9"/>
                <w:color w:val="auto"/>
              </w:rPr>
            </w:pPr>
          </w:p>
        </w:tc>
      </w:tr>
      <w:tr>
        <w:trPr>
          <w:trHeight w:val="102"/>
        </w:trPr>
        <w:tc>
          <w:tcPr>
            <w:tcW w:w="27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16,602</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16,810</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4 %</w:t>
            </w:r>
          </w:p>
        </w:tc>
      </w:tr>
      <w:tr>
        <w:trPr>
          <w:trHeight w:val="108"/>
        </w:trPr>
        <w:tc>
          <w:tcPr>
            <w:tcW w:w="278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SES Investors, LLC (dba SES Foam)</w:t>
            </w:r>
          </w:p>
        </w:tc>
        <w:tc>
          <w:tcPr>
            <w:tcW w:w="3020" w:type="dxa"/>
            <w:vAlign w:val="bottom"/>
            <w:shd w:val="clear" w:color="auto" w:fill="CFF0FC"/>
          </w:tcPr>
          <w:p>
            <w:pPr>
              <w:ind w:left="300"/>
              <w:spacing w:after="0"/>
              <w:rPr>
                <w:sz w:val="20"/>
                <w:szCs w:val="20"/>
                <w:color w:val="auto"/>
              </w:rPr>
            </w:pPr>
            <w:r>
              <w:rPr>
                <w:rFonts w:ascii="Arial" w:cs="Arial" w:eastAsia="Arial" w:hAnsi="Arial"/>
                <w:sz w:val="9"/>
                <w:szCs w:val="9"/>
                <w:color w:val="auto"/>
              </w:rPr>
              <w:t>Building Products Manufacturing</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Common Equity (6,000 units) (h)(j)</w:t>
            </w: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9/8/2016</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404</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4,089</w:t>
            </w:r>
          </w:p>
        </w:tc>
        <w:tc>
          <w:tcPr>
            <w:tcW w:w="860" w:type="dxa"/>
            <w:vAlign w:val="bottom"/>
          </w:tcPr>
          <w:p>
            <w:pPr>
              <w:jc w:val="right"/>
              <w:spacing w:after="0"/>
              <w:rPr>
                <w:sz w:val="20"/>
                <w:szCs w:val="20"/>
                <w:color w:val="auto"/>
              </w:rPr>
            </w:pPr>
            <w:r>
              <w:rPr>
                <w:rFonts w:ascii="Arial" w:cs="Arial" w:eastAsia="Arial" w:hAnsi="Arial"/>
                <w:sz w:val="9"/>
                <w:szCs w:val="9"/>
                <w:color w:val="auto"/>
              </w:rPr>
              <w:t>1 %</w:t>
            </w:r>
          </w:p>
        </w:tc>
      </w:tr>
      <w:tr>
        <w:trPr>
          <w:trHeight w:val="108"/>
        </w:trPr>
        <w:tc>
          <w:tcPr>
            <w:tcW w:w="278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20"/>
              <w:spacing w:after="0"/>
              <w:rPr>
                <w:sz w:val="20"/>
                <w:szCs w:val="20"/>
                <w:color w:val="auto"/>
              </w:rPr>
            </w:pPr>
            <w:r>
              <w:rPr>
                <w:rFonts w:ascii="Arial" w:cs="Arial" w:eastAsia="Arial" w:hAnsi="Arial"/>
                <w:sz w:val="9"/>
                <w:szCs w:val="9"/>
                <w:i w:val="1"/>
                <w:iCs w:val="1"/>
                <w:color w:val="auto"/>
              </w:rPr>
              <w:t>SpendMend LLC</w:t>
            </w:r>
          </w:p>
        </w:tc>
        <w:tc>
          <w:tcPr>
            <w:tcW w:w="3020" w:type="dxa"/>
            <w:vAlign w:val="bottom"/>
          </w:tcPr>
          <w:p>
            <w:pPr>
              <w:ind w:left="300"/>
              <w:spacing w:after="0"/>
              <w:rPr>
                <w:sz w:val="20"/>
                <w:szCs w:val="20"/>
                <w:color w:val="auto"/>
              </w:rPr>
            </w:pPr>
            <w:r>
              <w:rPr>
                <w:rFonts w:ascii="Arial" w:cs="Arial" w:eastAsia="Arial" w:hAnsi="Arial"/>
                <w:sz w:val="9"/>
                <w:szCs w:val="9"/>
                <w:color w:val="auto"/>
              </w:rPr>
              <w:t>Business Services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(1,000,000 units)</w:t>
            </w: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1/8/2018</w:t>
            </w: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994</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6,257</w:t>
            </w:r>
          </w:p>
        </w:tc>
        <w:tc>
          <w:tcPr>
            <w:tcW w:w="860" w:type="dxa"/>
            <w:vAlign w:val="bottom"/>
            <w:shd w:val="clear" w:color="auto" w:fill="CFF0FC"/>
          </w:tcPr>
          <w:p>
            <w:pPr>
              <w:jc w:val="right"/>
              <w:spacing w:after="0"/>
              <w:rPr>
                <w:sz w:val="20"/>
                <w:szCs w:val="20"/>
                <w:color w:val="auto"/>
              </w:rPr>
            </w:pPr>
            <w:r>
              <w:rPr>
                <w:rFonts w:ascii="Arial" w:cs="Arial" w:eastAsia="Arial" w:hAnsi="Arial"/>
                <w:sz w:val="9"/>
                <w:szCs w:val="9"/>
                <w:color w:val="auto"/>
              </w:rPr>
              <w:t>1 %</w:t>
            </w:r>
          </w:p>
        </w:tc>
      </w:tr>
      <w:tr>
        <w:trPr>
          <w:trHeight w:val="108"/>
        </w:trPr>
        <w:tc>
          <w:tcPr>
            <w:tcW w:w="27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Suited Connector LLC</w:t>
            </w:r>
          </w:p>
        </w:tc>
        <w:tc>
          <w:tcPr>
            <w:tcW w:w="3020" w:type="dxa"/>
            <w:vAlign w:val="bottom"/>
            <w:shd w:val="clear" w:color="auto" w:fill="CFF0FC"/>
          </w:tcPr>
          <w:p>
            <w:pPr>
              <w:ind w:left="300"/>
              <w:spacing w:after="0"/>
              <w:rPr>
                <w:sz w:val="20"/>
                <w:szCs w:val="20"/>
                <w:color w:val="auto"/>
              </w:rPr>
            </w:pPr>
            <w:r>
              <w:rPr>
                <w:rFonts w:ascii="Arial" w:cs="Arial" w:eastAsia="Arial" w:hAnsi="Arial"/>
                <w:sz w:val="9"/>
                <w:szCs w:val="9"/>
                <w:color w:val="auto"/>
              </w:rPr>
              <w:t>Information Technology Services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Second Lien Debt (j)</w:t>
            </w:r>
          </w:p>
        </w:tc>
        <w:tc>
          <w:tcPr>
            <w:tcW w:w="3020" w:type="dxa"/>
            <w:vAlign w:val="bottom"/>
          </w:tcPr>
          <w:p>
            <w:pPr>
              <w:spacing w:after="0"/>
              <w:rPr>
                <w:sz w:val="9"/>
                <w:szCs w:val="9"/>
                <w:color w:val="auto"/>
              </w:rPr>
            </w:pPr>
          </w:p>
        </w:tc>
        <w:tc>
          <w:tcPr>
            <w:tcW w:w="820" w:type="dxa"/>
            <w:vAlign w:val="bottom"/>
          </w:tcPr>
          <w:p>
            <w:pPr>
              <w:ind w:left="120"/>
              <w:spacing w:after="0"/>
              <w:rPr>
                <w:sz w:val="20"/>
                <w:szCs w:val="20"/>
                <w:color w:val="auto"/>
              </w:rPr>
            </w:pPr>
            <w:r>
              <w:rPr>
                <w:rFonts w:ascii="Arial" w:cs="Arial" w:eastAsia="Arial" w:hAnsi="Arial"/>
                <w:sz w:val="9"/>
                <w:szCs w:val="9"/>
                <w:color w:val="auto"/>
              </w:rPr>
              <w:t>12.00%/0.00%</w:t>
            </w:r>
          </w:p>
        </w:tc>
        <w:tc>
          <w:tcPr>
            <w:tcW w:w="700" w:type="dxa"/>
            <w:vAlign w:val="bottom"/>
          </w:tcPr>
          <w:p>
            <w:pPr>
              <w:ind w:left="180"/>
              <w:spacing w:after="0"/>
              <w:rPr>
                <w:sz w:val="20"/>
                <w:szCs w:val="20"/>
                <w:color w:val="auto"/>
              </w:rPr>
            </w:pPr>
            <w:r>
              <w:rPr>
                <w:rFonts w:ascii="Arial" w:cs="Arial" w:eastAsia="Arial" w:hAnsi="Arial"/>
                <w:sz w:val="9"/>
                <w:szCs w:val="9"/>
                <w:color w:val="auto"/>
              </w:rPr>
              <w:t>10/29/2021</w:t>
            </w:r>
          </w:p>
        </w:tc>
        <w:tc>
          <w:tcPr>
            <w:tcW w:w="820" w:type="dxa"/>
            <w:vAlign w:val="bottom"/>
          </w:tcPr>
          <w:p>
            <w:pPr>
              <w:ind w:left="120"/>
              <w:spacing w:after="0"/>
              <w:rPr>
                <w:sz w:val="20"/>
                <w:szCs w:val="20"/>
                <w:color w:val="auto"/>
              </w:rPr>
            </w:pPr>
            <w:r>
              <w:rPr>
                <w:rFonts w:ascii="Arial" w:cs="Arial" w:eastAsia="Arial" w:hAnsi="Arial"/>
                <w:sz w:val="9"/>
                <w:szCs w:val="9"/>
                <w:color w:val="auto"/>
              </w:rPr>
              <w:t>6/1/2028</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16,000</w:t>
            </w: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15,921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15,921</w:t>
            </w:r>
          </w:p>
        </w:tc>
        <w:tc>
          <w:tcPr>
            <w:tcW w:w="860" w:type="dxa"/>
            <w:vAlign w:val="bottom"/>
          </w:tcPr>
          <w:p>
            <w:pPr>
              <w:spacing w:after="0"/>
              <w:rPr>
                <w:sz w:val="9"/>
                <w:szCs w:val="9"/>
                <w:color w:val="auto"/>
              </w:rPr>
            </w:pPr>
          </w:p>
        </w:tc>
      </w:tr>
      <w:tr>
        <w:trPr>
          <w:trHeight w:val="108"/>
        </w:trPr>
        <w:tc>
          <w:tcPr>
            <w:tcW w:w="27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Common Equity (7,500 units) (h)(j)</w:t>
            </w:r>
          </w:p>
        </w:tc>
        <w:tc>
          <w:tcPr>
            <w:tcW w:w="30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12/1/2021</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750</w:t>
            </w:r>
          </w:p>
        </w:tc>
        <w:tc>
          <w:tcPr>
            <w:tcW w:w="22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750</w:t>
            </w:r>
          </w:p>
        </w:tc>
        <w:tc>
          <w:tcPr>
            <w:tcW w:w="860" w:type="dxa"/>
            <w:vAlign w:val="bottom"/>
            <w:tcBorders>
              <w:bottom w:val="single" w:sz="8" w:color="CFF0FC"/>
            </w:tcBorders>
            <w:shd w:val="clear" w:color="auto" w:fill="CFF0FC"/>
          </w:tcPr>
          <w:p>
            <w:pPr>
              <w:spacing w:after="0"/>
              <w:rPr>
                <w:sz w:val="9"/>
                <w:szCs w:val="9"/>
                <w:color w:val="auto"/>
              </w:rPr>
            </w:pPr>
          </w:p>
        </w:tc>
      </w:tr>
      <w:tr>
        <w:trPr>
          <w:trHeight w:val="102"/>
        </w:trPr>
        <w:tc>
          <w:tcPr>
            <w:tcW w:w="27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16,671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16,671</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3 %</w:t>
            </w:r>
          </w:p>
        </w:tc>
      </w:tr>
      <w:tr>
        <w:trPr>
          <w:trHeight w:val="108"/>
        </w:trPr>
        <w:tc>
          <w:tcPr>
            <w:tcW w:w="278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TransGo, LLC</w:t>
            </w:r>
          </w:p>
        </w:tc>
        <w:tc>
          <w:tcPr>
            <w:tcW w:w="3020" w:type="dxa"/>
            <w:vAlign w:val="bottom"/>
            <w:shd w:val="clear" w:color="auto" w:fill="CFF0FC"/>
          </w:tcPr>
          <w:p>
            <w:pPr>
              <w:ind w:left="300"/>
              <w:spacing w:after="0"/>
              <w:rPr>
                <w:sz w:val="20"/>
                <w:szCs w:val="20"/>
                <w:color w:val="auto"/>
              </w:rPr>
            </w:pPr>
            <w:r>
              <w:rPr>
                <w:rFonts w:ascii="Arial" w:cs="Arial" w:eastAsia="Arial" w:hAnsi="Arial"/>
                <w:sz w:val="9"/>
                <w:szCs w:val="9"/>
                <w:color w:val="auto"/>
              </w:rPr>
              <w:t>Component Manufacturing</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Common Equity (500 units) (j)</w:t>
            </w: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2/28/2017</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428</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1,878</w:t>
            </w:r>
          </w:p>
        </w:tc>
        <w:tc>
          <w:tcPr>
            <w:tcW w:w="860" w:type="dxa"/>
            <w:vAlign w:val="bottom"/>
          </w:tcPr>
          <w:p>
            <w:pPr>
              <w:jc w:val="right"/>
              <w:spacing w:after="0"/>
              <w:rPr>
                <w:sz w:val="20"/>
                <w:szCs w:val="20"/>
                <w:color w:val="auto"/>
              </w:rPr>
            </w:pPr>
            <w:r>
              <w:rPr>
                <w:rFonts w:ascii="Arial" w:cs="Arial" w:eastAsia="Arial" w:hAnsi="Arial"/>
                <w:sz w:val="9"/>
                <w:szCs w:val="9"/>
                <w:color w:val="auto"/>
              </w:rPr>
              <w:t>1 %</w:t>
            </w:r>
          </w:p>
        </w:tc>
      </w:tr>
      <w:tr>
        <w:trPr>
          <w:trHeight w:val="108"/>
        </w:trPr>
        <w:tc>
          <w:tcPr>
            <w:tcW w:w="278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20"/>
              <w:spacing w:after="0"/>
              <w:rPr>
                <w:sz w:val="20"/>
                <w:szCs w:val="20"/>
                <w:color w:val="auto"/>
              </w:rPr>
            </w:pPr>
            <w:r>
              <w:rPr>
                <w:rFonts w:ascii="Arial" w:cs="Arial" w:eastAsia="Arial" w:hAnsi="Arial"/>
                <w:sz w:val="9"/>
                <w:szCs w:val="9"/>
                <w:i w:val="1"/>
                <w:iCs w:val="1"/>
                <w:color w:val="auto"/>
              </w:rPr>
              <w:t>The Tranzonic Companies</w:t>
            </w:r>
          </w:p>
        </w:tc>
        <w:tc>
          <w:tcPr>
            <w:tcW w:w="3020" w:type="dxa"/>
            <w:vAlign w:val="bottom"/>
          </w:tcPr>
          <w:p>
            <w:pPr>
              <w:ind w:left="300"/>
              <w:spacing w:after="0"/>
              <w:rPr>
                <w:sz w:val="20"/>
                <w:szCs w:val="20"/>
                <w:color w:val="auto"/>
              </w:rPr>
            </w:pPr>
            <w:r>
              <w:rPr>
                <w:rFonts w:ascii="Arial" w:cs="Arial" w:eastAsia="Arial" w:hAnsi="Arial"/>
                <w:sz w:val="9"/>
                <w:szCs w:val="9"/>
                <w:color w:val="auto"/>
              </w:rPr>
              <w:t>Specialty Distribution</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160"/>
              <w:spacing w:after="0"/>
              <w:rPr>
                <w:sz w:val="20"/>
                <w:szCs w:val="20"/>
                <w:color w:val="auto"/>
              </w:rPr>
            </w:pPr>
            <w:r>
              <w:rPr>
                <w:rFonts w:ascii="Arial" w:cs="Arial" w:eastAsia="Arial" w:hAnsi="Arial"/>
                <w:sz w:val="9"/>
                <w:szCs w:val="9"/>
                <w:color w:val="auto"/>
              </w:rPr>
              <w:t>Preferred Equity (5,653 units) (j)</w:t>
            </w: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3/27/2018</w:t>
            </w: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565</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802</w:t>
            </w: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Common Equity (1 units) (j)</w:t>
            </w: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3/27/2018</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1,231</w:t>
            </w:r>
          </w:p>
        </w:tc>
        <w:tc>
          <w:tcPr>
            <w:tcW w:w="860" w:type="dxa"/>
            <w:vAlign w:val="bottom"/>
          </w:tcPr>
          <w:p>
            <w:pPr>
              <w:spacing w:after="0"/>
              <w:rPr>
                <w:sz w:val="9"/>
                <w:szCs w:val="9"/>
                <w:color w:val="auto"/>
              </w:rPr>
            </w:pPr>
          </w:p>
        </w:tc>
      </w:tr>
      <w:tr>
        <w:trPr>
          <w:trHeight w:val="102"/>
        </w:trPr>
        <w:tc>
          <w:tcPr>
            <w:tcW w:w="2780" w:type="dxa"/>
            <w:vAlign w:val="bottom"/>
            <w:shd w:val="clear" w:color="auto" w:fill="CFF0FC"/>
          </w:tcPr>
          <w:p>
            <w:pPr>
              <w:spacing w:after="0"/>
              <w:rPr>
                <w:sz w:val="8"/>
                <w:szCs w:val="8"/>
                <w:color w:val="auto"/>
              </w:rPr>
            </w:pPr>
          </w:p>
        </w:tc>
        <w:tc>
          <w:tcPr>
            <w:tcW w:w="30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565</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2,033</w:t>
            </w:r>
          </w:p>
        </w:tc>
        <w:tc>
          <w:tcPr>
            <w:tcW w:w="86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1 %</w:t>
            </w:r>
          </w:p>
        </w:tc>
      </w:tr>
      <w:tr>
        <w:trPr>
          <w:trHeight w:val="108"/>
        </w:trPr>
        <w:tc>
          <w:tcPr>
            <w:tcW w:w="2780" w:type="dxa"/>
            <w:vAlign w:val="bottom"/>
          </w:tcPr>
          <w:p>
            <w:pPr>
              <w:ind w:left="20"/>
              <w:spacing w:after="0"/>
              <w:rPr>
                <w:sz w:val="20"/>
                <w:szCs w:val="20"/>
                <w:color w:val="auto"/>
              </w:rPr>
            </w:pPr>
            <w:r>
              <w:rPr>
                <w:rFonts w:ascii="Arial" w:cs="Arial" w:eastAsia="Arial" w:hAnsi="Arial"/>
                <w:sz w:val="9"/>
                <w:szCs w:val="9"/>
                <w:i w:val="1"/>
                <w:iCs w:val="1"/>
                <w:color w:val="auto"/>
              </w:rPr>
              <w:t>UBEO, LLC</w:t>
            </w:r>
          </w:p>
        </w:tc>
        <w:tc>
          <w:tcPr>
            <w:tcW w:w="3020" w:type="dxa"/>
            <w:vAlign w:val="bottom"/>
          </w:tcPr>
          <w:p>
            <w:pPr>
              <w:ind w:left="300"/>
              <w:spacing w:after="0"/>
              <w:rPr>
                <w:sz w:val="20"/>
                <w:szCs w:val="20"/>
                <w:color w:val="auto"/>
              </w:rPr>
            </w:pPr>
            <w:r>
              <w:rPr>
                <w:rFonts w:ascii="Arial" w:cs="Arial" w:eastAsia="Arial" w:hAnsi="Arial"/>
                <w:sz w:val="9"/>
                <w:szCs w:val="9"/>
                <w:color w:val="auto"/>
              </w:rPr>
              <w:t>Business Services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(705,000 units) (h)(j)</w:t>
            </w: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4/3/2018</w:t>
            </w: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645</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884</w:t>
            </w:r>
          </w:p>
        </w:tc>
        <w:tc>
          <w:tcPr>
            <w:tcW w:w="86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27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United Biologics, LLC</w:t>
            </w:r>
          </w:p>
        </w:tc>
        <w:tc>
          <w:tcPr>
            <w:tcW w:w="3020" w:type="dxa"/>
            <w:vAlign w:val="bottom"/>
            <w:shd w:val="clear" w:color="auto" w:fill="CFF0FC"/>
          </w:tcPr>
          <w:p>
            <w:pPr>
              <w:ind w:left="300"/>
              <w:spacing w:after="0"/>
              <w:rPr>
                <w:sz w:val="20"/>
                <w:szCs w:val="20"/>
                <w:color w:val="auto"/>
              </w:rPr>
            </w:pPr>
            <w:r>
              <w:rPr>
                <w:rFonts w:ascii="Arial" w:cs="Arial" w:eastAsia="Arial" w:hAnsi="Arial"/>
                <w:sz w:val="9"/>
                <w:szCs w:val="9"/>
                <w:color w:val="auto"/>
              </w:rPr>
              <w:t>Healthcare Services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Preferred Equity (98,377 units) (h)(j)</w:t>
            </w: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4/1/2012</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1,008</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spacing w:after="0"/>
              <w:rPr>
                <w:sz w:val="9"/>
                <w:szCs w:val="9"/>
                <w:color w:val="auto"/>
              </w:rPr>
            </w:pPr>
          </w:p>
        </w:tc>
      </w:tr>
      <w:tr>
        <w:trPr>
          <w:trHeight w:val="108"/>
        </w:trPr>
        <w:tc>
          <w:tcPr>
            <w:tcW w:w="27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9"/>
                <w:szCs w:val="9"/>
                <w:color w:val="auto"/>
              </w:rPr>
              <w:t>Warrant (57,469 units) (j)(m)</w:t>
            </w:r>
          </w:p>
        </w:tc>
        <w:tc>
          <w:tcPr>
            <w:tcW w:w="30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9"/>
                <w:szCs w:val="9"/>
                <w:color w:val="auto"/>
              </w:rPr>
              <w:t>3/5/2012</w:t>
            </w: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566</w:t>
            </w:r>
          </w:p>
        </w:tc>
        <w:tc>
          <w:tcPr>
            <w:tcW w:w="22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w:t>
            </w:r>
          </w:p>
        </w:tc>
        <w:tc>
          <w:tcPr>
            <w:tcW w:w="860" w:type="dxa"/>
            <w:vAlign w:val="bottom"/>
            <w:tcBorders>
              <w:bottom w:val="single" w:sz="8" w:color="CFF0FC"/>
            </w:tcBorders>
            <w:shd w:val="clear" w:color="auto" w:fill="CFF0FC"/>
          </w:tcPr>
          <w:p>
            <w:pPr>
              <w:spacing w:after="0"/>
              <w:rPr>
                <w:sz w:val="9"/>
                <w:szCs w:val="9"/>
                <w:color w:val="auto"/>
              </w:rPr>
            </w:pPr>
          </w:p>
        </w:tc>
      </w:tr>
      <w:tr>
        <w:trPr>
          <w:trHeight w:val="101"/>
        </w:trPr>
        <w:tc>
          <w:tcPr>
            <w:tcW w:w="27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1,574</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860" w:type="dxa"/>
            <w:vAlign w:val="bottom"/>
          </w:tcPr>
          <w:p>
            <w:pPr>
              <w:jc w:val="right"/>
              <w:spacing w:after="0" w:line="102" w:lineRule="exact"/>
              <w:rPr>
                <w:sz w:val="20"/>
                <w:szCs w:val="20"/>
                <w:color w:val="auto"/>
              </w:rPr>
            </w:pPr>
            <w:r>
              <w:rPr>
                <w:rFonts w:ascii="Arial" w:cs="Arial" w:eastAsia="Arial" w:hAnsi="Arial"/>
                <w:sz w:val="9"/>
                <w:szCs w:val="9"/>
                <w:color w:val="auto"/>
              </w:rPr>
              <w:t>0 %</w:t>
            </w:r>
          </w:p>
        </w:tc>
      </w:tr>
      <w:tr>
        <w:trPr>
          <w:trHeight w:val="108"/>
        </w:trPr>
        <w:tc>
          <w:tcPr>
            <w:tcW w:w="278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UPG Company, LLC</w:t>
            </w:r>
          </w:p>
        </w:tc>
        <w:tc>
          <w:tcPr>
            <w:tcW w:w="3020" w:type="dxa"/>
            <w:vAlign w:val="bottom"/>
            <w:shd w:val="clear" w:color="auto" w:fill="CFF0FC"/>
          </w:tcPr>
          <w:p>
            <w:pPr>
              <w:ind w:left="300"/>
              <w:spacing w:after="0"/>
              <w:rPr>
                <w:sz w:val="20"/>
                <w:szCs w:val="20"/>
                <w:color w:val="auto"/>
              </w:rPr>
            </w:pPr>
            <w:r>
              <w:rPr>
                <w:rFonts w:ascii="Arial" w:cs="Arial" w:eastAsia="Arial" w:hAnsi="Arial"/>
                <w:sz w:val="9"/>
                <w:szCs w:val="9"/>
                <w:color w:val="auto"/>
              </w:rPr>
              <w:t>Component Manufacturing</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First Lien Debt (j)(al)</w:t>
            </w:r>
          </w:p>
        </w:tc>
        <w:tc>
          <w:tcPr>
            <w:tcW w:w="3020" w:type="dxa"/>
            <w:vAlign w:val="bottom"/>
          </w:tcPr>
          <w:p>
            <w:pPr>
              <w:ind w:left="2060"/>
              <w:spacing w:after="0"/>
              <w:rPr>
                <w:sz w:val="20"/>
                <w:szCs w:val="20"/>
                <w:color w:val="auto"/>
              </w:rPr>
            </w:pPr>
            <w:r>
              <w:rPr>
                <w:rFonts w:ascii="Arial" w:cs="Arial" w:eastAsia="Arial" w:hAnsi="Arial"/>
                <w:sz w:val="9"/>
                <w:szCs w:val="9"/>
                <w:color w:val="auto"/>
              </w:rPr>
              <w:t>(L + 8.25%) / (0.50%)</w:t>
            </w:r>
          </w:p>
        </w:tc>
        <w:tc>
          <w:tcPr>
            <w:tcW w:w="820" w:type="dxa"/>
            <w:vAlign w:val="bottom"/>
          </w:tcPr>
          <w:p>
            <w:pPr>
              <w:ind w:left="120"/>
              <w:spacing w:after="0"/>
              <w:rPr>
                <w:sz w:val="20"/>
                <w:szCs w:val="20"/>
                <w:color w:val="auto"/>
              </w:rPr>
            </w:pPr>
            <w:r>
              <w:rPr>
                <w:rFonts w:ascii="Arial" w:cs="Arial" w:eastAsia="Arial" w:hAnsi="Arial"/>
                <w:sz w:val="9"/>
                <w:szCs w:val="9"/>
                <w:color w:val="auto"/>
              </w:rPr>
              <w:t>8.75%/0.00%</w:t>
            </w:r>
          </w:p>
        </w:tc>
        <w:tc>
          <w:tcPr>
            <w:tcW w:w="700" w:type="dxa"/>
            <w:vAlign w:val="bottom"/>
          </w:tcPr>
          <w:p>
            <w:pPr>
              <w:ind w:left="180"/>
              <w:spacing w:after="0"/>
              <w:rPr>
                <w:sz w:val="20"/>
                <w:szCs w:val="20"/>
                <w:color w:val="auto"/>
              </w:rPr>
            </w:pPr>
            <w:r>
              <w:rPr>
                <w:rFonts w:ascii="Arial" w:cs="Arial" w:eastAsia="Arial" w:hAnsi="Arial"/>
                <w:sz w:val="9"/>
                <w:szCs w:val="9"/>
                <w:color w:val="auto"/>
              </w:rPr>
              <w:t>6/21/2021</w:t>
            </w:r>
          </w:p>
        </w:tc>
        <w:tc>
          <w:tcPr>
            <w:tcW w:w="820" w:type="dxa"/>
            <w:vAlign w:val="bottom"/>
          </w:tcPr>
          <w:p>
            <w:pPr>
              <w:ind w:left="120"/>
              <w:spacing w:after="0"/>
              <w:rPr>
                <w:sz w:val="20"/>
                <w:szCs w:val="20"/>
                <w:color w:val="auto"/>
              </w:rPr>
            </w:pPr>
            <w:r>
              <w:rPr>
                <w:rFonts w:ascii="Arial" w:cs="Arial" w:eastAsia="Arial" w:hAnsi="Arial"/>
                <w:sz w:val="9"/>
                <w:szCs w:val="9"/>
                <w:color w:val="auto"/>
              </w:rPr>
              <w:t>6/21/2024</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12,000</w:t>
            </w: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11,922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12,000</w:t>
            </w:r>
          </w:p>
        </w:tc>
        <w:tc>
          <w:tcPr>
            <w:tcW w:w="860" w:type="dxa"/>
            <w:vAlign w:val="bottom"/>
          </w:tcPr>
          <w:p>
            <w:pPr>
              <w:jc w:val="right"/>
              <w:spacing w:after="0"/>
              <w:rPr>
                <w:sz w:val="20"/>
                <w:szCs w:val="20"/>
                <w:color w:val="auto"/>
              </w:rPr>
            </w:pPr>
            <w:r>
              <w:rPr>
                <w:rFonts w:ascii="Arial" w:cs="Arial" w:eastAsia="Arial" w:hAnsi="Arial"/>
                <w:sz w:val="9"/>
                <w:szCs w:val="9"/>
                <w:color w:val="auto"/>
              </w:rPr>
              <w:t>3 %</w:t>
            </w:r>
          </w:p>
        </w:tc>
      </w:tr>
      <w:tr>
        <w:trPr>
          <w:trHeight w:val="108"/>
        </w:trPr>
        <w:tc>
          <w:tcPr>
            <w:tcW w:w="278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20"/>
              <w:spacing w:after="0"/>
              <w:rPr>
                <w:sz w:val="20"/>
                <w:szCs w:val="20"/>
                <w:color w:val="auto"/>
              </w:rPr>
            </w:pPr>
            <w:r>
              <w:rPr>
                <w:rFonts w:ascii="Arial" w:cs="Arial" w:eastAsia="Arial" w:hAnsi="Arial"/>
                <w:sz w:val="9"/>
                <w:szCs w:val="9"/>
                <w:i w:val="1"/>
                <w:iCs w:val="1"/>
                <w:color w:val="auto"/>
              </w:rPr>
              <w:t>Virginia Tile Company, LLC</w:t>
            </w:r>
          </w:p>
        </w:tc>
        <w:tc>
          <w:tcPr>
            <w:tcW w:w="3020" w:type="dxa"/>
            <w:vAlign w:val="bottom"/>
          </w:tcPr>
          <w:p>
            <w:pPr>
              <w:ind w:left="300"/>
              <w:spacing w:after="0"/>
              <w:rPr>
                <w:sz w:val="20"/>
                <w:szCs w:val="20"/>
                <w:color w:val="auto"/>
              </w:rPr>
            </w:pPr>
            <w:r>
              <w:rPr>
                <w:rFonts w:ascii="Arial" w:cs="Arial" w:eastAsia="Arial" w:hAnsi="Arial"/>
                <w:sz w:val="9"/>
                <w:szCs w:val="9"/>
                <w:color w:val="auto"/>
              </w:rPr>
              <w:t>Specialty Distribution</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(17 units) (j)</w:t>
            </w: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12/19/2014</w:t>
            </w: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342</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933</w:t>
            </w:r>
          </w:p>
        </w:tc>
        <w:tc>
          <w:tcPr>
            <w:tcW w:w="860" w:type="dxa"/>
            <w:vAlign w:val="bottom"/>
            <w:shd w:val="clear" w:color="auto" w:fill="CFF0FC"/>
          </w:tcPr>
          <w:p>
            <w:pPr>
              <w:jc w:val="right"/>
              <w:spacing w:after="0"/>
              <w:rPr>
                <w:sz w:val="20"/>
                <w:szCs w:val="20"/>
                <w:color w:val="auto"/>
              </w:rPr>
            </w:pPr>
            <w:r>
              <w:rPr>
                <w:rFonts w:ascii="Arial" w:cs="Arial" w:eastAsia="Arial" w:hAnsi="Arial"/>
                <w:sz w:val="9"/>
                <w:szCs w:val="9"/>
                <w:color w:val="auto"/>
              </w:rPr>
              <w:t>0 %</w:t>
            </w:r>
          </w:p>
        </w:tc>
      </w:tr>
      <w:tr>
        <w:trPr>
          <w:trHeight w:val="108"/>
        </w:trPr>
        <w:tc>
          <w:tcPr>
            <w:tcW w:w="27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Western's Smokehouse, LLC</w:t>
            </w:r>
          </w:p>
        </w:tc>
        <w:tc>
          <w:tcPr>
            <w:tcW w:w="3020" w:type="dxa"/>
            <w:vAlign w:val="bottom"/>
            <w:shd w:val="clear" w:color="auto" w:fill="CFF0FC"/>
          </w:tcPr>
          <w:p>
            <w:pPr>
              <w:ind w:left="300"/>
              <w:spacing w:after="0"/>
              <w:rPr>
                <w:sz w:val="20"/>
                <w:szCs w:val="20"/>
                <w:color w:val="auto"/>
              </w:rPr>
            </w:pPr>
            <w:r>
              <w:rPr>
                <w:rFonts w:ascii="Arial" w:cs="Arial" w:eastAsia="Arial" w:hAnsi="Arial"/>
                <w:sz w:val="9"/>
                <w:szCs w:val="9"/>
                <w:color w:val="auto"/>
              </w:rPr>
              <w:t>Consumer Products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First Lien Debt (j)(ab)</w:t>
            </w:r>
          </w:p>
        </w:tc>
        <w:tc>
          <w:tcPr>
            <w:tcW w:w="3020" w:type="dxa"/>
            <w:vAlign w:val="bottom"/>
          </w:tcPr>
          <w:p>
            <w:pPr>
              <w:ind w:left="2060"/>
              <w:spacing w:after="0"/>
              <w:rPr>
                <w:sz w:val="20"/>
                <w:szCs w:val="20"/>
                <w:color w:val="auto"/>
              </w:rPr>
            </w:pPr>
            <w:r>
              <w:rPr>
                <w:rFonts w:ascii="Arial" w:cs="Arial" w:eastAsia="Arial" w:hAnsi="Arial"/>
                <w:sz w:val="9"/>
                <w:szCs w:val="9"/>
                <w:color w:val="auto"/>
              </w:rPr>
              <w:t>(L + 6.50%) / (1.25%)</w:t>
            </w:r>
          </w:p>
        </w:tc>
        <w:tc>
          <w:tcPr>
            <w:tcW w:w="820" w:type="dxa"/>
            <w:vAlign w:val="bottom"/>
          </w:tcPr>
          <w:p>
            <w:pPr>
              <w:ind w:left="120"/>
              <w:spacing w:after="0"/>
              <w:rPr>
                <w:sz w:val="20"/>
                <w:szCs w:val="20"/>
                <w:color w:val="auto"/>
              </w:rPr>
            </w:pPr>
            <w:r>
              <w:rPr>
                <w:rFonts w:ascii="Arial" w:cs="Arial" w:eastAsia="Arial" w:hAnsi="Arial"/>
                <w:sz w:val="9"/>
                <w:szCs w:val="9"/>
                <w:color w:val="auto"/>
              </w:rPr>
              <w:t>7.75%/0.00%</w:t>
            </w:r>
          </w:p>
        </w:tc>
        <w:tc>
          <w:tcPr>
            <w:tcW w:w="700" w:type="dxa"/>
            <w:vAlign w:val="bottom"/>
          </w:tcPr>
          <w:p>
            <w:pPr>
              <w:ind w:left="180"/>
              <w:spacing w:after="0"/>
              <w:rPr>
                <w:sz w:val="20"/>
                <w:szCs w:val="20"/>
                <w:color w:val="auto"/>
              </w:rPr>
            </w:pPr>
            <w:r>
              <w:rPr>
                <w:rFonts w:ascii="Arial" w:cs="Arial" w:eastAsia="Arial" w:hAnsi="Arial"/>
                <w:sz w:val="9"/>
                <w:szCs w:val="9"/>
                <w:color w:val="auto"/>
              </w:rPr>
              <w:t>2/28/2020</w:t>
            </w:r>
          </w:p>
        </w:tc>
        <w:tc>
          <w:tcPr>
            <w:tcW w:w="820" w:type="dxa"/>
            <w:vAlign w:val="bottom"/>
          </w:tcPr>
          <w:p>
            <w:pPr>
              <w:ind w:left="120"/>
              <w:spacing w:after="0"/>
              <w:rPr>
                <w:sz w:val="20"/>
                <w:szCs w:val="20"/>
                <w:color w:val="auto"/>
              </w:rPr>
            </w:pPr>
            <w:r>
              <w:rPr>
                <w:rFonts w:ascii="Arial" w:cs="Arial" w:eastAsia="Arial" w:hAnsi="Arial"/>
                <w:sz w:val="9"/>
                <w:szCs w:val="9"/>
                <w:color w:val="auto"/>
              </w:rPr>
              <w:t>12/23/2024</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9,625</w:t>
            </w: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9,532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9,625</w:t>
            </w:r>
          </w:p>
        </w:tc>
        <w:tc>
          <w:tcPr>
            <w:tcW w:w="860" w:type="dxa"/>
            <w:vAlign w:val="bottom"/>
          </w:tcPr>
          <w:p>
            <w:pPr>
              <w:jc w:val="right"/>
              <w:spacing w:after="0"/>
              <w:rPr>
                <w:sz w:val="20"/>
                <w:szCs w:val="20"/>
                <w:color w:val="auto"/>
              </w:rPr>
            </w:pPr>
            <w:r>
              <w:rPr>
                <w:rFonts w:ascii="Arial" w:cs="Arial" w:eastAsia="Arial" w:hAnsi="Arial"/>
                <w:sz w:val="9"/>
                <w:szCs w:val="9"/>
                <w:color w:val="auto"/>
              </w:rPr>
              <w:t>2 %</w:t>
            </w:r>
          </w:p>
        </w:tc>
      </w:tr>
      <w:tr>
        <w:trPr>
          <w:trHeight w:val="108"/>
        </w:trPr>
        <w:tc>
          <w:tcPr>
            <w:tcW w:w="278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20"/>
              <w:spacing w:after="0"/>
              <w:rPr>
                <w:sz w:val="20"/>
                <w:szCs w:val="20"/>
                <w:color w:val="auto"/>
              </w:rPr>
            </w:pPr>
            <w:r>
              <w:rPr>
                <w:rFonts w:ascii="Arial" w:cs="Arial" w:eastAsia="Arial" w:hAnsi="Arial"/>
                <w:sz w:val="9"/>
                <w:szCs w:val="9"/>
                <w:i w:val="1"/>
                <w:iCs w:val="1"/>
                <w:color w:val="auto"/>
              </w:rPr>
              <w:t>Winona Foods, Inc.</w:t>
            </w:r>
          </w:p>
        </w:tc>
        <w:tc>
          <w:tcPr>
            <w:tcW w:w="3020" w:type="dxa"/>
            <w:vAlign w:val="bottom"/>
          </w:tcPr>
          <w:p>
            <w:pPr>
              <w:ind w:left="300"/>
              <w:spacing w:after="0"/>
              <w:rPr>
                <w:sz w:val="20"/>
                <w:szCs w:val="20"/>
                <w:color w:val="auto"/>
              </w:rPr>
            </w:pPr>
            <w:r>
              <w:rPr>
                <w:rFonts w:ascii="Arial" w:cs="Arial" w:eastAsia="Arial" w:hAnsi="Arial"/>
                <w:sz w:val="9"/>
                <w:szCs w:val="9"/>
                <w:color w:val="auto"/>
              </w:rPr>
              <w:t>Specialty Distribution</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(j)(am)</w:t>
            </w:r>
          </w:p>
        </w:tc>
        <w:tc>
          <w:tcPr>
            <w:tcW w:w="3020" w:type="dxa"/>
            <w:vAlign w:val="bottom"/>
            <w:shd w:val="clear" w:color="auto" w:fill="CFF0FC"/>
          </w:tcPr>
          <w:p>
            <w:pPr>
              <w:ind w:left="2060"/>
              <w:spacing w:after="0"/>
              <w:rPr>
                <w:sz w:val="20"/>
                <w:szCs w:val="20"/>
                <w:color w:val="auto"/>
              </w:rPr>
            </w:pPr>
            <w:r>
              <w:rPr>
                <w:rFonts w:ascii="Arial" w:cs="Arial" w:eastAsia="Arial" w:hAnsi="Arial"/>
                <w:sz w:val="9"/>
                <w:szCs w:val="9"/>
                <w:color w:val="auto"/>
              </w:rPr>
              <w:t>(L + 12.00%) / (1.00%)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13.00%/0.00%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4/1/2021</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4/1/2026</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4,000</w:t>
            </w: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3,879</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4,000</w:t>
            </w: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First Lien Debt</w:t>
            </w:r>
          </w:p>
        </w:tc>
        <w:tc>
          <w:tcPr>
            <w:tcW w:w="3020" w:type="dxa"/>
            <w:vAlign w:val="bottom"/>
          </w:tcPr>
          <w:p>
            <w:pPr>
              <w:ind w:left="2060"/>
              <w:spacing w:after="0"/>
              <w:rPr>
                <w:sz w:val="20"/>
                <w:szCs w:val="20"/>
                <w:color w:val="auto"/>
              </w:rPr>
            </w:pPr>
            <w:r>
              <w:rPr>
                <w:rFonts w:ascii="Arial" w:cs="Arial" w:eastAsia="Arial" w:hAnsi="Arial"/>
                <w:sz w:val="9"/>
                <w:szCs w:val="9"/>
                <w:color w:val="auto"/>
              </w:rPr>
              <w:t>(L + 13.00%) / (1.00%)</w:t>
            </w:r>
          </w:p>
        </w:tc>
        <w:tc>
          <w:tcPr>
            <w:tcW w:w="820" w:type="dxa"/>
            <w:vAlign w:val="bottom"/>
          </w:tcPr>
          <w:p>
            <w:pPr>
              <w:ind w:left="120"/>
              <w:spacing w:after="0"/>
              <w:rPr>
                <w:sz w:val="20"/>
                <w:szCs w:val="20"/>
                <w:color w:val="auto"/>
              </w:rPr>
            </w:pPr>
            <w:r>
              <w:rPr>
                <w:rFonts w:ascii="Arial" w:cs="Arial" w:eastAsia="Arial" w:hAnsi="Arial"/>
                <w:sz w:val="9"/>
                <w:szCs w:val="9"/>
                <w:color w:val="auto"/>
              </w:rPr>
              <w:t>14.00%/0.00%</w:t>
            </w:r>
          </w:p>
        </w:tc>
        <w:tc>
          <w:tcPr>
            <w:tcW w:w="700" w:type="dxa"/>
            <w:vAlign w:val="bottom"/>
          </w:tcPr>
          <w:p>
            <w:pPr>
              <w:ind w:left="180"/>
              <w:spacing w:after="0"/>
              <w:rPr>
                <w:sz w:val="20"/>
                <w:szCs w:val="20"/>
                <w:color w:val="auto"/>
              </w:rPr>
            </w:pPr>
            <w:r>
              <w:rPr>
                <w:rFonts w:ascii="Arial" w:cs="Arial" w:eastAsia="Arial" w:hAnsi="Arial"/>
                <w:sz w:val="9"/>
                <w:szCs w:val="9"/>
                <w:color w:val="auto"/>
              </w:rPr>
              <w:t>4/1/2021</w:t>
            </w:r>
          </w:p>
        </w:tc>
        <w:tc>
          <w:tcPr>
            <w:tcW w:w="820" w:type="dxa"/>
            <w:vAlign w:val="bottom"/>
          </w:tcPr>
          <w:p>
            <w:pPr>
              <w:ind w:left="120"/>
              <w:spacing w:after="0"/>
              <w:rPr>
                <w:sz w:val="20"/>
                <w:szCs w:val="20"/>
                <w:color w:val="auto"/>
              </w:rPr>
            </w:pPr>
            <w:r>
              <w:rPr>
                <w:rFonts w:ascii="Arial" w:cs="Arial" w:eastAsia="Arial" w:hAnsi="Arial"/>
                <w:sz w:val="9"/>
                <w:szCs w:val="9"/>
                <w:color w:val="auto"/>
              </w:rPr>
              <w:t>4/1/2026</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7,000</w:t>
            </w: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6,955</w:t>
            </w: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7,000</w:t>
            </w:r>
          </w:p>
        </w:tc>
        <w:tc>
          <w:tcPr>
            <w:tcW w:w="860" w:type="dxa"/>
            <w:vAlign w:val="bottom"/>
          </w:tcPr>
          <w:p>
            <w:pPr>
              <w:spacing w:after="0"/>
              <w:rPr>
                <w:sz w:val="9"/>
                <w:szCs w:val="9"/>
                <w:color w:val="auto"/>
              </w:rPr>
            </w:pPr>
          </w:p>
        </w:tc>
      </w:tr>
      <w:tr>
        <w:trPr>
          <w:trHeight w:val="102"/>
        </w:trPr>
        <w:tc>
          <w:tcPr>
            <w:tcW w:w="2780" w:type="dxa"/>
            <w:vAlign w:val="bottom"/>
            <w:shd w:val="clear" w:color="auto" w:fill="CFF0FC"/>
          </w:tcPr>
          <w:p>
            <w:pPr>
              <w:spacing w:after="0"/>
              <w:rPr>
                <w:sz w:val="8"/>
                <w:szCs w:val="8"/>
                <w:color w:val="auto"/>
              </w:rPr>
            </w:pPr>
          </w:p>
        </w:tc>
        <w:tc>
          <w:tcPr>
            <w:tcW w:w="30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10,834</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11,000</w:t>
            </w:r>
          </w:p>
        </w:tc>
        <w:tc>
          <w:tcPr>
            <w:tcW w:w="86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2 %</w:t>
            </w:r>
          </w:p>
        </w:tc>
      </w:tr>
      <w:tr>
        <w:trPr>
          <w:trHeight w:val="108"/>
        </w:trPr>
        <w:tc>
          <w:tcPr>
            <w:tcW w:w="2780" w:type="dxa"/>
            <w:vAlign w:val="bottom"/>
          </w:tcPr>
          <w:p>
            <w:pPr>
              <w:ind w:left="20"/>
              <w:spacing w:after="0"/>
              <w:rPr>
                <w:sz w:val="20"/>
                <w:szCs w:val="20"/>
                <w:color w:val="auto"/>
              </w:rPr>
            </w:pPr>
            <w:r>
              <w:rPr>
                <w:rFonts w:ascii="Arial" w:cs="Arial" w:eastAsia="Arial" w:hAnsi="Arial"/>
                <w:sz w:val="9"/>
                <w:szCs w:val="9"/>
                <w:i w:val="1"/>
                <w:iCs w:val="1"/>
                <w:color w:val="auto"/>
              </w:rPr>
              <w:t>Wonderware Holdings, LLC (dba CORE Business Technologies)</w:t>
            </w:r>
          </w:p>
        </w:tc>
        <w:tc>
          <w:tcPr>
            <w:tcW w:w="3020" w:type="dxa"/>
            <w:vAlign w:val="bottom"/>
          </w:tcPr>
          <w:p>
            <w:pPr>
              <w:ind w:left="300"/>
              <w:spacing w:after="0"/>
              <w:rPr>
                <w:sz w:val="20"/>
                <w:szCs w:val="20"/>
                <w:color w:val="auto"/>
              </w:rPr>
            </w:pPr>
            <w:r>
              <w:rPr>
                <w:rFonts w:ascii="Arial" w:cs="Arial" w:eastAsia="Arial" w:hAnsi="Arial"/>
                <w:sz w:val="9"/>
                <w:szCs w:val="9"/>
                <w:color w:val="auto"/>
              </w:rPr>
              <w:t>Information Technology Services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($2,000 unfunded commitment) (k)(z)</w:t>
            </w:r>
          </w:p>
        </w:tc>
        <w:tc>
          <w:tcPr>
            <w:tcW w:w="3020" w:type="dxa"/>
            <w:vAlign w:val="bottom"/>
            <w:shd w:val="clear" w:color="auto" w:fill="CFF0FC"/>
          </w:tcPr>
          <w:p>
            <w:pPr>
              <w:ind w:left="2060"/>
              <w:spacing w:after="0"/>
              <w:rPr>
                <w:sz w:val="20"/>
                <w:szCs w:val="20"/>
                <w:color w:val="auto"/>
              </w:rPr>
            </w:pPr>
            <w:r>
              <w:rPr>
                <w:rFonts w:ascii="Arial" w:cs="Arial" w:eastAsia="Arial" w:hAnsi="Arial"/>
                <w:sz w:val="9"/>
                <w:szCs w:val="9"/>
                <w:color w:val="auto"/>
              </w:rPr>
              <w:t>(L + 7.25%) / (1.00%)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8.25%/0.00%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2/10/2021</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2/9/2026</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6,500</w:t>
            </w: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6,460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6,500</w:t>
            </w:r>
          </w:p>
        </w:tc>
        <w:tc>
          <w:tcPr>
            <w:tcW w:w="860" w:type="dxa"/>
            <w:vAlign w:val="bottom"/>
            <w:shd w:val="clear" w:color="auto" w:fill="CFF0FC"/>
          </w:tcPr>
          <w:p>
            <w:pPr>
              <w:jc w:val="right"/>
              <w:spacing w:after="0"/>
              <w:rPr>
                <w:sz w:val="20"/>
                <w:szCs w:val="20"/>
                <w:color w:val="auto"/>
              </w:rPr>
            </w:pPr>
            <w:r>
              <w:rPr>
                <w:rFonts w:ascii="Arial" w:cs="Arial" w:eastAsia="Arial" w:hAnsi="Arial"/>
                <w:sz w:val="9"/>
                <w:szCs w:val="9"/>
                <w:color w:val="auto"/>
              </w:rPr>
              <w:t>1 %</w:t>
            </w:r>
          </w:p>
        </w:tc>
      </w:tr>
      <w:tr>
        <w:trPr>
          <w:trHeight w:val="108"/>
        </w:trPr>
        <w:tc>
          <w:tcPr>
            <w:tcW w:w="27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20"/>
              <w:spacing w:after="0"/>
              <w:rPr>
                <w:sz w:val="20"/>
                <w:szCs w:val="20"/>
                <w:color w:val="auto"/>
              </w:rPr>
            </w:pPr>
            <w:r>
              <w:rPr>
                <w:rFonts w:ascii="Arial" w:cs="Arial" w:eastAsia="Arial" w:hAnsi="Arial"/>
                <w:sz w:val="9"/>
                <w:szCs w:val="9"/>
                <w:i w:val="1"/>
                <w:iCs w:val="1"/>
                <w:color w:val="auto"/>
              </w:rPr>
              <w:t>Worldwide Express Operations, LLC</w:t>
            </w:r>
          </w:p>
        </w:tc>
        <w:tc>
          <w:tcPr>
            <w:tcW w:w="3020" w:type="dxa"/>
            <w:vAlign w:val="bottom"/>
            <w:shd w:val="clear" w:color="auto" w:fill="CFF0FC"/>
          </w:tcPr>
          <w:p>
            <w:pPr>
              <w:ind w:left="300"/>
              <w:spacing w:after="0"/>
              <w:rPr>
                <w:sz w:val="20"/>
                <w:szCs w:val="20"/>
                <w:color w:val="auto"/>
              </w:rPr>
            </w:pPr>
            <w:r>
              <w:rPr>
                <w:rFonts w:ascii="Arial" w:cs="Arial" w:eastAsia="Arial" w:hAnsi="Arial"/>
                <w:sz w:val="9"/>
                <w:szCs w:val="9"/>
                <w:color w:val="auto"/>
              </w:rPr>
              <w:t>Transportation services</w:t>
            </w: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Second Lien Debt (j)</w:t>
            </w:r>
          </w:p>
        </w:tc>
        <w:tc>
          <w:tcPr>
            <w:tcW w:w="3020" w:type="dxa"/>
            <w:vAlign w:val="bottom"/>
          </w:tcPr>
          <w:p>
            <w:pPr>
              <w:ind w:left="2060"/>
              <w:spacing w:after="0"/>
              <w:rPr>
                <w:sz w:val="20"/>
                <w:szCs w:val="20"/>
                <w:color w:val="auto"/>
              </w:rPr>
            </w:pPr>
            <w:r>
              <w:rPr>
                <w:rFonts w:ascii="Arial" w:cs="Arial" w:eastAsia="Arial" w:hAnsi="Arial"/>
                <w:sz w:val="9"/>
                <w:szCs w:val="9"/>
                <w:color w:val="auto"/>
              </w:rPr>
              <w:t>(L + 7.00%) / (0.75%)</w:t>
            </w:r>
          </w:p>
        </w:tc>
        <w:tc>
          <w:tcPr>
            <w:tcW w:w="820" w:type="dxa"/>
            <w:vAlign w:val="bottom"/>
          </w:tcPr>
          <w:p>
            <w:pPr>
              <w:ind w:left="120"/>
              <w:spacing w:after="0"/>
              <w:rPr>
                <w:sz w:val="20"/>
                <w:szCs w:val="20"/>
                <w:color w:val="auto"/>
              </w:rPr>
            </w:pPr>
            <w:r>
              <w:rPr>
                <w:rFonts w:ascii="Arial" w:cs="Arial" w:eastAsia="Arial" w:hAnsi="Arial"/>
                <w:sz w:val="9"/>
                <w:szCs w:val="9"/>
                <w:color w:val="auto"/>
              </w:rPr>
              <w:t>7.75%/0.00%</w:t>
            </w:r>
          </w:p>
        </w:tc>
        <w:tc>
          <w:tcPr>
            <w:tcW w:w="700" w:type="dxa"/>
            <w:vAlign w:val="bottom"/>
          </w:tcPr>
          <w:p>
            <w:pPr>
              <w:ind w:left="180"/>
              <w:spacing w:after="0"/>
              <w:rPr>
                <w:sz w:val="20"/>
                <w:szCs w:val="20"/>
                <w:color w:val="auto"/>
              </w:rPr>
            </w:pPr>
            <w:r>
              <w:rPr>
                <w:rFonts w:ascii="Arial" w:cs="Arial" w:eastAsia="Arial" w:hAnsi="Arial"/>
                <w:sz w:val="9"/>
                <w:szCs w:val="9"/>
                <w:color w:val="auto"/>
              </w:rPr>
              <w:t>8/2/2021</w:t>
            </w:r>
          </w:p>
        </w:tc>
        <w:tc>
          <w:tcPr>
            <w:tcW w:w="820" w:type="dxa"/>
            <w:vAlign w:val="bottom"/>
          </w:tcPr>
          <w:p>
            <w:pPr>
              <w:ind w:left="120"/>
              <w:spacing w:after="0"/>
              <w:rPr>
                <w:sz w:val="20"/>
                <w:szCs w:val="20"/>
                <w:color w:val="auto"/>
              </w:rPr>
            </w:pPr>
            <w:r>
              <w:rPr>
                <w:rFonts w:ascii="Arial" w:cs="Arial" w:eastAsia="Arial" w:hAnsi="Arial"/>
                <w:sz w:val="9"/>
                <w:szCs w:val="9"/>
                <w:color w:val="auto"/>
              </w:rPr>
              <w:t>7/26/2029</w:t>
            </w:r>
          </w:p>
        </w:tc>
        <w:tc>
          <w:tcPr>
            <w:tcW w:w="760" w:type="dxa"/>
            <w:vAlign w:val="bottom"/>
          </w:tcPr>
          <w:p>
            <w:pPr>
              <w:jc w:val="right"/>
              <w:ind w:right="195"/>
              <w:spacing w:after="0"/>
              <w:rPr>
                <w:sz w:val="20"/>
                <w:szCs w:val="20"/>
                <w:color w:val="auto"/>
              </w:rPr>
            </w:pPr>
            <w:r>
              <w:rPr>
                <w:rFonts w:ascii="Arial" w:cs="Arial" w:eastAsia="Arial" w:hAnsi="Arial"/>
                <w:sz w:val="9"/>
                <w:szCs w:val="9"/>
                <w:color w:val="auto"/>
              </w:rPr>
              <w:t>20,000</w:t>
            </w:r>
          </w:p>
        </w:tc>
        <w:tc>
          <w:tcPr>
            <w:tcW w:w="1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19,383</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19,383</w:t>
            </w: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160"/>
              <w:spacing w:after="0"/>
              <w:rPr>
                <w:sz w:val="20"/>
                <w:szCs w:val="20"/>
                <w:color w:val="auto"/>
              </w:rPr>
            </w:pPr>
            <w:r>
              <w:rPr>
                <w:rFonts w:ascii="Arial" w:cs="Arial" w:eastAsia="Arial" w:hAnsi="Arial"/>
                <w:sz w:val="9"/>
                <w:szCs w:val="9"/>
                <w:color w:val="auto"/>
              </w:rPr>
              <w:t>Common Equity (795,000) (j)</w:t>
            </w:r>
          </w:p>
        </w:tc>
        <w:tc>
          <w:tcPr>
            <w:tcW w:w="30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7/21/2021</w:t>
            </w:r>
          </w:p>
        </w:tc>
        <w:tc>
          <w:tcPr>
            <w:tcW w:w="8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795</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795</w:t>
            </w:r>
          </w:p>
        </w:tc>
        <w:tc>
          <w:tcPr>
            <w:tcW w:w="860" w:type="dxa"/>
            <w:vAlign w:val="bottom"/>
            <w:shd w:val="clear" w:color="auto" w:fill="CFF0FC"/>
          </w:tcPr>
          <w:p>
            <w:pPr>
              <w:spacing w:after="0"/>
              <w:rPr>
                <w:sz w:val="9"/>
                <w:szCs w:val="9"/>
                <w:color w:val="auto"/>
              </w:rPr>
            </w:pPr>
          </w:p>
        </w:tc>
      </w:tr>
      <w:tr>
        <w:trPr>
          <w:trHeight w:val="108"/>
        </w:trPr>
        <w:tc>
          <w:tcPr>
            <w:tcW w:w="2780" w:type="dxa"/>
            <w:vAlign w:val="bottom"/>
          </w:tcPr>
          <w:p>
            <w:pPr>
              <w:ind w:left="160"/>
              <w:spacing w:after="0"/>
              <w:rPr>
                <w:sz w:val="20"/>
                <w:szCs w:val="20"/>
                <w:color w:val="auto"/>
              </w:rPr>
            </w:pPr>
            <w:r>
              <w:rPr>
                <w:rFonts w:ascii="Arial" w:cs="Arial" w:eastAsia="Arial" w:hAnsi="Arial"/>
                <w:sz w:val="9"/>
                <w:szCs w:val="9"/>
                <w:color w:val="auto"/>
              </w:rPr>
              <w:t>Common Equity (752,380 units) (h)(j)</w:t>
            </w: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ind w:left="180"/>
              <w:spacing w:after="0"/>
              <w:rPr>
                <w:sz w:val="20"/>
                <w:szCs w:val="20"/>
                <w:color w:val="auto"/>
              </w:rPr>
            </w:pPr>
            <w:r>
              <w:rPr>
                <w:rFonts w:ascii="Arial" w:cs="Arial" w:eastAsia="Arial" w:hAnsi="Arial"/>
                <w:sz w:val="9"/>
                <w:szCs w:val="9"/>
                <w:color w:val="auto"/>
              </w:rPr>
              <w:t>7/26/2021</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225</w:t>
            </w: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225</w:t>
            </w:r>
          </w:p>
        </w:tc>
        <w:tc>
          <w:tcPr>
            <w:tcW w:w="860" w:type="dxa"/>
            <w:vAlign w:val="bottom"/>
          </w:tcPr>
          <w:p>
            <w:pPr>
              <w:spacing w:after="0"/>
              <w:rPr>
                <w:sz w:val="9"/>
                <w:szCs w:val="9"/>
                <w:color w:val="auto"/>
              </w:rPr>
            </w:pPr>
          </w:p>
        </w:tc>
      </w:tr>
      <w:tr>
        <w:trPr>
          <w:trHeight w:val="102"/>
        </w:trPr>
        <w:tc>
          <w:tcPr>
            <w:tcW w:w="2780" w:type="dxa"/>
            <w:vAlign w:val="bottom"/>
            <w:shd w:val="clear" w:color="auto" w:fill="CFF0FC"/>
          </w:tcPr>
          <w:p>
            <w:pPr>
              <w:spacing w:after="0"/>
              <w:rPr>
                <w:sz w:val="8"/>
                <w:szCs w:val="8"/>
                <w:color w:val="auto"/>
              </w:rPr>
            </w:pPr>
          </w:p>
        </w:tc>
        <w:tc>
          <w:tcPr>
            <w:tcW w:w="30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20,403</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20,403</w:t>
            </w:r>
          </w:p>
        </w:tc>
        <w:tc>
          <w:tcPr>
            <w:tcW w:w="860" w:type="dxa"/>
            <w:vAlign w:val="bottom"/>
            <w:shd w:val="clear" w:color="auto" w:fill="CFF0FC"/>
          </w:tcPr>
          <w:p>
            <w:pPr>
              <w:jc w:val="right"/>
              <w:spacing w:after="0" w:line="102" w:lineRule="exact"/>
              <w:rPr>
                <w:sz w:val="20"/>
                <w:szCs w:val="20"/>
                <w:color w:val="auto"/>
              </w:rPr>
            </w:pPr>
            <w:r>
              <w:rPr>
                <w:rFonts w:ascii="Arial" w:cs="Arial" w:eastAsia="Arial" w:hAnsi="Arial"/>
                <w:sz w:val="9"/>
                <w:szCs w:val="9"/>
                <w:color w:val="auto"/>
              </w:rPr>
              <w:t>4 %</w:t>
            </w:r>
          </w:p>
        </w:tc>
      </w:tr>
      <w:tr>
        <w:trPr>
          <w:trHeight w:val="108"/>
        </w:trPr>
        <w:tc>
          <w:tcPr>
            <w:tcW w:w="2780" w:type="dxa"/>
            <w:vAlign w:val="bottom"/>
          </w:tcPr>
          <w:p>
            <w:pPr>
              <w:ind w:left="20"/>
              <w:spacing w:after="0"/>
              <w:rPr>
                <w:sz w:val="20"/>
                <w:szCs w:val="20"/>
                <w:color w:val="auto"/>
              </w:rPr>
            </w:pPr>
            <w:r>
              <w:rPr>
                <w:rFonts w:ascii="Arial" w:cs="Arial" w:eastAsia="Arial" w:hAnsi="Arial"/>
                <w:sz w:val="9"/>
                <w:szCs w:val="9"/>
                <w:i w:val="1"/>
                <w:iCs w:val="1"/>
                <w:color w:val="auto"/>
              </w:rPr>
              <w:t>Xeeva, Inc.</w:t>
            </w:r>
          </w:p>
        </w:tc>
        <w:tc>
          <w:tcPr>
            <w:tcW w:w="3020" w:type="dxa"/>
            <w:vAlign w:val="bottom"/>
          </w:tcPr>
          <w:p>
            <w:pPr>
              <w:ind w:left="300"/>
              <w:spacing w:after="0"/>
              <w:rPr>
                <w:sz w:val="20"/>
                <w:szCs w:val="20"/>
                <w:color w:val="auto"/>
              </w:rPr>
            </w:pPr>
            <w:r>
              <w:rPr>
                <w:rFonts w:ascii="Arial" w:cs="Arial" w:eastAsia="Arial" w:hAnsi="Arial"/>
                <w:sz w:val="9"/>
                <w:szCs w:val="9"/>
                <w:color w:val="auto"/>
              </w:rPr>
              <w:t>Information Technology Services</w:t>
            </w: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8"/>
        </w:trPr>
        <w:tc>
          <w:tcPr>
            <w:tcW w:w="2780" w:type="dxa"/>
            <w:vAlign w:val="bottom"/>
            <w:shd w:val="clear" w:color="auto" w:fill="CFF0FC"/>
          </w:tcPr>
          <w:p>
            <w:pPr>
              <w:ind w:left="160"/>
              <w:spacing w:after="0"/>
              <w:rPr>
                <w:sz w:val="20"/>
                <w:szCs w:val="20"/>
                <w:color w:val="auto"/>
              </w:rPr>
            </w:pPr>
            <w:r>
              <w:rPr>
                <w:rFonts w:ascii="Arial" w:cs="Arial" w:eastAsia="Arial" w:hAnsi="Arial"/>
                <w:sz w:val="9"/>
                <w:szCs w:val="9"/>
                <w:color w:val="auto"/>
              </w:rPr>
              <w:t>First Lien Debt (j)</w:t>
            </w:r>
          </w:p>
        </w:tc>
        <w:tc>
          <w:tcPr>
            <w:tcW w:w="3020" w:type="dxa"/>
            <w:vAlign w:val="bottom"/>
            <w:shd w:val="clear" w:color="auto" w:fill="CFF0FC"/>
          </w:tcPr>
          <w:p>
            <w:pPr>
              <w:ind w:left="2060"/>
              <w:spacing w:after="0"/>
              <w:rPr>
                <w:sz w:val="20"/>
                <w:szCs w:val="20"/>
                <w:color w:val="auto"/>
              </w:rPr>
            </w:pPr>
            <w:r>
              <w:rPr>
                <w:rFonts w:ascii="Arial" w:cs="Arial" w:eastAsia="Arial" w:hAnsi="Arial"/>
                <w:sz w:val="9"/>
                <w:szCs w:val="9"/>
                <w:color w:val="auto"/>
              </w:rPr>
              <w:t>(L + 10.50%) / (1.50%)</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12.00%/0.00%</w:t>
            </w:r>
          </w:p>
        </w:tc>
        <w:tc>
          <w:tcPr>
            <w:tcW w:w="700" w:type="dxa"/>
            <w:vAlign w:val="bottom"/>
            <w:shd w:val="clear" w:color="auto" w:fill="CFF0FC"/>
          </w:tcPr>
          <w:p>
            <w:pPr>
              <w:ind w:left="180"/>
              <w:spacing w:after="0"/>
              <w:rPr>
                <w:sz w:val="20"/>
                <w:szCs w:val="20"/>
                <w:color w:val="auto"/>
              </w:rPr>
            </w:pPr>
            <w:r>
              <w:rPr>
                <w:rFonts w:ascii="Arial" w:cs="Arial" w:eastAsia="Arial" w:hAnsi="Arial"/>
                <w:sz w:val="9"/>
                <w:szCs w:val="9"/>
                <w:color w:val="auto"/>
              </w:rPr>
              <w:t>2/11/2021</w:t>
            </w:r>
          </w:p>
        </w:tc>
        <w:tc>
          <w:tcPr>
            <w:tcW w:w="820" w:type="dxa"/>
            <w:vAlign w:val="bottom"/>
            <w:shd w:val="clear" w:color="auto" w:fill="CFF0FC"/>
          </w:tcPr>
          <w:p>
            <w:pPr>
              <w:ind w:left="120"/>
              <w:spacing w:after="0"/>
              <w:rPr>
                <w:sz w:val="20"/>
                <w:szCs w:val="20"/>
                <w:color w:val="auto"/>
              </w:rPr>
            </w:pPr>
            <w:r>
              <w:rPr>
                <w:rFonts w:ascii="Arial" w:cs="Arial" w:eastAsia="Arial" w:hAnsi="Arial"/>
                <w:sz w:val="9"/>
                <w:szCs w:val="9"/>
                <w:color w:val="auto"/>
              </w:rPr>
              <w:t>2/11/2026</w:t>
            </w:r>
          </w:p>
        </w:tc>
        <w:tc>
          <w:tcPr>
            <w:tcW w:w="760" w:type="dxa"/>
            <w:vAlign w:val="bottom"/>
            <w:shd w:val="clear" w:color="auto" w:fill="CFF0FC"/>
          </w:tcPr>
          <w:p>
            <w:pPr>
              <w:jc w:val="right"/>
              <w:ind w:right="195"/>
              <w:spacing w:after="0"/>
              <w:rPr>
                <w:sz w:val="20"/>
                <w:szCs w:val="20"/>
                <w:color w:val="auto"/>
              </w:rPr>
            </w:pPr>
            <w:r>
              <w:rPr>
                <w:rFonts w:ascii="Arial" w:cs="Arial" w:eastAsia="Arial" w:hAnsi="Arial"/>
                <w:sz w:val="9"/>
                <w:szCs w:val="9"/>
                <w:color w:val="auto"/>
              </w:rPr>
              <w:t>8,900</w:t>
            </w: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8,857</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9"/>
                <w:szCs w:val="9"/>
                <w:color w:val="auto"/>
              </w:rPr>
              <w:t>8,900</w:t>
            </w:r>
          </w:p>
        </w:tc>
        <w:tc>
          <w:tcPr>
            <w:tcW w:w="860" w:type="dxa"/>
            <w:vAlign w:val="bottom"/>
            <w:shd w:val="clear" w:color="auto" w:fill="CFF0FC"/>
          </w:tcPr>
          <w:p>
            <w:pPr>
              <w:jc w:val="right"/>
              <w:spacing w:after="0"/>
              <w:rPr>
                <w:sz w:val="20"/>
                <w:szCs w:val="20"/>
                <w:color w:val="auto"/>
              </w:rPr>
            </w:pPr>
            <w:r>
              <w:rPr>
                <w:rFonts w:ascii="Arial" w:cs="Arial" w:eastAsia="Arial" w:hAnsi="Arial"/>
                <w:sz w:val="9"/>
                <w:szCs w:val="9"/>
                <w:color w:val="auto"/>
              </w:rPr>
              <w:t>2 %</w:t>
            </w:r>
          </w:p>
        </w:tc>
      </w:tr>
      <w:tr>
        <w:trPr>
          <w:trHeight w:val="108"/>
        </w:trPr>
        <w:tc>
          <w:tcPr>
            <w:tcW w:w="27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42"/>
        </w:trPr>
        <w:tc>
          <w:tcPr>
            <w:tcW w:w="2780" w:type="dxa"/>
            <w:vAlign w:val="bottom"/>
            <w:tcBorders>
              <w:bottom w:val="single" w:sz="8" w:color="CFF0FC"/>
            </w:tcBorders>
            <w:shd w:val="clear" w:color="auto" w:fill="CFF0FC"/>
          </w:tcPr>
          <w:p>
            <w:pPr>
              <w:ind w:left="20"/>
              <w:spacing w:after="0" w:line="102" w:lineRule="exact"/>
              <w:rPr>
                <w:sz w:val="20"/>
                <w:szCs w:val="20"/>
                <w:color w:val="auto"/>
              </w:rPr>
            </w:pPr>
            <w:r>
              <w:rPr>
                <w:rFonts w:ascii="Arial" w:cs="Arial" w:eastAsia="Arial" w:hAnsi="Arial"/>
                <w:sz w:val="9"/>
                <w:szCs w:val="9"/>
                <w:b w:val="1"/>
                <w:bCs w:val="1"/>
                <w:color w:val="auto"/>
              </w:rPr>
              <w:t>Total Non-control/Non-affiliate Investments</w:t>
            </w:r>
          </w:p>
        </w:tc>
        <w:tc>
          <w:tcPr>
            <w:tcW w:w="30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118"/>
              <w:spacing w:after="0"/>
              <w:rPr>
                <w:sz w:val="20"/>
                <w:szCs w:val="20"/>
                <w:color w:val="auto"/>
              </w:rPr>
            </w:pPr>
            <w:r>
              <w:rPr>
                <w:rFonts w:ascii="Arial" w:cs="Arial" w:eastAsia="Arial" w:hAnsi="Arial"/>
                <w:sz w:val="4"/>
                <w:szCs w:val="4"/>
                <w:color w:val="auto"/>
                <w:w w:val="87"/>
              </w:rPr>
              <w:t>$</w:t>
            </w:r>
          </w:p>
        </w:tc>
        <w:tc>
          <w:tcPr>
            <w:tcW w:w="44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559,434</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579,689</w:t>
            </w:r>
          </w:p>
        </w:tc>
        <w:tc>
          <w:tcPr>
            <w:tcW w:w="860" w:type="dxa"/>
            <w:vAlign w:val="bottom"/>
            <w:tcBorders>
              <w:bottom w:val="single" w:sz="8" w:color="CFF0FC"/>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119 %</w:t>
            </w:r>
          </w:p>
        </w:tc>
      </w:tr>
      <w:tr>
        <w:trPr>
          <w:trHeight w:val="88"/>
        </w:trPr>
        <w:tc>
          <w:tcPr>
            <w:tcW w:w="27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gridSpan w:val="2"/>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gridSpan w:val="2"/>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tcPr>
          <w:p>
            <w:pPr>
              <w:spacing w:after="0"/>
              <w:rPr>
                <w:sz w:val="7"/>
                <w:szCs w:val="7"/>
                <w:color w:val="auto"/>
              </w:rPr>
            </w:pPr>
          </w:p>
        </w:tc>
      </w:tr>
      <w:tr>
        <w:trPr>
          <w:trHeight w:val="142"/>
        </w:trPr>
        <w:tc>
          <w:tcPr>
            <w:tcW w:w="2780" w:type="dxa"/>
            <w:vAlign w:val="bottom"/>
            <w:tcBorders>
              <w:bottom w:val="single" w:sz="8" w:color="CFF0FC"/>
            </w:tcBorders>
            <w:shd w:val="clear" w:color="auto" w:fill="CFF0FC"/>
          </w:tcPr>
          <w:p>
            <w:pPr>
              <w:ind w:left="20"/>
              <w:spacing w:after="0" w:line="102" w:lineRule="exact"/>
              <w:rPr>
                <w:sz w:val="20"/>
                <w:szCs w:val="20"/>
                <w:color w:val="auto"/>
              </w:rPr>
            </w:pPr>
            <w:r>
              <w:rPr>
                <w:rFonts w:ascii="Arial" w:cs="Arial" w:eastAsia="Arial" w:hAnsi="Arial"/>
                <w:sz w:val="9"/>
                <w:szCs w:val="9"/>
                <w:b w:val="1"/>
                <w:bCs w:val="1"/>
                <w:color w:val="auto"/>
              </w:rPr>
              <w:t>Total Investments</w:t>
            </w:r>
          </w:p>
        </w:tc>
        <w:tc>
          <w:tcPr>
            <w:tcW w:w="30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118"/>
              <w:spacing w:after="0"/>
              <w:rPr>
                <w:sz w:val="20"/>
                <w:szCs w:val="20"/>
                <w:color w:val="auto"/>
              </w:rPr>
            </w:pPr>
            <w:r>
              <w:rPr>
                <w:rFonts w:ascii="Arial" w:cs="Arial" w:eastAsia="Arial" w:hAnsi="Arial"/>
                <w:sz w:val="4"/>
                <w:szCs w:val="4"/>
                <w:color w:val="auto"/>
                <w:w w:val="87"/>
              </w:rPr>
              <w:t>$</w:t>
            </w:r>
          </w:p>
        </w:tc>
        <w:tc>
          <w:tcPr>
            <w:tcW w:w="44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621,786</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719,124</w:t>
            </w:r>
          </w:p>
        </w:tc>
        <w:tc>
          <w:tcPr>
            <w:tcW w:w="860" w:type="dxa"/>
            <w:vAlign w:val="bottom"/>
            <w:tcBorders>
              <w:bottom w:val="single" w:sz="8" w:color="CFF0FC"/>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147 %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-5225415</wp:posOffset>
            </wp:positionV>
            <wp:extent cx="685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-5225415</wp:posOffset>
            </wp:positionV>
            <wp:extent cx="685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-4942840</wp:posOffset>
            </wp:positionV>
            <wp:extent cx="685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-4942840</wp:posOffset>
            </wp:positionV>
            <wp:extent cx="685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-4659630</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-4659630</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-3965575</wp:posOffset>
            </wp:positionV>
            <wp:extent cx="68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-3965575</wp:posOffset>
            </wp:positionV>
            <wp:extent cx="685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-3682365</wp:posOffset>
            </wp:positionV>
            <wp:extent cx="685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-3682365</wp:posOffset>
            </wp:positionV>
            <wp:extent cx="685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-2988310</wp:posOffset>
            </wp:positionV>
            <wp:extent cx="685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-2988310</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-2011045</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-2011045</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-196215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-179070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-196215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-179070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 w:name="page14"/>
    <w:bookmarkEnd w:id="13"/>
    <w:p>
      <w:pPr>
        <w:ind w:left="120" w:hanging="119"/>
        <w:spacing w:after="0"/>
        <w:tabs>
          <w:tab w:leader="none" w:pos="120" w:val="left"/>
        </w:tabs>
        <w:numPr>
          <w:ilvl w:val="0"/>
          <w:numId w:val="5"/>
        </w:numPr>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See Note 3 to the consolidated financial statements for portfolio composition by geographic location.</w:t>
      </w:r>
    </w:p>
    <w:p>
      <w:pPr>
        <w:spacing w:after="0" w:line="10" w:lineRule="exact"/>
        <w:rPr>
          <w:rFonts w:ascii="Arial" w:cs="Arial" w:eastAsia="Arial" w:hAnsi="Arial"/>
          <w:sz w:val="9"/>
          <w:szCs w:val="9"/>
          <w:color w:val="auto"/>
        </w:rPr>
      </w:pPr>
    </w:p>
    <w:p>
      <w:pPr>
        <w:ind w:left="120" w:hanging="119"/>
        <w:spacing w:after="0"/>
        <w:tabs>
          <w:tab w:leader="none" w:pos="120" w:val="left"/>
        </w:tabs>
        <w:numPr>
          <w:ilvl w:val="0"/>
          <w:numId w:val="5"/>
        </w:numPr>
        <w:rPr>
          <w:rFonts w:ascii="Arial" w:cs="Arial" w:eastAsia="Arial" w:hAnsi="Arial"/>
          <w:sz w:val="9"/>
          <w:szCs w:val="9"/>
          <w:color w:val="auto"/>
        </w:rPr>
      </w:pPr>
      <w:r>
        <w:rPr>
          <w:rFonts w:ascii="Arial" w:cs="Arial" w:eastAsia="Arial" w:hAnsi="Arial"/>
          <w:sz w:val="9"/>
          <w:szCs w:val="9"/>
          <w:color w:val="auto"/>
        </w:rPr>
        <w:t>Equity ownership may be held in shares or units of companies related to the portfolio companies.</w:t>
      </w:r>
    </w:p>
    <w:p>
      <w:pPr>
        <w:spacing w:after="0" w:line="4" w:lineRule="exact"/>
        <w:rPr>
          <w:rFonts w:ascii="Arial" w:cs="Arial" w:eastAsia="Arial" w:hAnsi="Arial"/>
          <w:sz w:val="9"/>
          <w:szCs w:val="9"/>
          <w:color w:val="auto"/>
        </w:rPr>
      </w:pPr>
    </w:p>
    <w:p>
      <w:pPr>
        <w:ind w:left="120" w:hanging="119"/>
        <w:spacing w:after="0"/>
        <w:tabs>
          <w:tab w:leader="none" w:pos="120" w:val="left"/>
        </w:tabs>
        <w:numPr>
          <w:ilvl w:val="0"/>
          <w:numId w:val="5"/>
        </w:numPr>
        <w:rPr>
          <w:rFonts w:ascii="Arial" w:cs="Arial" w:eastAsia="Arial" w:hAnsi="Arial"/>
          <w:sz w:val="9"/>
          <w:szCs w:val="9"/>
          <w:color w:val="auto"/>
        </w:rPr>
      </w:pPr>
      <w:r>
        <w:rPr>
          <w:rFonts w:ascii="Arial" w:cs="Arial" w:eastAsia="Arial" w:hAnsi="Arial"/>
          <w:sz w:val="9"/>
          <w:szCs w:val="9"/>
          <w:color w:val="auto"/>
        </w:rPr>
        <w:t>All debt investments are income producing, unless otherwise indicated. Equity investments are non-income producing unless otherwise noted.</w:t>
      </w:r>
    </w:p>
    <w:p>
      <w:pPr>
        <w:spacing w:after="0" w:line="4" w:lineRule="exact"/>
        <w:rPr>
          <w:rFonts w:ascii="Arial" w:cs="Arial" w:eastAsia="Arial" w:hAnsi="Arial"/>
          <w:sz w:val="9"/>
          <w:szCs w:val="9"/>
          <w:color w:val="auto"/>
        </w:rPr>
      </w:pPr>
    </w:p>
    <w:p>
      <w:pPr>
        <w:ind w:right="280" w:firstLine="1"/>
        <w:spacing w:after="0" w:line="219" w:lineRule="auto"/>
        <w:tabs>
          <w:tab w:leader="none" w:pos="127" w:val="left"/>
        </w:tabs>
        <w:numPr>
          <w:ilvl w:val="0"/>
          <w:numId w:val="5"/>
        </w:numPr>
        <w:rPr>
          <w:rFonts w:ascii="Arial" w:cs="Arial" w:eastAsia="Arial" w:hAnsi="Arial"/>
          <w:sz w:val="9"/>
          <w:szCs w:val="9"/>
          <w:color w:val="auto"/>
        </w:rPr>
      </w:pPr>
      <w:r>
        <w:rPr>
          <w:rFonts w:ascii="Arial" w:cs="Arial" w:eastAsia="Arial" w:hAnsi="Arial"/>
          <w:sz w:val="9"/>
          <w:szCs w:val="9"/>
          <w:color w:val="auto"/>
        </w:rPr>
        <w:t>Variable rate investments bear interest at a rate indexed to LIBOR (L) or Prime (P), which are reset monthly, bimonthly, quarterly, or semi-annually. Certain variable rate investments also include a LIBOR or Prime interest rate floor. For each investment, the Company has provided the spread over the reference rate and the LIBOR or Prime floor, if any, as of December 31, 2021.</w:t>
      </w:r>
    </w:p>
    <w:p>
      <w:pPr>
        <w:ind w:left="120" w:hanging="119"/>
        <w:spacing w:after="0"/>
        <w:tabs>
          <w:tab w:leader="none" w:pos="120" w:val="left"/>
        </w:tabs>
        <w:numPr>
          <w:ilvl w:val="0"/>
          <w:numId w:val="5"/>
        </w:numPr>
        <w:rPr>
          <w:rFonts w:ascii="Arial" w:cs="Arial" w:eastAsia="Arial" w:hAnsi="Arial"/>
          <w:sz w:val="9"/>
          <w:szCs w:val="9"/>
          <w:color w:val="auto"/>
        </w:rPr>
      </w:pPr>
      <w:r>
        <w:rPr>
          <w:rFonts w:ascii="Arial" w:cs="Arial" w:eastAsia="Arial" w:hAnsi="Arial"/>
          <w:sz w:val="9"/>
          <w:szCs w:val="9"/>
          <w:color w:val="auto"/>
        </w:rPr>
        <w:t>Rate includes the cash interest or dividend rate and paid-in-kind interest or dividend rate, if any, as of December 31, 2021. Generally, payment-in-kind interest can be paid-in-kind or all in cash.</w:t>
      </w:r>
    </w:p>
    <w:p>
      <w:pPr>
        <w:spacing w:after="0" w:line="4" w:lineRule="exact"/>
        <w:rPr>
          <w:rFonts w:ascii="Arial" w:cs="Arial" w:eastAsia="Arial" w:hAnsi="Arial"/>
          <w:sz w:val="9"/>
          <w:szCs w:val="9"/>
          <w:color w:val="auto"/>
        </w:rPr>
      </w:pPr>
    </w:p>
    <w:p>
      <w:pPr>
        <w:ind w:left="120" w:hanging="119"/>
        <w:spacing w:after="0"/>
        <w:tabs>
          <w:tab w:leader="none" w:pos="120" w:val="left"/>
        </w:tabs>
        <w:numPr>
          <w:ilvl w:val="0"/>
          <w:numId w:val="5"/>
        </w:numPr>
        <w:rPr>
          <w:rFonts w:ascii="Arial" w:cs="Arial" w:eastAsia="Arial" w:hAnsi="Arial"/>
          <w:sz w:val="9"/>
          <w:szCs w:val="9"/>
          <w:color w:val="auto"/>
        </w:rPr>
      </w:pPr>
      <w:r>
        <w:rPr>
          <w:rFonts w:ascii="Arial" w:cs="Arial" w:eastAsia="Arial" w:hAnsi="Arial"/>
          <w:sz w:val="9"/>
          <w:szCs w:val="9"/>
          <w:color w:val="auto"/>
        </w:rPr>
        <w:t>Investment date represents the date of the initial investment in the security.</w:t>
      </w:r>
    </w:p>
    <w:p>
      <w:pPr>
        <w:spacing w:after="0" w:line="4" w:lineRule="exact"/>
        <w:rPr>
          <w:rFonts w:ascii="Arial" w:cs="Arial" w:eastAsia="Arial" w:hAnsi="Arial"/>
          <w:sz w:val="9"/>
          <w:szCs w:val="9"/>
          <w:color w:val="auto"/>
        </w:rPr>
      </w:pPr>
    </w:p>
    <w:p>
      <w:pPr>
        <w:ind w:right="140" w:firstLine="1"/>
        <w:spacing w:after="0" w:line="219" w:lineRule="auto"/>
        <w:tabs>
          <w:tab w:leader="none" w:pos="127" w:val="left"/>
        </w:tabs>
        <w:numPr>
          <w:ilvl w:val="0"/>
          <w:numId w:val="5"/>
        </w:numPr>
        <w:rPr>
          <w:rFonts w:ascii="Arial" w:cs="Arial" w:eastAsia="Arial" w:hAnsi="Arial"/>
          <w:sz w:val="9"/>
          <w:szCs w:val="9"/>
          <w:color w:val="auto"/>
        </w:rPr>
      </w:pPr>
      <w:r>
        <w:rPr>
          <w:rFonts w:ascii="Arial" w:cs="Arial" w:eastAsia="Arial" w:hAnsi="Arial"/>
          <w:sz w:val="9"/>
          <w:szCs w:val="9"/>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120" w:hanging="119"/>
        <w:spacing w:after="0"/>
        <w:tabs>
          <w:tab w:leader="none" w:pos="120" w:val="left"/>
        </w:tabs>
        <w:numPr>
          <w:ilvl w:val="0"/>
          <w:numId w:val="5"/>
        </w:numPr>
        <w:rPr>
          <w:rFonts w:ascii="Arial" w:cs="Arial" w:eastAsia="Arial" w:hAnsi="Arial"/>
          <w:sz w:val="9"/>
          <w:szCs w:val="9"/>
          <w:color w:val="auto"/>
        </w:rPr>
      </w:pPr>
      <w:r>
        <w:rPr>
          <w:rFonts w:ascii="Arial" w:cs="Arial" w:eastAsia="Arial" w:hAnsi="Arial"/>
          <w:sz w:val="9"/>
          <w:szCs w:val="9"/>
          <w:color w:val="auto"/>
        </w:rPr>
        <w:t>Investment is held by a taxable subsidiary of the Company.</w:t>
      </w:r>
    </w:p>
    <w:p>
      <w:pPr>
        <w:spacing w:after="0" w:line="4" w:lineRule="exact"/>
        <w:rPr>
          <w:rFonts w:ascii="Arial" w:cs="Arial" w:eastAsia="Arial" w:hAnsi="Arial"/>
          <w:sz w:val="9"/>
          <w:szCs w:val="9"/>
          <w:color w:val="auto"/>
        </w:rPr>
      </w:pPr>
    </w:p>
    <w:p>
      <w:pPr>
        <w:ind w:left="100" w:hanging="99"/>
        <w:spacing w:after="0"/>
        <w:tabs>
          <w:tab w:leader="none" w:pos="100" w:val="left"/>
        </w:tabs>
        <w:numPr>
          <w:ilvl w:val="0"/>
          <w:numId w:val="5"/>
        </w:numPr>
        <w:rPr>
          <w:rFonts w:ascii="Arial" w:cs="Arial" w:eastAsia="Arial" w:hAnsi="Arial"/>
          <w:sz w:val="9"/>
          <w:szCs w:val="9"/>
          <w:color w:val="auto"/>
        </w:rPr>
      </w:pPr>
      <w:r>
        <w:rPr>
          <w:rFonts w:ascii="Arial" w:cs="Arial" w:eastAsia="Arial" w:hAnsi="Arial"/>
          <w:sz w:val="9"/>
          <w:szCs w:val="9"/>
          <w:color w:val="auto"/>
        </w:rPr>
        <w:t>The disclosed commitment represents the unfunded amount as of December 31, 2021. The Company is earning 0.50% interest on the unfunded balance of the commitment. The interest rate disclosed represents the rate which will be earned if the commitment is funded.</w:t>
      </w:r>
    </w:p>
    <w:p>
      <w:pPr>
        <w:spacing w:after="0" w:line="4" w:lineRule="exact"/>
        <w:rPr>
          <w:rFonts w:ascii="Arial" w:cs="Arial" w:eastAsia="Arial" w:hAnsi="Arial"/>
          <w:sz w:val="9"/>
          <w:szCs w:val="9"/>
          <w:color w:val="auto"/>
        </w:rPr>
      </w:pPr>
    </w:p>
    <w:p>
      <w:pPr>
        <w:ind w:left="100" w:hanging="99"/>
        <w:spacing w:after="0"/>
        <w:tabs>
          <w:tab w:leader="none" w:pos="100" w:val="left"/>
        </w:tabs>
        <w:numPr>
          <w:ilvl w:val="0"/>
          <w:numId w:val="5"/>
        </w:numPr>
        <w:rPr>
          <w:rFonts w:ascii="Arial" w:cs="Arial" w:eastAsia="Arial" w:hAnsi="Arial"/>
          <w:sz w:val="8"/>
          <w:szCs w:val="8"/>
          <w:color w:val="auto"/>
        </w:rPr>
      </w:pPr>
      <w:r>
        <w:rPr>
          <w:rFonts w:ascii="Arial" w:cs="Arial" w:eastAsia="Arial" w:hAnsi="Arial"/>
          <w:sz w:val="8"/>
          <w:szCs w:val="8"/>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6" w:lineRule="exact"/>
        <w:rPr>
          <w:rFonts w:ascii="Arial" w:cs="Arial" w:eastAsia="Arial" w:hAnsi="Arial"/>
          <w:sz w:val="8"/>
          <w:szCs w:val="8"/>
          <w:color w:val="auto"/>
        </w:rPr>
      </w:pPr>
    </w:p>
    <w:p>
      <w:pPr>
        <w:ind w:right="20" w:firstLine="1"/>
        <w:spacing w:after="0" w:line="219" w:lineRule="auto"/>
        <w:tabs>
          <w:tab w:leader="none" w:pos="127" w:val="left"/>
        </w:tabs>
        <w:numPr>
          <w:ilvl w:val="0"/>
          <w:numId w:val="5"/>
        </w:numPr>
        <w:rPr>
          <w:rFonts w:ascii="Arial" w:cs="Arial" w:eastAsia="Arial" w:hAnsi="Arial"/>
          <w:sz w:val="9"/>
          <w:szCs w:val="9"/>
          <w:color w:val="auto"/>
        </w:rPr>
      </w:pPr>
      <w:r>
        <w:rPr>
          <w:rFonts w:ascii="Arial" w:cs="Arial" w:eastAsia="Arial" w:hAnsi="Arial"/>
          <w:sz w:val="9"/>
          <w:szCs w:val="9"/>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60" w:firstLine="1"/>
        <w:spacing w:after="0" w:line="219" w:lineRule="auto"/>
        <w:tabs>
          <w:tab w:leader="none" w:pos="107" w:val="left"/>
        </w:tabs>
        <w:numPr>
          <w:ilvl w:val="0"/>
          <w:numId w:val="5"/>
        </w:numPr>
        <w:rPr>
          <w:rFonts w:ascii="Arial" w:cs="Arial" w:eastAsia="Arial" w:hAnsi="Arial"/>
          <w:sz w:val="9"/>
          <w:szCs w:val="9"/>
          <w:color w:val="auto"/>
        </w:rPr>
      </w:pPr>
      <w:r>
        <w:rPr>
          <w:rFonts w:ascii="Arial" w:cs="Arial" w:eastAsia="Arial" w:hAnsi="Arial"/>
          <w:sz w:val="9"/>
          <w:szCs w:val="9"/>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160" w:hanging="159"/>
        <w:spacing w:after="0"/>
        <w:tabs>
          <w:tab w:leader="none" w:pos="160" w:val="left"/>
        </w:tabs>
        <w:numPr>
          <w:ilvl w:val="0"/>
          <w:numId w:val="5"/>
        </w:numPr>
        <w:rPr>
          <w:rFonts w:ascii="Arial" w:cs="Arial" w:eastAsia="Arial" w:hAnsi="Arial"/>
          <w:sz w:val="9"/>
          <w:szCs w:val="9"/>
          <w:color w:val="auto"/>
        </w:rPr>
      </w:pPr>
      <w:r>
        <w:rPr>
          <w:rFonts w:ascii="Arial" w:cs="Arial" w:eastAsia="Arial" w:hAnsi="Arial"/>
          <w:sz w:val="9"/>
          <w:szCs w:val="9"/>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4" w:lineRule="exact"/>
        <w:rPr>
          <w:rFonts w:ascii="Arial" w:cs="Arial" w:eastAsia="Arial" w:hAnsi="Arial"/>
          <w:sz w:val="9"/>
          <w:szCs w:val="9"/>
          <w:color w:val="auto"/>
        </w:rPr>
      </w:pPr>
    </w:p>
    <w:p>
      <w:pPr>
        <w:ind w:left="120" w:hanging="119"/>
        <w:spacing w:after="0"/>
        <w:tabs>
          <w:tab w:leader="none" w:pos="120" w:val="left"/>
        </w:tabs>
        <w:numPr>
          <w:ilvl w:val="0"/>
          <w:numId w:val="5"/>
        </w:numPr>
        <w:rPr>
          <w:rFonts w:ascii="Arial" w:cs="Arial" w:eastAsia="Arial" w:hAnsi="Arial"/>
          <w:sz w:val="9"/>
          <w:szCs w:val="9"/>
          <w:color w:val="auto"/>
        </w:rPr>
      </w:pPr>
      <w:r>
        <w:rPr>
          <w:rFonts w:ascii="Arial" w:cs="Arial" w:eastAsia="Arial" w:hAnsi="Arial"/>
          <w:sz w:val="9"/>
          <w:szCs w:val="9"/>
          <w:color w:val="auto"/>
        </w:rPr>
        <w:t>Investment in portfolio company that has sold its operations and is in the process of winding down.</w:t>
      </w:r>
    </w:p>
    <w:p>
      <w:pPr>
        <w:spacing w:after="0" w:line="4" w:lineRule="exact"/>
        <w:rPr>
          <w:rFonts w:ascii="Arial" w:cs="Arial" w:eastAsia="Arial" w:hAnsi="Arial"/>
          <w:sz w:val="9"/>
          <w:szCs w:val="9"/>
          <w:color w:val="auto"/>
        </w:rPr>
      </w:pPr>
    </w:p>
    <w:p>
      <w:pPr>
        <w:ind w:right="40" w:firstLine="1"/>
        <w:spacing w:after="0" w:line="219" w:lineRule="auto"/>
        <w:tabs>
          <w:tab w:leader="none" w:pos="127" w:val="left"/>
        </w:tabs>
        <w:numPr>
          <w:ilvl w:val="0"/>
          <w:numId w:val="5"/>
        </w:numPr>
        <w:rPr>
          <w:rFonts w:ascii="Arial" w:cs="Arial" w:eastAsia="Arial" w:hAnsi="Arial"/>
          <w:sz w:val="9"/>
          <w:szCs w:val="9"/>
          <w:color w:val="auto"/>
        </w:rPr>
      </w:pPr>
      <w:r>
        <w:rPr>
          <w:rFonts w:ascii="Arial" w:cs="Arial" w:eastAsia="Arial" w:hAnsi="Arial"/>
          <w:sz w:val="9"/>
          <w:szCs w:val="9"/>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80" w:firstLine="1"/>
        <w:spacing w:after="0" w:line="219" w:lineRule="auto"/>
        <w:tabs>
          <w:tab w:leader="none" w:pos="127" w:val="left"/>
        </w:tabs>
        <w:numPr>
          <w:ilvl w:val="0"/>
          <w:numId w:val="5"/>
        </w:numPr>
        <w:rPr>
          <w:rFonts w:ascii="Arial" w:cs="Arial" w:eastAsia="Arial" w:hAnsi="Arial"/>
          <w:sz w:val="9"/>
          <w:szCs w:val="9"/>
          <w:color w:val="auto"/>
        </w:rPr>
      </w:pPr>
      <w:r>
        <w:rPr>
          <w:rFonts w:ascii="Arial" w:cs="Arial" w:eastAsia="Arial" w:hAnsi="Arial"/>
          <w:sz w:val="9"/>
          <w:szCs w:val="9"/>
          <w:color w:val="auto"/>
        </w:rPr>
        <w:t>In addition to the interest earned based on the stated interest rate of this security, the Company is entitled to receive an additional interest amount of 4.07%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20" w:hanging="119"/>
        <w:spacing w:after="0"/>
        <w:tabs>
          <w:tab w:leader="none" w:pos="120" w:val="left"/>
        </w:tabs>
        <w:numPr>
          <w:ilvl w:val="0"/>
          <w:numId w:val="5"/>
        </w:numPr>
        <w:rPr>
          <w:rFonts w:ascii="Arial" w:cs="Arial" w:eastAsia="Arial" w:hAnsi="Arial"/>
          <w:sz w:val="9"/>
          <w:szCs w:val="9"/>
          <w:color w:val="auto"/>
        </w:rPr>
      </w:pPr>
      <w:r>
        <w:rPr>
          <w:rFonts w:ascii="Arial" w:cs="Arial" w:eastAsia="Arial" w:hAnsi="Arial"/>
          <w:sz w:val="9"/>
          <w:szCs w:val="9"/>
          <w:color w:val="auto"/>
        </w:rPr>
        <w:t>Warrant entitles the Company to purchase 4.79% of the outstanding principal of Junior Subordinated Notes prior to exercise, and is non-income producing.</w:t>
      </w:r>
    </w:p>
    <w:p>
      <w:pPr>
        <w:spacing w:after="0" w:line="4" w:lineRule="exact"/>
        <w:rPr>
          <w:rFonts w:ascii="Arial" w:cs="Arial" w:eastAsia="Arial" w:hAnsi="Arial"/>
          <w:sz w:val="9"/>
          <w:szCs w:val="9"/>
          <w:color w:val="auto"/>
        </w:rPr>
      </w:pPr>
    </w:p>
    <w:p>
      <w:pPr>
        <w:ind w:right="100" w:firstLine="1"/>
        <w:spacing w:after="0" w:line="219" w:lineRule="auto"/>
        <w:tabs>
          <w:tab w:leader="none" w:pos="112" w:val="left"/>
        </w:tabs>
        <w:numPr>
          <w:ilvl w:val="0"/>
          <w:numId w:val="5"/>
        </w:numPr>
        <w:rPr>
          <w:rFonts w:ascii="Arial" w:cs="Arial" w:eastAsia="Arial" w:hAnsi="Arial"/>
          <w:sz w:val="9"/>
          <w:szCs w:val="9"/>
          <w:color w:val="auto"/>
        </w:rPr>
      </w:pPr>
      <w:r>
        <w:rPr>
          <w:rFonts w:ascii="Arial" w:cs="Arial" w:eastAsia="Arial" w:hAnsi="Arial"/>
          <w:sz w:val="9"/>
          <w:szCs w:val="9"/>
          <w:color w:val="auto"/>
        </w:rPr>
        <w:t>In addition to the interest earned based on the stated interest rate of this security, the Company is entitled to receive an additional interest amount of 4.84%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firstLine="1"/>
        <w:spacing w:after="0" w:line="219" w:lineRule="auto"/>
        <w:tabs>
          <w:tab w:leader="none" w:pos="117" w:val="left"/>
        </w:tabs>
        <w:numPr>
          <w:ilvl w:val="0"/>
          <w:numId w:val="5"/>
        </w:numPr>
        <w:rPr>
          <w:rFonts w:ascii="Arial" w:cs="Arial" w:eastAsia="Arial" w:hAnsi="Arial"/>
          <w:sz w:val="9"/>
          <w:szCs w:val="9"/>
          <w:color w:val="auto"/>
        </w:rPr>
      </w:pPr>
      <w:r>
        <w:rPr>
          <w:rFonts w:ascii="Arial" w:cs="Arial" w:eastAsia="Arial" w:hAnsi="Arial"/>
          <w:sz w:val="9"/>
          <w:szCs w:val="9"/>
          <w:color w:val="auto"/>
        </w:rPr>
        <w:t>In addition to the interest earned based on the stated interest rate of this security, the Company is entitled to receive an additional interest amount of 2.64%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220" w:firstLine="1"/>
        <w:spacing w:after="0" w:line="219" w:lineRule="auto"/>
        <w:tabs>
          <w:tab w:leader="none" w:pos="107" w:val="left"/>
        </w:tabs>
        <w:numPr>
          <w:ilvl w:val="0"/>
          <w:numId w:val="5"/>
        </w:numPr>
        <w:rPr>
          <w:rFonts w:ascii="Arial" w:cs="Arial" w:eastAsia="Arial" w:hAnsi="Arial"/>
          <w:sz w:val="9"/>
          <w:szCs w:val="9"/>
          <w:color w:val="auto"/>
        </w:rPr>
      </w:pPr>
      <w:r>
        <w:rPr>
          <w:rFonts w:ascii="Arial" w:cs="Arial" w:eastAsia="Arial" w:hAnsi="Arial"/>
          <w:sz w:val="9"/>
          <w:szCs w:val="9"/>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right="20" w:firstLine="1"/>
        <w:spacing w:after="0" w:line="219" w:lineRule="auto"/>
        <w:tabs>
          <w:tab w:leader="none" w:pos="127" w:val="left"/>
        </w:tabs>
        <w:numPr>
          <w:ilvl w:val="0"/>
          <w:numId w:val="5"/>
        </w:numPr>
        <w:rPr>
          <w:rFonts w:ascii="Arial" w:cs="Arial" w:eastAsia="Arial" w:hAnsi="Arial"/>
          <w:sz w:val="9"/>
          <w:szCs w:val="9"/>
          <w:color w:val="auto"/>
        </w:rPr>
      </w:pPr>
      <w:r>
        <w:rPr>
          <w:rFonts w:ascii="Arial" w:cs="Arial" w:eastAsia="Arial" w:hAnsi="Arial"/>
          <w:sz w:val="9"/>
          <w:szCs w:val="9"/>
          <w:color w:val="auto"/>
        </w:rPr>
        <w:t>In addition to the interest earned based on the stated interest rate of this security, the Company is entitled to receive an additional cash interest amount of 2.99% and PIK interest amount of 1.00%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80" w:firstLine="1"/>
        <w:spacing w:after="0" w:line="219" w:lineRule="auto"/>
        <w:tabs>
          <w:tab w:leader="none" w:pos="127" w:val="left"/>
        </w:tabs>
        <w:numPr>
          <w:ilvl w:val="0"/>
          <w:numId w:val="5"/>
        </w:numPr>
        <w:rPr>
          <w:rFonts w:ascii="Arial" w:cs="Arial" w:eastAsia="Arial" w:hAnsi="Arial"/>
          <w:sz w:val="9"/>
          <w:szCs w:val="9"/>
          <w:color w:val="auto"/>
        </w:rPr>
      </w:pPr>
      <w:r>
        <w:rPr>
          <w:rFonts w:ascii="Arial" w:cs="Arial" w:eastAsia="Arial" w:hAnsi="Arial"/>
          <w:sz w:val="9"/>
          <w:szCs w:val="9"/>
          <w:color w:val="auto"/>
        </w:rPr>
        <w:t>In addition to the interest earned based on the stated interest rate of this security, the Company is entitled to receive an additional interest amount of 7.56%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60" w:firstLine="1"/>
        <w:spacing w:after="0" w:line="219" w:lineRule="auto"/>
        <w:tabs>
          <w:tab w:leader="none" w:pos="147" w:val="left"/>
        </w:tabs>
        <w:numPr>
          <w:ilvl w:val="0"/>
          <w:numId w:val="5"/>
        </w:numPr>
        <w:rPr>
          <w:rFonts w:ascii="Arial" w:cs="Arial" w:eastAsia="Arial" w:hAnsi="Arial"/>
          <w:sz w:val="9"/>
          <w:szCs w:val="9"/>
          <w:color w:val="auto"/>
        </w:rPr>
      </w:pPr>
      <w:r>
        <w:rPr>
          <w:rFonts w:ascii="Arial" w:cs="Arial" w:eastAsia="Arial" w:hAnsi="Arial"/>
          <w:sz w:val="9"/>
          <w:szCs w:val="9"/>
          <w:color w:val="auto"/>
        </w:rPr>
        <w:t>In addition to the interest earned based on the stated interest rate of this security, the Company is entitled to receive an additional interest amount of 7.05%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80" w:firstLine="1"/>
        <w:spacing w:after="0" w:line="219" w:lineRule="auto"/>
        <w:tabs>
          <w:tab w:leader="none" w:pos="127" w:val="left"/>
        </w:tabs>
        <w:numPr>
          <w:ilvl w:val="0"/>
          <w:numId w:val="5"/>
        </w:numPr>
        <w:rPr>
          <w:rFonts w:ascii="Arial" w:cs="Arial" w:eastAsia="Arial" w:hAnsi="Arial"/>
          <w:sz w:val="9"/>
          <w:szCs w:val="9"/>
          <w:color w:val="auto"/>
        </w:rPr>
      </w:pPr>
      <w:r>
        <w:rPr>
          <w:rFonts w:ascii="Arial" w:cs="Arial" w:eastAsia="Arial" w:hAnsi="Arial"/>
          <w:sz w:val="9"/>
          <w:szCs w:val="9"/>
          <w:color w:val="auto"/>
        </w:rPr>
        <w:t>In addition to the interest earned based on the stated interest rate of this security, the Company is entitled to receive an additional interest amount of 2.81%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20" w:hanging="119"/>
        <w:spacing w:after="0"/>
        <w:tabs>
          <w:tab w:leader="none" w:pos="120" w:val="left"/>
        </w:tabs>
        <w:numPr>
          <w:ilvl w:val="0"/>
          <w:numId w:val="5"/>
        </w:numPr>
        <w:rPr>
          <w:rFonts w:ascii="Arial" w:cs="Arial" w:eastAsia="Arial" w:hAnsi="Arial"/>
          <w:sz w:val="9"/>
          <w:szCs w:val="9"/>
          <w:color w:val="auto"/>
        </w:rPr>
      </w:pPr>
      <w:r>
        <w:rPr>
          <w:rFonts w:ascii="Arial" w:cs="Arial" w:eastAsia="Arial" w:hAnsi="Arial"/>
          <w:sz w:val="9"/>
          <w:szCs w:val="9"/>
          <w:color w:val="auto"/>
        </w:rPr>
        <w:t>Investment was on PIK only non-accrual status as of December 31, 2021, meaning the Company has ceased recognizing PIK interest income on the investment.</w:t>
      </w:r>
    </w:p>
    <w:p>
      <w:pPr>
        <w:spacing w:after="0" w:line="4" w:lineRule="exact"/>
        <w:rPr>
          <w:rFonts w:ascii="Arial" w:cs="Arial" w:eastAsia="Arial" w:hAnsi="Arial"/>
          <w:sz w:val="9"/>
          <w:szCs w:val="9"/>
          <w:color w:val="auto"/>
        </w:rPr>
      </w:pPr>
    </w:p>
    <w:p>
      <w:pPr>
        <w:ind w:right="80" w:firstLine="1"/>
        <w:spacing w:after="0" w:line="219" w:lineRule="auto"/>
        <w:tabs>
          <w:tab w:leader="none" w:pos="122" w:val="left"/>
        </w:tabs>
        <w:numPr>
          <w:ilvl w:val="0"/>
          <w:numId w:val="5"/>
        </w:numPr>
        <w:rPr>
          <w:rFonts w:ascii="Arial" w:cs="Arial" w:eastAsia="Arial" w:hAnsi="Arial"/>
          <w:sz w:val="9"/>
          <w:szCs w:val="9"/>
          <w:color w:val="auto"/>
        </w:rPr>
      </w:pPr>
      <w:r>
        <w:rPr>
          <w:rFonts w:ascii="Arial" w:cs="Arial" w:eastAsia="Arial" w:hAnsi="Arial"/>
          <w:sz w:val="9"/>
          <w:szCs w:val="9"/>
          <w:color w:val="auto"/>
        </w:rPr>
        <w:t>In addition to the interest earned based on the stated interest rate of this security, the Company is entitled to receive an additional interest amount of 5.70%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firstLine="1"/>
        <w:spacing w:after="0" w:line="219" w:lineRule="auto"/>
        <w:tabs>
          <w:tab w:leader="none" w:pos="162" w:val="left"/>
        </w:tabs>
        <w:numPr>
          <w:ilvl w:val="0"/>
          <w:numId w:val="6"/>
        </w:numPr>
        <w:rPr>
          <w:rFonts w:ascii="Arial" w:cs="Arial" w:eastAsia="Arial" w:hAnsi="Arial"/>
          <w:sz w:val="9"/>
          <w:szCs w:val="9"/>
          <w:color w:val="auto"/>
        </w:rPr>
      </w:pPr>
      <w:r>
        <w:rPr>
          <w:rFonts w:ascii="Arial" w:cs="Arial" w:eastAsia="Arial" w:hAnsi="Arial"/>
          <w:sz w:val="9"/>
          <w:szCs w:val="9"/>
          <w:color w:val="auto"/>
        </w:rPr>
        <w:t>The Company sold a participating interest of approximately $4.0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40"/>
        <w:spacing w:after="0" w:line="219" w:lineRule="auto"/>
        <w:rPr>
          <w:sz w:val="20"/>
          <w:szCs w:val="20"/>
          <w:color w:val="auto"/>
        </w:rPr>
      </w:pPr>
      <w:r>
        <w:rPr>
          <w:rFonts w:ascii="Arial" w:cs="Arial" w:eastAsia="Arial" w:hAnsi="Arial"/>
          <w:sz w:val="9"/>
          <w:szCs w:val="9"/>
          <w:color w:val="auto"/>
        </w:rPr>
        <w:t>(ab) In addition to the interest earned based on the stated interest rate of this security, the Company is entitled to receive an additional interest amount of 3.43%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rPr>
          <w:sz w:val="20"/>
          <w:szCs w:val="20"/>
          <w:color w:val="auto"/>
        </w:rPr>
      </w:pPr>
      <w:r>
        <w:rPr>
          <w:rFonts w:ascii="Arial" w:cs="Arial" w:eastAsia="Arial" w:hAnsi="Arial"/>
          <w:sz w:val="8"/>
          <w:szCs w:val="8"/>
          <w:color w:val="auto"/>
        </w:rPr>
        <w:t>(ac) The disclosed commitment represents the unfunded amount as of December 31, 2021. The Company is earning 1.00% interest on the unfunded balance of the commitment. The interest rate disclosed represents the rate earned on the outstanding, funded balance of the commitment.</w:t>
      </w:r>
    </w:p>
    <w:p>
      <w:pPr>
        <w:spacing w:after="0" w:line="16" w:lineRule="exact"/>
        <w:rPr>
          <w:sz w:val="20"/>
          <w:szCs w:val="20"/>
          <w:color w:val="auto"/>
        </w:rPr>
      </w:pPr>
    </w:p>
    <w:p>
      <w:pPr>
        <w:ind w:right="40"/>
        <w:spacing w:after="0" w:line="219" w:lineRule="auto"/>
        <w:rPr>
          <w:sz w:val="20"/>
          <w:szCs w:val="20"/>
          <w:color w:val="auto"/>
        </w:rPr>
      </w:pPr>
      <w:r>
        <w:rPr>
          <w:rFonts w:ascii="Arial" w:cs="Arial" w:eastAsia="Arial" w:hAnsi="Arial"/>
          <w:sz w:val="9"/>
          <w:szCs w:val="9"/>
          <w:color w:val="auto"/>
        </w:rPr>
        <w:t>(ad) In addition to the interest earned based on the stated interest rate of this security, the Company is entitled to receive an additional interest amount of 3.29%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0"/>
        <w:spacing w:after="0" w:line="219" w:lineRule="auto"/>
        <w:rPr>
          <w:sz w:val="20"/>
          <w:szCs w:val="20"/>
          <w:color w:val="auto"/>
        </w:rPr>
      </w:pPr>
      <w:r>
        <w:rPr>
          <w:rFonts w:ascii="Arial" w:cs="Arial" w:eastAsia="Arial" w:hAnsi="Arial"/>
          <w:sz w:val="9"/>
          <w:szCs w:val="9"/>
          <w:color w:val="auto"/>
        </w:rPr>
        <w:t>(ae) In addition to the interest earned based on the stated interest rate of this security, the Company is entitled to receive an additional interest amount of 3.53%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60"/>
        <w:spacing w:after="0" w:line="219" w:lineRule="auto"/>
        <w:rPr>
          <w:sz w:val="20"/>
          <w:szCs w:val="20"/>
          <w:color w:val="auto"/>
        </w:rPr>
      </w:pPr>
      <w:r>
        <w:rPr>
          <w:rFonts w:ascii="Arial" w:cs="Arial" w:eastAsia="Arial" w:hAnsi="Arial"/>
          <w:sz w:val="9"/>
          <w:szCs w:val="9"/>
          <w:color w:val="auto"/>
        </w:rPr>
        <w:t>(af) 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0"/>
        <w:spacing w:after="0" w:line="219" w:lineRule="auto"/>
        <w:rPr>
          <w:sz w:val="20"/>
          <w:szCs w:val="20"/>
          <w:color w:val="auto"/>
        </w:rPr>
      </w:pPr>
      <w:r>
        <w:rPr>
          <w:rFonts w:ascii="Arial" w:cs="Arial" w:eastAsia="Arial" w:hAnsi="Arial"/>
          <w:sz w:val="9"/>
          <w:szCs w:val="9"/>
          <w:color w:val="auto"/>
        </w:rPr>
        <w:t>(ag) In addition to the interest earned based on the stated interest rate of this security, the Company is entitled to receive an additional interest amount of 5.60%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0"/>
        <w:spacing w:after="0" w:line="219" w:lineRule="auto"/>
        <w:rPr>
          <w:sz w:val="20"/>
          <w:szCs w:val="20"/>
          <w:color w:val="auto"/>
        </w:rPr>
      </w:pPr>
      <w:r>
        <w:rPr>
          <w:rFonts w:ascii="Arial" w:cs="Arial" w:eastAsia="Arial" w:hAnsi="Arial"/>
          <w:sz w:val="9"/>
          <w:szCs w:val="9"/>
          <w:color w:val="auto"/>
        </w:rPr>
        <w:t>(ah) In addition to the interest earned based on the stated interest rate of this security, the Company is entitled to receive an additional interest amount of 1.74%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60"/>
        <w:spacing w:after="0" w:line="219" w:lineRule="auto"/>
        <w:rPr>
          <w:sz w:val="20"/>
          <w:szCs w:val="20"/>
          <w:color w:val="auto"/>
        </w:rPr>
      </w:pPr>
      <w:r>
        <w:rPr>
          <w:rFonts w:ascii="Arial" w:cs="Arial" w:eastAsia="Arial" w:hAnsi="Arial"/>
          <w:sz w:val="9"/>
          <w:szCs w:val="9"/>
          <w:color w:val="auto"/>
        </w:rPr>
        <w:t>(ai) In addition to the interest earned based on the stated interest rate of this security, the Company is entitled to receive an additional interest amount of 4.86%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60"/>
        <w:spacing w:after="0" w:line="219" w:lineRule="auto"/>
        <w:rPr>
          <w:sz w:val="20"/>
          <w:szCs w:val="20"/>
          <w:color w:val="auto"/>
        </w:rPr>
      </w:pPr>
      <w:r>
        <w:rPr>
          <w:rFonts w:ascii="Arial" w:cs="Arial" w:eastAsia="Arial" w:hAnsi="Arial"/>
          <w:sz w:val="9"/>
          <w:szCs w:val="9"/>
          <w:color w:val="auto"/>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0"/>
        <w:spacing w:after="0" w:line="219" w:lineRule="auto"/>
        <w:rPr>
          <w:sz w:val="20"/>
          <w:szCs w:val="20"/>
          <w:color w:val="auto"/>
        </w:rPr>
      </w:pPr>
      <w:r>
        <w:rPr>
          <w:rFonts w:ascii="Arial" w:cs="Arial" w:eastAsia="Arial" w:hAnsi="Arial"/>
          <w:sz w:val="9"/>
          <w:szCs w:val="9"/>
          <w:color w:val="auto"/>
        </w:rPr>
        <w:t>(ak)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60"/>
        <w:spacing w:after="0" w:line="219" w:lineRule="auto"/>
        <w:rPr>
          <w:sz w:val="20"/>
          <w:szCs w:val="20"/>
          <w:color w:val="auto"/>
        </w:rPr>
      </w:pPr>
      <w:r>
        <w:rPr>
          <w:rFonts w:ascii="Arial" w:cs="Arial" w:eastAsia="Arial" w:hAnsi="Arial"/>
          <w:sz w:val="9"/>
          <w:szCs w:val="9"/>
          <w:color w:val="auto"/>
        </w:rPr>
        <w:t>(al) In addition to the interest earned based on the stated interest rate of this security, the Company is entitled to receive an additional interest amount of 3.46%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20"/>
        <w:spacing w:after="0" w:line="219" w:lineRule="auto"/>
        <w:rPr>
          <w:sz w:val="20"/>
          <w:szCs w:val="20"/>
          <w:color w:val="auto"/>
        </w:rPr>
      </w:pPr>
      <w:r>
        <w:rPr>
          <w:rFonts w:ascii="Arial" w:cs="Arial" w:eastAsia="Arial" w:hAnsi="Arial"/>
          <w:sz w:val="9"/>
          <w:szCs w:val="9"/>
          <w:color w:val="auto"/>
        </w:rPr>
        <w:t>(am) In addition to the interest earned based on the stated interest rate of this security, the Company is entitled to receive an additional interest amount of 7.54%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340"/>
        <w:spacing w:after="0" w:line="219" w:lineRule="auto"/>
        <w:rPr>
          <w:sz w:val="20"/>
          <w:szCs w:val="20"/>
          <w:color w:val="auto"/>
        </w:rPr>
      </w:pPr>
      <w:r>
        <w:rPr>
          <w:rFonts w:ascii="Arial" w:cs="Arial" w:eastAsia="Arial" w:hAnsi="Arial"/>
          <w:sz w:val="9"/>
          <w:szCs w:val="9"/>
          <w:color w:val="auto"/>
        </w:rPr>
        <w:t>(an) The Company sold a participating interest of approximately $13.5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80"/>
        <w:spacing w:after="0" w:line="219" w:lineRule="auto"/>
        <w:rPr>
          <w:sz w:val="20"/>
          <w:szCs w:val="20"/>
          <w:color w:val="auto"/>
        </w:rPr>
      </w:pPr>
      <w:r>
        <w:rPr>
          <w:rFonts w:ascii="Arial" w:cs="Arial" w:eastAsia="Arial" w:hAnsi="Arial"/>
          <w:sz w:val="9"/>
          <w:szCs w:val="9"/>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2021, total non-qualifying assets at fair value represented 0.04% of the Company's total assets calculated in accordance with the 1940 Act.</w:t>
      </w:r>
    </w:p>
    <w:p>
      <w:pPr>
        <w:ind w:right="180"/>
        <w:spacing w:after="0" w:line="219" w:lineRule="auto"/>
        <w:rPr>
          <w:sz w:val="20"/>
          <w:szCs w:val="20"/>
          <w:color w:val="auto"/>
        </w:rPr>
      </w:pPr>
      <w:r>
        <w:rPr>
          <w:rFonts w:ascii="Arial" w:cs="Arial" w:eastAsia="Arial" w:hAnsi="Arial"/>
          <w:sz w:val="9"/>
          <w:szCs w:val="9"/>
          <w:color w:val="auto"/>
        </w:rPr>
        <w:t>(ap) In addition to the interest earned based on the stated interest rate of this security, the Company is entitled to receive an additional cash interest amount of 2.25% and PIK interest amount of 1.87%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center"/>
        <w:ind w:right="-19"/>
        <w:spacing w:after="0"/>
        <w:rPr>
          <w:sz w:val="20"/>
          <w:szCs w:val="20"/>
          <w:color w:val="auto"/>
        </w:rPr>
      </w:pPr>
      <w:r>
        <w:rPr>
          <w:rFonts w:ascii="Arial" w:cs="Arial" w:eastAsia="Arial" w:hAnsi="Arial"/>
          <w:sz w:val="9"/>
          <w:szCs w:val="9"/>
          <w:i w:val="1"/>
          <w:iCs w:val="1"/>
          <w:color w:val="auto"/>
        </w:rPr>
        <w:t>See Notes to 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48"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Nature of Business</w:t>
      </w:r>
    </w:p>
    <w:p>
      <w:pPr>
        <w:spacing w:after="0" w:line="162" w:lineRule="exact"/>
        <w:rPr>
          <w:sz w:val="20"/>
          <w:szCs w:val="20"/>
          <w:color w:val="auto"/>
        </w:rPr>
      </w:pPr>
    </w:p>
    <w:p>
      <w:pPr>
        <w:jc w:val="both"/>
        <w:ind w:firstLine="479"/>
        <w:spacing w:after="0" w:line="241" w:lineRule="auto"/>
        <w:rPr>
          <w:sz w:val="20"/>
          <w:szCs w:val="20"/>
          <w:color w:val="auto"/>
        </w:rPr>
      </w:pPr>
      <w:r>
        <w:rPr>
          <w:rFonts w:ascii="Arial" w:cs="Arial" w:eastAsia="Arial" w:hAnsi="Arial"/>
          <w:sz w:val="18"/>
          <w:szCs w:val="18"/>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w:t>
      </w:r>
    </w:p>
    <w:p>
      <w:pPr>
        <w:spacing w:after="0" w:line="135" w:lineRule="exact"/>
        <w:rPr>
          <w:sz w:val="20"/>
          <w:szCs w:val="20"/>
          <w:color w:val="auto"/>
        </w:rPr>
      </w:pPr>
    </w:p>
    <w:p>
      <w:pPr>
        <w:jc w:val="both"/>
        <w:ind w:firstLine="479"/>
        <w:spacing w:after="0" w:line="255" w:lineRule="auto"/>
        <w:rPr>
          <w:sz w:val="20"/>
          <w:szCs w:val="20"/>
          <w:color w:val="auto"/>
        </w:rPr>
      </w:pPr>
      <w:r>
        <w:rPr>
          <w:rFonts w:ascii="Arial" w:cs="Arial" w:eastAsia="Arial" w:hAnsi="Arial"/>
          <w:sz w:val="17"/>
          <w:szCs w:val="17"/>
          <w:color w:val="auto"/>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(collectively,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regulations of and oversight by the SBA under the Small Business Investment Act of 1958, as amended (the “SBIC Act”), concerning, among other things, the size and nature of the companies in which they may invest and the structure of those investments.</w:t>
      </w:r>
    </w:p>
    <w:p>
      <w:pPr>
        <w:spacing w:after="0" w:line="126" w:lineRule="exact"/>
        <w:rPr>
          <w:sz w:val="20"/>
          <w:szCs w:val="20"/>
          <w:color w:val="auto"/>
        </w:rPr>
      </w:pPr>
    </w:p>
    <w:p>
      <w:pPr>
        <w:jc w:val="both"/>
        <w:ind w:firstLine="479"/>
        <w:spacing w:after="0" w:line="262" w:lineRule="auto"/>
        <w:rPr>
          <w:sz w:val="20"/>
          <w:szCs w:val="20"/>
          <w:color w:val="auto"/>
        </w:rPr>
      </w:pPr>
      <w:r>
        <w:rPr>
          <w:rFonts w:ascii="Arial" w:cs="Arial" w:eastAsia="Arial" w:hAnsi="Arial"/>
          <w:sz w:val="17"/>
          <w:szCs w:val="17"/>
          <w:color w:val="auto"/>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earlier of the end of the Funds' investment period, if applicable, or the Funds reach their borrowing limit under the program. For two or more SBICs under common control, the maximum amount of outstanding SBA debentures cannot exceed $350,000.</w:t>
      </w:r>
    </w:p>
    <w:p>
      <w:pPr>
        <w:spacing w:after="0" w:line="118" w:lineRule="exact"/>
        <w:rPr>
          <w:sz w:val="20"/>
          <w:szCs w:val="20"/>
          <w:color w:val="auto"/>
        </w:rPr>
      </w:pPr>
    </w:p>
    <w:p>
      <w:pPr>
        <w:jc w:val="both"/>
        <w:ind w:firstLine="479"/>
        <w:spacing w:after="0" w:line="261" w:lineRule="auto"/>
        <w:rPr>
          <w:sz w:val="20"/>
          <w:szCs w:val="20"/>
          <w:color w:val="auto"/>
        </w:rPr>
      </w:pPr>
      <w:r>
        <w:rPr>
          <w:rFonts w:ascii="Arial" w:cs="Arial" w:eastAsia="Arial" w:hAnsi="Arial"/>
          <w:sz w:val="18"/>
          <w:szCs w:val="18"/>
          <w:color w:val="auto"/>
        </w:rPr>
        <w:t>Fund II and Fund III are not registered under the 1940 Act and rely on the exclusion from the definition of investment company contained in Section 3(c)(7) of the 1940 Act.</w:t>
      </w:r>
    </w:p>
    <w:p>
      <w:pPr>
        <w:spacing w:after="0" w:line="117" w:lineRule="exact"/>
        <w:rPr>
          <w:sz w:val="20"/>
          <w:szCs w:val="20"/>
          <w:color w:val="auto"/>
        </w:rPr>
      </w:pPr>
    </w:p>
    <w:p>
      <w:pPr>
        <w:jc w:val="both"/>
        <w:ind w:firstLine="479"/>
        <w:spacing w:after="0" w:line="261" w:lineRule="auto"/>
        <w:rPr>
          <w:sz w:val="20"/>
          <w:szCs w:val="20"/>
          <w:color w:val="auto"/>
        </w:rPr>
      </w:pPr>
      <w:r>
        <w:rPr>
          <w:rFonts w:ascii="Arial" w:cs="Arial" w:eastAsia="Arial" w:hAnsi="Arial"/>
          <w:sz w:val="18"/>
          <w:szCs w:val="18"/>
          <w:color w:val="auto"/>
        </w:rPr>
        <w:t>The Company pays a quarterly base management fee and an incentive fee to Fidus Investment Advisors, LLC, our investment advisor (the “Investment Advisor” or “Fidus Investment Advisors”) under an investment advisory agreement (the “Investment Advisory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62" w:lineRule="exact"/>
        <w:rPr>
          <w:sz w:val="20"/>
          <w:szCs w:val="20"/>
          <w:color w:val="auto"/>
        </w:rPr>
      </w:pPr>
    </w:p>
    <w:p>
      <w:pPr>
        <w:jc w:val="both"/>
        <w:ind w:firstLine="478"/>
        <w:spacing w:after="0" w:line="274"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accompanying consolidated financial statements of the Company have been prepared in accordance with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accepted accounting principles in the United States of America (“GAAP”) pursuant to the requirements for reporting on Form 10-Q, Accounting Standards Codification (“ASC”) 946,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2021.</w:t>
      </w:r>
    </w:p>
    <w:p>
      <w:pPr>
        <w:spacing w:after="0" w:line="109" w:lineRule="exact"/>
        <w:rPr>
          <w:sz w:val="20"/>
          <w:szCs w:val="20"/>
          <w:color w:val="auto"/>
        </w:rPr>
      </w:pPr>
    </w:p>
    <w:p>
      <w:pPr>
        <w:jc w:val="both"/>
        <w:ind w:firstLine="478"/>
        <w:spacing w:after="0" w:line="294"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the consolidated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93"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Pursuant to Article 6 of Regulation S-X and ASC 946, the Company will generally not consolidate its investments in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34" w:lineRule="exact"/>
        <w:rPr>
          <w:sz w:val="20"/>
          <w:szCs w:val="20"/>
          <w:color w:val="auto"/>
        </w:rPr>
      </w:pPr>
    </w:p>
    <w:p>
      <w:pPr>
        <w:jc w:val="center"/>
        <w:ind w:right="220"/>
        <w:spacing w:after="0"/>
        <w:rPr>
          <w:sz w:val="20"/>
          <w:szCs w:val="20"/>
          <w:color w:val="auto"/>
        </w:rPr>
      </w:pPr>
      <w:r>
        <w:rPr>
          <w:rFonts w:ascii="Arial" w:cs="Arial" w:eastAsia="Arial" w:hAnsi="Arial"/>
          <w:sz w:val="18"/>
          <w:szCs w:val="18"/>
          <w:i w:val="1"/>
          <w:iCs w:val="1"/>
          <w:color w:val="auto"/>
        </w:rPr>
        <w:t xml:space="preserve">Investment risks: </w:t>
      </w:r>
      <w:r>
        <w:rPr>
          <w:rFonts w:ascii="Arial" w:cs="Arial" w:eastAsia="Arial" w:hAnsi="Arial"/>
          <w:sz w:val="18"/>
          <w:szCs w:val="18"/>
          <w:color w:val="auto"/>
        </w:rPr>
        <w:t>The Company’s investments are subject to a variety of risks. These risks may include, but are not limited to the following:</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shares and per share data)</w:t>
      </w:r>
    </w:p>
    <w:p>
      <w:pPr>
        <w:spacing w:after="0" w:line="1" w:lineRule="exact"/>
        <w:rPr>
          <w:sz w:val="20"/>
          <w:szCs w:val="20"/>
          <w:color w:val="auto"/>
        </w:rPr>
      </w:pPr>
    </w:p>
    <w:p>
      <w:pPr>
        <w:jc w:val="both"/>
        <w:ind w:left="1240" w:hanging="378"/>
        <w:spacing w:after="0" w:line="269"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Market risk - </w:t>
      </w:r>
      <w:r>
        <w:rPr>
          <w:rFonts w:ascii="Arial" w:cs="Arial" w:eastAsia="Arial" w:hAnsi="Arial"/>
          <w:sz w:val="16"/>
          <w:szCs w:val="16"/>
          <w:color w:val="auto"/>
        </w:rPr>
        <w:t>In contrast to investment-grade bonds (the market prices of which change primarily as a reaction to changes in interest rates),</w:t>
      </w:r>
      <w:r>
        <w:rPr>
          <w:rFonts w:ascii="Arial" w:cs="Arial" w:eastAsia="Arial" w:hAnsi="Arial"/>
          <w:sz w:val="16"/>
          <w:szCs w:val="16"/>
          <w:i w:val="1"/>
          <w:iCs w:val="1"/>
          <w:color w:val="auto"/>
        </w:rPr>
        <w:t xml:space="preserve"> </w:t>
      </w:r>
      <w:r>
        <w:rPr>
          <w:rFonts w:ascii="Arial" w:cs="Arial" w:eastAsia="Arial" w:hAnsi="Arial"/>
          <w:sz w:val="16"/>
          <w:szCs w:val="16"/>
          <w:color w:val="auto"/>
        </w:rPr>
        <w:t>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pacing w:after="0" w:line="112" w:lineRule="exact"/>
        <w:rPr>
          <w:rFonts w:ascii="Arial" w:cs="Arial" w:eastAsia="Arial" w:hAnsi="Arial"/>
          <w:sz w:val="16"/>
          <w:szCs w:val="16"/>
          <w:color w:val="auto"/>
        </w:rPr>
      </w:pPr>
    </w:p>
    <w:p>
      <w:pPr>
        <w:jc w:val="both"/>
        <w:ind w:left="1240" w:hanging="379"/>
        <w:spacing w:after="0" w:line="248"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Credit risk represents the risk that the Company would incur if the counterparties failed to perform pursuant to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agreements with the Company. Issues of high-yield debt securities in which the Company invests are more likely to default on interest or principal than are issues of investment-grade securities.</w:t>
      </w:r>
    </w:p>
    <w:p>
      <w:pPr>
        <w:spacing w:after="0" w:line="127" w:lineRule="exact"/>
        <w:rPr>
          <w:rFonts w:ascii="Arial" w:cs="Arial" w:eastAsia="Arial" w:hAnsi="Arial"/>
          <w:sz w:val="18"/>
          <w:szCs w:val="18"/>
          <w:color w:val="auto"/>
        </w:rPr>
      </w:pPr>
    </w:p>
    <w:p>
      <w:pPr>
        <w:ind w:left="1240" w:right="20" w:hanging="379"/>
        <w:spacing w:after="0" w:line="261"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Liquidity risk - </w:t>
      </w:r>
      <w:r>
        <w:rPr>
          <w:rFonts w:ascii="Arial" w:cs="Arial" w:eastAsia="Arial" w:hAnsi="Arial"/>
          <w:sz w:val="18"/>
          <w:szCs w:val="18"/>
          <w:color w:val="auto"/>
        </w:rPr>
        <w:t>Liquidity risk represents the possibility that the Company may not be able to sell its investments quickly or at a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price (given the lack of an established market).</w:t>
      </w:r>
    </w:p>
    <w:p>
      <w:pPr>
        <w:spacing w:after="0" w:line="116" w:lineRule="exact"/>
        <w:rPr>
          <w:rFonts w:ascii="Arial" w:cs="Arial" w:eastAsia="Arial" w:hAnsi="Arial"/>
          <w:sz w:val="18"/>
          <w:szCs w:val="18"/>
          <w:color w:val="auto"/>
        </w:rPr>
      </w:pPr>
    </w:p>
    <w:p>
      <w:pPr>
        <w:ind w:left="1240" w:hanging="379"/>
        <w:spacing w:after="0" w:line="261"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Interest rate risk represents the likelihood that a change in interest rates could have an adverse impact on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an interest-bearing financial instrument.</w:t>
      </w:r>
    </w:p>
    <w:p>
      <w:pPr>
        <w:spacing w:after="0" w:line="116" w:lineRule="exact"/>
        <w:rPr>
          <w:rFonts w:ascii="Arial" w:cs="Arial" w:eastAsia="Arial" w:hAnsi="Arial"/>
          <w:sz w:val="18"/>
          <w:szCs w:val="18"/>
          <w:color w:val="auto"/>
        </w:rPr>
      </w:pPr>
    </w:p>
    <w:p>
      <w:pPr>
        <w:jc w:val="both"/>
        <w:ind w:left="1240" w:hanging="379"/>
        <w:spacing w:after="0" w:line="270"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Prepayment risk - </w:t>
      </w:r>
      <w:r>
        <w:rPr>
          <w:rFonts w:ascii="Arial" w:cs="Arial" w:eastAsia="Arial" w:hAnsi="Arial"/>
          <w:sz w:val="17"/>
          <w:szCs w:val="17"/>
          <w:color w:val="auto"/>
        </w:rPr>
        <w:t>Certain of the Company’s debt investments allow for prepayment of principal without penalty. Downward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109" w:lineRule="exact"/>
        <w:rPr>
          <w:rFonts w:ascii="Arial" w:cs="Arial" w:eastAsia="Arial" w:hAnsi="Arial"/>
          <w:sz w:val="17"/>
          <w:szCs w:val="17"/>
          <w:color w:val="auto"/>
        </w:rPr>
      </w:pPr>
    </w:p>
    <w:p>
      <w:pPr>
        <w:jc w:val="both"/>
        <w:ind w:left="1240" w:hanging="379"/>
        <w:spacing w:after="0" w:line="248"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Off-Balance sheet risk - </w:t>
      </w:r>
      <w:r>
        <w:rPr>
          <w:rFonts w:ascii="Arial" w:cs="Arial" w:eastAsia="Arial" w:hAnsi="Arial"/>
          <w:sz w:val="18"/>
          <w:szCs w:val="18"/>
          <w:color w:val="auto"/>
        </w:rPr>
        <w:t>Some of the Company’s financial instruments contain off-balance sheet risk. Generally, these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represent future commitments to purchase other financial instruments at defined terms at defined future dates. See Note 7 for further details.</w:t>
      </w:r>
    </w:p>
    <w:p>
      <w:pPr>
        <w:spacing w:after="0" w:line="128"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measures and discloses fair value with respect to substantially all of its financial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35"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i w:val="1"/>
          <w:iCs w:val="1"/>
          <w:color w:val="auto"/>
        </w:rPr>
        <w:t xml:space="preserve">Investment classification: </w:t>
      </w:r>
      <w:r>
        <w:rPr>
          <w:rFonts w:ascii="Arial" w:cs="Arial" w:eastAsia="Arial" w:hAnsi="Arial"/>
          <w:sz w:val="18"/>
          <w:szCs w:val="18"/>
          <w:color w:val="auto"/>
        </w:rPr>
        <w:t>The Company classifies its investments in accordance with the requirements of the 1940 Act. Under the 1940 Act,</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35"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In accordance with ASC Topic 280 —</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the Company has determined that it has a single reporting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unit structure.</w:t>
      </w:r>
    </w:p>
    <w:p>
      <w:pPr>
        <w:spacing w:after="0" w:line="117"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are highly liquid investments with an original maturity of three months or less at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28" w:lineRule="exact"/>
        <w:rPr>
          <w:sz w:val="20"/>
          <w:szCs w:val="20"/>
          <w:color w:val="auto"/>
        </w:rPr>
      </w:pPr>
    </w:p>
    <w:p>
      <w:pPr>
        <w:jc w:val="both"/>
        <w:ind w:firstLine="478"/>
        <w:spacing w:after="0" w:line="239"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Deferred financing costs consist of fees and expenses paid in connection with the SBA debentures, the Credit Facility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i w:val="1"/>
          <w:iCs w:val="1"/>
          <w:color w:val="auto"/>
        </w:rPr>
        <w:t xml:space="preserve">Realized losses on extinguishment of debt: </w:t>
      </w:r>
      <w:r>
        <w:rPr>
          <w:rFonts w:ascii="Arial" w:cs="Arial" w:eastAsia="Arial" w:hAnsi="Arial"/>
          <w:sz w:val="18"/>
          <w:szCs w:val="18"/>
          <w:color w:val="auto"/>
        </w:rPr>
        <w:t>Upon the repayment of debt obligations which are deemed to be extinguishments, the difference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principal amount due at maturity adjusted for any unamortized deferred financing costs is recognized as a loss (i.e., the unamortized deferred financing costs are recognized as a loss upon extinguishment of the underlying debt obligation).</w:t>
      </w:r>
    </w:p>
    <w:p>
      <w:pPr>
        <w:spacing w:after="0" w:line="128"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i w:val="1"/>
          <w:iCs w:val="1"/>
          <w:color w:val="auto"/>
        </w:rPr>
        <w:t xml:space="preserve">Deferred offering costs: </w:t>
      </w:r>
      <w:r>
        <w:rPr>
          <w:rFonts w:ascii="Arial" w:cs="Arial" w:eastAsia="Arial" w:hAnsi="Arial"/>
          <w:sz w:val="18"/>
          <w:szCs w:val="18"/>
          <w:color w:val="auto"/>
        </w:rPr>
        <w:t>Deferred offering costs include registration expenses related to shelf filings. These expenses primarily consist of U.S.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pacing w:after="0" w:line="135"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i w:val="1"/>
          <w:iCs w:val="1"/>
          <w:color w:val="auto"/>
        </w:rPr>
        <w:t xml:space="preserve">Realized gains or losses and unrealized appreciation or depreciation on investments: </w:t>
      </w:r>
      <w:r>
        <w:rPr>
          <w:rFonts w:ascii="Arial" w:cs="Arial" w:eastAsia="Arial" w:hAnsi="Arial"/>
          <w:sz w:val="17"/>
          <w:szCs w:val="17"/>
          <w:color w:val="auto"/>
        </w:rPr>
        <w:t>Realized gains or losses on investments are recorded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21" w:lineRule="exact"/>
        <w:rPr>
          <w:sz w:val="20"/>
          <w:szCs w:val="20"/>
          <w:color w:val="auto"/>
        </w:rPr>
      </w:pPr>
    </w:p>
    <w:p>
      <w:pPr>
        <w:jc w:val="both"/>
        <w:ind w:firstLine="478"/>
        <w:spacing w:after="0"/>
        <w:rPr>
          <w:sz w:val="20"/>
          <w:szCs w:val="20"/>
          <w:color w:val="auto"/>
        </w:rPr>
      </w:pPr>
      <w:r>
        <w:rPr>
          <w:rFonts w:ascii="Arial" w:cs="Arial" w:eastAsia="Arial" w:hAnsi="Arial"/>
          <w:sz w:val="18"/>
          <w:szCs w:val="18"/>
          <w:i w:val="1"/>
          <w:iCs w:val="1"/>
          <w:color w:val="auto"/>
        </w:rPr>
        <w:t xml:space="preserve">Interest and dividend income: </w:t>
      </w:r>
      <w:r>
        <w:rPr>
          <w:rFonts w:ascii="Arial" w:cs="Arial" w:eastAsia="Arial" w:hAnsi="Arial"/>
          <w:sz w:val="18"/>
          <w:szCs w:val="18"/>
          <w:color w:val="auto"/>
        </w:rPr>
        <w:t>Interest and dividend income are recorded on the accrual basis to the extent that the Company expects to collect such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35"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6"/>
          <w:szCs w:val="16"/>
          <w:i w:val="1"/>
          <w:iCs w:val="1"/>
          <w:color w:val="auto"/>
        </w:rPr>
        <w:t xml:space="preserve">PIK income: </w:t>
      </w:r>
      <w:r>
        <w:rPr>
          <w:rFonts w:ascii="Arial" w:cs="Arial" w:eastAsia="Arial" w:hAnsi="Arial"/>
          <w:sz w:val="16"/>
          <w:szCs w:val="16"/>
          <w:color w:val="auto"/>
        </w:rPr>
        <w:t>Certain of the Company’s investments contain a payment-in-kind (“PIK”) income provision. The PIK income, computed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14"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i w:val="1"/>
          <w:iCs w:val="1"/>
          <w:color w:val="auto"/>
        </w:rPr>
        <w:t xml:space="preserve">Non-accrual: </w:t>
      </w:r>
      <w:r>
        <w:rPr>
          <w:rFonts w:ascii="Arial" w:cs="Arial" w:eastAsia="Arial" w:hAnsi="Arial"/>
          <w:sz w:val="17"/>
          <w:szCs w:val="17"/>
          <w:color w:val="auto"/>
        </w:rPr>
        <w:t>Debt investments or preferred equity investments (for which the Company is accruing PIK dividends) are placed on non-accrual status</w:t>
      </w:r>
      <w:r>
        <w:rPr>
          <w:rFonts w:ascii="Arial" w:cs="Arial" w:eastAsia="Arial" w:hAnsi="Arial"/>
          <w:sz w:val="17"/>
          <w:szCs w:val="17"/>
          <w:i w:val="1"/>
          <w:iCs w:val="1"/>
          <w:color w:val="auto"/>
        </w:rPr>
        <w:t xml:space="preserve"> </w:t>
      </w:r>
      <w:r>
        <w:rPr>
          <w:rFonts w:ascii="Arial" w:cs="Arial" w:eastAsia="Arial" w:hAnsi="Arial"/>
          <w:sz w:val="17"/>
          <w:szCs w:val="17"/>
          <w:color w:val="auto"/>
        </w:rPr>
        <w:t>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21"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i w:val="1"/>
          <w:iCs w:val="1"/>
          <w:color w:val="auto"/>
        </w:rPr>
        <w:t xml:space="preserve">Origination and closing fees: </w:t>
      </w:r>
      <w:r>
        <w:rPr>
          <w:rFonts w:ascii="Arial" w:cs="Arial" w:eastAsia="Arial" w:hAnsi="Arial"/>
          <w:sz w:val="18"/>
          <w:szCs w:val="18"/>
          <w:color w:val="auto"/>
        </w:rPr>
        <w:t>The Company also typically receives debt investment origination or closing fees in connection with such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34" w:lineRule="exact"/>
        <w:rPr>
          <w:sz w:val="20"/>
          <w:szCs w:val="20"/>
          <w:color w:val="auto"/>
        </w:rPr>
      </w:pPr>
    </w:p>
    <w:p>
      <w:pPr>
        <w:jc w:val="both"/>
        <w:ind w:firstLine="478"/>
        <w:spacing w:after="0" w:line="268" w:lineRule="auto"/>
        <w:rPr>
          <w:sz w:val="20"/>
          <w:szCs w:val="20"/>
          <w:color w:val="auto"/>
        </w:rPr>
      </w:pPr>
      <w:r>
        <w:rPr>
          <w:rFonts w:ascii="Arial" w:cs="Arial" w:eastAsia="Arial" w:hAnsi="Arial"/>
          <w:sz w:val="16"/>
          <w:szCs w:val="16"/>
          <w:i w:val="1"/>
          <w:iCs w:val="1"/>
          <w:color w:val="auto"/>
        </w:rPr>
        <w:t>Warrants</w:t>
      </w:r>
      <w:r>
        <w:rPr>
          <w:rFonts w:ascii="Arial" w:cs="Arial" w:eastAsia="Arial" w:hAnsi="Arial"/>
          <w:sz w:val="16"/>
          <w:szCs w:val="16"/>
          <w:color w:val="auto"/>
        </w:rPr>
        <w:t>: In connection with the Company’s debt investments, the Company will sometimes receive warrants or other equity-related securities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Transaction fees earned in connection with the Company’s investments are recognized as fee income and are generally non-recurring.</w:t>
      </w:r>
      <w:r>
        <w:rPr>
          <w:rFonts w:ascii="Arial" w:cs="Arial" w:eastAsia="Arial" w:hAnsi="Arial"/>
          <w:sz w:val="18"/>
          <w:szCs w:val="18"/>
          <w:i w:val="1"/>
          <w:iCs w:val="1"/>
          <w:color w:val="auto"/>
        </w:rPr>
        <w:t xml:space="preserve"> </w:t>
      </w:r>
      <w:r>
        <w:rPr>
          <w:rFonts w:ascii="Arial" w:cs="Arial" w:eastAsia="Arial" w:hAnsi="Arial"/>
          <w:sz w:val="18"/>
          <w:szCs w:val="18"/>
          <w:color w:val="auto"/>
        </w:rPr>
        <w:t>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34" w:lineRule="exact"/>
        <w:rPr>
          <w:sz w:val="20"/>
          <w:szCs w:val="20"/>
          <w:color w:val="auto"/>
        </w:rPr>
      </w:pPr>
    </w:p>
    <w:p>
      <w:pPr>
        <w:jc w:val="both"/>
        <w:ind w:firstLine="479"/>
        <w:spacing w:after="0" w:line="255" w:lineRule="auto"/>
        <w:rPr>
          <w:sz w:val="20"/>
          <w:szCs w:val="20"/>
          <w:color w:val="auto"/>
        </w:rPr>
      </w:pPr>
      <w:r>
        <w:rPr>
          <w:rFonts w:ascii="Arial" w:cs="Arial" w:eastAsia="Arial" w:hAnsi="Arial"/>
          <w:sz w:val="17"/>
          <w:szCs w:val="17"/>
          <w:i w:val="1"/>
          <w:iCs w:val="1"/>
          <w:color w:val="auto"/>
        </w:rPr>
        <w:t xml:space="preserve">Partial loan and equity sales: </w:t>
      </w:r>
      <w:r>
        <w:rPr>
          <w:rFonts w:ascii="Arial" w:cs="Arial" w:eastAsia="Arial" w:hAnsi="Arial"/>
          <w:sz w:val="17"/>
          <w:szCs w:val="17"/>
          <w:color w:val="auto"/>
        </w:rPr>
        <w:t>The Company follows the guidance in ASC 860,</w:t>
      </w:r>
      <w:r>
        <w:rPr>
          <w:rFonts w:ascii="Arial" w:cs="Arial" w:eastAsia="Arial" w:hAnsi="Arial"/>
          <w:sz w:val="17"/>
          <w:szCs w:val="17"/>
          <w:i w:val="1"/>
          <w:iCs w:val="1"/>
          <w:color w:val="auto"/>
        </w:rPr>
        <w:t xml:space="preserve"> Transfers and Servicing, </w:t>
      </w:r>
      <w:r>
        <w:rPr>
          <w:rFonts w:ascii="Arial" w:cs="Arial" w:eastAsia="Arial" w:hAnsi="Arial"/>
          <w:sz w:val="17"/>
          <w:szCs w:val="17"/>
          <w:color w:val="auto"/>
        </w:rPr>
        <w:t>when accounting for loan (debt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spacing w:after="0" w:line="126" w:lineRule="exact"/>
        <w:rPr>
          <w:sz w:val="20"/>
          <w:szCs w:val="20"/>
          <w:color w:val="auto"/>
        </w:rPr>
      </w:pPr>
    </w:p>
    <w:p>
      <w:pPr>
        <w:jc w:val="both"/>
        <w:ind w:firstLine="478"/>
        <w:spacing w:after="0" w:line="247"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Company has elected, and intends to qualify annually, to be treated for U.S. federal income tax purposes as a RIC under</w:t>
      </w:r>
      <w:r>
        <w:rPr>
          <w:rFonts w:ascii="Arial" w:cs="Arial" w:eastAsia="Arial" w:hAnsi="Arial"/>
          <w:sz w:val="17"/>
          <w:szCs w:val="17"/>
          <w:i w:val="1"/>
          <w:iCs w:val="1"/>
          <w:color w:val="auto"/>
        </w:rPr>
        <w:t xml:space="preserve"> </w:t>
      </w:r>
      <w:r>
        <w:rPr>
          <w:rFonts w:ascii="Arial" w:cs="Arial" w:eastAsia="Arial" w:hAnsi="Arial"/>
          <w:sz w:val="17"/>
          <w:szCs w:val="17"/>
          <w:color w:val="auto"/>
        </w:rPr>
        <w:t>Subchapter M of the Code, which will generally relieve the Company from U.S. federal income taxes with respect to all income distributed to stockholders. To maintain the tax treatment of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day of the 10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30" w:lineRule="exact"/>
        <w:rPr>
          <w:sz w:val="20"/>
          <w:szCs w:val="20"/>
          <w:color w:val="auto"/>
        </w:rPr>
      </w:pPr>
    </w:p>
    <w:p>
      <w:pPr>
        <w:jc w:val="both"/>
        <w:ind w:right="20" w:firstLine="478"/>
        <w:spacing w:after="0" w:line="261" w:lineRule="auto"/>
        <w:rPr>
          <w:sz w:val="20"/>
          <w:szCs w:val="20"/>
          <w:color w:val="auto"/>
        </w:rPr>
      </w:pPr>
      <w:r>
        <w:rPr>
          <w:rFonts w:ascii="Arial" w:cs="Arial" w:eastAsia="Arial" w:hAnsi="Arial"/>
          <w:sz w:val="18"/>
          <w:szCs w:val="18"/>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17"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6"/>
          <w:szCs w:val="16"/>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14"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34" w:lineRule="exact"/>
        <w:rPr>
          <w:sz w:val="20"/>
          <w:szCs w:val="20"/>
          <w:color w:val="auto"/>
        </w:rPr>
      </w:pPr>
    </w:p>
    <w:p>
      <w:pPr>
        <w:jc w:val="both"/>
        <w:ind w:firstLine="478"/>
        <w:spacing w:after="0" w:line="254"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June 30, 2022 and December 31, 2021. The Company’s tax returns are generally subject to examination by U.S. federal and most state tax authorities for a period of three years from the date the respective returns are filed, and, accordingly, the Company’s 2018 through 2020 tax years remain subject to examination.</w:t>
      </w:r>
    </w:p>
    <w:p>
      <w:pPr>
        <w:spacing w:after="0" w:line="127" w:lineRule="exact"/>
        <w:rPr>
          <w:sz w:val="20"/>
          <w:szCs w:val="20"/>
          <w:color w:val="auto"/>
        </w:rPr>
      </w:pPr>
    </w:p>
    <w:p>
      <w:pPr>
        <w:jc w:val="both"/>
        <w:ind w:firstLine="478"/>
        <w:spacing w:after="0" w:line="255" w:lineRule="auto"/>
        <w:rPr>
          <w:sz w:val="20"/>
          <w:szCs w:val="20"/>
          <w:color w:val="auto"/>
        </w:rPr>
      </w:pPr>
      <w:r>
        <w:rPr>
          <w:rFonts w:ascii="Arial" w:cs="Arial" w:eastAsia="Arial" w:hAnsi="Arial"/>
          <w:sz w:val="17"/>
          <w:szCs w:val="17"/>
          <w:i w:val="1"/>
          <w:iCs w:val="1"/>
          <w:color w:val="auto"/>
        </w:rPr>
        <w:t xml:space="preserve">Dividends to stockholders: </w:t>
      </w:r>
      <w:r>
        <w:rPr>
          <w:rFonts w:ascii="Arial" w:cs="Arial" w:eastAsia="Arial" w:hAnsi="Arial"/>
          <w:sz w:val="17"/>
          <w:szCs w:val="17"/>
          <w:color w:val="auto"/>
        </w:rPr>
        <w:t>Dividends to stockholders are recorded on the record date with respect to such distributions. The amount, if any, to be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7"/>
          <w:szCs w:val="17"/>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20" w:lineRule="exact"/>
        <w:rPr>
          <w:sz w:val="20"/>
          <w:szCs w:val="20"/>
          <w:color w:val="auto"/>
        </w:rPr>
      </w:pPr>
    </w:p>
    <w:p>
      <w:pPr>
        <w:jc w:val="both"/>
        <w:ind w:firstLine="478"/>
        <w:spacing w:after="0" w:line="254" w:lineRule="auto"/>
        <w:rPr>
          <w:sz w:val="20"/>
          <w:szCs w:val="20"/>
          <w:color w:val="auto"/>
        </w:rPr>
      </w:pPr>
      <w:r>
        <w:rPr>
          <w:rFonts w:ascii="Arial" w:cs="Arial" w:eastAsia="Arial" w:hAnsi="Arial"/>
          <w:sz w:val="17"/>
          <w:szCs w:val="17"/>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27"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i w:val="1"/>
          <w:iCs w:val="1"/>
          <w:color w:val="auto"/>
        </w:rPr>
        <w:t xml:space="preserve">Earnings and net asset value per share: </w:t>
      </w:r>
      <w:r>
        <w:rPr>
          <w:rFonts w:ascii="Arial" w:cs="Arial" w:eastAsia="Arial" w:hAnsi="Arial"/>
          <w:sz w:val="18"/>
          <w:szCs w:val="18"/>
          <w:color w:val="auto"/>
        </w:rPr>
        <w:t>The earnings per share calculations for the three and six months ended June 30, 2022 and 2021,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utilizing the weighted average shares outstanding for the period. Net asset value per share is calculated using the number of shares outstanding as of the end of the period.</w:t>
      </w:r>
    </w:p>
    <w:p>
      <w:pPr>
        <w:spacing w:after="0" w:line="128"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6"/>
          <w:szCs w:val="16"/>
          <w:i w:val="1"/>
          <w:iCs w:val="1"/>
          <w:color w:val="auto"/>
        </w:rPr>
        <w:t xml:space="preserve">Stock Repurchase Program: </w:t>
      </w:r>
      <w:r>
        <w:rPr>
          <w:rFonts w:ascii="Arial" w:cs="Arial" w:eastAsia="Arial" w:hAnsi="Arial"/>
          <w:sz w:val="16"/>
          <w:szCs w:val="16"/>
          <w:color w:val="auto"/>
        </w:rPr>
        <w:t>The Company has an open market stock repurchase program (the “Stock Repurchase Program”) under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November 1, 2021, the Board extended the Stock Repurchase Program through December 31, 2022,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and six months ended June 30, 2022 and 2021. Refer to Note 8 for additional information concerning stock repurchases.</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 accounting pronouncement:</w:t>
      </w:r>
    </w:p>
    <w:p>
      <w:pPr>
        <w:spacing w:after="0" w:line="158" w:lineRule="exact"/>
        <w:rPr>
          <w:sz w:val="20"/>
          <w:szCs w:val="20"/>
          <w:color w:val="auto"/>
        </w:rPr>
      </w:pPr>
    </w:p>
    <w:p>
      <w:pPr>
        <w:jc w:val="both"/>
        <w:ind w:firstLine="562"/>
        <w:spacing w:after="0" w:line="239" w:lineRule="auto"/>
        <w:rPr>
          <w:sz w:val="20"/>
          <w:szCs w:val="20"/>
          <w:color w:val="auto"/>
        </w:rPr>
      </w:pPr>
      <w:r>
        <w:rPr>
          <w:rFonts w:ascii="Arial" w:cs="Arial" w:eastAsia="Arial" w:hAnsi="Arial"/>
          <w:sz w:val="18"/>
          <w:szCs w:val="18"/>
          <w:color w:val="auto"/>
        </w:rPr>
        <w:t>In June 2022, the Financial Accounting Standards Board (“FASB”) issued Accounting Standards Update (“ASU”) No. 2022-03, “Fair Value Measurement of Equity Securities Subject to Contractual Sale Restrictions (Topic 820),” which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In addition, ASU No. 2022-03 prohibits an entity from recognizing a contractual sale restriction as a separate unit of account. ASU No. 2022-03’s amendments are effective for fiscal years beginning after December 15, 2023, with early adoption permitted. The Company is currently evaluating the impact of the adoption of ASU No. 2022-03 on its consolidated financial statements.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SEC Regulation S-K Update:</w:t>
      </w:r>
    </w:p>
    <w:p>
      <w:pPr>
        <w:spacing w:after="0" w:line="158" w:lineRule="exact"/>
        <w:rPr>
          <w:sz w:val="20"/>
          <w:szCs w:val="20"/>
          <w:color w:val="auto"/>
        </w:rPr>
      </w:pPr>
    </w:p>
    <w:p>
      <w:pPr>
        <w:jc w:val="both"/>
        <w:ind w:firstLine="562"/>
        <w:spacing w:after="0" w:line="251" w:lineRule="auto"/>
        <w:rPr>
          <w:sz w:val="20"/>
          <w:szCs w:val="20"/>
          <w:color w:val="auto"/>
        </w:rPr>
      </w:pPr>
      <w:r>
        <w:rPr>
          <w:rFonts w:ascii="Arial" w:cs="Arial" w:eastAsia="Arial" w:hAnsi="Arial"/>
          <w:sz w:val="17"/>
          <w:szCs w:val="17"/>
          <w:color w:val="auto"/>
        </w:rPr>
        <w:t>In November 2020, the SEC issued a final rule that modernized and simplifies Management's Discussion and Analysis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was required for the registrants' fiscal year ending on or after August 9, 2021. The Company adopted the Amendments on the effective date which did not have a material impact on the Company’s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Portfolio Company Investments</w:t>
      </w:r>
    </w:p>
    <w:p>
      <w:pPr>
        <w:spacing w:after="0" w:line="162" w:lineRule="exact"/>
        <w:rPr>
          <w:sz w:val="20"/>
          <w:szCs w:val="20"/>
          <w:color w:val="auto"/>
        </w:rPr>
      </w:pPr>
    </w:p>
    <w:p>
      <w:pPr>
        <w:jc w:val="both"/>
        <w:ind w:firstLine="478"/>
        <w:spacing w:after="0" w:line="255" w:lineRule="auto"/>
        <w:rPr>
          <w:sz w:val="20"/>
          <w:szCs w:val="20"/>
          <w:color w:val="auto"/>
        </w:rPr>
      </w:pPr>
      <w:r>
        <w:rPr>
          <w:rFonts w:ascii="Arial" w:cs="Arial" w:eastAsia="Arial" w:hAnsi="Arial"/>
          <w:sz w:val="17"/>
          <w:szCs w:val="17"/>
          <w:color w:val="auto"/>
        </w:rPr>
        <w:t>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26"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As of June 30, 2022, the Company had active investments in 73 portfolio companies and residual investments in twelve portfolio companies that have sold their underlying operations. The aggregate fair value of the total portfolio was $810,520 and the weighted average effective yield on the Company’s debt investments was 11.9% as of such date. As of June 30, 2022, the Company held equity investments in 80.0% of its portfolio companies and the average fully diluted equity ownership in those portfolio companies was 3.7%.</w:t>
      </w:r>
    </w:p>
    <w:p>
      <w:pPr>
        <w:spacing w:after="0" w:line="134"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As of December 31, 2021, the Company had active investments in 70 portfolio companies and residual investments in eight portfolio companies that have sold their underlying operations. The aggregate fair value of the total portfolio was $719,124 and the weighted average effective yield on the Company’s debt investments was 12.3% as of such date. As of December 31, 2021, the Company held equity investments in 82.1% of its portfolio companies and the average fully diluted equity ownership in those portfolio companies was 4.7%.</w:t>
      </w:r>
    </w:p>
    <w:p>
      <w:pPr>
        <w:spacing w:after="0" w:line="134"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June 30, 2022 and December 31, 2021, including accretion of OID and debt investment origination fees, but excluding investments on non-accrual status and investments recorded as a secured borrowing, if any.</w:t>
      </w:r>
    </w:p>
    <w:p>
      <w:pPr>
        <w:spacing w:after="0" w:line="135"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Purchases of debt and equity investments for the six months ended June 30, 2022 and 2021 totaled $160,098 and $167,349, respectively. Proceeds from sales and repayments, including principal, return of capital distributions and realized gains, of portfolio investments for the six months ended June 30, 2022 and 2021 totaled $68,008 and $191,560, respectively.</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Investments by type with corresponding percentage of total portfolio investments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60"/>
        </w:trPr>
        <w:tc>
          <w:tcPr>
            <w:tcW w:w="2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jc w:val="center"/>
              <w:ind w:left="208"/>
              <w:spacing w:after="0" w:line="160" w:lineRule="exact"/>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3"/>
          </w:tcPr>
          <w:p>
            <w:pPr>
              <w:jc w:val="center"/>
              <w:ind w:left="4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tcPr>
          <w:p>
            <w:pPr>
              <w:jc w:val="center"/>
              <w:ind w:left="208"/>
              <w:spacing w:after="0" w:line="160" w:lineRule="exact"/>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center"/>
              <w:ind w:left="12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5"/>
        </w:trPr>
        <w:tc>
          <w:tcPr>
            <w:tcW w:w="2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2020" w:type="dxa"/>
            <w:vAlign w:val="bottom"/>
            <w:shd w:val="clear" w:color="auto" w:fill="CFF0FC"/>
          </w:tcPr>
          <w:p>
            <w:pPr>
              <w:ind w:left="20"/>
              <w:spacing w:after="0" w:line="169" w:lineRule="exact"/>
              <w:rPr>
                <w:sz w:val="20"/>
                <w:szCs w:val="20"/>
                <w:color w:val="auto"/>
              </w:rPr>
            </w:pPr>
            <w:r>
              <w:rPr>
                <w:rFonts w:ascii="Arial" w:cs="Arial" w:eastAsia="Arial" w:hAnsi="Arial"/>
                <w:sz w:val="14"/>
                <w:szCs w:val="14"/>
                <w:color w:val="auto"/>
              </w:rPr>
              <w:t>First Lien Debt</w:t>
            </w:r>
            <w:r>
              <w:rPr>
                <w:rFonts w:ascii="Arial" w:cs="Arial" w:eastAsia="Arial" w:hAnsi="Arial"/>
                <w:sz w:val="19"/>
                <w:szCs w:val="19"/>
                <w:color w:val="auto"/>
                <w:vertAlign w:val="superscript"/>
              </w:rPr>
              <w:t>(1)</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432,549</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w:t>
            </w:r>
          </w:p>
        </w:tc>
        <w:tc>
          <w:tcPr>
            <w:tcW w:w="48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96"/>
              </w:rPr>
              <w:t>%</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354,922</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49.4</w:t>
            </w:r>
          </w:p>
        </w:tc>
        <w:tc>
          <w:tcPr>
            <w:tcW w:w="3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96"/>
              </w:rPr>
              <w:t>%</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430,554</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w:t>
            </w:r>
          </w:p>
        </w:tc>
        <w:tc>
          <w:tcPr>
            <w:tcW w:w="3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96"/>
              </w:rPr>
              <w:t>%</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353,306</w:t>
            </w: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w:t>
            </w:r>
          </w:p>
        </w:tc>
        <w:tc>
          <w:tcPr>
            <w:tcW w:w="36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96"/>
              </w:rPr>
              <w:t>%</w:t>
            </w:r>
          </w:p>
        </w:tc>
      </w:tr>
      <w:tr>
        <w:trPr>
          <w:trHeight w:val="175"/>
        </w:trPr>
        <w:tc>
          <w:tcPr>
            <w:tcW w:w="202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168,547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20.8</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158,815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182,167</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24.6</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168,573</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27.1</w:t>
            </w:r>
          </w:p>
        </w:tc>
        <w:tc>
          <w:tcPr>
            <w:tcW w:w="360" w:type="dxa"/>
            <w:vAlign w:val="bottom"/>
          </w:tcPr>
          <w:p>
            <w:pPr>
              <w:spacing w:after="0"/>
              <w:rPr>
                <w:sz w:val="15"/>
                <w:szCs w:val="15"/>
                <w:color w:val="auto"/>
              </w:rPr>
            </w:pPr>
          </w:p>
        </w:tc>
      </w:tr>
      <w:tr>
        <w:trPr>
          <w:trHeight w:val="175"/>
        </w:trPr>
        <w:tc>
          <w:tcPr>
            <w:tcW w:w="2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68,508</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4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36,064</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68,385</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35,995</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360" w:type="dxa"/>
            <w:vAlign w:val="bottom"/>
            <w:shd w:val="clear" w:color="auto" w:fill="CFF0FC"/>
          </w:tcPr>
          <w:p>
            <w:pPr>
              <w:spacing w:after="0"/>
              <w:rPr>
                <w:sz w:val="15"/>
                <w:szCs w:val="15"/>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4"/>
                <w:szCs w:val="14"/>
                <w:color w:val="auto"/>
              </w:rPr>
              <w:t>Equity</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137,735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17.0</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166,119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23.1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55,285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60,589</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9.8</w:t>
            </w:r>
          </w:p>
        </w:tc>
        <w:tc>
          <w:tcPr>
            <w:tcW w:w="360" w:type="dxa"/>
            <w:vAlign w:val="bottom"/>
          </w:tcPr>
          <w:p>
            <w:pPr>
              <w:spacing w:after="0"/>
              <w:rPr>
                <w:sz w:val="15"/>
                <w:szCs w:val="15"/>
                <w:color w:val="auto"/>
              </w:rPr>
            </w:pPr>
          </w:p>
        </w:tc>
      </w:tr>
      <w:tr>
        <w:trPr>
          <w:trHeight w:val="175"/>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Warrants</w:t>
            </w:r>
          </w:p>
        </w:tc>
        <w:tc>
          <w:tcPr>
            <w:tcW w:w="2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3,181</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4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3,204</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3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3,323</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3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3,323</w:t>
            </w:r>
          </w:p>
        </w:tc>
        <w:tc>
          <w:tcPr>
            <w:tcW w:w="2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360" w:type="dxa"/>
            <w:vAlign w:val="bottom"/>
            <w:tcBorders>
              <w:bottom w:val="single" w:sz="8" w:color="CFF0FC"/>
            </w:tcBorders>
            <w:shd w:val="clear" w:color="auto" w:fill="CFF0FC"/>
          </w:tcPr>
          <w:p>
            <w:pPr>
              <w:spacing w:after="0"/>
              <w:rPr>
                <w:sz w:val="15"/>
                <w:szCs w:val="15"/>
                <w:color w:val="auto"/>
              </w:rPr>
            </w:pPr>
          </w:p>
        </w:tc>
      </w:tr>
      <w:tr>
        <w:trPr>
          <w:trHeight w:val="169"/>
        </w:trPr>
        <w:tc>
          <w:tcPr>
            <w:tcW w:w="2020" w:type="dxa"/>
            <w:vAlign w:val="bottom"/>
          </w:tcPr>
          <w:p>
            <w:pPr>
              <w:ind w:left="20"/>
              <w:spacing w:after="0" w:line="155" w:lineRule="exact"/>
              <w:rPr>
                <w:sz w:val="20"/>
                <w:szCs w:val="20"/>
                <w:color w:val="auto"/>
              </w:rPr>
            </w:pPr>
            <w:r>
              <w:rPr>
                <w:rFonts w:ascii="Arial" w:cs="Arial" w:eastAsia="Arial" w:hAnsi="Arial"/>
                <w:sz w:val="14"/>
                <w:szCs w:val="14"/>
                <w:color w:val="auto"/>
              </w:rPr>
              <w:t>Total</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810,520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right"/>
              <w:ind w:right="268"/>
              <w:spacing w:after="0" w:line="155" w:lineRule="exact"/>
              <w:rPr>
                <w:sz w:val="20"/>
                <w:szCs w:val="20"/>
                <w:color w:val="auto"/>
              </w:rPr>
            </w:pPr>
            <w:r>
              <w:rPr>
                <w:rFonts w:ascii="Arial" w:cs="Arial" w:eastAsia="Arial" w:hAnsi="Arial"/>
                <w:sz w:val="14"/>
                <w:szCs w:val="14"/>
                <w:color w:val="auto"/>
              </w:rPr>
              <w:t>100.0 %</w:t>
            </w:r>
          </w:p>
        </w:tc>
        <w:tc>
          <w:tcPr>
            <w:tcW w:w="320" w:type="dxa"/>
            <w:vAlign w:val="bottom"/>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719,124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100.0 %</w:t>
            </w:r>
          </w:p>
        </w:tc>
        <w:tc>
          <w:tcPr>
            <w:tcW w:w="2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739,714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100.0 %</w:t>
            </w: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621,786</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2"/>
          </w:tcPr>
          <w:p>
            <w:pPr>
              <w:jc w:val="right"/>
              <w:ind w:right="148"/>
              <w:spacing w:after="0" w:line="155" w:lineRule="exact"/>
              <w:rPr>
                <w:sz w:val="20"/>
                <w:szCs w:val="20"/>
                <w:color w:val="auto"/>
              </w:rPr>
            </w:pPr>
            <w:r>
              <w:rPr>
                <w:rFonts w:ascii="Arial" w:cs="Arial" w:eastAsia="Arial" w:hAnsi="Arial"/>
                <w:sz w:val="14"/>
                <w:szCs w:val="14"/>
                <w:color w:val="auto"/>
              </w:rPr>
              <w:t>100.0 %</w:t>
            </w:r>
          </w:p>
        </w:tc>
      </w:tr>
      <w:tr>
        <w:trPr>
          <w:trHeight w:val="20"/>
        </w:trPr>
        <w:tc>
          <w:tcPr>
            <w:tcW w:w="2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-142240</wp:posOffset>
            </wp:positionV>
            <wp:extent cx="7683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-142240</wp:posOffset>
            </wp:positionV>
            <wp:extent cx="7683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-142240</wp:posOffset>
            </wp:positionV>
            <wp:extent cx="7747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-142240</wp:posOffset>
            </wp:positionV>
            <wp:extent cx="6858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-142240</wp:posOffset>
            </wp:positionV>
            <wp:extent cx="685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-142240</wp:posOffset>
            </wp:positionV>
            <wp:extent cx="6858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-142240</wp:posOffset>
            </wp:positionV>
            <wp:extent cx="685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-142240</wp:posOffset>
            </wp:positionV>
            <wp:extent cx="685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9" w:lineRule="exact"/>
        <w:rPr>
          <w:sz w:val="20"/>
          <w:szCs w:val="20"/>
          <w:color w:val="auto"/>
        </w:rPr>
      </w:pPr>
    </w:p>
    <w:p>
      <w:pPr>
        <w:ind w:left="520" w:hanging="512"/>
        <w:spacing w:after="0" w:line="273"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unitranche investments, which account for 41.7% and 45.5% of our portfolio on a fair value and cost basis as of June 30, 2022, respectively. Includes unitranche investments, which account for 40.2% and 46.3% of our portfolio on a fair value and cost basis as of December 31, 2021, respectively.</w:t>
      </w:r>
    </w:p>
    <w:p>
      <w:pPr>
        <w:spacing w:after="0" w:line="124" w:lineRule="exact"/>
        <w:rPr>
          <w:sz w:val="20"/>
          <w:szCs w:val="20"/>
          <w:color w:val="auto"/>
        </w:rPr>
      </w:pPr>
    </w:p>
    <w:p>
      <w:pPr>
        <w:jc w:val="both"/>
        <w:ind w:firstLine="479"/>
        <w:spacing w:after="0" w:line="243" w:lineRule="auto"/>
        <w:rPr>
          <w:sz w:val="20"/>
          <w:szCs w:val="20"/>
          <w:color w:val="auto"/>
        </w:rPr>
      </w:pPr>
      <w:r>
        <w:rPr>
          <w:rFonts w:ascii="Arial" w:cs="Arial" w:eastAsia="Arial" w:hAnsi="Arial"/>
          <w:sz w:val="18"/>
          <w:szCs w:val="18"/>
          <w:color w:val="auto"/>
        </w:rPr>
        <w:t>All investments made by the Company as of June 30, 2022 and December 31, 2021 were made in portfolio companies headquartered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60"/>
        </w:trPr>
        <w:tc>
          <w:tcPr>
            <w:tcW w:w="2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3"/>
          </w:tcPr>
          <w:p>
            <w:pPr>
              <w:jc w:val="center"/>
              <w:ind w:left="168"/>
              <w:spacing w:after="0" w:line="160" w:lineRule="exact"/>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3"/>
          </w:tcPr>
          <w:p>
            <w:pPr>
              <w:jc w:val="center"/>
              <w:ind w:left="8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3"/>
          </w:tcPr>
          <w:p>
            <w:pPr>
              <w:jc w:val="center"/>
              <w:ind w:left="168"/>
              <w:spacing w:after="0" w:line="160" w:lineRule="exact"/>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center"/>
              <w:ind w:left="12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5"/>
        </w:trPr>
        <w:tc>
          <w:tcPr>
            <w:tcW w:w="2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2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Midwest</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189,858</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46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9"/>
              </w:rPr>
              <w:t>%</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157,222</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w:t>
            </w:r>
          </w:p>
        </w:tc>
        <w:tc>
          <w:tcPr>
            <w:tcW w:w="42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9"/>
              </w:rPr>
              <w:t>%</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124,377</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w:t>
            </w:r>
          </w:p>
        </w:tc>
        <w:tc>
          <w:tcPr>
            <w:tcW w:w="44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96"/>
              </w:rPr>
              <w:t>%</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89,865</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w:t>
            </w:r>
          </w:p>
        </w:tc>
        <w:tc>
          <w:tcPr>
            <w:tcW w:w="36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96"/>
              </w:rPr>
              <w:t>%</w:t>
            </w:r>
          </w:p>
        </w:tc>
      </w:tr>
      <w:tr>
        <w:trPr>
          <w:trHeight w:val="175"/>
        </w:trPr>
        <w:tc>
          <w:tcPr>
            <w:tcW w:w="2040" w:type="dxa"/>
            <w:vAlign w:val="bottom"/>
          </w:tcPr>
          <w:p>
            <w:pPr>
              <w:ind w:left="20"/>
              <w:spacing w:after="0"/>
              <w:rPr>
                <w:sz w:val="20"/>
                <w:szCs w:val="20"/>
                <w:color w:val="auto"/>
              </w:rPr>
            </w:pPr>
            <w:r>
              <w:rPr>
                <w:rFonts w:ascii="Arial" w:cs="Arial" w:eastAsia="Arial" w:hAnsi="Arial"/>
                <w:sz w:val="14"/>
                <w:szCs w:val="14"/>
                <w:color w:val="auto"/>
              </w:rPr>
              <w:t>Southeast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237,269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29.3</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219,988</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30.6</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238,478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32.2</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197,380</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31.7</w:t>
            </w:r>
          </w:p>
        </w:tc>
        <w:tc>
          <w:tcPr>
            <w:tcW w:w="360" w:type="dxa"/>
            <w:vAlign w:val="bottom"/>
          </w:tcPr>
          <w:p>
            <w:pPr>
              <w:spacing w:after="0"/>
              <w:rPr>
                <w:sz w:val="15"/>
                <w:szCs w:val="15"/>
                <w:color w:val="auto"/>
              </w:rPr>
            </w:pPr>
          </w:p>
        </w:tc>
      </w:tr>
      <w:tr>
        <w:trPr>
          <w:trHeight w:val="176"/>
        </w:trPr>
        <w:tc>
          <w:tcPr>
            <w:tcW w:w="2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Northeast</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133,516</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w:t>
            </w:r>
          </w:p>
        </w:tc>
        <w:tc>
          <w:tcPr>
            <w:tcW w:w="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126,569</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133,162</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127,809</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w:t>
            </w:r>
          </w:p>
        </w:tc>
        <w:tc>
          <w:tcPr>
            <w:tcW w:w="360" w:type="dxa"/>
            <w:vAlign w:val="bottom"/>
            <w:shd w:val="clear" w:color="auto" w:fill="CFF0FC"/>
          </w:tcPr>
          <w:p>
            <w:pPr>
              <w:spacing w:after="0"/>
              <w:rPr>
                <w:sz w:val="15"/>
                <w:szCs w:val="15"/>
                <w:color w:val="auto"/>
              </w:rPr>
            </w:pPr>
          </w:p>
        </w:tc>
      </w:tr>
      <w:tr>
        <w:trPr>
          <w:trHeight w:val="175"/>
        </w:trPr>
        <w:tc>
          <w:tcPr>
            <w:tcW w:w="2040" w:type="dxa"/>
            <w:vAlign w:val="bottom"/>
          </w:tcPr>
          <w:p>
            <w:pPr>
              <w:ind w:left="20"/>
              <w:spacing w:after="0"/>
              <w:rPr>
                <w:sz w:val="20"/>
                <w:szCs w:val="20"/>
                <w:color w:val="auto"/>
              </w:rPr>
            </w:pPr>
            <w:r>
              <w:rPr>
                <w:rFonts w:ascii="Arial" w:cs="Arial" w:eastAsia="Arial" w:hAnsi="Arial"/>
                <w:sz w:val="14"/>
                <w:szCs w:val="14"/>
                <w:color w:val="auto"/>
              </w:rPr>
              <w:t>West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119,820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14.8</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105,918</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14.7</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121,869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16.5</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100,098</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16.1</w:t>
            </w:r>
          </w:p>
        </w:tc>
        <w:tc>
          <w:tcPr>
            <w:tcW w:w="360" w:type="dxa"/>
            <w:vAlign w:val="bottom"/>
          </w:tcPr>
          <w:p>
            <w:pPr>
              <w:spacing w:after="0"/>
              <w:rPr>
                <w:sz w:val="15"/>
                <w:szCs w:val="15"/>
                <w:color w:val="auto"/>
              </w:rPr>
            </w:pPr>
          </w:p>
        </w:tc>
      </w:tr>
      <w:tr>
        <w:trPr>
          <w:trHeight w:val="175"/>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Southwest</w:t>
            </w:r>
          </w:p>
        </w:tc>
        <w:tc>
          <w:tcPr>
            <w:tcW w:w="2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130,057</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4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109,427</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4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121,828</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w:t>
            </w:r>
          </w:p>
        </w:tc>
        <w:tc>
          <w:tcPr>
            <w:tcW w:w="4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106,634</w:t>
            </w:r>
          </w:p>
        </w:tc>
        <w:tc>
          <w:tcPr>
            <w:tcW w:w="2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w:t>
            </w:r>
          </w:p>
        </w:tc>
        <w:tc>
          <w:tcPr>
            <w:tcW w:w="360" w:type="dxa"/>
            <w:vAlign w:val="bottom"/>
            <w:tcBorders>
              <w:bottom w:val="single" w:sz="8" w:color="CFF0FC"/>
            </w:tcBorders>
            <w:shd w:val="clear" w:color="auto" w:fill="CFF0FC"/>
          </w:tcPr>
          <w:p>
            <w:pPr>
              <w:spacing w:after="0"/>
              <w:rPr>
                <w:sz w:val="15"/>
                <w:szCs w:val="15"/>
                <w:color w:val="auto"/>
              </w:rPr>
            </w:pPr>
          </w:p>
        </w:tc>
      </w:tr>
      <w:tr>
        <w:trPr>
          <w:trHeight w:val="169"/>
        </w:trPr>
        <w:tc>
          <w:tcPr>
            <w:tcW w:w="2040" w:type="dxa"/>
            <w:vAlign w:val="bottom"/>
          </w:tcPr>
          <w:p>
            <w:pPr>
              <w:ind w:left="20"/>
              <w:spacing w:after="0" w:line="155" w:lineRule="exact"/>
              <w:rPr>
                <w:sz w:val="20"/>
                <w:szCs w:val="20"/>
                <w:color w:val="auto"/>
              </w:rPr>
            </w:pPr>
            <w:r>
              <w:rPr>
                <w:rFonts w:ascii="Arial" w:cs="Arial" w:eastAsia="Arial" w:hAnsi="Arial"/>
                <w:sz w:val="14"/>
                <w:szCs w:val="14"/>
                <w:color w:val="auto"/>
              </w:rPr>
              <w:t>Total</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810,520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268"/>
              <w:spacing w:after="0" w:line="155" w:lineRule="exact"/>
              <w:rPr>
                <w:sz w:val="20"/>
                <w:szCs w:val="20"/>
                <w:color w:val="auto"/>
              </w:rPr>
            </w:pPr>
            <w:r>
              <w:rPr>
                <w:rFonts w:ascii="Arial" w:cs="Arial" w:eastAsia="Arial" w:hAnsi="Arial"/>
                <w:sz w:val="14"/>
                <w:szCs w:val="14"/>
                <w:color w:val="auto"/>
              </w:rPr>
              <w:t>100.0 %</w:t>
            </w:r>
          </w:p>
        </w:tc>
        <w:tc>
          <w:tcPr>
            <w:tcW w:w="28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719,124</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jc w:val="right"/>
              <w:ind w:right="228"/>
              <w:spacing w:after="0" w:line="155" w:lineRule="exact"/>
              <w:rPr>
                <w:sz w:val="20"/>
                <w:szCs w:val="20"/>
                <w:color w:val="auto"/>
              </w:rPr>
            </w:pPr>
            <w:r>
              <w:rPr>
                <w:rFonts w:ascii="Arial" w:cs="Arial" w:eastAsia="Arial" w:hAnsi="Arial"/>
                <w:sz w:val="14"/>
                <w:szCs w:val="14"/>
                <w:color w:val="auto"/>
              </w:rPr>
              <w:t>100.0 %</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739,714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228"/>
              <w:spacing w:after="0" w:line="155" w:lineRule="exact"/>
              <w:rPr>
                <w:sz w:val="20"/>
                <w:szCs w:val="20"/>
                <w:color w:val="auto"/>
              </w:rPr>
            </w:pPr>
            <w:r>
              <w:rPr>
                <w:rFonts w:ascii="Arial" w:cs="Arial" w:eastAsia="Arial" w:hAnsi="Arial"/>
                <w:sz w:val="14"/>
                <w:szCs w:val="14"/>
                <w:color w:val="auto"/>
              </w:rPr>
              <w:t>100.0 %</w:t>
            </w: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621,786</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2"/>
          </w:tcPr>
          <w:p>
            <w:pPr>
              <w:jc w:val="right"/>
              <w:ind w:right="148"/>
              <w:spacing w:after="0" w:line="155" w:lineRule="exact"/>
              <w:rPr>
                <w:sz w:val="20"/>
                <w:szCs w:val="20"/>
                <w:color w:val="auto"/>
              </w:rPr>
            </w:pPr>
            <w:r>
              <w:rPr>
                <w:rFonts w:ascii="Arial" w:cs="Arial" w:eastAsia="Arial" w:hAnsi="Arial"/>
                <w:sz w:val="14"/>
                <w:szCs w:val="14"/>
                <w:color w:val="auto"/>
              </w:rPr>
              <w:t>100.0 %</w:t>
            </w:r>
          </w:p>
        </w:tc>
      </w:tr>
      <w:tr>
        <w:trPr>
          <w:trHeight w:val="20"/>
        </w:trPr>
        <w:tc>
          <w:tcPr>
            <w:tcW w:w="2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-142240</wp:posOffset>
            </wp:positionV>
            <wp:extent cx="7683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-142240</wp:posOffset>
            </wp:positionV>
            <wp:extent cx="7683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-142240</wp:posOffset>
            </wp:positionV>
            <wp:extent cx="685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-142240</wp:posOffset>
            </wp:positionV>
            <wp:extent cx="685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-142240</wp:posOffset>
            </wp:positionV>
            <wp:extent cx="685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-142240</wp:posOffset>
            </wp:positionV>
            <wp:extent cx="6858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-142240</wp:posOffset>
            </wp:positionV>
            <wp:extent cx="6858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-142240</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020"/>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3780"/>
        <w:spacing w:after="0" w:line="234" w:lineRule="auto"/>
        <w:rPr>
          <w:sz w:val="20"/>
          <w:szCs w:val="20"/>
          <w:color w:val="auto"/>
        </w:rPr>
      </w:pPr>
      <w:r>
        <w:rPr>
          <w:rFonts w:ascii="Arial" w:cs="Arial" w:eastAsia="Arial" w:hAnsi="Arial"/>
          <w:sz w:val="18"/>
          <w:szCs w:val="18"/>
          <w:b w:val="1"/>
          <w:bCs w:val="1"/>
          <w:color w:val="auto"/>
        </w:rPr>
        <w:t>(in thousands, except shares and per share data)</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portfolio composition by type and by geographic region at fair value as a percentage of net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1"/>
              </w:rPr>
              <w:t>By Type</w:t>
            </w: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By Geographic Region</w:t>
            </w:r>
          </w:p>
        </w:tc>
        <w:tc>
          <w:tcPr>
            <w:tcW w:w="146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r>
      <w:tr>
        <w:trPr>
          <w:trHeight w:val="160"/>
        </w:trPr>
        <w:tc>
          <w:tcPr>
            <w:tcW w:w="2160" w:type="dxa"/>
            <w:vAlign w:val="bottom"/>
          </w:tcPr>
          <w:p>
            <w:pPr>
              <w:spacing w:after="0"/>
              <w:rPr>
                <w:sz w:val="13"/>
                <w:szCs w:val="13"/>
                <w:color w:val="auto"/>
              </w:rPr>
            </w:pPr>
          </w:p>
        </w:tc>
        <w:tc>
          <w:tcPr>
            <w:tcW w:w="980" w:type="dxa"/>
            <w:vAlign w:val="bottom"/>
          </w:tcPr>
          <w:p>
            <w:pPr>
              <w:jc w:val="center"/>
              <w:ind w:left="308"/>
              <w:spacing w:after="0" w:line="160" w:lineRule="exact"/>
              <w:rPr>
                <w:sz w:val="20"/>
                <w:szCs w:val="20"/>
                <w:color w:val="auto"/>
              </w:rPr>
            </w:pPr>
            <w:r>
              <w:rPr>
                <w:rFonts w:ascii="Arial" w:cs="Arial" w:eastAsia="Arial" w:hAnsi="Arial"/>
                <w:sz w:val="14"/>
                <w:szCs w:val="14"/>
                <w:b w:val="1"/>
                <w:bCs w:val="1"/>
                <w:color w:val="auto"/>
                <w:w w:val="92"/>
              </w:rPr>
              <w:t>June 30,</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940" w:type="dxa"/>
            <w:vAlign w:val="bottom"/>
            <w:gridSpan w:val="2"/>
          </w:tcPr>
          <w:p>
            <w:pPr>
              <w:jc w:val="right"/>
              <w:ind w:right="928"/>
              <w:spacing w:after="0" w:line="160" w:lineRule="exact"/>
              <w:rPr>
                <w:sz w:val="20"/>
                <w:szCs w:val="20"/>
                <w:color w:val="auto"/>
              </w:rPr>
            </w:pPr>
            <w:r>
              <w:rPr>
                <w:rFonts w:ascii="Arial" w:cs="Arial" w:eastAsia="Arial" w:hAnsi="Arial"/>
                <w:sz w:val="14"/>
                <w:szCs w:val="14"/>
                <w:b w:val="1"/>
                <w:bCs w:val="1"/>
                <w:color w:val="auto"/>
              </w:rPr>
              <w:t>June 30,</w:t>
            </w:r>
          </w:p>
        </w:tc>
        <w:tc>
          <w:tcPr>
            <w:tcW w:w="146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3"/>
                <w:szCs w:val="13"/>
                <w:color w:val="auto"/>
              </w:rPr>
            </w:pPr>
          </w:p>
        </w:tc>
      </w:tr>
      <w:tr>
        <w:trPr>
          <w:trHeight w:val="185"/>
        </w:trPr>
        <w:tc>
          <w:tcPr>
            <w:tcW w:w="3140" w:type="dxa"/>
            <w:vAlign w:val="bottom"/>
            <w:gridSpan w:val="2"/>
          </w:tcPr>
          <w:p>
            <w:pPr>
              <w:jc w:val="center"/>
              <w:ind w:left="2468"/>
              <w:spacing w:after="0"/>
              <w:rPr>
                <w:sz w:val="20"/>
                <w:szCs w:val="20"/>
                <w:color w:val="auto"/>
              </w:rPr>
            </w:pPr>
            <w:r>
              <w:rPr>
                <w:rFonts w:ascii="Arial" w:cs="Arial" w:eastAsia="Arial" w:hAnsi="Arial"/>
                <w:sz w:val="14"/>
                <w:szCs w:val="14"/>
                <w:b w:val="1"/>
                <w:bCs w:val="1"/>
                <w:color w:val="auto"/>
                <w:w w:val="89"/>
              </w:rPr>
              <w:t>2022</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46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r>
      <w:tr>
        <w:trPr>
          <w:trHeight w:val="16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First Lien Debt</w:t>
            </w:r>
          </w:p>
        </w:tc>
        <w:tc>
          <w:tcPr>
            <w:tcW w:w="9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6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9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62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96"/>
              </w:rPr>
              <w:t>%</w:t>
            </w:r>
          </w:p>
        </w:tc>
        <w:tc>
          <w:tcPr>
            <w:tcW w:w="1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Midwest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60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9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9"/>
              </w:rPr>
              <w:t>%</w:t>
            </w:r>
          </w:p>
        </w:tc>
      </w:tr>
      <w:tr>
        <w:trPr>
          <w:trHeight w:val="176"/>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Second Lien Debt</w:t>
            </w:r>
          </w:p>
        </w:tc>
        <w:tc>
          <w:tcPr>
            <w:tcW w:w="380" w:type="dxa"/>
            <w:vAlign w:val="bottom"/>
          </w:tcPr>
          <w:p>
            <w:pPr>
              <w:jc w:val="right"/>
              <w:spacing w:after="0"/>
              <w:rPr>
                <w:sz w:val="20"/>
                <w:szCs w:val="20"/>
                <w:color w:val="auto"/>
              </w:rPr>
            </w:pPr>
            <w:r>
              <w:rPr>
                <w:rFonts w:ascii="Arial" w:cs="Arial" w:eastAsia="Arial" w:hAnsi="Arial"/>
                <w:sz w:val="14"/>
                <w:szCs w:val="14"/>
                <w:color w:val="auto"/>
              </w:rPr>
              <w:t>34.8</w:t>
            </w:r>
          </w:p>
        </w:tc>
        <w:tc>
          <w:tcPr>
            <w:tcW w:w="6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32.6</w:t>
            </w:r>
          </w:p>
        </w:tc>
        <w:tc>
          <w:tcPr>
            <w:tcW w:w="620" w:type="dxa"/>
            <w:vAlign w:val="bottom"/>
          </w:tcPr>
          <w:p>
            <w:pPr>
              <w:spacing w:after="0"/>
              <w:rPr>
                <w:sz w:val="15"/>
                <w:szCs w:val="15"/>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Southeast</w:t>
            </w:r>
          </w:p>
        </w:tc>
        <w:tc>
          <w:tcPr>
            <w:tcW w:w="1340" w:type="dxa"/>
            <w:vAlign w:val="bottom"/>
          </w:tcPr>
          <w:p>
            <w:pPr>
              <w:jc w:val="right"/>
              <w:spacing w:after="0"/>
              <w:rPr>
                <w:sz w:val="20"/>
                <w:szCs w:val="20"/>
                <w:color w:val="auto"/>
              </w:rPr>
            </w:pPr>
            <w:r>
              <w:rPr>
                <w:rFonts w:ascii="Arial" w:cs="Arial" w:eastAsia="Arial" w:hAnsi="Arial"/>
                <w:sz w:val="14"/>
                <w:szCs w:val="14"/>
                <w:color w:val="auto"/>
              </w:rPr>
              <w:t>49.0</w:t>
            </w:r>
          </w:p>
        </w:tc>
        <w:tc>
          <w:tcPr>
            <w:tcW w:w="6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45.1</w:t>
            </w:r>
          </w:p>
        </w:tc>
        <w:tc>
          <w:tcPr>
            <w:tcW w:w="400" w:type="dxa"/>
            <w:vAlign w:val="bottom"/>
          </w:tcPr>
          <w:p>
            <w:pPr>
              <w:spacing w:after="0"/>
              <w:rPr>
                <w:sz w:val="15"/>
                <w:szCs w:val="15"/>
                <w:color w:val="auto"/>
              </w:rPr>
            </w:pPr>
          </w:p>
        </w:tc>
      </w:tr>
      <w:tr>
        <w:trPr>
          <w:trHeight w:val="17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Subordinated Debt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6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620" w:type="dxa"/>
            <w:vAlign w:val="bottom"/>
            <w:shd w:val="clear" w:color="auto" w:fill="CCEEFF"/>
          </w:tcPr>
          <w:p>
            <w:pPr>
              <w:spacing w:after="0"/>
              <w:rPr>
                <w:sz w:val="15"/>
                <w:szCs w:val="15"/>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Northeast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6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400" w:type="dxa"/>
            <w:vAlign w:val="bottom"/>
            <w:shd w:val="clear" w:color="auto" w:fill="CCEEFF"/>
          </w:tcPr>
          <w:p>
            <w:pPr>
              <w:spacing w:after="0"/>
              <w:rPr>
                <w:sz w:val="15"/>
                <w:szCs w:val="15"/>
                <w:color w:val="auto"/>
              </w:rPr>
            </w:pPr>
          </w:p>
        </w:tc>
      </w:tr>
      <w:tr>
        <w:trPr>
          <w:trHeight w:val="175"/>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Equity</w:t>
            </w:r>
          </w:p>
        </w:tc>
        <w:tc>
          <w:tcPr>
            <w:tcW w:w="380" w:type="dxa"/>
            <w:vAlign w:val="bottom"/>
          </w:tcPr>
          <w:p>
            <w:pPr>
              <w:jc w:val="right"/>
              <w:spacing w:after="0"/>
              <w:rPr>
                <w:sz w:val="20"/>
                <w:szCs w:val="20"/>
                <w:color w:val="auto"/>
              </w:rPr>
            </w:pPr>
            <w:r>
              <w:rPr>
                <w:rFonts w:ascii="Arial" w:cs="Arial" w:eastAsia="Arial" w:hAnsi="Arial"/>
                <w:sz w:val="14"/>
                <w:szCs w:val="14"/>
                <w:color w:val="auto"/>
              </w:rPr>
              <w:t>28.5</w:t>
            </w:r>
          </w:p>
        </w:tc>
        <w:tc>
          <w:tcPr>
            <w:tcW w:w="6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34.0</w:t>
            </w:r>
          </w:p>
        </w:tc>
        <w:tc>
          <w:tcPr>
            <w:tcW w:w="620" w:type="dxa"/>
            <w:vAlign w:val="bottom"/>
          </w:tcPr>
          <w:p>
            <w:pPr>
              <w:spacing w:after="0"/>
              <w:rPr>
                <w:sz w:val="15"/>
                <w:szCs w:val="15"/>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West</w:t>
            </w:r>
          </w:p>
        </w:tc>
        <w:tc>
          <w:tcPr>
            <w:tcW w:w="1340" w:type="dxa"/>
            <w:vAlign w:val="bottom"/>
          </w:tcPr>
          <w:p>
            <w:pPr>
              <w:jc w:val="right"/>
              <w:spacing w:after="0"/>
              <w:rPr>
                <w:sz w:val="20"/>
                <w:szCs w:val="20"/>
                <w:color w:val="auto"/>
              </w:rPr>
            </w:pPr>
            <w:r>
              <w:rPr>
                <w:rFonts w:ascii="Arial" w:cs="Arial" w:eastAsia="Arial" w:hAnsi="Arial"/>
                <w:sz w:val="14"/>
                <w:szCs w:val="14"/>
                <w:color w:val="auto"/>
              </w:rPr>
              <w:t>24.8</w:t>
            </w:r>
          </w:p>
        </w:tc>
        <w:tc>
          <w:tcPr>
            <w:tcW w:w="6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21.7</w:t>
            </w:r>
          </w:p>
        </w:tc>
        <w:tc>
          <w:tcPr>
            <w:tcW w:w="400" w:type="dxa"/>
            <w:vAlign w:val="bottom"/>
          </w:tcPr>
          <w:p>
            <w:pPr>
              <w:spacing w:after="0"/>
              <w:rPr>
                <w:sz w:val="15"/>
                <w:szCs w:val="15"/>
                <w:color w:val="auto"/>
              </w:rPr>
            </w:pPr>
          </w:p>
        </w:tc>
      </w:tr>
      <w:tr>
        <w:trPr>
          <w:trHeight w:val="176"/>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9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6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6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Southwest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6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400" w:type="dxa"/>
            <w:vAlign w:val="bottom"/>
            <w:tcBorders>
              <w:bottom w:val="single" w:sz="8" w:color="CCEEFF"/>
            </w:tcBorders>
            <w:shd w:val="clear" w:color="auto" w:fill="CCEEFF"/>
          </w:tcPr>
          <w:p>
            <w:pPr>
              <w:spacing w:after="0"/>
              <w:rPr>
                <w:sz w:val="15"/>
                <w:szCs w:val="15"/>
                <w:color w:val="auto"/>
              </w:rPr>
            </w:pPr>
          </w:p>
        </w:tc>
      </w:tr>
      <w:tr>
        <w:trPr>
          <w:trHeight w:val="169"/>
        </w:trPr>
        <w:tc>
          <w:tcPr>
            <w:tcW w:w="31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w:t>
            </w:r>
          </w:p>
        </w:tc>
        <w:tc>
          <w:tcPr>
            <w:tcW w:w="1020" w:type="dxa"/>
            <w:vAlign w:val="bottom"/>
            <w:gridSpan w:val="2"/>
          </w:tcPr>
          <w:p>
            <w:pPr>
              <w:jc w:val="right"/>
              <w:ind w:right="428"/>
              <w:spacing w:after="0" w:line="155" w:lineRule="exact"/>
              <w:rPr>
                <w:sz w:val="20"/>
                <w:szCs w:val="20"/>
                <w:color w:val="auto"/>
              </w:rPr>
            </w:pPr>
            <w:r>
              <w:rPr>
                <w:rFonts w:ascii="Arial" w:cs="Arial" w:eastAsia="Arial" w:hAnsi="Arial"/>
                <w:sz w:val="14"/>
                <w:szCs w:val="14"/>
                <w:color w:val="auto"/>
                <w:w w:val="97"/>
              </w:rPr>
              <w:t>167.5 %</w:t>
            </w:r>
          </w:p>
        </w:tc>
        <w:tc>
          <w:tcPr>
            <w:tcW w:w="2100" w:type="dxa"/>
            <w:vAlign w:val="bottom"/>
            <w:gridSpan w:val="2"/>
          </w:tcPr>
          <w:p>
            <w:pPr>
              <w:jc w:val="right"/>
              <w:ind w:right="408"/>
              <w:spacing w:after="0" w:line="155" w:lineRule="exact"/>
              <w:rPr>
                <w:sz w:val="20"/>
                <w:szCs w:val="20"/>
                <w:color w:val="auto"/>
              </w:rPr>
            </w:pPr>
            <w:r>
              <w:rPr>
                <w:rFonts w:ascii="Arial" w:cs="Arial" w:eastAsia="Arial" w:hAnsi="Arial"/>
                <w:sz w:val="14"/>
                <w:szCs w:val="14"/>
                <w:color w:val="auto"/>
              </w:rPr>
              <w:t>147.4 %</w:t>
            </w:r>
          </w:p>
        </w:tc>
        <w:tc>
          <w:tcPr>
            <w:tcW w:w="1180" w:type="dxa"/>
            <w:vAlign w:val="bottom"/>
          </w:tcPr>
          <w:p>
            <w:pPr>
              <w:ind w:left="20"/>
              <w:spacing w:after="0" w:line="155" w:lineRule="exact"/>
              <w:rPr>
                <w:sz w:val="20"/>
                <w:szCs w:val="20"/>
                <w:color w:val="auto"/>
              </w:rPr>
            </w:pPr>
            <w:r>
              <w:rPr>
                <w:rFonts w:ascii="Arial" w:cs="Arial" w:eastAsia="Arial" w:hAnsi="Arial"/>
                <w:sz w:val="14"/>
                <w:szCs w:val="14"/>
                <w:color w:val="auto"/>
              </w:rPr>
              <w:t>Total</w:t>
            </w:r>
          </w:p>
        </w:tc>
        <w:tc>
          <w:tcPr>
            <w:tcW w:w="1940" w:type="dxa"/>
            <w:vAlign w:val="bottom"/>
            <w:gridSpan w:val="2"/>
          </w:tcPr>
          <w:p>
            <w:pPr>
              <w:jc w:val="right"/>
              <w:ind w:right="388"/>
              <w:spacing w:after="0" w:line="155" w:lineRule="exact"/>
              <w:rPr>
                <w:sz w:val="20"/>
                <w:szCs w:val="20"/>
                <w:color w:val="auto"/>
              </w:rPr>
            </w:pPr>
            <w:r>
              <w:rPr>
                <w:rFonts w:ascii="Arial" w:cs="Arial" w:eastAsia="Arial" w:hAnsi="Arial"/>
                <w:sz w:val="14"/>
                <w:szCs w:val="14"/>
                <w:color w:val="auto"/>
              </w:rPr>
              <w:t>167.5 %</w:t>
            </w:r>
          </w:p>
        </w:tc>
        <w:tc>
          <w:tcPr>
            <w:tcW w:w="1860" w:type="dxa"/>
            <w:vAlign w:val="bottom"/>
            <w:gridSpan w:val="2"/>
          </w:tcPr>
          <w:p>
            <w:pPr>
              <w:jc w:val="right"/>
              <w:ind w:right="208"/>
              <w:spacing w:after="0" w:line="155" w:lineRule="exact"/>
              <w:rPr>
                <w:sz w:val="20"/>
                <w:szCs w:val="20"/>
                <w:color w:val="auto"/>
              </w:rPr>
            </w:pPr>
            <w:r>
              <w:rPr>
                <w:rFonts w:ascii="Arial" w:cs="Arial" w:eastAsia="Arial" w:hAnsi="Arial"/>
                <w:sz w:val="14"/>
                <w:szCs w:val="14"/>
                <w:color w:val="auto"/>
              </w:rPr>
              <w:t>147.4 %</w:t>
            </w:r>
          </w:p>
        </w:tc>
      </w:tr>
      <w:tr>
        <w:trPr>
          <w:trHeight w:val="20"/>
        </w:trPr>
        <w:tc>
          <w:tcPr>
            <w:tcW w:w="2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-142240</wp:posOffset>
            </wp:positionV>
            <wp:extent cx="7683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-142240</wp:posOffset>
            </wp:positionV>
            <wp:extent cx="7683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-142240</wp:posOffset>
            </wp:positionV>
            <wp:extent cx="685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-142240</wp:posOffset>
            </wp:positionV>
            <wp:extent cx="6858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As of June 30, 2022 and December 31, 2021, the Company had no portfolio company investments that represented more than 10% of the total investment portfolio on a fair value or cost basis. As of June 30, 2022 and December 31, 2021, the Company's investment in Pfanstiehl, Inc. totaled $61,274 and $57,639 or 6.7% and 6.4% of total assets, respectively.</w:t>
      </w:r>
    </w:p>
    <w:p>
      <w:pPr>
        <w:spacing w:after="0" w:line="128"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As of June 30, 2022, the Company had debt investments in three portfolio companies on non-accrual status. As of December 31, 2021, the Company had a debt investment in one portfolio company on non-accrual status.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b w:val="1"/>
                <w:bCs w:val="1"/>
                <w:color w:val="auto"/>
              </w:rPr>
              <w:t>June 30, 2022</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3"/>
                <w:szCs w:val="13"/>
                <w:b w:val="1"/>
                <w:bCs w:val="1"/>
                <w:color w:val="auto"/>
                <w:w w:val="85"/>
              </w:rPr>
              <w:t>December 31, 2021</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ind w:right="377"/>
              <w:spacing w:after="0" w:line="125"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ind w:left="200"/>
              <w:spacing w:after="0" w:line="125" w:lineRule="exact"/>
              <w:rPr>
                <w:sz w:val="20"/>
                <w:szCs w:val="20"/>
                <w:color w:val="auto"/>
              </w:rPr>
            </w:pPr>
            <w:r>
              <w:rPr>
                <w:rFonts w:ascii="Arial" w:cs="Arial" w:eastAsia="Arial" w:hAnsi="Arial"/>
                <w:sz w:val="13"/>
                <w:szCs w:val="13"/>
                <w:b w:val="1"/>
                <w:bCs w:val="1"/>
                <w:color w:val="auto"/>
              </w:rPr>
              <w:t>Fair</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5660" w:type="dxa"/>
            <w:vAlign w:val="bottom"/>
            <w:gridSpan w:val="2"/>
          </w:tcPr>
          <w:p>
            <w:pPr>
              <w:ind w:left="20"/>
              <w:spacing w:after="0"/>
              <w:rPr>
                <w:sz w:val="20"/>
                <w:szCs w:val="20"/>
                <w:color w:val="auto"/>
              </w:rPr>
            </w:pPr>
            <w:r>
              <w:rPr>
                <w:rFonts w:ascii="Arial" w:cs="Arial" w:eastAsia="Arial" w:hAnsi="Arial"/>
                <w:sz w:val="13"/>
                <w:szCs w:val="13"/>
                <w:b w:val="1"/>
                <w:bCs w:val="1"/>
                <w:color w:val="auto"/>
              </w:rPr>
              <w:t>Portfolio Company</w:t>
            </w:r>
          </w:p>
        </w:tc>
        <w:tc>
          <w:tcPr>
            <w:tcW w:w="220" w:type="dxa"/>
            <w:vAlign w:val="bottom"/>
          </w:tcPr>
          <w:p>
            <w:pPr>
              <w:spacing w:after="0"/>
              <w:rPr>
                <w:sz w:val="14"/>
                <w:szCs w:val="14"/>
                <w:color w:val="auto"/>
              </w:rPr>
            </w:pPr>
          </w:p>
        </w:tc>
        <w:tc>
          <w:tcPr>
            <w:tcW w:w="860" w:type="dxa"/>
            <w:vAlign w:val="bottom"/>
          </w:tcPr>
          <w:p>
            <w:pPr>
              <w:jc w:val="right"/>
              <w:ind w:right="337"/>
              <w:spacing w:after="0"/>
              <w:rPr>
                <w:sz w:val="20"/>
                <w:szCs w:val="20"/>
                <w:color w:val="auto"/>
              </w:rPr>
            </w:pPr>
            <w:r>
              <w:rPr>
                <w:rFonts w:ascii="Arial" w:cs="Arial" w:eastAsia="Arial" w:hAnsi="Arial"/>
                <w:sz w:val="13"/>
                <w:szCs w:val="13"/>
                <w:b w:val="1"/>
                <w:bCs w:val="1"/>
                <w:color w:val="auto"/>
              </w:rPr>
              <w:t>Value</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377"/>
              <w:spacing w:after="0"/>
              <w:rPr>
                <w:sz w:val="20"/>
                <w:szCs w:val="20"/>
                <w:color w:val="auto"/>
              </w:rPr>
            </w:pPr>
            <w:r>
              <w:rPr>
                <w:rFonts w:ascii="Arial" w:cs="Arial" w:eastAsia="Arial" w:hAnsi="Arial"/>
                <w:sz w:val="13"/>
                <w:szCs w:val="13"/>
                <w:b w:val="1"/>
                <w:bCs w:val="1"/>
                <w:color w:val="auto"/>
              </w:rPr>
              <w:t>Cost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3"/>
                <w:szCs w:val="13"/>
                <w:b w:val="1"/>
                <w:bCs w:val="1"/>
                <w:color w:val="auto"/>
              </w:rPr>
              <w:t>Value</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377"/>
              <w:spacing w:after="0"/>
              <w:rPr>
                <w:sz w:val="20"/>
                <w:szCs w:val="20"/>
                <w:color w:val="auto"/>
              </w:rPr>
            </w:pPr>
            <w:r>
              <w:rPr>
                <w:rFonts w:ascii="Arial" w:cs="Arial" w:eastAsia="Arial" w:hAnsi="Arial"/>
                <w:sz w:val="13"/>
                <w:szCs w:val="13"/>
                <w:b w:val="1"/>
                <w:bCs w:val="1"/>
                <w:color w:val="auto"/>
                <w:w w:val="89"/>
              </w:rPr>
              <w:t>Cost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480" w:type="dxa"/>
            <w:vAlign w:val="bottom"/>
            <w:tcBorders>
              <w:top w:val="single" w:sz="8" w:color="auto"/>
            </w:tcBorders>
            <w:shd w:val="clear" w:color="auto" w:fill="CCEEFF"/>
          </w:tcPr>
          <w:p>
            <w:pPr>
              <w:ind w:left="20"/>
              <w:spacing w:after="0" w:line="144" w:lineRule="exact"/>
              <w:rPr>
                <w:sz w:val="20"/>
                <w:szCs w:val="20"/>
                <w:color w:val="auto"/>
              </w:rPr>
            </w:pPr>
            <w:r>
              <w:rPr>
                <w:rFonts w:ascii="Arial" w:cs="Arial" w:eastAsia="Arial" w:hAnsi="Arial"/>
                <w:sz w:val="13"/>
                <w:szCs w:val="13"/>
                <w:color w:val="auto"/>
              </w:rPr>
              <w:t>EBL, LLC (EbLens)</w:t>
            </w:r>
          </w:p>
        </w:tc>
        <w:tc>
          <w:tcPr>
            <w:tcW w:w="1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5,588</w:t>
            </w:r>
          </w:p>
        </w:tc>
        <w:tc>
          <w:tcPr>
            <w:tcW w:w="28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197"/>
              <w:spacing w:after="0" w:line="144"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9,337</w:t>
            </w:r>
          </w:p>
        </w:tc>
        <w:tc>
          <w:tcPr>
            <w:tcW w:w="2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ind w:left="720"/>
              <w:spacing w:after="0" w:line="144" w:lineRule="exact"/>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jc w:val="center"/>
              <w:ind w:left="38"/>
              <w:spacing w:after="0"/>
              <w:rPr>
                <w:sz w:val="20"/>
                <w:szCs w:val="20"/>
                <w:color w:val="auto"/>
              </w:rPr>
            </w:pPr>
            <w:r>
              <w:rPr>
                <w:rFonts w:ascii="Arial" w:cs="Arial" w:eastAsia="Arial" w:hAnsi="Arial"/>
                <w:sz w:val="8"/>
                <w:szCs w:val="8"/>
                <w:color w:val="auto"/>
              </w:rPr>
              <w:t>(1)</w:t>
            </w:r>
          </w:p>
        </w:tc>
        <w:tc>
          <w:tcPr>
            <w:tcW w:w="440" w:type="dxa"/>
            <w:vAlign w:val="bottom"/>
            <w:tcBorders>
              <w:top w:val="single" w:sz="8" w:color="auto"/>
            </w:tcBorders>
            <w:shd w:val="clear" w:color="auto" w:fill="CCEEFF"/>
          </w:tcPr>
          <w:p>
            <w:pPr>
              <w:jc w:val="right"/>
              <w:ind w:right="297"/>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05"/>
        </w:trPr>
        <w:tc>
          <w:tcPr>
            <w:tcW w:w="5660" w:type="dxa"/>
            <w:vAlign w:val="bottom"/>
            <w:gridSpan w:val="2"/>
            <w:vMerge w:val="restart"/>
          </w:tcPr>
          <w:p>
            <w:pPr>
              <w:ind w:left="20"/>
              <w:spacing w:after="0"/>
              <w:rPr>
                <w:sz w:val="20"/>
                <w:szCs w:val="20"/>
                <w:color w:val="auto"/>
              </w:rPr>
            </w:pPr>
            <w:r>
              <w:rPr>
                <w:rFonts w:ascii="Arial" w:cs="Arial" w:eastAsia="Arial" w:hAnsi="Arial"/>
                <w:sz w:val="13"/>
                <w:szCs w:val="13"/>
                <w:color w:val="auto"/>
              </w:rPr>
              <w:t>US GreenFiber, LLC</w:t>
            </w:r>
          </w:p>
        </w:tc>
        <w:tc>
          <w:tcPr>
            <w:tcW w:w="2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5,223</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restart"/>
          </w:tcPr>
          <w:p>
            <w:pPr>
              <w:ind w:left="720"/>
              <w:spacing w:after="0"/>
              <w:rPr>
                <w:sz w:val="20"/>
                <w:szCs w:val="20"/>
                <w:color w:val="auto"/>
              </w:rPr>
            </w:pPr>
            <w:r>
              <w:rPr>
                <w:rFonts w:ascii="Arial" w:cs="Arial" w:eastAsia="Arial" w:hAnsi="Arial"/>
                <w:sz w:val="13"/>
                <w:szCs w:val="13"/>
                <w:color w:val="auto"/>
                <w:w w:val="91"/>
              </w:rPr>
              <w:t>—</w:t>
            </w:r>
          </w:p>
        </w:tc>
        <w:tc>
          <w:tcPr>
            <w:tcW w:w="260" w:type="dxa"/>
            <w:vAlign w:val="bottom"/>
          </w:tcPr>
          <w:p>
            <w:pPr>
              <w:jc w:val="center"/>
              <w:ind w:left="38"/>
              <w:spacing w:after="0"/>
              <w:rPr>
                <w:sz w:val="20"/>
                <w:szCs w:val="20"/>
                <w:color w:val="auto"/>
              </w:rPr>
            </w:pPr>
            <w:r>
              <w:rPr>
                <w:rFonts w:ascii="Arial" w:cs="Arial" w:eastAsia="Arial" w:hAnsi="Arial"/>
                <w:sz w:val="8"/>
                <w:szCs w:val="8"/>
                <w:color w:val="auto"/>
              </w:rPr>
              <w:t>(2)</w:t>
            </w:r>
          </w:p>
        </w:tc>
        <w:tc>
          <w:tcPr>
            <w:tcW w:w="4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5,223</w:t>
            </w:r>
          </w:p>
        </w:tc>
        <w:tc>
          <w:tcPr>
            <w:tcW w:w="280" w:type="dxa"/>
            <w:vAlign w:val="bottom"/>
          </w:tcPr>
          <w:p>
            <w:pPr>
              <w:jc w:val="right"/>
              <w:ind w:right="18"/>
              <w:spacing w:after="0"/>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43"/>
        </w:trPr>
        <w:tc>
          <w:tcPr>
            <w:tcW w:w="56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K2 Merger Agreement Agent, LLC (fka K2 Industrial Services, Inc.)</w:t>
            </w: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2,188</w:t>
            </w:r>
          </w:p>
        </w:tc>
        <w:tc>
          <w:tcPr>
            <w:tcW w:w="2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2,368</w:t>
            </w: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w w:val="91"/>
              </w:rPr>
              <w:t>—</w:t>
            </w:r>
          </w:p>
        </w:tc>
        <w:tc>
          <w:tcPr>
            <w:tcW w:w="260" w:type="dxa"/>
            <w:vAlign w:val="bottom"/>
            <w:tcBorders>
              <w:bottom w:val="single" w:sz="8" w:color="CCEEFF"/>
            </w:tcBorders>
            <w:shd w:val="clear" w:color="auto" w:fill="CCEEFF"/>
          </w:tcPr>
          <w:p>
            <w:pPr>
              <w:jc w:val="center"/>
              <w:ind w:left="38"/>
              <w:spacing w:after="0"/>
              <w:rPr>
                <w:sz w:val="20"/>
                <w:szCs w:val="20"/>
                <w:color w:val="auto"/>
              </w:rPr>
            </w:pPr>
            <w:r>
              <w:rPr>
                <w:rFonts w:ascii="Arial" w:cs="Arial" w:eastAsia="Arial" w:hAnsi="Arial"/>
                <w:sz w:val="8"/>
                <w:szCs w:val="8"/>
                <w:color w:val="auto"/>
              </w:rPr>
              <w:t>(1)</w:t>
            </w:r>
          </w:p>
        </w:tc>
        <w:tc>
          <w:tcPr>
            <w:tcW w:w="4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55"/>
        </w:trPr>
        <w:tc>
          <w:tcPr>
            <w:tcW w:w="566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7,776</w:t>
            </w:r>
          </w:p>
        </w:tc>
        <w:tc>
          <w:tcPr>
            <w:tcW w:w="62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16,928</w:t>
            </w:r>
          </w:p>
        </w:tc>
        <w:tc>
          <w:tcPr>
            <w:tcW w:w="520" w:type="dxa"/>
            <w:vAlign w:val="bottom"/>
            <w:gridSpan w:val="2"/>
          </w:tcPr>
          <w:p>
            <w:pPr>
              <w:jc w:val="right"/>
              <w:ind w:right="128"/>
              <w:spacing w:after="0"/>
              <w:rPr>
                <w:sz w:val="20"/>
                <w:szCs w:val="20"/>
                <w:color w:val="auto"/>
              </w:rPr>
            </w:pPr>
            <w:r>
              <w:rPr>
                <w:rFonts w:ascii="Arial" w:cs="Arial" w:eastAsia="Arial" w:hAnsi="Arial"/>
                <w:sz w:val="13"/>
                <w:szCs w:val="13"/>
                <w:color w:val="auto"/>
              </w:rPr>
              <w:t>$</w:t>
            </w:r>
          </w:p>
        </w:tc>
        <w:tc>
          <w:tcPr>
            <w:tcW w:w="860" w:type="dxa"/>
            <w:vAlign w:val="bottom"/>
          </w:tcPr>
          <w:p>
            <w:pPr>
              <w:ind w:left="72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3"/>
                <w:szCs w:val="13"/>
                <w:color w:val="auto"/>
              </w:rPr>
            </w:pPr>
          </w:p>
        </w:tc>
        <w:tc>
          <w:tcPr>
            <w:tcW w:w="440" w:type="dxa"/>
            <w:vAlign w:val="bottom"/>
          </w:tcPr>
          <w:p>
            <w:pPr>
              <w:jc w:val="right"/>
              <w:ind w:right="29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5,223</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-125095</wp:posOffset>
            </wp:positionV>
            <wp:extent cx="7747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-125095</wp:posOffset>
            </wp:positionV>
            <wp:extent cx="7747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-125095</wp:posOffset>
            </wp:positionV>
            <wp:extent cx="685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-125095</wp:posOffset>
            </wp:positionV>
            <wp:extent cx="68580" cy="1257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25730"/>
                    </a:xfrm>
                    <a:prstGeom prst="rect">
                      <a:avLst/>
                    </a:prstGeom>
                    <a:noFill/>
                  </pic:spPr>
                </pic:pic>
              </a:graphicData>
            </a:graphic>
          </wp:anchor>
        </w:drawing>
      </w:r>
    </w:p>
    <w:p>
      <w:pPr>
        <w:spacing w:after="0" w:line="164" w:lineRule="exact"/>
        <w:rPr>
          <w:sz w:val="20"/>
          <w:szCs w:val="20"/>
          <w:color w:val="auto"/>
        </w:rPr>
      </w:pPr>
    </w:p>
    <w:p>
      <w:pPr>
        <w:ind w:left="360" w:hanging="339"/>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Portfolio company debt investment was not on non-accrual status as of December 31, 2021.</w:t>
      </w:r>
    </w:p>
    <w:p>
      <w:pPr>
        <w:spacing w:after="0" w:line="13" w:lineRule="exact"/>
        <w:rPr>
          <w:rFonts w:ascii="Arial" w:cs="Arial" w:eastAsia="Arial" w:hAnsi="Arial"/>
          <w:sz w:val="14"/>
          <w:szCs w:val="14"/>
          <w:color w:val="auto"/>
        </w:rPr>
      </w:pPr>
    </w:p>
    <w:p>
      <w:pPr>
        <w:ind w:left="360" w:hanging="339"/>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Portfolio company was on PIK-only non-accrual status at December 31, 2021, meaning the Company has ceased recognizing PIK interest income on the investment.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Schedule of Investments In and Advances To Affiliates</w:t>
      </w:r>
    </w:p>
    <w:p>
      <w:pPr>
        <w:spacing w:after="0" w:line="15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table below represents the fair value of control and affiliate investments as of December 31, 2021 and any additions and reductions made to such investments during the six months ended June 30, 2022, the ending fair value as of June 30, 2022, and the total investment income earned on such investments during the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9"/>
                <w:szCs w:val="9"/>
                <w:b w:val="1"/>
                <w:bCs w:val="1"/>
                <w:color w:val="auto"/>
                <w:w w:val="92"/>
              </w:rPr>
              <w:t>Six Months Ended June 30, 2022</w:t>
            </w: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jc w:val="right"/>
              <w:ind w:right="95"/>
              <w:spacing w:after="0"/>
              <w:rPr>
                <w:sz w:val="20"/>
                <w:szCs w:val="20"/>
                <w:color w:val="auto"/>
              </w:rPr>
            </w:pPr>
            <w:r>
              <w:rPr>
                <w:rFonts w:ascii="Arial" w:cs="Arial" w:eastAsia="Arial" w:hAnsi="Arial"/>
                <w:sz w:val="9"/>
                <w:szCs w:val="9"/>
                <w:b w:val="1"/>
                <w:bCs w:val="1"/>
                <w:color w:val="auto"/>
                <w:w w:val="88"/>
              </w:rPr>
              <w:t>June 30, 2022</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jc w:val="center"/>
              <w:ind w:right="55"/>
              <w:spacing w:after="0"/>
              <w:rPr>
                <w:sz w:val="20"/>
                <w:szCs w:val="20"/>
                <w:color w:val="auto"/>
              </w:rPr>
            </w:pPr>
            <w:r>
              <w:rPr>
                <w:rFonts w:ascii="Arial" w:cs="Arial" w:eastAsia="Arial" w:hAnsi="Arial"/>
                <w:sz w:val="9"/>
                <w:szCs w:val="9"/>
                <w:b w:val="1"/>
                <w:bCs w:val="1"/>
                <w:color w:val="auto"/>
                <w:w w:val="88"/>
              </w:rPr>
              <w:t>December 31,</w:t>
            </w: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gridSpan w:val="3"/>
            <w:vMerge w:val="restart"/>
          </w:tcPr>
          <w:p>
            <w:pPr>
              <w:jc w:val="center"/>
              <w:spacing w:after="0"/>
              <w:rPr>
                <w:sz w:val="20"/>
                <w:szCs w:val="20"/>
                <w:color w:val="auto"/>
              </w:rPr>
            </w:pPr>
            <w:r>
              <w:rPr>
                <w:rFonts w:ascii="Arial" w:cs="Arial" w:eastAsia="Arial" w:hAnsi="Arial"/>
                <w:sz w:val="9"/>
                <w:szCs w:val="9"/>
                <w:b w:val="1"/>
                <w:bCs w:val="1"/>
                <w:color w:val="auto"/>
                <w:w w:val="89"/>
              </w:rPr>
              <w:t>Net Realized</w:t>
            </w:r>
          </w:p>
        </w:tc>
        <w:tc>
          <w:tcPr>
            <w:tcW w:w="200" w:type="dxa"/>
            <w:vAlign w:val="bottom"/>
          </w:tcPr>
          <w:p>
            <w:pPr>
              <w:spacing w:after="0"/>
              <w:rPr>
                <w:sz w:val="6"/>
                <w:szCs w:val="6"/>
                <w:color w:val="auto"/>
              </w:rPr>
            </w:pPr>
          </w:p>
        </w:tc>
        <w:tc>
          <w:tcPr>
            <w:tcW w:w="860" w:type="dxa"/>
            <w:vAlign w:val="bottom"/>
            <w:gridSpan w:val="3"/>
          </w:tcPr>
          <w:p>
            <w:pPr>
              <w:jc w:val="center"/>
              <w:ind w:right="181"/>
              <w:spacing w:after="0" w:line="75" w:lineRule="exact"/>
              <w:rPr>
                <w:sz w:val="20"/>
                <w:szCs w:val="20"/>
                <w:color w:val="auto"/>
              </w:rPr>
            </w:pPr>
            <w:r>
              <w:rPr>
                <w:rFonts w:ascii="Arial" w:cs="Arial" w:eastAsia="Arial" w:hAnsi="Arial"/>
                <w:sz w:val="8"/>
                <w:szCs w:val="8"/>
                <w:b w:val="1"/>
                <w:bCs w:val="1"/>
                <w:color w:val="auto"/>
              </w:rPr>
              <w:t>Net Change in</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jc w:val="center"/>
              <w:ind w:right="35"/>
              <w:spacing w:after="0"/>
              <w:rPr>
                <w:sz w:val="20"/>
                <w:szCs w:val="20"/>
                <w:color w:val="auto"/>
              </w:rPr>
            </w:pPr>
            <w:r>
              <w:rPr>
                <w:rFonts w:ascii="Arial" w:cs="Arial" w:eastAsia="Arial" w:hAnsi="Arial"/>
                <w:sz w:val="9"/>
                <w:szCs w:val="9"/>
                <w:b w:val="1"/>
                <w:bCs w:val="1"/>
                <w:color w:val="auto"/>
                <w:w w:val="93"/>
              </w:rPr>
              <w:t>Payment-in-</w:t>
            </w: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tcPr>
          <w:p>
            <w:pPr>
              <w:jc w:val="center"/>
              <w:ind w:right="221"/>
              <w:spacing w:after="0" w:line="81" w:lineRule="exact"/>
              <w:rPr>
                <w:sz w:val="20"/>
                <w:szCs w:val="20"/>
                <w:color w:val="auto"/>
              </w:rPr>
            </w:pPr>
            <w:r>
              <w:rPr>
                <w:rFonts w:ascii="Arial" w:cs="Arial" w:eastAsia="Arial" w:hAnsi="Arial"/>
                <w:sz w:val="9"/>
                <w:szCs w:val="9"/>
                <w:b w:val="1"/>
                <w:bCs w:val="1"/>
                <w:color w:val="auto"/>
                <w:w w:val="92"/>
              </w:rPr>
              <w:t>Unrealized</w:t>
            </w: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80" w:type="dxa"/>
            <w:vAlign w:val="bottom"/>
            <w:vMerge w:val="restart"/>
          </w:tcPr>
          <w:p>
            <w:pPr>
              <w:ind w:left="20"/>
              <w:spacing w:after="0"/>
              <w:rPr>
                <w:sz w:val="20"/>
                <w:szCs w:val="20"/>
                <w:color w:val="auto"/>
              </w:rPr>
            </w:pPr>
            <w:r>
              <w:rPr>
                <w:rFonts w:ascii="Arial" w:cs="Arial" w:eastAsia="Arial" w:hAnsi="Arial"/>
                <w:sz w:val="9"/>
                <w:szCs w:val="9"/>
                <w:b w:val="1"/>
                <w:bCs w:val="1"/>
                <w:color w:val="auto"/>
                <w:w w:val="91"/>
              </w:rPr>
              <w:t>Portfolio Company</w:t>
            </w:r>
          </w:p>
        </w:tc>
        <w:tc>
          <w:tcPr>
            <w:tcW w:w="680" w:type="dxa"/>
            <w:vAlign w:val="bottom"/>
          </w:tcPr>
          <w:p>
            <w:pPr>
              <w:jc w:val="right"/>
              <w:ind w:right="570"/>
              <w:spacing w:after="0"/>
              <w:rPr>
                <w:sz w:val="20"/>
                <w:szCs w:val="20"/>
                <w:color w:val="auto"/>
              </w:rPr>
            </w:pPr>
            <w:r>
              <w:rPr>
                <w:rFonts w:ascii="Arial" w:cs="Arial" w:eastAsia="Arial" w:hAnsi="Arial"/>
                <w:sz w:val="6"/>
                <w:szCs w:val="6"/>
                <w:b w:val="1"/>
                <w:bCs w:val="1"/>
                <w:color w:val="auto"/>
                <w:w w:val="81"/>
              </w:rPr>
              <w:t>(1)</w:t>
            </w:r>
          </w:p>
        </w:tc>
        <w:tc>
          <w:tcPr>
            <w:tcW w:w="10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9"/>
                <w:szCs w:val="9"/>
                <w:b w:val="1"/>
                <w:bCs w:val="1"/>
                <w:color w:val="auto"/>
                <w:w w:val="96"/>
              </w:rPr>
              <w:t>Principal Amount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35"/>
              <w:spacing w:after="0"/>
              <w:rPr>
                <w:sz w:val="20"/>
                <w:szCs w:val="20"/>
                <w:color w:val="auto"/>
              </w:rPr>
            </w:pPr>
            <w:r>
              <w:rPr>
                <w:rFonts w:ascii="Arial" w:cs="Arial" w:eastAsia="Arial" w:hAnsi="Arial"/>
                <w:sz w:val="9"/>
                <w:szCs w:val="9"/>
                <w:b w:val="1"/>
                <w:bCs w:val="1"/>
                <w:color w:val="auto"/>
                <w:w w:val="89"/>
              </w:rPr>
              <w:t>2021</w:t>
            </w:r>
          </w:p>
        </w:tc>
        <w:tc>
          <w:tcPr>
            <w:tcW w:w="220" w:type="dxa"/>
            <w:vAlign w:val="bottom"/>
          </w:tcPr>
          <w:p>
            <w:pPr>
              <w:spacing w:after="0"/>
              <w:rPr>
                <w:sz w:val="9"/>
                <w:szCs w:val="9"/>
                <w:color w:val="auto"/>
              </w:rPr>
            </w:pPr>
          </w:p>
        </w:tc>
        <w:tc>
          <w:tcPr>
            <w:tcW w:w="740" w:type="dxa"/>
            <w:vAlign w:val="bottom"/>
            <w:gridSpan w:val="2"/>
          </w:tcPr>
          <w:p>
            <w:pPr>
              <w:jc w:val="right"/>
              <w:ind w:right="35"/>
              <w:spacing w:after="0" w:line="108" w:lineRule="exact"/>
              <w:rPr>
                <w:sz w:val="20"/>
                <w:szCs w:val="20"/>
                <w:color w:val="auto"/>
              </w:rPr>
            </w:pPr>
            <w:r>
              <w:rPr>
                <w:rFonts w:ascii="Arial" w:cs="Arial" w:eastAsia="Arial" w:hAnsi="Arial"/>
                <w:sz w:val="9"/>
                <w:szCs w:val="9"/>
                <w:b w:val="1"/>
                <w:bCs w:val="1"/>
                <w:color w:val="auto"/>
                <w:w w:val="80"/>
              </w:rPr>
              <w:t>Gross Additions</w:t>
            </w:r>
            <w:r>
              <w:rPr>
                <w:rFonts w:ascii="Arial" w:cs="Arial" w:eastAsia="Arial" w:hAnsi="Arial"/>
                <w:sz w:val="12"/>
                <w:szCs w:val="12"/>
                <w:b w:val="1"/>
                <w:bCs w:val="1"/>
                <w:color w:val="auto"/>
                <w:w w:val="80"/>
                <w:vertAlign w:val="subscript"/>
              </w:rPr>
              <w:t>(2)</w:t>
            </w:r>
          </w:p>
        </w:tc>
        <w:tc>
          <w:tcPr>
            <w:tcW w:w="220" w:type="dxa"/>
            <w:vAlign w:val="bottom"/>
          </w:tcPr>
          <w:p>
            <w:pPr>
              <w:spacing w:after="0"/>
              <w:rPr>
                <w:sz w:val="9"/>
                <w:szCs w:val="9"/>
                <w:color w:val="auto"/>
              </w:rPr>
            </w:pPr>
          </w:p>
        </w:tc>
        <w:tc>
          <w:tcPr>
            <w:tcW w:w="960" w:type="dxa"/>
            <w:vAlign w:val="bottom"/>
            <w:gridSpan w:val="3"/>
          </w:tcPr>
          <w:p>
            <w:pPr>
              <w:ind w:left="20"/>
              <w:spacing w:after="0" w:line="108" w:lineRule="exact"/>
              <w:rPr>
                <w:sz w:val="20"/>
                <w:szCs w:val="20"/>
                <w:color w:val="auto"/>
              </w:rPr>
            </w:pPr>
            <w:r>
              <w:rPr>
                <w:rFonts w:ascii="Arial" w:cs="Arial" w:eastAsia="Arial" w:hAnsi="Arial"/>
                <w:sz w:val="9"/>
                <w:szCs w:val="9"/>
                <w:b w:val="1"/>
                <w:bCs w:val="1"/>
                <w:color w:val="auto"/>
              </w:rPr>
              <w:t>Gross Reductions</w:t>
            </w:r>
            <w:r>
              <w:rPr>
                <w:rFonts w:ascii="Arial" w:cs="Arial" w:eastAsia="Arial" w:hAnsi="Arial"/>
                <w:sz w:val="12"/>
                <w:szCs w:val="12"/>
                <w:b w:val="1"/>
                <w:bCs w:val="1"/>
                <w:color w:val="auto"/>
                <w:vertAlign w:val="subscript"/>
              </w:rPr>
              <w:t>(3)</w:t>
            </w:r>
          </w:p>
        </w:tc>
        <w:tc>
          <w:tcPr>
            <w:tcW w:w="60" w:type="dxa"/>
            <w:vAlign w:val="bottom"/>
          </w:tcPr>
          <w:p>
            <w:pPr>
              <w:spacing w:after="0"/>
              <w:rPr>
                <w:sz w:val="9"/>
                <w:szCs w:val="9"/>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8"/>
              </w:rPr>
              <w:t>June 30, 2022</w:t>
            </w:r>
          </w:p>
        </w:tc>
        <w:tc>
          <w:tcPr>
            <w:tcW w:w="60" w:type="dxa"/>
            <w:vAlign w:val="bottom"/>
          </w:tcPr>
          <w:p>
            <w:pPr>
              <w:spacing w:after="0"/>
              <w:rPr>
                <w:sz w:val="9"/>
                <w:szCs w:val="9"/>
                <w:color w:val="auto"/>
              </w:rPr>
            </w:pPr>
          </w:p>
        </w:tc>
        <w:tc>
          <w:tcPr>
            <w:tcW w:w="340" w:type="dxa"/>
            <w:vAlign w:val="bottom"/>
          </w:tcPr>
          <w:p>
            <w:pPr>
              <w:jc w:val="center"/>
              <w:ind w:left="35"/>
              <w:spacing w:after="0"/>
              <w:rPr>
                <w:sz w:val="20"/>
                <w:szCs w:val="20"/>
                <w:color w:val="auto"/>
              </w:rPr>
            </w:pPr>
            <w:r>
              <w:rPr>
                <w:rFonts w:ascii="Arial" w:cs="Arial" w:eastAsia="Arial" w:hAnsi="Arial"/>
                <w:sz w:val="9"/>
                <w:szCs w:val="9"/>
                <w:b w:val="1"/>
                <w:bCs w:val="1"/>
                <w:color w:val="auto"/>
                <w:w w:val="87"/>
              </w:rPr>
              <w:t>Gains</w:t>
            </w:r>
          </w:p>
        </w:tc>
        <w:tc>
          <w:tcPr>
            <w:tcW w:w="160" w:type="dxa"/>
            <w:vAlign w:val="bottom"/>
          </w:tcPr>
          <w:p>
            <w:pPr>
              <w:jc w:val="right"/>
              <w:ind w:right="36"/>
              <w:spacing w:after="0"/>
              <w:rPr>
                <w:sz w:val="20"/>
                <w:szCs w:val="20"/>
                <w:color w:val="auto"/>
              </w:rPr>
            </w:pPr>
            <w:r>
              <w:rPr>
                <w:rFonts w:ascii="Arial" w:cs="Arial" w:eastAsia="Arial" w:hAnsi="Arial"/>
                <w:sz w:val="6"/>
                <w:szCs w:val="6"/>
                <w:b w:val="1"/>
                <w:bCs w:val="1"/>
                <w:color w:val="auto"/>
                <w:w w:val="81"/>
              </w:rPr>
              <w:t>(4)</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tcPr>
          <w:p>
            <w:pPr>
              <w:jc w:val="center"/>
              <w:ind w:right="221"/>
              <w:spacing w:after="0"/>
              <w:rPr>
                <w:sz w:val="20"/>
                <w:szCs w:val="20"/>
                <w:color w:val="auto"/>
              </w:rPr>
            </w:pPr>
            <w:r>
              <w:rPr>
                <w:rFonts w:ascii="Arial" w:cs="Arial" w:eastAsia="Arial" w:hAnsi="Arial"/>
                <w:sz w:val="9"/>
                <w:szCs w:val="9"/>
                <w:b w:val="1"/>
                <w:bCs w:val="1"/>
                <w:color w:val="auto"/>
                <w:w w:val="90"/>
              </w:rPr>
              <w:t>Appreciation</w:t>
            </w:r>
          </w:p>
        </w:tc>
        <w:tc>
          <w:tcPr>
            <w:tcW w:w="100" w:type="dxa"/>
            <w:vAlign w:val="bottom"/>
          </w:tcPr>
          <w:p>
            <w:pPr>
              <w:spacing w:after="0"/>
              <w:rPr>
                <w:sz w:val="9"/>
                <w:szCs w:val="9"/>
                <w:color w:val="auto"/>
              </w:rPr>
            </w:pPr>
          </w:p>
        </w:tc>
        <w:tc>
          <w:tcPr>
            <w:tcW w:w="480" w:type="dxa"/>
            <w:vAlign w:val="bottom"/>
          </w:tcPr>
          <w:p>
            <w:pPr>
              <w:jc w:val="right"/>
              <w:ind w:right="95"/>
              <w:spacing w:after="0"/>
              <w:rPr>
                <w:sz w:val="20"/>
                <w:szCs w:val="20"/>
                <w:color w:val="auto"/>
              </w:rPr>
            </w:pPr>
            <w:r>
              <w:rPr>
                <w:rFonts w:ascii="Arial" w:cs="Arial" w:eastAsia="Arial" w:hAnsi="Arial"/>
                <w:sz w:val="9"/>
                <w:szCs w:val="9"/>
                <w:b w:val="1"/>
                <w:bCs w:val="1"/>
                <w:color w:val="auto"/>
                <w:w w:val="98"/>
              </w:rPr>
              <w:t>Interest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center"/>
              <w:ind w:right="55"/>
              <w:spacing w:after="0"/>
              <w:rPr>
                <w:sz w:val="20"/>
                <w:szCs w:val="20"/>
                <w:color w:val="auto"/>
              </w:rPr>
            </w:pPr>
            <w:r>
              <w:rPr>
                <w:rFonts w:ascii="Arial" w:cs="Arial" w:eastAsia="Arial" w:hAnsi="Arial"/>
                <w:sz w:val="9"/>
                <w:szCs w:val="9"/>
                <w:b w:val="1"/>
                <w:bCs w:val="1"/>
                <w:color w:val="auto"/>
                <w:w w:val="93"/>
              </w:rPr>
              <w:t>kind Interest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ind w:right="115"/>
              <w:spacing w:after="0"/>
              <w:rPr>
                <w:sz w:val="20"/>
                <w:szCs w:val="20"/>
                <w:color w:val="auto"/>
              </w:rPr>
            </w:pPr>
            <w:r>
              <w:rPr>
                <w:rFonts w:ascii="Arial" w:cs="Arial" w:eastAsia="Arial" w:hAnsi="Arial"/>
                <w:sz w:val="9"/>
                <w:szCs w:val="9"/>
                <w:b w:val="1"/>
                <w:bCs w:val="1"/>
                <w:color w:val="auto"/>
                <w:w w:val="94"/>
              </w:rPr>
              <w:t>Dividend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9"/>
                <w:szCs w:val="9"/>
                <w:b w:val="1"/>
                <w:bCs w:val="1"/>
                <w:color w:val="auto"/>
                <w:w w:val="88"/>
              </w:rPr>
              <w:t>Fee Income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w w:val="89"/>
              </w:rPr>
              <w:t>- Debt Investments</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center"/>
              <w:ind w:right="35"/>
              <w:spacing w:after="0" w:line="81" w:lineRule="exact"/>
              <w:rPr>
                <w:sz w:val="20"/>
                <w:szCs w:val="20"/>
                <w:color w:val="auto"/>
              </w:rPr>
            </w:pPr>
            <w:r>
              <w:rPr>
                <w:rFonts w:ascii="Arial" w:cs="Arial" w:eastAsia="Arial" w:hAnsi="Arial"/>
                <w:sz w:val="9"/>
                <w:szCs w:val="9"/>
                <w:b w:val="1"/>
                <w:bCs w:val="1"/>
                <w:color w:val="auto"/>
                <w:w w:val="97"/>
              </w:rPr>
              <w:t>Fair Value</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w w:val="92"/>
              </w:rPr>
              <w:t>Fair Value</w:t>
            </w:r>
          </w:p>
        </w:tc>
        <w:tc>
          <w:tcPr>
            <w:tcW w:w="60" w:type="dxa"/>
            <w:vAlign w:val="bottom"/>
          </w:tcPr>
          <w:p>
            <w:pPr>
              <w:spacing w:after="0"/>
              <w:rPr>
                <w:sz w:val="7"/>
                <w:szCs w:val="7"/>
                <w:color w:val="auto"/>
              </w:rPr>
            </w:pPr>
          </w:p>
        </w:tc>
        <w:tc>
          <w:tcPr>
            <w:tcW w:w="340" w:type="dxa"/>
            <w:vAlign w:val="bottom"/>
          </w:tcPr>
          <w:p>
            <w:pPr>
              <w:ind w:left="20"/>
              <w:spacing w:after="0" w:line="81" w:lineRule="exact"/>
              <w:rPr>
                <w:sz w:val="20"/>
                <w:szCs w:val="20"/>
                <w:color w:val="auto"/>
              </w:rPr>
            </w:pPr>
            <w:r>
              <w:rPr>
                <w:rFonts w:ascii="Arial" w:cs="Arial" w:eastAsia="Arial" w:hAnsi="Arial"/>
                <w:sz w:val="9"/>
                <w:szCs w:val="9"/>
                <w:b w:val="1"/>
                <w:bCs w:val="1"/>
                <w:color w:val="auto"/>
                <w:w w:val="80"/>
              </w:rPr>
              <w:t>(Losses)</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gridSpan w:val="3"/>
          </w:tcPr>
          <w:p>
            <w:pPr>
              <w:jc w:val="center"/>
              <w:ind w:right="161"/>
              <w:spacing w:after="0" w:line="81" w:lineRule="exact"/>
              <w:rPr>
                <w:sz w:val="20"/>
                <w:szCs w:val="20"/>
                <w:color w:val="auto"/>
              </w:rPr>
            </w:pPr>
            <w:r>
              <w:rPr>
                <w:rFonts w:ascii="Arial" w:cs="Arial" w:eastAsia="Arial" w:hAnsi="Arial"/>
                <w:sz w:val="9"/>
                <w:szCs w:val="9"/>
                <w:b w:val="1"/>
                <w:bCs w:val="1"/>
                <w:color w:val="auto"/>
                <w:w w:val="89"/>
              </w:rPr>
              <w:t>(Depreciation)</w:t>
            </w:r>
          </w:p>
        </w:tc>
        <w:tc>
          <w:tcPr>
            <w:tcW w:w="100" w:type="dxa"/>
            <w:vAlign w:val="bottom"/>
          </w:tcPr>
          <w:p>
            <w:pPr>
              <w:spacing w:after="0"/>
              <w:rPr>
                <w:sz w:val="7"/>
                <w:szCs w:val="7"/>
                <w:color w:val="auto"/>
              </w:rPr>
            </w:pPr>
          </w:p>
        </w:tc>
        <w:tc>
          <w:tcPr>
            <w:tcW w:w="480" w:type="dxa"/>
            <w:vAlign w:val="bottom"/>
          </w:tcPr>
          <w:p>
            <w:pPr>
              <w:jc w:val="right"/>
              <w:ind w:right="95"/>
              <w:spacing w:after="0" w:line="81" w:lineRule="exact"/>
              <w:rPr>
                <w:sz w:val="20"/>
                <w:szCs w:val="20"/>
                <w:color w:val="auto"/>
              </w:rPr>
            </w:pPr>
            <w:r>
              <w:rPr>
                <w:rFonts w:ascii="Arial" w:cs="Arial" w:eastAsia="Arial" w:hAnsi="Arial"/>
                <w:sz w:val="9"/>
                <w:szCs w:val="9"/>
                <w:b w:val="1"/>
                <w:bCs w:val="1"/>
                <w:color w:val="auto"/>
              </w:rPr>
              <w:t>Income</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center"/>
              <w:ind w:right="35"/>
              <w:spacing w:after="0" w:line="81" w:lineRule="exact"/>
              <w:rPr>
                <w:sz w:val="20"/>
                <w:szCs w:val="20"/>
                <w:color w:val="auto"/>
              </w:rPr>
            </w:pPr>
            <w:r>
              <w:rPr>
                <w:rFonts w:ascii="Arial" w:cs="Arial" w:eastAsia="Arial" w:hAnsi="Arial"/>
                <w:sz w:val="9"/>
                <w:szCs w:val="9"/>
                <w:b w:val="1"/>
                <w:bCs w:val="1"/>
                <w:color w:val="auto"/>
                <w:w w:val="88"/>
              </w:rPr>
              <w:t>Income</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jc w:val="right"/>
              <w:ind w:right="135"/>
              <w:spacing w:after="0" w:line="81" w:lineRule="exact"/>
              <w:rPr>
                <w:sz w:val="20"/>
                <w:szCs w:val="20"/>
                <w:color w:val="auto"/>
              </w:rPr>
            </w:pPr>
            <w:r>
              <w:rPr>
                <w:rFonts w:ascii="Arial" w:cs="Arial" w:eastAsia="Arial" w:hAnsi="Arial"/>
                <w:sz w:val="9"/>
                <w:szCs w:val="9"/>
                <w:b w:val="1"/>
                <w:bCs w:val="1"/>
                <w:color w:val="auto"/>
              </w:rPr>
              <w:t>Income</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460" w:type="dxa"/>
            <w:vAlign w:val="bottom"/>
            <w:tcBorders>
              <w:top w:val="single" w:sz="8" w:color="auto"/>
            </w:tcBorders>
            <w:gridSpan w:val="2"/>
            <w:shd w:val="clear" w:color="auto" w:fill="CCEEFF"/>
          </w:tcPr>
          <w:p>
            <w:pPr>
              <w:ind w:left="20"/>
              <w:spacing w:after="0" w:line="102" w:lineRule="exact"/>
              <w:rPr>
                <w:sz w:val="20"/>
                <w:szCs w:val="20"/>
                <w:color w:val="auto"/>
              </w:rPr>
            </w:pPr>
            <w:r>
              <w:rPr>
                <w:rFonts w:ascii="Arial" w:cs="Arial" w:eastAsia="Arial" w:hAnsi="Arial"/>
                <w:sz w:val="9"/>
                <w:szCs w:val="9"/>
                <w:b w:val="1"/>
                <w:bCs w:val="1"/>
                <w:color w:val="auto"/>
              </w:rPr>
              <w:t>Control Investments</w:t>
            </w:r>
          </w:p>
        </w:tc>
        <w:tc>
          <w:tcPr>
            <w:tcW w:w="1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60" w:type="dxa"/>
            <w:vAlign w:val="bottom"/>
            <w:gridSpan w:val="2"/>
          </w:tcPr>
          <w:p>
            <w:pPr>
              <w:ind w:left="20"/>
              <w:spacing w:after="0" w:line="81" w:lineRule="exact"/>
              <w:rPr>
                <w:sz w:val="20"/>
                <w:szCs w:val="20"/>
                <w:color w:val="auto"/>
              </w:rPr>
            </w:pPr>
            <w:r>
              <w:rPr>
                <w:rFonts w:ascii="Arial" w:cs="Arial" w:eastAsia="Arial" w:hAnsi="Arial"/>
                <w:sz w:val="9"/>
                <w:szCs w:val="9"/>
                <w:color w:val="auto"/>
              </w:rPr>
              <w:t>Hilco Plastics Holdings, LLC (dba</w:t>
            </w:r>
          </w:p>
        </w:tc>
        <w:tc>
          <w:tcPr>
            <w:tcW w:w="180" w:type="dxa"/>
            <w:vAlign w:val="bottom"/>
            <w:gridSpan w:val="2"/>
            <w:vMerge w:val="restart"/>
          </w:tcPr>
          <w:p>
            <w:pPr>
              <w:ind w:left="120"/>
              <w:spacing w:after="0"/>
              <w:rPr>
                <w:sz w:val="20"/>
                <w:szCs w:val="20"/>
                <w:color w:val="auto"/>
              </w:rPr>
            </w:pPr>
            <w:r>
              <w:rPr>
                <w:rFonts w:ascii="Arial" w:cs="Arial" w:eastAsia="Arial" w:hAnsi="Arial"/>
                <w:sz w:val="9"/>
                <w:szCs w:val="9"/>
                <w:color w:val="auto"/>
                <w:w w:val="78"/>
              </w:rPr>
              <w:t>$</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30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vMerge w:val="restart"/>
          </w:tcPr>
          <w:p>
            <w:pPr>
              <w:jc w:val="right"/>
              <w:ind w:right="155"/>
              <w:spacing w:after="0"/>
              <w:rPr>
                <w:sz w:val="20"/>
                <w:szCs w:val="20"/>
                <w:color w:val="auto"/>
              </w:rPr>
            </w:pPr>
            <w:r>
              <w:rPr>
                <w:rFonts w:ascii="Arial" w:cs="Arial" w:eastAsia="Arial" w:hAnsi="Arial"/>
                <w:sz w:val="9"/>
                <w:szCs w:val="9"/>
                <w:color w:val="auto"/>
              </w:rPr>
              <w:t>$</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vMerge w:val="restart"/>
          </w:tcPr>
          <w:p>
            <w:pPr>
              <w:ind w:left="240"/>
              <w:spacing w:after="0"/>
              <w:rPr>
                <w:sz w:val="20"/>
                <w:szCs w:val="20"/>
                <w:color w:val="auto"/>
              </w:rPr>
            </w:pPr>
            <w:r>
              <w:rPr>
                <w:rFonts w:ascii="Arial" w:cs="Arial" w:eastAsia="Arial" w:hAnsi="Arial"/>
                <w:sz w:val="9"/>
                <w:szCs w:val="9"/>
                <w:color w:val="auto"/>
              </w:rPr>
              <w:t>$</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800" w:type="dxa"/>
            <w:vAlign w:val="bottom"/>
            <w:gridSpan w:val="2"/>
            <w:vMerge w:val="restart"/>
          </w:tcPr>
          <w:p>
            <w:pPr>
              <w:jc w:val="right"/>
              <w:ind w:right="161"/>
              <w:spacing w:after="0"/>
              <w:rPr>
                <w:sz w:val="20"/>
                <w:szCs w:val="20"/>
                <w:color w:val="auto"/>
              </w:rPr>
            </w:pPr>
            <w:r>
              <w:rPr>
                <w:rFonts w:ascii="Arial" w:cs="Arial" w:eastAsia="Arial" w:hAnsi="Arial"/>
                <w:sz w:val="9"/>
                <w:szCs w:val="9"/>
                <w:color w:val="auto"/>
              </w:rPr>
              <w:t>—</w:t>
            </w: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30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30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80" w:type="dxa"/>
            <w:vAlign w:val="bottom"/>
          </w:tcPr>
          <w:p>
            <w:pPr>
              <w:ind w:left="20"/>
              <w:spacing w:after="0"/>
              <w:rPr>
                <w:sz w:val="20"/>
                <w:szCs w:val="20"/>
                <w:color w:val="auto"/>
              </w:rPr>
            </w:pPr>
            <w:r>
              <w:rPr>
                <w:rFonts w:ascii="Arial" w:cs="Arial" w:eastAsia="Arial" w:hAnsi="Arial"/>
                <w:sz w:val="9"/>
                <w:szCs w:val="9"/>
                <w:color w:val="auto"/>
                <w:w w:val="93"/>
              </w:rPr>
              <w:t>Hilco Technologies)</w:t>
            </w:r>
          </w:p>
        </w:tc>
        <w:tc>
          <w:tcPr>
            <w:tcW w:w="68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Mesa Line Services, LLC</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2,151</w:t>
            </w: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295</w:t>
            </w: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9"/>
                <w:szCs w:val="9"/>
                <w:color w:val="auto"/>
              </w:rPr>
              <w:t>(2,446 )</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color w:val="auto"/>
                <w:w w:val="79"/>
              </w:rPr>
              <w:t>296</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9"/>
                <w:szCs w:val="9"/>
                <w:color w:val="auto"/>
              </w:rPr>
              <w:t>(2,151 )</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tcPr>
          <w:p>
            <w:pPr>
              <w:ind w:left="20"/>
              <w:spacing w:after="0"/>
              <w:rPr>
                <w:sz w:val="20"/>
                <w:szCs w:val="20"/>
                <w:color w:val="auto"/>
              </w:rPr>
            </w:pPr>
            <w:r>
              <w:rPr>
                <w:rFonts w:ascii="Arial" w:cs="Arial" w:eastAsia="Arial" w:hAnsi="Arial"/>
                <w:sz w:val="9"/>
                <w:szCs w:val="9"/>
                <w:color w:val="auto"/>
                <w:w w:val="90"/>
              </w:rPr>
              <w:t>US GreenFiber, LLC</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5,226</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gridSpan w:val="2"/>
          </w:tcPr>
          <w:p>
            <w:pPr>
              <w:jc w:val="right"/>
              <w:ind w:right="201"/>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460" w:type="dxa"/>
            <w:vAlign w:val="bottom"/>
            <w:tcBorders>
              <w:bottom w:val="single" w:sz="8" w:color="CCEEFF"/>
            </w:tcBorders>
            <w:gridSpan w:val="2"/>
            <w:shd w:val="clear" w:color="auto" w:fill="CCEEFF"/>
          </w:tcPr>
          <w:p>
            <w:pPr>
              <w:ind w:left="20"/>
              <w:spacing w:after="0" w:line="102" w:lineRule="exact"/>
              <w:rPr>
                <w:sz w:val="20"/>
                <w:szCs w:val="20"/>
                <w:color w:val="auto"/>
              </w:rPr>
            </w:pPr>
            <w:r>
              <w:rPr>
                <w:rFonts w:ascii="Arial" w:cs="Arial" w:eastAsia="Arial" w:hAnsi="Arial"/>
                <w:sz w:val="9"/>
                <w:szCs w:val="9"/>
                <w:b w:val="1"/>
                <w:bCs w:val="1"/>
                <w:color w:val="auto"/>
              </w:rPr>
              <w:t>Total Control Investments</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ind w:left="20"/>
              <w:spacing w:after="0" w:line="102" w:lineRule="exact"/>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5,226</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2,151</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55"/>
              <w:spacing w:after="0" w:line="102" w:lineRule="exact"/>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295</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ind w:left="20"/>
              <w:spacing w:after="0" w:line="102" w:lineRule="exact"/>
              <w:rPr>
                <w:sz w:val="20"/>
                <w:szCs w:val="20"/>
                <w:color w:val="auto"/>
              </w:rPr>
            </w:pPr>
            <w:r>
              <w:rPr>
                <w:rFonts w:ascii="Arial" w:cs="Arial" w:eastAsia="Arial" w:hAnsi="Arial"/>
                <w:sz w:val="9"/>
                <w:szCs w:val="9"/>
                <w:color w:val="auto"/>
              </w:rPr>
              <w:t>$</w:t>
            </w:r>
          </w:p>
        </w:tc>
        <w:tc>
          <w:tcPr>
            <w:tcW w:w="4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(2,446</w:t>
            </w:r>
          </w:p>
        </w:tc>
        <w:tc>
          <w:tcPr>
            <w:tcW w:w="2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9"/>
              </w:rPr>
              <w:t>296</w:t>
            </w: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(2,151</w:t>
            </w:r>
          </w:p>
        </w:tc>
        <w:tc>
          <w:tcPr>
            <w:tcW w:w="2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460" w:type="dxa"/>
            <w:vAlign w:val="bottom"/>
            <w:gridSpan w:val="2"/>
          </w:tcPr>
          <w:p>
            <w:pPr>
              <w:ind w:left="20"/>
              <w:spacing w:after="0" w:line="89" w:lineRule="exact"/>
              <w:rPr>
                <w:sz w:val="20"/>
                <w:szCs w:val="20"/>
                <w:color w:val="auto"/>
              </w:rPr>
            </w:pPr>
            <w:r>
              <w:rPr>
                <w:rFonts w:ascii="Arial" w:cs="Arial" w:eastAsia="Arial" w:hAnsi="Arial"/>
                <w:sz w:val="9"/>
                <w:szCs w:val="9"/>
                <w:b w:val="1"/>
                <w:bCs w:val="1"/>
                <w:color w:val="auto"/>
              </w:rPr>
              <w:t>Affiliate Investments</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60" w:type="dxa"/>
            <w:vAlign w:val="bottom"/>
            <w:gridSpan w:val="2"/>
            <w:shd w:val="clear" w:color="auto" w:fill="CCEEFF"/>
          </w:tcPr>
          <w:p>
            <w:pPr>
              <w:ind w:left="20"/>
              <w:spacing w:after="0" w:line="81" w:lineRule="exact"/>
              <w:rPr>
                <w:sz w:val="20"/>
                <w:szCs w:val="20"/>
                <w:color w:val="auto"/>
              </w:rPr>
            </w:pPr>
            <w:r>
              <w:rPr>
                <w:rFonts w:ascii="Arial" w:cs="Arial" w:eastAsia="Arial" w:hAnsi="Arial"/>
                <w:sz w:val="9"/>
                <w:szCs w:val="9"/>
                <w:color w:val="auto"/>
              </w:rPr>
              <w:t>Applegate Greenfiber Intermediate</w:t>
            </w:r>
          </w:p>
        </w:tc>
        <w:tc>
          <w:tcPr>
            <w:tcW w:w="180" w:type="dxa"/>
            <w:vAlign w:val="bottom"/>
            <w:gridSpan w:val="2"/>
            <w:vMerge w:val="restart"/>
            <w:shd w:val="clear" w:color="auto" w:fill="CCEEFF"/>
          </w:tcPr>
          <w:p>
            <w:pPr>
              <w:ind w:left="120"/>
              <w:spacing w:after="0"/>
              <w:rPr>
                <w:sz w:val="20"/>
                <w:szCs w:val="20"/>
                <w:color w:val="auto"/>
              </w:rPr>
            </w:pPr>
            <w:r>
              <w:rPr>
                <w:rFonts w:ascii="Arial" w:cs="Arial" w:eastAsia="Arial" w:hAnsi="Arial"/>
                <w:sz w:val="9"/>
                <w:szCs w:val="9"/>
                <w:color w:val="auto"/>
                <w:w w:val="78"/>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9,602</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22,405</w:t>
            </w:r>
          </w:p>
        </w:tc>
        <w:tc>
          <w:tcPr>
            <w:tcW w:w="480" w:type="dxa"/>
            <w:vAlign w:val="bottom"/>
            <w:gridSpan w:val="2"/>
            <w:vMerge w:val="restart"/>
            <w:shd w:val="clear" w:color="auto" w:fill="CCEEFF"/>
          </w:tcPr>
          <w:p>
            <w:pPr>
              <w:jc w:val="right"/>
              <w:ind w:right="155"/>
              <w:spacing w:after="0"/>
              <w:rPr>
                <w:sz w:val="20"/>
                <w:szCs w:val="20"/>
                <w:color w:val="auto"/>
              </w:rPr>
            </w:pPr>
            <w:r>
              <w:rPr>
                <w:rFonts w:ascii="Arial" w:cs="Arial" w:eastAsia="Arial" w:hAnsi="Arial"/>
                <w:sz w:val="9"/>
                <w:szCs w:val="9"/>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12,803</w:t>
            </w:r>
          </w:p>
        </w:tc>
        <w:tc>
          <w:tcPr>
            <w:tcW w:w="480" w:type="dxa"/>
            <w:vAlign w:val="bottom"/>
            <w:gridSpan w:val="2"/>
            <w:vMerge w:val="restart"/>
            <w:shd w:val="clear" w:color="auto" w:fill="CCEEFF"/>
          </w:tcPr>
          <w:p>
            <w:pPr>
              <w:ind w:left="2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1"/>
              <w:spacing w:after="0"/>
              <w:rPr>
                <w:sz w:val="20"/>
                <w:szCs w:val="20"/>
                <w:color w:val="auto"/>
              </w:rPr>
            </w:pPr>
            <w:r>
              <w:rPr>
                <w:rFonts w:ascii="Arial" w:cs="Arial" w:eastAsia="Arial" w:hAnsi="Arial"/>
                <w:sz w:val="9"/>
                <w:szCs w:val="9"/>
                <w:color w:val="auto"/>
              </w:rPr>
              <w:t>(12,803 )</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22,405</w:t>
            </w:r>
          </w:p>
        </w:tc>
        <w:tc>
          <w:tcPr>
            <w:tcW w:w="22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0" w:type="dxa"/>
            <w:vAlign w:val="bottom"/>
            <w:gridSpan w:val="2"/>
            <w:vMerge w:val="restart"/>
            <w:shd w:val="clear" w:color="auto" w:fill="CCEEFF"/>
          </w:tcPr>
          <w:p>
            <w:pPr>
              <w:jc w:val="right"/>
              <w:ind w:right="161"/>
              <w:spacing w:after="0"/>
              <w:rPr>
                <w:sz w:val="20"/>
                <w:szCs w:val="20"/>
                <w:color w:val="auto"/>
              </w:rPr>
            </w:pPr>
            <w:r>
              <w:rPr>
                <w:rFonts w:ascii="Arial" w:cs="Arial" w:eastAsia="Arial" w:hAnsi="Arial"/>
                <w:sz w:val="9"/>
                <w:szCs w:val="9"/>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483</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Inc. (fka US GreenFiber, LLC)</w:t>
            </w:r>
          </w:p>
        </w:tc>
        <w:tc>
          <w:tcPr>
            <w:tcW w:w="180" w:type="dxa"/>
            <w:vAlign w:val="bottom"/>
            <w:gridSpan w:val="2"/>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300" w:type="dxa"/>
            <w:vAlign w:val="bottom"/>
            <w:gridSpan w:val="2"/>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480" w:type="dxa"/>
            <w:vAlign w:val="bottom"/>
            <w:gridSpan w:val="2"/>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480" w:type="dxa"/>
            <w:vAlign w:val="bottom"/>
            <w:gridSpan w:val="2"/>
            <w:vMerge w:val="continue"/>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260" w:type="dxa"/>
            <w:vAlign w:val="bottom"/>
            <w:gridSpan w:val="2"/>
            <w:vMerge w:val="continue"/>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280" w:type="dxa"/>
            <w:vAlign w:val="bottom"/>
            <w:gridSpan w:val="2"/>
            <w:vMerge w:val="continue"/>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300" w:type="dxa"/>
            <w:vAlign w:val="bottom"/>
            <w:gridSpan w:val="2"/>
            <w:vMerge w:val="continue"/>
            <w:shd w:val="clear" w:color="auto" w:fill="CCEEFF"/>
          </w:tcPr>
          <w:p>
            <w:pPr>
              <w:spacing w:after="0"/>
              <w:rPr>
                <w:sz w:val="9"/>
                <w:szCs w:val="9"/>
                <w:color w:val="auto"/>
              </w:rPr>
            </w:pPr>
          </w:p>
        </w:tc>
        <w:tc>
          <w:tcPr>
            <w:tcW w:w="540" w:type="dxa"/>
            <w:vAlign w:val="bottom"/>
            <w:vMerge w:val="continue"/>
            <w:shd w:val="clear" w:color="auto" w:fill="CCEEFF"/>
          </w:tcPr>
          <w:p>
            <w:pPr>
              <w:spacing w:after="0"/>
              <w:rPr>
                <w:sz w:val="9"/>
                <w:szCs w:val="9"/>
                <w:color w:val="auto"/>
              </w:rPr>
            </w:pPr>
          </w:p>
        </w:tc>
        <w:tc>
          <w:tcPr>
            <w:tcW w:w="300" w:type="dxa"/>
            <w:vAlign w:val="bottom"/>
            <w:gridSpan w:val="2"/>
            <w:vMerge w:val="continue"/>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tcPr>
          <w:p>
            <w:pPr>
              <w:ind w:left="20"/>
              <w:spacing w:after="0"/>
              <w:rPr>
                <w:sz w:val="20"/>
                <w:szCs w:val="20"/>
                <w:color w:val="auto"/>
              </w:rPr>
            </w:pPr>
            <w:r>
              <w:rPr>
                <w:rFonts w:ascii="Arial" w:cs="Arial" w:eastAsia="Arial" w:hAnsi="Arial"/>
                <w:sz w:val="9"/>
                <w:szCs w:val="9"/>
                <w:color w:val="auto"/>
                <w:w w:val="97"/>
              </w:rPr>
              <w:t>FAR Research Inc.</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28</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gridSpan w:val="2"/>
          </w:tcPr>
          <w:p>
            <w:pPr>
              <w:jc w:val="right"/>
              <w:ind w:right="201"/>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28</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Medsurant Holdings, LLC</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3,662</w:t>
            </w: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9"/>
                <w:szCs w:val="9"/>
                <w:color w:val="auto"/>
              </w:rPr>
              <w:t>(426 )</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3,236</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9"/>
                <w:szCs w:val="9"/>
                <w:color w:val="auto"/>
              </w:rPr>
              <w:t>(426 )</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tcPr>
          <w:p>
            <w:pPr>
              <w:ind w:left="20"/>
              <w:spacing w:after="0"/>
              <w:rPr>
                <w:sz w:val="20"/>
                <w:szCs w:val="20"/>
                <w:color w:val="auto"/>
              </w:rPr>
            </w:pPr>
            <w:r>
              <w:rPr>
                <w:rFonts w:ascii="Arial" w:cs="Arial" w:eastAsia="Arial" w:hAnsi="Arial"/>
                <w:sz w:val="9"/>
                <w:szCs w:val="9"/>
                <w:color w:val="auto"/>
                <w:w w:val="93"/>
              </w:rPr>
              <w:t>Mirage Trailers LLC</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10,675</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355</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9"/>
                <w:szCs w:val="9"/>
                <w:color w:val="auto"/>
              </w:rPr>
              <w:t>(11,030 )</w:t>
            </w:r>
          </w:p>
        </w:tc>
        <w:tc>
          <w:tcPr>
            <w:tcW w:w="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w w:val="79"/>
              </w:rPr>
              <w:t>324</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9"/>
                <w:szCs w:val="9"/>
                <w:color w:val="auto"/>
              </w:rPr>
              <w:t>(1,693 )</w:t>
            </w:r>
          </w:p>
        </w:tc>
        <w:tc>
          <w:tcPr>
            <w:tcW w:w="1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248</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29</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132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shd w:val="clear" w:color="auto" w:fill="CCEEFF"/>
          </w:tcPr>
          <w:p>
            <w:pPr>
              <w:ind w:left="20"/>
              <w:spacing w:after="0"/>
              <w:rPr>
                <w:sz w:val="20"/>
                <w:szCs w:val="20"/>
                <w:color w:val="auto"/>
              </w:rPr>
            </w:pPr>
            <w:r>
              <w:rPr>
                <w:rFonts w:ascii="Arial" w:cs="Arial" w:eastAsia="Arial" w:hAnsi="Arial"/>
                <w:sz w:val="9"/>
                <w:szCs w:val="9"/>
                <w:color w:val="auto"/>
              </w:rPr>
              <w:t>Pfanstiehl, Inc.</w:t>
            </w: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57,639</w:t>
            </w: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3,635</w:t>
            </w: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1"/>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61,274</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3,635</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tcPr>
          <w:p>
            <w:pPr>
              <w:ind w:left="20"/>
              <w:spacing w:after="0" w:line="108" w:lineRule="exact"/>
              <w:rPr>
                <w:sz w:val="20"/>
                <w:szCs w:val="20"/>
                <w:color w:val="auto"/>
              </w:rPr>
            </w:pPr>
            <w:r>
              <w:rPr>
                <w:rFonts w:ascii="Arial" w:cs="Arial" w:eastAsia="Arial" w:hAnsi="Arial"/>
                <w:sz w:val="9"/>
                <w:szCs w:val="9"/>
                <w:color w:val="auto"/>
              </w:rPr>
              <w:t xml:space="preserve">Pinnergy, Ltd. </w:t>
            </w:r>
            <w:r>
              <w:rPr>
                <w:rFonts w:ascii="Arial" w:cs="Arial" w:eastAsia="Arial" w:hAnsi="Arial"/>
                <w:sz w:val="12"/>
                <w:szCs w:val="12"/>
                <w:color w:val="auto"/>
                <w:vertAlign w:val="superscript"/>
              </w:rPr>
              <w:t>(5)</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21,178</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15,300</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9"/>
                <w:szCs w:val="9"/>
                <w:color w:val="auto"/>
              </w:rPr>
              <w:t>(36,478 )</w:t>
            </w:r>
          </w:p>
        </w:tc>
        <w:tc>
          <w:tcPr>
            <w:tcW w:w="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spacing w:after="0"/>
              <w:rPr>
                <w:sz w:val="20"/>
                <w:szCs w:val="20"/>
                <w:color w:val="auto"/>
              </w:rPr>
            </w:pPr>
            <w:r>
              <w:rPr>
                <w:rFonts w:ascii="Arial" w:cs="Arial" w:eastAsia="Arial" w:hAnsi="Arial"/>
                <w:sz w:val="9"/>
                <w:szCs w:val="9"/>
                <w:color w:val="auto"/>
              </w:rPr>
              <w:t>15,300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9"/>
                <w:szCs w:val="9"/>
                <w:color w:val="auto"/>
              </w:rPr>
              <w:t>(18,178 )</w:t>
            </w:r>
          </w:p>
        </w:tc>
        <w:tc>
          <w:tcPr>
            <w:tcW w:w="1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656</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460" w:type="dxa"/>
            <w:vAlign w:val="bottom"/>
            <w:gridSpan w:val="2"/>
            <w:shd w:val="clear" w:color="auto" w:fill="CCEEFF"/>
          </w:tcPr>
          <w:p>
            <w:pPr>
              <w:ind w:left="20"/>
              <w:spacing w:after="0" w:line="81" w:lineRule="exact"/>
              <w:rPr>
                <w:sz w:val="20"/>
                <w:szCs w:val="20"/>
                <w:color w:val="auto"/>
              </w:rPr>
            </w:pPr>
            <w:r>
              <w:rPr>
                <w:rFonts w:ascii="Arial" w:cs="Arial" w:eastAsia="Arial" w:hAnsi="Arial"/>
                <w:sz w:val="9"/>
                <w:szCs w:val="9"/>
                <w:color w:val="auto"/>
              </w:rPr>
              <w:t>Spectra A&amp;D Acquisition, Inc. (fka</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15,000</w:t>
            </w: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18,359</w:t>
            </w:r>
          </w:p>
        </w:tc>
        <w:tc>
          <w:tcPr>
            <w:tcW w:w="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2,010</w:t>
            </w:r>
          </w:p>
        </w:tc>
        <w:tc>
          <w:tcPr>
            <w:tcW w:w="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ind w:right="141"/>
              <w:spacing w:after="0"/>
              <w:rPr>
                <w:sz w:val="20"/>
                <w:szCs w:val="20"/>
                <w:color w:val="auto"/>
              </w:rPr>
            </w:pPr>
            <w:r>
              <w:rPr>
                <w:rFonts w:ascii="Arial" w:cs="Arial" w:eastAsia="Arial" w:hAnsi="Arial"/>
                <w:sz w:val="9"/>
                <w:szCs w:val="9"/>
                <w:color w:val="auto"/>
              </w:rPr>
              <w:t>(4,424 )</w:t>
            </w:r>
          </w:p>
        </w:tc>
        <w:tc>
          <w:tcPr>
            <w:tcW w:w="6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15,945</w:t>
            </w: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jc w:val="right"/>
              <w:ind w:right="121"/>
              <w:spacing w:after="0"/>
              <w:rPr>
                <w:sz w:val="20"/>
                <w:szCs w:val="20"/>
                <w:color w:val="auto"/>
              </w:rPr>
            </w:pPr>
            <w:r>
              <w:rPr>
                <w:rFonts w:ascii="Arial" w:cs="Arial" w:eastAsia="Arial" w:hAnsi="Arial"/>
                <w:sz w:val="9"/>
                <w:szCs w:val="9"/>
                <w:color w:val="auto"/>
              </w:rPr>
              <w:t>(4,414 )</w:t>
            </w:r>
          </w:p>
        </w:tc>
        <w:tc>
          <w:tcPr>
            <w:tcW w:w="100" w:type="dxa"/>
            <w:vAlign w:val="bottom"/>
            <w:shd w:val="clear" w:color="auto" w:fill="CCEEFF"/>
          </w:tcPr>
          <w:p>
            <w:pPr>
              <w:spacing w:after="0"/>
              <w:rPr>
                <w:sz w:val="7"/>
                <w:szCs w:val="7"/>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810</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165</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FDS Avionics Corp.)</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460" w:type="dxa"/>
            <w:vAlign w:val="bottom"/>
            <w:gridSpan w:val="2"/>
          </w:tcPr>
          <w:p>
            <w:pPr>
              <w:ind w:left="20"/>
              <w:spacing w:after="0" w:line="81" w:lineRule="exact"/>
              <w:rPr>
                <w:sz w:val="20"/>
                <w:szCs w:val="20"/>
                <w:color w:val="auto"/>
              </w:rPr>
            </w:pPr>
            <w:r>
              <w:rPr>
                <w:rFonts w:ascii="Arial" w:cs="Arial" w:eastAsia="Arial" w:hAnsi="Arial"/>
                <w:sz w:val="9"/>
                <w:szCs w:val="9"/>
                <w:color w:val="auto"/>
              </w:rPr>
              <w:t>Steward Holding LLC (dba Steward</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3,338</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148</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3,486</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148</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69</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80" w:type="dxa"/>
            <w:vAlign w:val="bottom"/>
          </w:tcPr>
          <w:p>
            <w:pPr>
              <w:ind w:left="20"/>
              <w:spacing w:after="0" w:line="95" w:lineRule="exact"/>
              <w:rPr>
                <w:sz w:val="20"/>
                <w:szCs w:val="20"/>
                <w:color w:val="auto"/>
              </w:rPr>
            </w:pPr>
            <w:r>
              <w:rPr>
                <w:rFonts w:ascii="Arial" w:cs="Arial" w:eastAsia="Arial" w:hAnsi="Arial"/>
                <w:sz w:val="9"/>
                <w:szCs w:val="9"/>
                <w:color w:val="auto"/>
                <w:w w:val="90"/>
              </w:rPr>
              <w:t>Advanced Materials)</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460" w:type="dxa"/>
            <w:vAlign w:val="bottom"/>
            <w:tcBorders>
              <w:bottom w:val="single" w:sz="8" w:color="CCEEFF"/>
            </w:tcBorders>
            <w:gridSpan w:val="2"/>
            <w:shd w:val="clear" w:color="auto" w:fill="CCEEFF"/>
          </w:tcPr>
          <w:p>
            <w:pPr>
              <w:ind w:left="20"/>
              <w:spacing w:after="0" w:line="102" w:lineRule="exact"/>
              <w:rPr>
                <w:sz w:val="20"/>
                <w:szCs w:val="20"/>
                <w:color w:val="auto"/>
              </w:rPr>
            </w:pPr>
            <w:r>
              <w:rPr>
                <w:rFonts w:ascii="Arial" w:cs="Arial" w:eastAsia="Arial" w:hAnsi="Arial"/>
                <w:sz w:val="9"/>
                <w:szCs w:val="9"/>
                <w:b w:val="1"/>
                <w:bCs w:val="1"/>
                <w:color w:val="auto"/>
              </w:rPr>
              <w:t>Total Affiliate Investments</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ind w:left="20"/>
              <w:spacing w:after="0" w:line="102" w:lineRule="exact"/>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24,602</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137,284</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55"/>
              <w:spacing w:after="0" w:line="102" w:lineRule="exact"/>
              <w:rPr>
                <w:sz w:val="20"/>
                <w:szCs w:val="20"/>
                <w:color w:val="auto"/>
              </w:rPr>
            </w:pPr>
            <w:r>
              <w:rPr>
                <w:rFonts w:ascii="Arial" w:cs="Arial" w:eastAsia="Arial" w:hAnsi="Arial"/>
                <w:sz w:val="9"/>
                <w:szCs w:val="9"/>
                <w:color w:val="auto"/>
                <w:w w:val="78"/>
              </w:rPr>
              <w:t>$</w:t>
            </w:r>
          </w:p>
        </w:tc>
        <w:tc>
          <w:tcPr>
            <w:tcW w:w="4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34,251</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ind w:left="20"/>
              <w:spacing w:after="0" w:line="102" w:lineRule="exact"/>
              <w:rPr>
                <w:sz w:val="20"/>
                <w:szCs w:val="20"/>
                <w:color w:val="auto"/>
              </w:rPr>
            </w:pPr>
            <w:r>
              <w:rPr>
                <w:rFonts w:ascii="Arial" w:cs="Arial" w:eastAsia="Arial" w:hAnsi="Arial"/>
                <w:sz w:val="9"/>
                <w:szCs w:val="9"/>
                <w:color w:val="auto"/>
              </w:rPr>
              <w:t>$</w:t>
            </w:r>
          </w:p>
        </w:tc>
        <w:tc>
          <w:tcPr>
            <w:tcW w:w="4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(65,161</w:t>
            </w:r>
          </w:p>
        </w:tc>
        <w:tc>
          <w:tcPr>
            <w:tcW w:w="2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106,374</w:t>
            </w: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15,624</w:t>
            </w: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(20,928</w:t>
            </w:r>
          </w:p>
        </w:tc>
        <w:tc>
          <w:tcPr>
            <w:tcW w:w="2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4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1,541</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30</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725</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297</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-890905</wp:posOffset>
            </wp:positionV>
            <wp:extent cx="5666105" cy="946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66105" cy="94615"/>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-24765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-8255</wp:posOffset>
            </wp:positionV>
            <wp:extent cx="768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-24765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-8255</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-24765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-8255</wp:posOffset>
            </wp:positionV>
            <wp:extent cx="768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-24765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-8255</wp:posOffset>
            </wp:positionV>
            <wp:extent cx="768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left="360" w:hanging="339"/>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investment type, industry, ownership detail for equity investments, and if the investment is income producing is disclosed in the consolidated schedule of investments.</w:t>
      </w:r>
    </w:p>
    <w:p>
      <w:pPr>
        <w:spacing w:after="0" w:line="13" w:lineRule="exact"/>
        <w:rPr>
          <w:rFonts w:ascii="Arial" w:cs="Arial" w:eastAsia="Arial" w:hAnsi="Arial"/>
          <w:sz w:val="14"/>
          <w:szCs w:val="14"/>
          <w:color w:val="auto"/>
        </w:rPr>
      </w:pPr>
    </w:p>
    <w:p>
      <w:pPr>
        <w:ind w:left="360" w:right="20" w:hanging="339"/>
        <w:spacing w:after="0" w:line="228" w:lineRule="auto"/>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ind w:left="360" w:right="420" w:hanging="339"/>
        <w:spacing w:after="0" w:line="231" w:lineRule="auto"/>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ind w:left="360" w:right="160" w:hanging="339"/>
        <w:spacing w:after="0" w:line="228" w:lineRule="auto"/>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ind w:left="360" w:hanging="339"/>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Portfolio company was transferred to Non-control/Non-affiliate investments from Affiliate investments during the six months ended June 30, 2022.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shares and per share data)</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table below represents the fair value of control and affiliate investments as of December 31, 2020 and any additions and reductions made to such investments during the year ended December 31, 2021, including the total investment income earned on such investments during the period.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7"/>
          </w:tcPr>
          <w:p>
            <w:pPr>
              <w:ind w:left="40"/>
              <w:spacing w:after="0"/>
              <w:rPr>
                <w:sz w:val="20"/>
                <w:szCs w:val="20"/>
                <w:color w:val="auto"/>
              </w:rPr>
            </w:pPr>
            <w:r>
              <w:rPr>
                <w:rFonts w:ascii="Arial" w:cs="Arial" w:eastAsia="Arial" w:hAnsi="Arial"/>
                <w:sz w:val="9"/>
                <w:szCs w:val="9"/>
                <w:b w:val="1"/>
                <w:bCs w:val="1"/>
                <w:color w:val="auto"/>
                <w:w w:val="99"/>
              </w:rPr>
              <w:t>Year Ended Ended December 31, 2021</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gridSpan w:val="3"/>
          </w:tcPr>
          <w:p>
            <w:pPr>
              <w:jc w:val="center"/>
              <w:ind w:right="120"/>
              <w:spacing w:after="0" w:line="75" w:lineRule="exact"/>
              <w:rPr>
                <w:sz w:val="20"/>
                <w:szCs w:val="20"/>
                <w:color w:val="auto"/>
              </w:rPr>
            </w:pPr>
            <w:r>
              <w:rPr>
                <w:rFonts w:ascii="Arial" w:cs="Arial" w:eastAsia="Arial" w:hAnsi="Arial"/>
                <w:sz w:val="8"/>
                <w:szCs w:val="8"/>
                <w:b w:val="1"/>
                <w:bCs w:val="1"/>
                <w:color w:val="auto"/>
              </w:rPr>
              <w:t>Net Change in</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20"/>
              <w:spacing w:after="0"/>
              <w:rPr>
                <w:sz w:val="20"/>
                <w:szCs w:val="20"/>
                <w:color w:val="auto"/>
              </w:rPr>
            </w:pPr>
            <w:r>
              <w:rPr>
                <w:rFonts w:ascii="Arial" w:cs="Arial" w:eastAsia="Arial" w:hAnsi="Arial"/>
                <w:sz w:val="9"/>
                <w:szCs w:val="9"/>
                <w:b w:val="1"/>
                <w:bCs w:val="1"/>
                <w:color w:val="auto"/>
                <w:w w:val="93"/>
              </w:rPr>
              <w:t>December 31, 2021</w:t>
            </w:r>
          </w:p>
        </w:tc>
        <w:tc>
          <w:tcPr>
            <w:tcW w:w="220" w:type="dxa"/>
            <w:vAlign w:val="bottom"/>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w w:val="91"/>
              </w:rPr>
              <w:t>December 31, 2020</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87"/>
              </w:rPr>
              <w:t>December</w:t>
            </w:r>
          </w:p>
        </w:tc>
        <w:tc>
          <w:tcPr>
            <w:tcW w:w="840" w:type="dxa"/>
            <w:vAlign w:val="bottom"/>
            <w:gridSpan w:val="3"/>
          </w:tcPr>
          <w:p>
            <w:pPr>
              <w:ind w:left="60"/>
              <w:spacing w:after="0"/>
              <w:rPr>
                <w:sz w:val="20"/>
                <w:szCs w:val="20"/>
                <w:color w:val="auto"/>
              </w:rPr>
            </w:pPr>
            <w:r>
              <w:rPr>
                <w:rFonts w:ascii="Arial" w:cs="Arial" w:eastAsia="Arial" w:hAnsi="Arial"/>
                <w:sz w:val="9"/>
                <w:szCs w:val="9"/>
                <w:b w:val="1"/>
                <w:bCs w:val="1"/>
                <w:color w:val="auto"/>
              </w:rPr>
              <w:t>Net Realized</w:t>
            </w:r>
          </w:p>
        </w:tc>
        <w:tc>
          <w:tcPr>
            <w:tcW w:w="60" w:type="dxa"/>
            <w:vAlign w:val="bottom"/>
          </w:tcPr>
          <w:p>
            <w:pPr>
              <w:spacing w:after="0"/>
              <w:rPr>
                <w:sz w:val="9"/>
                <w:szCs w:val="9"/>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2"/>
              </w:rPr>
              <w:t>Unrealized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95"/>
              <w:spacing w:after="0"/>
              <w:rPr>
                <w:sz w:val="20"/>
                <w:szCs w:val="20"/>
                <w:color w:val="auto"/>
              </w:rPr>
            </w:pPr>
            <w:r>
              <w:rPr>
                <w:rFonts w:ascii="Arial" w:cs="Arial" w:eastAsia="Arial" w:hAnsi="Arial"/>
                <w:sz w:val="9"/>
                <w:szCs w:val="9"/>
                <w:b w:val="1"/>
                <w:bCs w:val="1"/>
                <w:color w:val="auto"/>
                <w:w w:val="92"/>
              </w:rPr>
              <w:t>Interest</w:t>
            </w:r>
          </w:p>
        </w:tc>
        <w:tc>
          <w:tcPr>
            <w:tcW w:w="220" w:type="dxa"/>
            <w:vAlign w:val="bottom"/>
          </w:tcPr>
          <w:p>
            <w:pPr>
              <w:spacing w:after="0"/>
              <w:rPr>
                <w:sz w:val="9"/>
                <w:szCs w:val="9"/>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9"/>
                <w:szCs w:val="9"/>
                <w:b w:val="1"/>
                <w:bCs w:val="1"/>
                <w:color w:val="auto"/>
                <w:w w:val="89"/>
              </w:rPr>
              <w:t>Payment-in-</w:t>
            </w:r>
          </w:p>
        </w:tc>
        <w:tc>
          <w:tcPr>
            <w:tcW w:w="80" w:type="dxa"/>
            <w:vAlign w:val="bottom"/>
          </w:tcPr>
          <w:p>
            <w:pPr>
              <w:spacing w:after="0"/>
              <w:rPr>
                <w:sz w:val="9"/>
                <w:szCs w:val="9"/>
                <w:color w:val="auto"/>
              </w:rPr>
            </w:pPr>
          </w:p>
        </w:tc>
        <w:tc>
          <w:tcPr>
            <w:tcW w:w="500" w:type="dxa"/>
            <w:vAlign w:val="bottom"/>
            <w:vMerge w:val="restart"/>
          </w:tcPr>
          <w:p>
            <w:pPr>
              <w:jc w:val="right"/>
              <w:ind w:right="75"/>
              <w:spacing w:after="0"/>
              <w:rPr>
                <w:sz w:val="20"/>
                <w:szCs w:val="20"/>
                <w:color w:val="auto"/>
              </w:rPr>
            </w:pPr>
            <w:r>
              <w:rPr>
                <w:rFonts w:ascii="Arial" w:cs="Arial" w:eastAsia="Arial" w:hAnsi="Arial"/>
                <w:sz w:val="9"/>
                <w:szCs w:val="9"/>
                <w:b w:val="1"/>
                <w:bCs w:val="1"/>
                <w:color w:val="auto"/>
                <w:w w:val="94"/>
              </w:rPr>
              <w:t>Dividend</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580" w:type="dxa"/>
            <w:vAlign w:val="bottom"/>
            <w:vMerge w:val="restart"/>
          </w:tcPr>
          <w:p>
            <w:pPr>
              <w:ind w:left="20"/>
              <w:spacing w:after="0"/>
              <w:rPr>
                <w:sz w:val="20"/>
                <w:szCs w:val="20"/>
                <w:color w:val="auto"/>
              </w:rPr>
            </w:pPr>
            <w:r>
              <w:rPr>
                <w:rFonts w:ascii="Arial" w:cs="Arial" w:eastAsia="Arial" w:hAnsi="Arial"/>
                <w:sz w:val="9"/>
                <w:szCs w:val="9"/>
                <w:b w:val="1"/>
                <w:bCs w:val="1"/>
                <w:color w:val="auto"/>
              </w:rPr>
              <w:t xml:space="preserve">Portfolio Company </w:t>
            </w:r>
            <w:r>
              <w:rPr>
                <w:rFonts w:ascii="Arial" w:cs="Arial" w:eastAsia="Arial" w:hAnsi="Arial"/>
                <w:sz w:val="12"/>
                <w:szCs w:val="12"/>
                <w:b w:val="1"/>
                <w:bCs w:val="1"/>
                <w:color w:val="auto"/>
                <w:vertAlign w:val="superscript"/>
              </w:rPr>
              <w:t>(1)</w:t>
            </w:r>
          </w:p>
        </w:tc>
        <w:tc>
          <w:tcPr>
            <w:tcW w:w="120" w:type="dxa"/>
            <w:vAlign w:val="bottom"/>
          </w:tcPr>
          <w:p>
            <w:pPr>
              <w:spacing w:after="0"/>
              <w:rPr>
                <w:sz w:val="4"/>
                <w:szCs w:val="4"/>
                <w:color w:val="auto"/>
              </w:rPr>
            </w:pPr>
          </w:p>
        </w:tc>
        <w:tc>
          <w:tcPr>
            <w:tcW w:w="800" w:type="dxa"/>
            <w:vAlign w:val="bottom"/>
            <w:gridSpan w:val="2"/>
          </w:tcPr>
          <w:p>
            <w:pPr>
              <w:ind w:left="20"/>
              <w:spacing w:after="0" w:line="54" w:lineRule="exact"/>
              <w:rPr>
                <w:sz w:val="20"/>
                <w:szCs w:val="20"/>
                <w:color w:val="auto"/>
              </w:rPr>
            </w:pPr>
            <w:r>
              <w:rPr>
                <w:rFonts w:ascii="Arial" w:cs="Arial" w:eastAsia="Arial" w:hAnsi="Arial"/>
                <w:sz w:val="6"/>
                <w:szCs w:val="6"/>
                <w:b w:val="1"/>
                <w:bCs w:val="1"/>
                <w:color w:val="auto"/>
              </w:rPr>
              <w:t>Principal Amount -</w:t>
            </w:r>
          </w:p>
        </w:tc>
        <w:tc>
          <w:tcPr>
            <w:tcW w:w="2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w w:val="87"/>
              </w:rPr>
              <w:t xml:space="preserve">Gross Additions </w:t>
            </w:r>
            <w:r>
              <w:rPr>
                <w:rFonts w:ascii="Arial" w:cs="Arial" w:eastAsia="Arial" w:hAnsi="Arial"/>
                <w:sz w:val="12"/>
                <w:szCs w:val="12"/>
                <w:b w:val="1"/>
                <w:bCs w:val="1"/>
                <w:color w:val="auto"/>
                <w:w w:val="87"/>
                <w:vertAlign w:val="superscript"/>
              </w:rPr>
              <w:t>(2)</w:t>
            </w:r>
          </w:p>
        </w:tc>
        <w:tc>
          <w:tcPr>
            <w:tcW w:w="240" w:type="dxa"/>
            <w:vAlign w:val="bottom"/>
          </w:tcPr>
          <w:p>
            <w:pPr>
              <w:spacing w:after="0"/>
              <w:rPr>
                <w:sz w:val="4"/>
                <w:szCs w:val="4"/>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Gross Reductions</w:t>
            </w:r>
            <w:r>
              <w:rPr>
                <w:rFonts w:ascii="Arial" w:cs="Arial" w:eastAsia="Arial" w:hAnsi="Arial"/>
                <w:sz w:val="12"/>
                <w:szCs w:val="12"/>
                <w:b w:val="1"/>
                <w:bCs w:val="1"/>
                <w:color w:val="auto"/>
                <w:vertAlign w:val="subscript"/>
              </w:rPr>
              <w:t>(3)</w:t>
            </w:r>
          </w:p>
        </w:tc>
        <w:tc>
          <w:tcPr>
            <w:tcW w:w="60" w:type="dxa"/>
            <w:vAlign w:val="bottom"/>
          </w:tcPr>
          <w:p>
            <w:pPr>
              <w:spacing w:after="0"/>
              <w:rPr>
                <w:sz w:val="4"/>
                <w:szCs w:val="4"/>
                <w:color w:val="auto"/>
              </w:rPr>
            </w:pPr>
          </w:p>
        </w:tc>
        <w:tc>
          <w:tcPr>
            <w:tcW w:w="460" w:type="dxa"/>
            <w:vAlign w:val="bottom"/>
          </w:tcPr>
          <w:p>
            <w:pPr>
              <w:jc w:val="center"/>
              <w:ind w:right="36"/>
              <w:spacing w:after="0" w:line="54" w:lineRule="exact"/>
              <w:rPr>
                <w:sz w:val="20"/>
                <w:szCs w:val="20"/>
                <w:color w:val="auto"/>
              </w:rPr>
            </w:pPr>
            <w:r>
              <w:rPr>
                <w:rFonts w:ascii="Arial" w:cs="Arial" w:eastAsia="Arial" w:hAnsi="Arial"/>
                <w:sz w:val="6"/>
                <w:szCs w:val="6"/>
                <w:b w:val="1"/>
                <w:bCs w:val="1"/>
                <w:color w:val="auto"/>
              </w:rPr>
              <w:t>31, 2021</w:t>
            </w:r>
          </w:p>
        </w:tc>
        <w:tc>
          <w:tcPr>
            <w:tcW w:w="220" w:type="dxa"/>
            <w:vAlign w:val="bottom"/>
          </w:tcPr>
          <w:p>
            <w:pPr>
              <w:spacing w:after="0"/>
              <w:rPr>
                <w:sz w:val="4"/>
                <w:szCs w:val="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Gains (</w:t>
            </w:r>
            <w:r>
              <w:rPr>
                <w:rFonts w:ascii="Arial" w:cs="Arial" w:eastAsia="Arial" w:hAnsi="Arial"/>
                <w:sz w:val="12"/>
                <w:szCs w:val="12"/>
                <w:b w:val="1"/>
                <w:bCs w:val="1"/>
                <w:color w:val="auto"/>
                <w:vertAlign w:val="subscript"/>
              </w:rPr>
              <w:t>4)</w:t>
            </w:r>
            <w:r>
              <w:rPr>
                <w:rFonts w:ascii="Arial" w:cs="Arial" w:eastAsia="Arial" w:hAnsi="Arial"/>
                <w:sz w:val="9"/>
                <w:szCs w:val="9"/>
                <w:b w:val="1"/>
                <w:bCs w:val="1"/>
                <w:color w:val="auto"/>
              </w:rPr>
              <w:t>Losses)</w:t>
            </w:r>
          </w:p>
        </w:tc>
        <w:tc>
          <w:tcPr>
            <w:tcW w:w="60" w:type="dxa"/>
            <w:vAlign w:val="bottom"/>
          </w:tcPr>
          <w:p>
            <w:pPr>
              <w:spacing w:after="0"/>
              <w:rPr>
                <w:sz w:val="4"/>
                <w:szCs w:val="4"/>
                <w:color w:val="auto"/>
              </w:rPr>
            </w:pPr>
          </w:p>
        </w:tc>
        <w:tc>
          <w:tcPr>
            <w:tcW w:w="680" w:type="dxa"/>
            <w:vAlign w:val="bottom"/>
            <w:gridSpan w:val="2"/>
          </w:tcPr>
          <w:p>
            <w:pPr>
              <w:jc w:val="center"/>
              <w:ind w:right="180"/>
              <w:spacing w:after="0" w:line="54" w:lineRule="exact"/>
              <w:rPr>
                <w:sz w:val="20"/>
                <w:szCs w:val="20"/>
                <w:color w:val="auto"/>
              </w:rPr>
            </w:pPr>
            <w:r>
              <w:rPr>
                <w:rFonts w:ascii="Arial" w:cs="Arial" w:eastAsia="Arial" w:hAnsi="Arial"/>
                <w:sz w:val="6"/>
                <w:szCs w:val="6"/>
                <w:b w:val="1"/>
                <w:bCs w:val="1"/>
                <w:color w:val="auto"/>
              </w:rPr>
              <w:t>Appreciation</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gridSpan w:val="3"/>
          </w:tcPr>
          <w:p>
            <w:pPr>
              <w:jc w:val="center"/>
              <w:ind w:right="260"/>
              <w:spacing w:after="0" w:line="54" w:lineRule="exact"/>
              <w:rPr>
                <w:sz w:val="20"/>
                <w:szCs w:val="20"/>
                <w:color w:val="auto"/>
              </w:rPr>
            </w:pPr>
            <w:r>
              <w:rPr>
                <w:rFonts w:ascii="Arial" w:cs="Arial" w:eastAsia="Arial" w:hAnsi="Arial"/>
                <w:sz w:val="6"/>
                <w:szCs w:val="6"/>
                <w:b w:val="1"/>
                <w:bCs w:val="1"/>
                <w:color w:val="auto"/>
              </w:rPr>
              <w:t>kind Interest</w:t>
            </w:r>
          </w:p>
        </w:tc>
        <w:tc>
          <w:tcPr>
            <w:tcW w:w="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restart"/>
          </w:tcPr>
          <w:p>
            <w:pPr>
              <w:jc w:val="right"/>
              <w:ind w:right="75"/>
              <w:spacing w:after="0"/>
              <w:rPr>
                <w:sz w:val="20"/>
                <w:szCs w:val="20"/>
                <w:color w:val="auto"/>
              </w:rPr>
            </w:pPr>
            <w:r>
              <w:rPr>
                <w:rFonts w:ascii="Arial" w:cs="Arial" w:eastAsia="Arial" w:hAnsi="Arial"/>
                <w:sz w:val="9"/>
                <w:szCs w:val="9"/>
                <w:b w:val="1"/>
                <w:bCs w:val="1"/>
                <w:color w:val="auto"/>
                <w:w w:val="88"/>
              </w:rPr>
              <w:t>Fee Income</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ind w:right="35"/>
              <w:spacing w:after="0"/>
              <w:rPr>
                <w:sz w:val="20"/>
                <w:szCs w:val="20"/>
                <w:color w:val="auto"/>
              </w:rPr>
            </w:pPr>
            <w:r>
              <w:rPr>
                <w:rFonts w:ascii="Arial" w:cs="Arial" w:eastAsia="Arial" w:hAnsi="Arial"/>
                <w:sz w:val="9"/>
                <w:szCs w:val="9"/>
                <w:b w:val="1"/>
                <w:bCs w:val="1"/>
                <w:color w:val="auto"/>
                <w:w w:val="85"/>
              </w:rPr>
              <w:t>Debt Investments</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ind w:right="155"/>
              <w:spacing w:after="0"/>
              <w:rPr>
                <w:sz w:val="20"/>
                <w:szCs w:val="20"/>
                <w:color w:val="auto"/>
              </w:rPr>
            </w:pPr>
            <w:r>
              <w:rPr>
                <w:rFonts w:ascii="Arial" w:cs="Arial" w:eastAsia="Arial" w:hAnsi="Arial"/>
                <w:sz w:val="9"/>
                <w:szCs w:val="9"/>
                <w:b w:val="1"/>
                <w:bCs w:val="1"/>
                <w:color w:val="auto"/>
              </w:rPr>
              <w:t>Fair Value</w:t>
            </w:r>
          </w:p>
        </w:tc>
        <w:tc>
          <w:tcPr>
            <w:tcW w:w="2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2"/>
              </w:rPr>
              <w:t>Fair Value</w:t>
            </w:r>
          </w:p>
        </w:tc>
        <w:tc>
          <w:tcPr>
            <w:tcW w:w="840" w:type="dxa"/>
            <w:vAlign w:val="bottom"/>
            <w:gridSpan w:val="3"/>
            <w:vMerge w:val="continue"/>
          </w:tcPr>
          <w:p>
            <w:pPr>
              <w:spacing w:after="0"/>
              <w:rPr>
                <w:sz w:val="9"/>
                <w:szCs w:val="9"/>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2"/>
              </w:rPr>
              <w:t>(Depreciation)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75"/>
              <w:spacing w:after="0"/>
              <w:rPr>
                <w:sz w:val="20"/>
                <w:szCs w:val="20"/>
                <w:color w:val="auto"/>
              </w:rPr>
            </w:pPr>
            <w:r>
              <w:rPr>
                <w:rFonts w:ascii="Arial" w:cs="Arial" w:eastAsia="Arial" w:hAnsi="Arial"/>
                <w:sz w:val="9"/>
                <w:szCs w:val="9"/>
                <w:b w:val="1"/>
                <w:bCs w:val="1"/>
                <w:color w:val="auto"/>
              </w:rPr>
              <w:t>Income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5"/>
              </w:rPr>
              <w:t>Income</w:t>
            </w:r>
          </w:p>
        </w:tc>
        <w:tc>
          <w:tcPr>
            <w:tcW w:w="80" w:type="dxa"/>
            <w:vAlign w:val="bottom"/>
          </w:tcPr>
          <w:p>
            <w:pPr>
              <w:spacing w:after="0"/>
              <w:rPr>
                <w:sz w:val="9"/>
                <w:szCs w:val="9"/>
                <w:color w:val="auto"/>
              </w:rPr>
            </w:pPr>
          </w:p>
        </w:tc>
        <w:tc>
          <w:tcPr>
            <w:tcW w:w="500" w:type="dxa"/>
            <w:vAlign w:val="bottom"/>
          </w:tcPr>
          <w:p>
            <w:pPr>
              <w:jc w:val="right"/>
              <w:ind w:right="95"/>
              <w:spacing w:after="0"/>
              <w:rPr>
                <w:sz w:val="20"/>
                <w:szCs w:val="20"/>
                <w:color w:val="auto"/>
              </w:rPr>
            </w:pPr>
            <w:r>
              <w:rPr>
                <w:rFonts w:ascii="Arial" w:cs="Arial" w:eastAsia="Arial" w:hAnsi="Arial"/>
                <w:sz w:val="9"/>
                <w:szCs w:val="9"/>
                <w:b w:val="1"/>
                <w:bCs w:val="1"/>
                <w:color w:val="auto"/>
              </w:rPr>
              <w:t>Income</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80" w:type="dxa"/>
            <w:vAlign w:val="bottom"/>
            <w:tcBorders>
              <w:top w:val="single" w:sz="8" w:color="auto"/>
            </w:tcBorders>
            <w:shd w:val="clear" w:color="auto" w:fill="CCEEFF"/>
          </w:tcPr>
          <w:p>
            <w:pPr>
              <w:ind w:left="20"/>
              <w:spacing w:after="0" w:line="102" w:lineRule="exact"/>
              <w:rPr>
                <w:sz w:val="20"/>
                <w:szCs w:val="20"/>
                <w:color w:val="auto"/>
              </w:rPr>
            </w:pPr>
            <w:r>
              <w:rPr>
                <w:rFonts w:ascii="Arial" w:cs="Arial" w:eastAsia="Arial" w:hAnsi="Arial"/>
                <w:sz w:val="9"/>
                <w:szCs w:val="9"/>
                <w:b w:val="1"/>
                <w:bCs w:val="1"/>
                <w:color w:val="auto"/>
              </w:rPr>
              <w:t>Control Investments</w:t>
            </w:r>
          </w:p>
        </w:tc>
        <w:tc>
          <w:tcPr>
            <w:tcW w:w="1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80" w:type="dxa"/>
            <w:vAlign w:val="bottom"/>
          </w:tcPr>
          <w:p>
            <w:pPr>
              <w:ind w:left="20"/>
              <w:spacing w:after="0" w:line="81" w:lineRule="exact"/>
              <w:rPr>
                <w:sz w:val="20"/>
                <w:szCs w:val="20"/>
                <w:color w:val="auto"/>
              </w:rPr>
            </w:pPr>
            <w:r>
              <w:rPr>
                <w:rFonts w:ascii="Arial" w:cs="Arial" w:eastAsia="Arial" w:hAnsi="Arial"/>
                <w:sz w:val="9"/>
                <w:szCs w:val="9"/>
                <w:color w:val="auto"/>
              </w:rPr>
              <w:t>Hilco Plastics Holdings, LLC (dba</w:t>
            </w:r>
          </w:p>
        </w:tc>
        <w:tc>
          <w:tcPr>
            <w:tcW w:w="180" w:type="dxa"/>
            <w:vAlign w:val="bottom"/>
            <w:gridSpan w:val="2"/>
            <w:vMerge w:val="restart"/>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340" w:type="dxa"/>
            <w:vAlign w:val="bottom"/>
            <w:gridSpan w:val="2"/>
            <w:vMerge w:val="restart"/>
          </w:tcPr>
          <w:p>
            <w:pPr>
              <w:ind w:left="240"/>
              <w:spacing w:after="0"/>
              <w:rPr>
                <w:sz w:val="20"/>
                <w:szCs w:val="20"/>
                <w:color w:val="auto"/>
              </w:rPr>
            </w:pPr>
            <w:r>
              <w:rPr>
                <w:rFonts w:ascii="Arial" w:cs="Arial" w:eastAsia="Arial" w:hAnsi="Arial"/>
                <w:sz w:val="9"/>
                <w:szCs w:val="9"/>
                <w:color w:val="auto"/>
              </w:rPr>
              <w:t>$</w:t>
            </w: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tcPr>
          <w:p>
            <w:pPr>
              <w:jc w:val="right"/>
              <w:ind w:right="175"/>
              <w:spacing w:after="0"/>
              <w:rPr>
                <w:sz w:val="20"/>
                <w:szCs w:val="20"/>
                <w:color w:val="auto"/>
              </w:rPr>
            </w:pPr>
            <w:r>
              <w:rPr>
                <w:rFonts w:ascii="Arial" w:cs="Arial" w:eastAsia="Arial" w:hAnsi="Arial"/>
                <w:sz w:val="9"/>
                <w:szCs w:val="9"/>
                <w:color w:val="auto"/>
              </w:rPr>
              <w:t>$</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1,577</w:t>
            </w: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61"/>
              <w:spacing w:after="0"/>
              <w:rPr>
                <w:sz w:val="20"/>
                <w:szCs w:val="20"/>
                <w:color w:val="auto"/>
              </w:rPr>
            </w:pPr>
            <w:r>
              <w:rPr>
                <w:rFonts w:ascii="Arial" w:cs="Arial" w:eastAsia="Arial" w:hAnsi="Arial"/>
                <w:sz w:val="9"/>
                <w:szCs w:val="9"/>
                <w:color w:val="auto"/>
              </w:rPr>
              <w:t>(1,577 )</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220" w:type="dxa"/>
            <w:vAlign w:val="bottom"/>
            <w:vMerge w:val="restart"/>
          </w:tcPr>
          <w:p>
            <w:pPr>
              <w:ind w:left="20"/>
              <w:spacing w:after="0"/>
              <w:rPr>
                <w:sz w:val="20"/>
                <w:szCs w:val="20"/>
                <w:color w:val="auto"/>
              </w:rPr>
            </w:pPr>
            <w:r>
              <w:rPr>
                <w:rFonts w:ascii="Arial" w:cs="Arial" w:eastAsia="Arial" w:hAnsi="Arial"/>
                <w:sz w:val="9"/>
                <w:szCs w:val="9"/>
                <w:color w:val="auto"/>
              </w:rPr>
              <w:t>$</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9"/>
                <w:szCs w:val="9"/>
                <w:color w:val="auto"/>
              </w:rPr>
              <w:t>(881 )</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9"/>
                <w:szCs w:val="9"/>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460" w:type="dxa"/>
            <w:vAlign w:val="bottom"/>
            <w:vMerge w:val="restart"/>
          </w:tcPr>
          <w:p>
            <w:pPr>
              <w:jc w:val="right"/>
              <w:spacing w:after="0"/>
              <w:rPr>
                <w:sz w:val="20"/>
                <w:szCs w:val="20"/>
                <w:color w:val="auto"/>
              </w:rPr>
            </w:pPr>
            <w:r>
              <w:rPr>
                <w:rFonts w:ascii="Arial" w:cs="Arial" w:eastAsia="Arial" w:hAnsi="Arial"/>
                <w:sz w:val="9"/>
                <w:szCs w:val="9"/>
                <w:color w:val="auto"/>
              </w:rPr>
              <w:t>308</w:t>
            </w:r>
          </w:p>
        </w:tc>
        <w:tc>
          <w:tcPr>
            <w:tcW w:w="320" w:type="dxa"/>
            <w:vAlign w:val="bottom"/>
            <w:gridSpan w:val="2"/>
            <w:vMerge w:val="restart"/>
          </w:tcPr>
          <w:p>
            <w:pPr>
              <w:jc w:val="right"/>
              <w:ind w:right="1"/>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568</w:t>
            </w:r>
          </w:p>
        </w:tc>
        <w:tc>
          <w:tcPr>
            <w:tcW w:w="30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80" w:type="dxa"/>
            <w:vAlign w:val="bottom"/>
          </w:tcPr>
          <w:p>
            <w:pPr>
              <w:ind w:left="20"/>
              <w:spacing w:after="0" w:line="108" w:lineRule="exact"/>
              <w:rPr>
                <w:sz w:val="20"/>
                <w:szCs w:val="20"/>
                <w:color w:val="auto"/>
              </w:rPr>
            </w:pPr>
            <w:r>
              <w:rPr>
                <w:rFonts w:ascii="Arial" w:cs="Arial" w:eastAsia="Arial" w:hAnsi="Arial"/>
                <w:sz w:val="9"/>
                <w:szCs w:val="9"/>
                <w:color w:val="auto"/>
              </w:rPr>
              <w:t>Hilco Technologies)</w:t>
            </w:r>
            <w:r>
              <w:rPr>
                <w:rFonts w:ascii="Arial" w:cs="Arial" w:eastAsia="Arial" w:hAnsi="Arial"/>
                <w:sz w:val="12"/>
                <w:szCs w:val="12"/>
                <w:color w:val="auto"/>
                <w:vertAlign w:val="superscript"/>
              </w:rPr>
              <w:t>(6)</w:t>
            </w:r>
          </w:p>
        </w:tc>
        <w:tc>
          <w:tcPr>
            <w:tcW w:w="18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CCEEFF"/>
          </w:tcPr>
          <w:p>
            <w:pPr>
              <w:ind w:left="20"/>
              <w:spacing w:after="0" w:line="108" w:lineRule="exact"/>
              <w:rPr>
                <w:sz w:val="20"/>
                <w:szCs w:val="20"/>
                <w:color w:val="auto"/>
              </w:rPr>
            </w:pPr>
            <w:r>
              <w:rPr>
                <w:rFonts w:ascii="Arial" w:cs="Arial" w:eastAsia="Arial" w:hAnsi="Arial"/>
                <w:sz w:val="9"/>
                <w:szCs w:val="9"/>
                <w:color w:val="auto"/>
              </w:rPr>
              <w:t xml:space="preserve">Mesa Line Services, LLC </w:t>
            </w:r>
            <w:r>
              <w:rPr>
                <w:rFonts w:ascii="Arial" w:cs="Arial" w:eastAsia="Arial" w:hAnsi="Arial"/>
                <w:sz w:val="12"/>
                <w:szCs w:val="12"/>
                <w:color w:val="auto"/>
                <w:vertAlign w:val="superscript"/>
              </w:rPr>
              <w:t>(6)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32,708</w:t>
            </w:r>
          </w:p>
        </w:tc>
        <w:tc>
          <w:tcPr>
            <w:tcW w:w="2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1"/>
              <w:spacing w:after="0"/>
              <w:rPr>
                <w:sz w:val="20"/>
                <w:szCs w:val="20"/>
                <w:color w:val="auto"/>
              </w:rPr>
            </w:pPr>
            <w:r>
              <w:rPr>
                <w:rFonts w:ascii="Arial" w:cs="Arial" w:eastAsia="Arial" w:hAnsi="Arial"/>
                <w:sz w:val="9"/>
                <w:szCs w:val="9"/>
                <w:color w:val="auto"/>
              </w:rPr>
              <w:t>(30,557 )</w:t>
            </w: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2,151</w:t>
            </w: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20,445</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2,150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951</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903</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1,472</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80" w:type="dxa"/>
            <w:vAlign w:val="bottom"/>
          </w:tcPr>
          <w:p>
            <w:pPr>
              <w:ind w:left="20"/>
              <w:spacing w:after="0" w:line="81" w:lineRule="exact"/>
              <w:rPr>
                <w:sz w:val="20"/>
                <w:szCs w:val="20"/>
                <w:color w:val="auto"/>
              </w:rPr>
            </w:pPr>
            <w:r>
              <w:rPr>
                <w:rFonts w:ascii="Arial" w:cs="Arial" w:eastAsia="Arial" w:hAnsi="Arial"/>
                <w:sz w:val="9"/>
                <w:szCs w:val="9"/>
                <w:color w:val="auto"/>
              </w:rPr>
              <w:t>Spectra A&amp;D Acquisition, Inc. (fka</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7,391</w:t>
            </w: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1,986</w:t>
            </w: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gridSpan w:val="2"/>
            <w:vMerge w:val="restart"/>
          </w:tcPr>
          <w:p>
            <w:pPr>
              <w:jc w:val="right"/>
              <w:ind w:right="161"/>
              <w:spacing w:after="0"/>
              <w:rPr>
                <w:sz w:val="20"/>
                <w:szCs w:val="20"/>
                <w:color w:val="auto"/>
              </w:rPr>
            </w:pPr>
            <w:r>
              <w:rPr>
                <w:rFonts w:ascii="Arial" w:cs="Arial" w:eastAsia="Arial" w:hAnsi="Arial"/>
                <w:sz w:val="9"/>
                <w:szCs w:val="9"/>
                <w:color w:val="auto"/>
              </w:rPr>
              <w:t>(9,377 )</w:t>
            </w:r>
          </w:p>
        </w:tc>
        <w:tc>
          <w:tcPr>
            <w:tcW w:w="60" w:type="dxa"/>
            <w:vAlign w:val="bottom"/>
          </w:tcPr>
          <w:p>
            <w:pPr>
              <w:spacing w:after="0"/>
              <w:rPr>
                <w:sz w:val="7"/>
                <w:szCs w:val="7"/>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957</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1,028</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9"/>
                <w:szCs w:val="9"/>
                <w:color w:val="auto"/>
              </w:rPr>
              <w:t>90</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400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80" w:type="dxa"/>
            <w:vAlign w:val="bottom"/>
          </w:tcPr>
          <w:p>
            <w:pPr>
              <w:ind w:left="20"/>
              <w:spacing w:after="0" w:line="108" w:lineRule="exact"/>
              <w:rPr>
                <w:sz w:val="20"/>
                <w:szCs w:val="20"/>
                <w:color w:val="auto"/>
              </w:rPr>
            </w:pPr>
            <w:r>
              <w:rPr>
                <w:rFonts w:ascii="Arial" w:cs="Arial" w:eastAsia="Arial" w:hAnsi="Arial"/>
                <w:sz w:val="9"/>
                <w:szCs w:val="9"/>
                <w:color w:val="auto"/>
              </w:rPr>
              <w:t>FDS Avionics Corp.)</w:t>
            </w:r>
            <w:r>
              <w:rPr>
                <w:rFonts w:ascii="Arial" w:cs="Arial" w:eastAsia="Arial" w:hAnsi="Arial"/>
                <w:sz w:val="12"/>
                <w:szCs w:val="12"/>
                <w:color w:val="auto"/>
                <w:vertAlign w:val="superscript"/>
              </w:rPr>
              <w:t>(5)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CCEEFF"/>
          </w:tcPr>
          <w:p>
            <w:pPr>
              <w:ind w:left="20"/>
              <w:spacing w:after="0"/>
              <w:rPr>
                <w:sz w:val="20"/>
                <w:szCs w:val="20"/>
                <w:color w:val="auto"/>
              </w:rPr>
            </w:pPr>
            <w:r>
              <w:rPr>
                <w:rFonts w:ascii="Arial" w:cs="Arial" w:eastAsia="Arial" w:hAnsi="Arial"/>
                <w:sz w:val="9"/>
                <w:szCs w:val="9"/>
                <w:color w:val="auto"/>
              </w:rPr>
              <w:t>US GreenFiber, LLC</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5,226</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20,862</w:t>
            </w:r>
          </w:p>
        </w:tc>
        <w:tc>
          <w:tcPr>
            <w:tcW w:w="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5,214</w:t>
            </w:r>
          </w:p>
        </w:tc>
        <w:tc>
          <w:tcPr>
            <w:tcW w:w="2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1"/>
              <w:spacing w:after="0"/>
              <w:rPr>
                <w:sz w:val="20"/>
                <w:szCs w:val="20"/>
                <w:color w:val="auto"/>
              </w:rPr>
            </w:pPr>
            <w:r>
              <w:rPr>
                <w:rFonts w:ascii="Arial" w:cs="Arial" w:eastAsia="Arial" w:hAnsi="Arial"/>
                <w:sz w:val="9"/>
                <w:szCs w:val="9"/>
                <w:color w:val="auto"/>
              </w:rPr>
              <w:t>(26,076 )</w:t>
            </w:r>
          </w:p>
        </w:tc>
        <w:tc>
          <w:tcPr>
            <w:tcW w:w="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(3,144 )</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2,386</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1,214</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580" w:type="dxa"/>
            <w:vAlign w:val="bottom"/>
          </w:tcPr>
          <w:p>
            <w:pPr>
              <w:ind w:left="20"/>
              <w:spacing w:after="0" w:line="102" w:lineRule="exact"/>
              <w:rPr>
                <w:sz w:val="20"/>
                <w:szCs w:val="20"/>
                <w:color w:val="auto"/>
              </w:rPr>
            </w:pPr>
            <w:r>
              <w:rPr>
                <w:rFonts w:ascii="Arial" w:cs="Arial" w:eastAsia="Arial" w:hAnsi="Arial"/>
                <w:sz w:val="9"/>
                <w:szCs w:val="9"/>
                <w:b w:val="1"/>
                <w:bCs w:val="1"/>
                <w:color w:val="auto"/>
              </w:rPr>
              <w:t>Total Control Investments</w:t>
            </w:r>
          </w:p>
        </w:tc>
        <w:tc>
          <w:tcPr>
            <w:tcW w:w="120" w:type="dxa"/>
            <w:vAlign w:val="bottom"/>
          </w:tcPr>
          <w:p>
            <w:pPr>
              <w:spacing w:after="0"/>
              <w:rPr>
                <w:sz w:val="8"/>
                <w:szCs w:val="8"/>
                <w:color w:val="auto"/>
              </w:rPr>
            </w:pPr>
          </w:p>
        </w:tc>
        <w:tc>
          <w:tcPr>
            <w:tcW w:w="60" w:type="dxa"/>
            <w:vAlign w:val="bottom"/>
          </w:tcPr>
          <w:p>
            <w:pPr>
              <w:spacing w:after="0" w:line="102" w:lineRule="exact"/>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line="102" w:lineRule="exact"/>
              <w:rPr>
                <w:sz w:val="20"/>
                <w:szCs w:val="20"/>
                <w:color w:val="auto"/>
              </w:rPr>
            </w:pPr>
            <w:r>
              <w:rPr>
                <w:rFonts w:ascii="Arial" w:cs="Arial" w:eastAsia="Arial" w:hAnsi="Arial"/>
                <w:sz w:val="9"/>
                <w:szCs w:val="9"/>
                <w:color w:val="auto"/>
              </w:rPr>
              <w:t>5,226</w:t>
            </w:r>
          </w:p>
        </w:tc>
        <w:tc>
          <w:tcPr>
            <w:tcW w:w="220" w:type="dxa"/>
            <w:vAlign w:val="bottom"/>
          </w:tcPr>
          <w:p>
            <w:pPr>
              <w:spacing w:after="0"/>
              <w:rPr>
                <w:sz w:val="8"/>
                <w:szCs w:val="8"/>
                <w:color w:val="auto"/>
              </w:rPr>
            </w:pPr>
          </w:p>
        </w:tc>
        <w:tc>
          <w:tcPr>
            <w:tcW w:w="120" w:type="dxa"/>
            <w:vAlign w:val="bottom"/>
          </w:tcPr>
          <w:p>
            <w:pPr>
              <w:ind w:left="20"/>
              <w:spacing w:after="0" w:line="102" w:lineRule="exact"/>
              <w:rPr>
                <w:sz w:val="20"/>
                <w:szCs w:val="20"/>
                <w:color w:val="auto"/>
              </w:rPr>
            </w:pPr>
            <w:r>
              <w:rPr>
                <w:rFonts w:ascii="Arial" w:cs="Arial" w:eastAsia="Arial" w:hAnsi="Arial"/>
                <w:sz w:val="9"/>
                <w:szCs w:val="9"/>
                <w:color w:val="auto"/>
              </w:rPr>
              <w:t>$</w:t>
            </w: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28,253</w:t>
            </w:r>
          </w:p>
        </w:tc>
        <w:tc>
          <w:tcPr>
            <w:tcW w:w="220" w:type="dxa"/>
            <w:vAlign w:val="bottom"/>
          </w:tcPr>
          <w:p>
            <w:pPr>
              <w:spacing w:after="0"/>
              <w:rPr>
                <w:sz w:val="8"/>
                <w:szCs w:val="8"/>
                <w:color w:val="auto"/>
              </w:rPr>
            </w:pPr>
          </w:p>
        </w:tc>
        <w:tc>
          <w:tcPr>
            <w:tcW w:w="280" w:type="dxa"/>
            <w:vAlign w:val="bottom"/>
          </w:tcPr>
          <w:p>
            <w:pPr>
              <w:jc w:val="right"/>
              <w:ind w:right="175"/>
              <w:spacing w:after="0" w:line="102" w:lineRule="exact"/>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41,485</w:t>
            </w:r>
          </w:p>
        </w:tc>
        <w:tc>
          <w:tcPr>
            <w:tcW w:w="240" w:type="dxa"/>
            <w:vAlign w:val="bottom"/>
          </w:tcPr>
          <w:p>
            <w:pPr>
              <w:spacing w:after="0"/>
              <w:rPr>
                <w:sz w:val="8"/>
                <w:szCs w:val="8"/>
                <w:color w:val="auto"/>
              </w:rPr>
            </w:pPr>
          </w:p>
        </w:tc>
        <w:tc>
          <w:tcPr>
            <w:tcW w:w="240" w:type="dxa"/>
            <w:vAlign w:val="bottom"/>
          </w:tcPr>
          <w:p>
            <w:pPr>
              <w:ind w:left="20"/>
              <w:spacing w:after="0" w:line="102" w:lineRule="exact"/>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61"/>
              <w:spacing w:after="0" w:line="102" w:lineRule="exact"/>
              <w:rPr>
                <w:sz w:val="20"/>
                <w:szCs w:val="20"/>
                <w:color w:val="auto"/>
              </w:rPr>
            </w:pPr>
            <w:r>
              <w:rPr>
                <w:rFonts w:ascii="Arial" w:cs="Arial" w:eastAsia="Arial" w:hAnsi="Arial"/>
                <w:sz w:val="9"/>
                <w:szCs w:val="9"/>
                <w:color w:val="auto"/>
              </w:rPr>
              <w:t>(67,587 )</w:t>
            </w:r>
          </w:p>
        </w:tc>
        <w:tc>
          <w:tcPr>
            <w:tcW w:w="60" w:type="dxa"/>
            <w:vAlign w:val="bottom"/>
          </w:tcPr>
          <w:p>
            <w:pPr>
              <w:jc w:val="right"/>
              <w:spacing w:after="0" w:line="102" w:lineRule="exact"/>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2,151</w:t>
            </w:r>
          </w:p>
        </w:tc>
        <w:tc>
          <w:tcPr>
            <w:tcW w:w="220" w:type="dxa"/>
            <w:vAlign w:val="bottom"/>
          </w:tcPr>
          <w:p>
            <w:pPr>
              <w:spacing w:after="0"/>
              <w:rPr>
                <w:sz w:val="8"/>
                <w:szCs w:val="8"/>
                <w:color w:val="auto"/>
              </w:rPr>
            </w:pPr>
          </w:p>
        </w:tc>
        <w:tc>
          <w:tcPr>
            <w:tcW w:w="220" w:type="dxa"/>
            <w:vAlign w:val="bottom"/>
          </w:tcPr>
          <w:p>
            <w:pPr>
              <w:ind w:left="20"/>
              <w:spacing w:after="0" w:line="102" w:lineRule="exact"/>
              <w:rPr>
                <w:sz w:val="20"/>
                <w:szCs w:val="20"/>
                <w:color w:val="auto"/>
              </w:rPr>
            </w:pPr>
            <w:r>
              <w:rPr>
                <w:rFonts w:ascii="Arial" w:cs="Arial" w:eastAsia="Arial" w:hAnsi="Arial"/>
                <w:sz w:val="9"/>
                <w:szCs w:val="9"/>
                <w:color w:val="auto"/>
              </w:rPr>
              <w:t>$</w:t>
            </w:r>
          </w:p>
        </w:tc>
        <w:tc>
          <w:tcPr>
            <w:tcW w:w="400" w:type="dxa"/>
            <w:vAlign w:val="bottom"/>
          </w:tcPr>
          <w:p>
            <w:pPr>
              <w:jc w:val="right"/>
              <w:spacing w:after="0" w:line="102" w:lineRule="exact"/>
              <w:rPr>
                <w:sz w:val="20"/>
                <w:szCs w:val="20"/>
                <w:color w:val="auto"/>
              </w:rPr>
            </w:pPr>
            <w:r>
              <w:rPr>
                <w:rFonts w:ascii="Arial" w:cs="Arial" w:eastAsia="Arial" w:hAnsi="Arial"/>
                <w:sz w:val="9"/>
                <w:szCs w:val="9"/>
                <w:color w:val="auto"/>
              </w:rPr>
              <w:t>20,521</w:t>
            </w:r>
          </w:p>
        </w:tc>
        <w:tc>
          <w:tcPr>
            <w:tcW w:w="2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line="102" w:lineRule="exact"/>
              <w:rPr>
                <w:sz w:val="20"/>
                <w:szCs w:val="20"/>
                <w:color w:val="auto"/>
              </w:rPr>
            </w:pPr>
            <w:r>
              <w:rPr>
                <w:rFonts w:ascii="Arial" w:cs="Arial" w:eastAsia="Arial" w:hAnsi="Arial"/>
                <w:sz w:val="9"/>
                <w:szCs w:val="9"/>
                <w:color w:val="auto"/>
              </w:rPr>
              <w:t>34</w:t>
            </w:r>
          </w:p>
        </w:tc>
        <w:tc>
          <w:tcPr>
            <w:tcW w:w="100" w:type="dxa"/>
            <w:vAlign w:val="bottom"/>
          </w:tcPr>
          <w:p>
            <w:pPr>
              <w:spacing w:after="0"/>
              <w:rPr>
                <w:sz w:val="8"/>
                <w:szCs w:val="8"/>
                <w:color w:val="auto"/>
              </w:rPr>
            </w:pPr>
          </w:p>
        </w:tc>
        <w:tc>
          <w:tcPr>
            <w:tcW w:w="20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3,735</w:t>
            </w:r>
          </w:p>
        </w:tc>
        <w:tc>
          <w:tcPr>
            <w:tcW w:w="320" w:type="dxa"/>
            <w:vAlign w:val="bottom"/>
            <w:gridSpan w:val="2"/>
          </w:tcPr>
          <w:p>
            <w:pPr>
              <w:jc w:val="right"/>
              <w:ind w:right="1"/>
              <w:spacing w:after="0" w:line="102"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2,117</w:t>
            </w:r>
          </w:p>
        </w:tc>
        <w:tc>
          <w:tcPr>
            <w:tcW w:w="22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568</w:t>
            </w:r>
          </w:p>
        </w:tc>
        <w:tc>
          <w:tcPr>
            <w:tcW w:w="30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c>
          <w:tcPr>
            <w:tcW w:w="580" w:type="dxa"/>
            <w:vAlign w:val="bottom"/>
          </w:tcPr>
          <w:p>
            <w:pPr>
              <w:jc w:val="right"/>
              <w:spacing w:after="0" w:line="102" w:lineRule="exact"/>
              <w:rPr>
                <w:sz w:val="20"/>
                <w:szCs w:val="20"/>
                <w:color w:val="auto"/>
              </w:rPr>
            </w:pPr>
            <w:r>
              <w:rPr>
                <w:rFonts w:ascii="Arial" w:cs="Arial" w:eastAsia="Arial" w:hAnsi="Arial"/>
                <w:sz w:val="9"/>
                <w:szCs w:val="9"/>
                <w:color w:val="auto"/>
              </w:rPr>
              <w:t>1,872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580" w:type="dxa"/>
            <w:vAlign w:val="bottom"/>
            <w:shd w:val="clear" w:color="auto" w:fill="CCEEFF"/>
          </w:tcPr>
          <w:p>
            <w:pPr>
              <w:ind w:left="20"/>
              <w:spacing w:after="0" w:line="89" w:lineRule="exact"/>
              <w:rPr>
                <w:sz w:val="20"/>
                <w:szCs w:val="20"/>
                <w:color w:val="auto"/>
              </w:rPr>
            </w:pPr>
            <w:r>
              <w:rPr>
                <w:rFonts w:ascii="Arial" w:cs="Arial" w:eastAsia="Arial" w:hAnsi="Arial"/>
                <w:sz w:val="9"/>
                <w:szCs w:val="9"/>
                <w:b w:val="1"/>
                <w:bCs w:val="1"/>
                <w:color w:val="auto"/>
              </w:rPr>
              <w:t>Affiliate Investments</w:t>
            </w: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80" w:type="dxa"/>
            <w:vAlign w:val="bottom"/>
          </w:tcPr>
          <w:p>
            <w:pPr>
              <w:ind w:left="20"/>
              <w:spacing w:after="0" w:line="81" w:lineRule="exact"/>
              <w:rPr>
                <w:sz w:val="20"/>
                <w:szCs w:val="20"/>
                <w:color w:val="auto"/>
              </w:rPr>
            </w:pPr>
            <w:r>
              <w:rPr>
                <w:rFonts w:ascii="Arial" w:cs="Arial" w:eastAsia="Arial" w:hAnsi="Arial"/>
                <w:sz w:val="9"/>
                <w:szCs w:val="9"/>
                <w:color w:val="auto"/>
                <w:w w:val="99"/>
              </w:rPr>
              <w:t>Applegate Greenfiber Intermediate Inc.</w:t>
            </w:r>
          </w:p>
        </w:tc>
        <w:tc>
          <w:tcPr>
            <w:tcW w:w="180" w:type="dxa"/>
            <w:vAlign w:val="bottom"/>
            <w:gridSpan w:val="2"/>
            <w:vMerge w:val="restart"/>
          </w:tcPr>
          <w:p>
            <w:pPr>
              <w:ind w:left="120"/>
              <w:spacing w:after="0"/>
              <w:rPr>
                <w:sz w:val="20"/>
                <w:szCs w:val="20"/>
                <w:color w:val="auto"/>
              </w:rPr>
            </w:pPr>
            <w:r>
              <w:rPr>
                <w:rFonts w:ascii="Arial" w:cs="Arial" w:eastAsia="Arial" w:hAnsi="Arial"/>
                <w:sz w:val="9"/>
                <w:szCs w:val="9"/>
                <w:color w:val="auto"/>
                <w:w w:val="78"/>
              </w:rPr>
              <w:t>$</w:t>
            </w:r>
          </w:p>
        </w:tc>
        <w:tc>
          <w:tcPr>
            <w:tcW w:w="740" w:type="dxa"/>
            <w:vAlign w:val="bottom"/>
            <w:vMerge w:val="restart"/>
          </w:tcPr>
          <w:p>
            <w:pPr>
              <w:jc w:val="right"/>
              <w:spacing w:after="0"/>
              <w:rPr>
                <w:sz w:val="20"/>
                <w:szCs w:val="20"/>
                <w:color w:val="auto"/>
              </w:rPr>
            </w:pPr>
            <w:r>
              <w:rPr>
                <w:rFonts w:ascii="Arial" w:cs="Arial" w:eastAsia="Arial" w:hAnsi="Arial"/>
                <w:sz w:val="9"/>
                <w:szCs w:val="9"/>
                <w:color w:val="auto"/>
              </w:rPr>
              <w:t>9,602</w:t>
            </w:r>
          </w:p>
        </w:tc>
        <w:tc>
          <w:tcPr>
            <w:tcW w:w="340" w:type="dxa"/>
            <w:vAlign w:val="bottom"/>
            <w:gridSpan w:val="2"/>
            <w:vMerge w:val="restart"/>
          </w:tcPr>
          <w:p>
            <w:pPr>
              <w:ind w:left="240"/>
              <w:spacing w:after="0"/>
              <w:rPr>
                <w:sz w:val="20"/>
                <w:szCs w:val="20"/>
                <w:color w:val="auto"/>
              </w:rPr>
            </w:pPr>
            <w:r>
              <w:rPr>
                <w:rFonts w:ascii="Arial" w:cs="Arial" w:eastAsia="Arial" w:hAnsi="Arial"/>
                <w:sz w:val="9"/>
                <w:szCs w:val="9"/>
                <w:color w:val="auto"/>
              </w:rPr>
              <w:t>$</w:t>
            </w: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tcPr>
          <w:p>
            <w:pPr>
              <w:jc w:val="right"/>
              <w:ind w:right="175"/>
              <w:spacing w:after="0"/>
              <w:rPr>
                <w:sz w:val="20"/>
                <w:szCs w:val="20"/>
                <w:color w:val="auto"/>
              </w:rPr>
            </w:pPr>
            <w:r>
              <w:rPr>
                <w:rFonts w:ascii="Arial" w:cs="Arial" w:eastAsia="Arial" w:hAnsi="Arial"/>
                <w:sz w:val="9"/>
                <w:szCs w:val="9"/>
                <w:color w:val="auto"/>
              </w:rPr>
              <w:t>$</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22,405</w:t>
            </w: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221"/>
              <w:spacing w:after="0"/>
              <w:rPr>
                <w:sz w:val="20"/>
                <w:szCs w:val="20"/>
                <w:color w:val="auto"/>
              </w:rPr>
            </w:pPr>
            <w:r>
              <w:rPr>
                <w:rFonts w:ascii="Arial" w:cs="Arial" w:eastAsia="Arial" w:hAnsi="Arial"/>
                <w:sz w:val="9"/>
                <w:szCs w:val="9"/>
                <w:color w:val="auto"/>
              </w:rPr>
              <w:t>—</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vMerge w:val="restart"/>
          </w:tcPr>
          <w:p>
            <w:pPr>
              <w:jc w:val="right"/>
              <w:spacing w:after="0"/>
              <w:rPr>
                <w:sz w:val="20"/>
                <w:szCs w:val="20"/>
                <w:color w:val="auto"/>
              </w:rPr>
            </w:pPr>
            <w:r>
              <w:rPr>
                <w:rFonts w:ascii="Arial" w:cs="Arial" w:eastAsia="Arial" w:hAnsi="Arial"/>
                <w:sz w:val="9"/>
                <w:szCs w:val="9"/>
                <w:color w:val="auto"/>
              </w:rPr>
              <w:t>22,405</w:t>
            </w:r>
          </w:p>
        </w:tc>
        <w:tc>
          <w:tcPr>
            <w:tcW w:w="220" w:type="dxa"/>
            <w:vAlign w:val="bottom"/>
          </w:tcPr>
          <w:p>
            <w:pPr>
              <w:spacing w:after="0"/>
              <w:rPr>
                <w:sz w:val="7"/>
                <w:szCs w:val="7"/>
                <w:color w:val="auto"/>
              </w:rPr>
            </w:pPr>
          </w:p>
        </w:tc>
        <w:tc>
          <w:tcPr>
            <w:tcW w:w="220" w:type="dxa"/>
            <w:vAlign w:val="bottom"/>
            <w:vMerge w:val="restart"/>
          </w:tcPr>
          <w:p>
            <w:pPr>
              <w:ind w:left="20"/>
              <w:spacing w:after="0"/>
              <w:rPr>
                <w:sz w:val="20"/>
                <w:szCs w:val="20"/>
                <w:color w:val="auto"/>
              </w:rPr>
            </w:pPr>
            <w:r>
              <w:rPr>
                <w:rFonts w:ascii="Arial" w:cs="Arial" w:eastAsia="Arial" w:hAnsi="Arial"/>
                <w:sz w:val="9"/>
                <w:szCs w:val="9"/>
                <w:color w:val="auto"/>
              </w:rPr>
              <w:t>$</w:t>
            </w: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9"/>
                <w:szCs w:val="9"/>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4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320" w:type="dxa"/>
            <w:vAlign w:val="bottom"/>
            <w:gridSpan w:val="2"/>
            <w:vMerge w:val="restart"/>
          </w:tcPr>
          <w:p>
            <w:pPr>
              <w:jc w:val="right"/>
              <w:ind w:right="1"/>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300" w:type="dxa"/>
            <w:vAlign w:val="bottom"/>
            <w:gridSpan w:val="2"/>
            <w:vMerge w:val="restart"/>
          </w:tcPr>
          <w:p>
            <w:pPr>
              <w:jc w:val="right"/>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80" w:type="dxa"/>
            <w:vAlign w:val="bottom"/>
          </w:tcPr>
          <w:p>
            <w:pPr>
              <w:ind w:left="20"/>
              <w:spacing w:after="0"/>
              <w:rPr>
                <w:sz w:val="20"/>
                <w:szCs w:val="20"/>
                <w:color w:val="auto"/>
              </w:rPr>
            </w:pPr>
            <w:r>
              <w:rPr>
                <w:rFonts w:ascii="Arial" w:cs="Arial" w:eastAsia="Arial" w:hAnsi="Arial"/>
                <w:sz w:val="9"/>
                <w:szCs w:val="9"/>
                <w:color w:val="auto"/>
              </w:rPr>
              <w:t>(fka US GreenFiber, LLC)</w:t>
            </w:r>
          </w:p>
        </w:tc>
        <w:tc>
          <w:tcPr>
            <w:tcW w:w="18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CCEEFF"/>
          </w:tcPr>
          <w:p>
            <w:pPr>
              <w:ind w:left="20"/>
              <w:spacing w:after="0"/>
              <w:rPr>
                <w:sz w:val="20"/>
                <w:szCs w:val="20"/>
                <w:color w:val="auto"/>
              </w:rPr>
            </w:pPr>
            <w:r>
              <w:rPr>
                <w:rFonts w:ascii="Arial" w:cs="Arial" w:eastAsia="Arial" w:hAnsi="Arial"/>
                <w:sz w:val="9"/>
                <w:szCs w:val="9"/>
                <w:color w:val="auto"/>
              </w:rPr>
              <w:t>FAR Research Inc.</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28</w:t>
            </w:r>
          </w:p>
        </w:tc>
        <w:tc>
          <w:tcPr>
            <w:tcW w:w="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1"/>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28</w:t>
            </w: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tcPr>
          <w:p>
            <w:pPr>
              <w:ind w:left="20"/>
              <w:spacing w:after="0"/>
              <w:rPr>
                <w:sz w:val="20"/>
                <w:szCs w:val="20"/>
                <w:color w:val="auto"/>
              </w:rPr>
            </w:pPr>
            <w:r>
              <w:rPr>
                <w:rFonts w:ascii="Arial" w:cs="Arial" w:eastAsia="Arial" w:hAnsi="Arial"/>
                <w:sz w:val="9"/>
                <w:szCs w:val="9"/>
                <w:color w:val="auto"/>
              </w:rPr>
              <w:t>Fiber Materials, Inc.</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41</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94</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gridSpan w:val="2"/>
          </w:tcPr>
          <w:p>
            <w:pPr>
              <w:jc w:val="right"/>
              <w:ind w:right="161"/>
              <w:spacing w:after="0"/>
              <w:rPr>
                <w:sz w:val="20"/>
                <w:szCs w:val="20"/>
                <w:color w:val="auto"/>
              </w:rPr>
            </w:pPr>
            <w:r>
              <w:rPr>
                <w:rFonts w:ascii="Arial" w:cs="Arial" w:eastAsia="Arial" w:hAnsi="Arial"/>
                <w:sz w:val="9"/>
                <w:szCs w:val="9"/>
                <w:color w:val="auto"/>
              </w:rPr>
              <w:t>(135 )</w:t>
            </w:r>
          </w:p>
        </w:tc>
        <w:tc>
          <w:tcPr>
            <w:tcW w:w="6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94</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9"/>
                <w:szCs w:val="9"/>
                <w:color w:val="auto"/>
              </w:rPr>
              <w:t>(42 )</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CCEEFF"/>
          </w:tcPr>
          <w:p>
            <w:pPr>
              <w:ind w:left="20"/>
              <w:spacing w:after="0"/>
              <w:rPr>
                <w:sz w:val="20"/>
                <w:szCs w:val="20"/>
                <w:color w:val="auto"/>
              </w:rPr>
            </w:pPr>
            <w:r>
              <w:rPr>
                <w:rFonts w:ascii="Arial" w:cs="Arial" w:eastAsia="Arial" w:hAnsi="Arial"/>
                <w:sz w:val="9"/>
                <w:szCs w:val="9"/>
                <w:color w:val="auto"/>
              </w:rPr>
              <w:t>Medsurant Holdings, LLC</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10,960</w:t>
            </w:r>
          </w:p>
        </w:tc>
        <w:tc>
          <w:tcPr>
            <w:tcW w:w="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733</w:t>
            </w:r>
          </w:p>
        </w:tc>
        <w:tc>
          <w:tcPr>
            <w:tcW w:w="2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1"/>
              <w:spacing w:after="0"/>
              <w:rPr>
                <w:sz w:val="20"/>
                <w:szCs w:val="20"/>
                <w:color w:val="auto"/>
              </w:rPr>
            </w:pPr>
            <w:r>
              <w:rPr>
                <w:rFonts w:ascii="Arial" w:cs="Arial" w:eastAsia="Arial" w:hAnsi="Arial"/>
                <w:sz w:val="9"/>
                <w:szCs w:val="9"/>
                <w:color w:val="auto"/>
              </w:rPr>
              <w:t>(8,031 )</w:t>
            </w: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3,662</w:t>
            </w: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687</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331</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91</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tcPr>
          <w:p>
            <w:pPr>
              <w:ind w:left="20"/>
              <w:spacing w:after="0"/>
              <w:rPr>
                <w:sz w:val="20"/>
                <w:szCs w:val="20"/>
                <w:color w:val="auto"/>
              </w:rPr>
            </w:pPr>
            <w:r>
              <w:rPr>
                <w:rFonts w:ascii="Arial" w:cs="Arial" w:eastAsia="Arial" w:hAnsi="Arial"/>
                <w:sz w:val="9"/>
                <w:szCs w:val="9"/>
                <w:color w:val="auto"/>
              </w:rPr>
              <w:t>Mirage Trailers LLC</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6,705</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6,494</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4,225</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gridSpan w:val="2"/>
          </w:tcPr>
          <w:p>
            <w:pPr>
              <w:jc w:val="right"/>
              <w:ind w:right="161"/>
              <w:spacing w:after="0"/>
              <w:rPr>
                <w:sz w:val="20"/>
                <w:szCs w:val="20"/>
                <w:color w:val="auto"/>
              </w:rPr>
            </w:pPr>
            <w:r>
              <w:rPr>
                <w:rFonts w:ascii="Arial" w:cs="Arial" w:eastAsia="Arial" w:hAnsi="Arial"/>
                <w:sz w:val="9"/>
                <w:szCs w:val="9"/>
                <w:color w:val="auto"/>
              </w:rPr>
              <w:t>(44 )</w:t>
            </w:r>
          </w:p>
        </w:tc>
        <w:tc>
          <w:tcPr>
            <w:tcW w:w="6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10,675</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3,871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761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338</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110</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CCEEFF"/>
          </w:tcPr>
          <w:p>
            <w:pPr>
              <w:ind w:left="20"/>
              <w:spacing w:after="0"/>
              <w:rPr>
                <w:sz w:val="20"/>
                <w:szCs w:val="20"/>
                <w:color w:val="auto"/>
              </w:rPr>
            </w:pPr>
            <w:r>
              <w:rPr>
                <w:rFonts w:ascii="Arial" w:cs="Arial" w:eastAsia="Arial" w:hAnsi="Arial"/>
                <w:sz w:val="9"/>
                <w:szCs w:val="9"/>
                <w:color w:val="auto"/>
              </w:rPr>
              <w:t>Pfanstiehl, Inc.</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33,505</w:t>
            </w:r>
          </w:p>
        </w:tc>
        <w:tc>
          <w:tcPr>
            <w:tcW w:w="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24,134</w:t>
            </w:r>
          </w:p>
        </w:tc>
        <w:tc>
          <w:tcPr>
            <w:tcW w:w="2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1"/>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57,639</w:t>
            </w: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24,135</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1,062</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tcPr>
          <w:p>
            <w:pPr>
              <w:ind w:left="20"/>
              <w:spacing w:after="0"/>
              <w:rPr>
                <w:sz w:val="20"/>
                <w:szCs w:val="20"/>
                <w:color w:val="auto"/>
              </w:rPr>
            </w:pPr>
            <w:r>
              <w:rPr>
                <w:rFonts w:ascii="Arial" w:cs="Arial" w:eastAsia="Arial" w:hAnsi="Arial"/>
                <w:sz w:val="9"/>
                <w:szCs w:val="9"/>
                <w:color w:val="auto"/>
              </w:rPr>
              <w:t>Pinnergy, Ltd.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20,589</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589</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gridSpan w:val="2"/>
          </w:tcPr>
          <w:p>
            <w:pPr>
              <w:jc w:val="right"/>
              <w:ind w:right="221"/>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21,178</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589</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80" w:type="dxa"/>
            <w:vAlign w:val="bottom"/>
            <w:shd w:val="clear" w:color="auto" w:fill="CCEEFF"/>
          </w:tcPr>
          <w:p>
            <w:pPr>
              <w:ind w:left="20"/>
              <w:spacing w:after="0" w:line="81" w:lineRule="exact"/>
              <w:rPr>
                <w:sz w:val="20"/>
                <w:szCs w:val="20"/>
                <w:color w:val="auto"/>
              </w:rPr>
            </w:pPr>
            <w:r>
              <w:rPr>
                <w:rFonts w:ascii="Arial" w:cs="Arial" w:eastAsia="Arial" w:hAnsi="Arial"/>
                <w:sz w:val="9"/>
                <w:szCs w:val="9"/>
                <w:color w:val="auto"/>
              </w:rPr>
              <w:t>Spectra A&amp;D Acquisition, Inc. (fka</w:t>
            </w: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13,000</w:t>
            </w: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18,452</w:t>
            </w:r>
          </w:p>
        </w:tc>
        <w:tc>
          <w:tcPr>
            <w:tcW w:w="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20" w:type="dxa"/>
            <w:vAlign w:val="bottom"/>
            <w:gridSpan w:val="2"/>
            <w:vMerge w:val="restart"/>
            <w:shd w:val="clear" w:color="auto" w:fill="CCEEFF"/>
          </w:tcPr>
          <w:p>
            <w:pPr>
              <w:jc w:val="right"/>
              <w:ind w:right="161"/>
              <w:spacing w:after="0"/>
              <w:rPr>
                <w:sz w:val="20"/>
                <w:szCs w:val="20"/>
                <w:color w:val="auto"/>
              </w:rPr>
            </w:pPr>
            <w:r>
              <w:rPr>
                <w:rFonts w:ascii="Arial" w:cs="Arial" w:eastAsia="Arial" w:hAnsi="Arial"/>
                <w:sz w:val="9"/>
                <w:szCs w:val="9"/>
                <w:color w:val="auto"/>
              </w:rPr>
              <w:t>(93 )</w:t>
            </w:r>
          </w:p>
        </w:tc>
        <w:tc>
          <w:tcPr>
            <w:tcW w:w="6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18,359</w:t>
            </w:r>
          </w:p>
        </w:tc>
        <w:tc>
          <w:tcPr>
            <w:tcW w:w="2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1,626</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1,142</w:t>
            </w: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294</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CCEEFF"/>
          </w:tcPr>
          <w:p>
            <w:pPr>
              <w:ind w:left="20"/>
              <w:spacing w:after="0" w:line="108" w:lineRule="exact"/>
              <w:rPr>
                <w:sz w:val="20"/>
                <w:szCs w:val="20"/>
                <w:color w:val="auto"/>
              </w:rPr>
            </w:pPr>
            <w:r>
              <w:rPr>
                <w:rFonts w:ascii="Arial" w:cs="Arial" w:eastAsia="Arial" w:hAnsi="Arial"/>
                <w:sz w:val="9"/>
                <w:szCs w:val="9"/>
                <w:color w:val="auto"/>
              </w:rPr>
              <w:t>FDS Avionics Corp.)</w:t>
            </w:r>
            <w:r>
              <w:rPr>
                <w:rFonts w:ascii="Arial" w:cs="Arial" w:eastAsia="Arial" w:hAnsi="Arial"/>
                <w:sz w:val="12"/>
                <w:szCs w:val="12"/>
                <w:color w:val="auto"/>
                <w:vertAlign w:val="superscript"/>
              </w:rPr>
              <w:t>(5)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80" w:type="dxa"/>
            <w:vAlign w:val="bottom"/>
          </w:tcPr>
          <w:p>
            <w:pPr>
              <w:ind w:left="20"/>
              <w:spacing w:after="0" w:line="81" w:lineRule="exact"/>
              <w:rPr>
                <w:sz w:val="20"/>
                <w:szCs w:val="20"/>
                <w:color w:val="auto"/>
              </w:rPr>
            </w:pPr>
            <w:r>
              <w:rPr>
                <w:rFonts w:ascii="Arial" w:cs="Arial" w:eastAsia="Arial" w:hAnsi="Arial"/>
                <w:sz w:val="9"/>
                <w:szCs w:val="9"/>
                <w:color w:val="auto"/>
              </w:rPr>
              <w:t>Steward Holding LLC (dba Steward</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9,777</w:t>
            </w: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1,373</w:t>
            </w: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gridSpan w:val="2"/>
            <w:vMerge w:val="restart"/>
          </w:tcPr>
          <w:p>
            <w:pPr>
              <w:jc w:val="right"/>
              <w:ind w:right="161"/>
              <w:spacing w:after="0"/>
              <w:rPr>
                <w:sz w:val="20"/>
                <w:szCs w:val="20"/>
                <w:color w:val="auto"/>
              </w:rPr>
            </w:pPr>
            <w:r>
              <w:rPr>
                <w:rFonts w:ascii="Arial" w:cs="Arial" w:eastAsia="Arial" w:hAnsi="Arial"/>
                <w:sz w:val="9"/>
                <w:szCs w:val="9"/>
                <w:color w:val="auto"/>
              </w:rPr>
              <w:t>(7,812 )</w:t>
            </w:r>
          </w:p>
        </w:tc>
        <w:tc>
          <w:tcPr>
            <w:tcW w:w="6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9"/>
                <w:szCs w:val="9"/>
                <w:color w:val="auto"/>
              </w:rPr>
              <w:t>3,338</w:t>
            </w: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1,341</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9"/>
                <w:szCs w:val="9"/>
                <w:color w:val="auto"/>
              </w:rPr>
              <w:t>461</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30</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580" w:type="dxa"/>
            <w:vAlign w:val="bottom"/>
          </w:tcPr>
          <w:p>
            <w:pPr>
              <w:ind w:left="20"/>
              <w:spacing w:after="0" w:line="95" w:lineRule="exact"/>
              <w:rPr>
                <w:sz w:val="20"/>
                <w:szCs w:val="20"/>
                <w:color w:val="auto"/>
              </w:rPr>
            </w:pPr>
            <w:r>
              <w:rPr>
                <w:rFonts w:ascii="Arial" w:cs="Arial" w:eastAsia="Arial" w:hAnsi="Arial"/>
                <w:sz w:val="9"/>
                <w:szCs w:val="9"/>
                <w:color w:val="auto"/>
              </w:rPr>
              <w:t>Advanced Materials)</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shd w:val="clear" w:color="auto" w:fill="CCEEFF"/>
          </w:tcPr>
          <w:p>
            <w:pPr>
              <w:ind w:left="20"/>
              <w:spacing w:after="0" w:line="102" w:lineRule="exact"/>
              <w:rPr>
                <w:sz w:val="20"/>
                <w:szCs w:val="20"/>
                <w:color w:val="auto"/>
              </w:rPr>
            </w:pPr>
            <w:r>
              <w:rPr>
                <w:rFonts w:ascii="Arial" w:cs="Arial" w:eastAsia="Arial" w:hAnsi="Arial"/>
                <w:sz w:val="9"/>
                <w:szCs w:val="9"/>
                <w:b w:val="1"/>
                <w:bCs w:val="1"/>
                <w:color w:val="auto"/>
              </w:rPr>
              <w:t>Total Affiliate Investments</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29,307</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ind w:left="20"/>
              <w:spacing w:after="0" w:line="102" w:lineRule="exact"/>
              <w:rPr>
                <w:sz w:val="20"/>
                <w:szCs w:val="20"/>
                <w:color w:val="auto"/>
              </w:rPr>
            </w:pPr>
            <w:r>
              <w:rPr>
                <w:rFonts w:ascii="Arial" w:cs="Arial" w:eastAsia="Arial" w:hAnsi="Arial"/>
                <w:sz w:val="9"/>
                <w:szCs w:val="9"/>
                <w:color w:val="auto"/>
              </w:rPr>
              <w:t>$</w:t>
            </w:r>
          </w:p>
        </w:tc>
        <w:tc>
          <w:tcPr>
            <w:tcW w:w="6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81,394</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75"/>
              <w:spacing w:after="0" w:line="102" w:lineRule="exact"/>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72,005</w:t>
            </w: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ind w:left="20"/>
              <w:spacing w:after="0" w:line="102" w:lineRule="exact"/>
              <w:rPr>
                <w:sz w:val="20"/>
                <w:szCs w:val="20"/>
                <w:color w:val="auto"/>
              </w:rPr>
            </w:pPr>
            <w:r>
              <w:rPr>
                <w:rFonts w:ascii="Arial" w:cs="Arial" w:eastAsia="Arial" w:hAnsi="Arial"/>
                <w:sz w:val="9"/>
                <w:szCs w:val="9"/>
                <w:color w:val="auto"/>
              </w:rPr>
              <w:t>$</w:t>
            </w:r>
          </w:p>
        </w:tc>
        <w:tc>
          <w:tcPr>
            <w:tcW w:w="4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(16,115</w:t>
            </w:r>
          </w:p>
        </w:tc>
        <w:tc>
          <w:tcPr>
            <w:tcW w:w="2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137,284</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ind w:left="20"/>
              <w:spacing w:after="0" w:line="102" w:lineRule="exact"/>
              <w:rPr>
                <w:sz w:val="20"/>
                <w:szCs w:val="20"/>
                <w:color w:val="auto"/>
              </w:rPr>
            </w:pPr>
            <w:r>
              <w:rPr>
                <w:rFonts w:ascii="Arial" w:cs="Arial" w:eastAsia="Arial" w:hAnsi="Arial"/>
                <w:sz w:val="9"/>
                <w:szCs w:val="9"/>
                <w:color w:val="auto"/>
              </w:rPr>
              <w:t>$</w:t>
            </w:r>
          </w:p>
        </w:tc>
        <w:tc>
          <w:tcPr>
            <w:tcW w:w="4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94</w:t>
            </w: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32,207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2,695</w:t>
            </w: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ind w:right="1"/>
              <w:spacing w:after="0" w:line="102" w:lineRule="exact"/>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368</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1,172</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385</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-1033780</wp:posOffset>
            </wp:positionV>
            <wp:extent cx="76835" cy="996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-1033780</wp:posOffset>
            </wp:positionV>
            <wp:extent cx="77470" cy="996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9969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-1033780</wp:posOffset>
            </wp:positionV>
            <wp:extent cx="76835" cy="996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9969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-1033780</wp:posOffset>
            </wp:positionV>
            <wp:extent cx="77470" cy="996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9969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-1033780</wp:posOffset>
            </wp:positionV>
            <wp:extent cx="68580" cy="996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-1033780</wp:posOffset>
            </wp:positionV>
            <wp:extent cx="68580" cy="996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-1033780</wp:posOffset>
            </wp:positionV>
            <wp:extent cx="68580" cy="996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-1033780</wp:posOffset>
            </wp:positionV>
            <wp:extent cx="68580" cy="996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-1033780</wp:posOffset>
            </wp:positionV>
            <wp:extent cx="68580" cy="996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-1033780</wp:posOffset>
            </wp:positionV>
            <wp:extent cx="68580" cy="996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-1033780</wp:posOffset>
            </wp:positionV>
            <wp:extent cx="68580" cy="996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9969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-25400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-8255</wp:posOffset>
            </wp:positionV>
            <wp:extent cx="768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-25400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-8255</wp:posOffset>
            </wp:positionV>
            <wp:extent cx="774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-25400</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-8255</wp:posOffset>
            </wp:positionV>
            <wp:extent cx="768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-25400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-8255</wp:posOffset>
            </wp:positionV>
            <wp:extent cx="774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-25400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-25400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-25400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-25400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6" w:lineRule="exact"/>
        <w:rPr>
          <w:sz w:val="20"/>
          <w:szCs w:val="20"/>
          <w:color w:val="auto"/>
        </w:rPr>
      </w:pPr>
    </w:p>
    <w:p>
      <w:pPr>
        <w:ind w:left="360" w:hanging="339"/>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investment type, industry, ownership detail for equity investments, and if the investment is income producing is disclosed in the consolidated schedule of investments.</w:t>
      </w:r>
    </w:p>
    <w:p>
      <w:pPr>
        <w:spacing w:after="0" w:line="13" w:lineRule="exact"/>
        <w:rPr>
          <w:rFonts w:ascii="Arial" w:cs="Arial" w:eastAsia="Arial" w:hAnsi="Arial"/>
          <w:sz w:val="14"/>
          <w:szCs w:val="14"/>
          <w:color w:val="auto"/>
        </w:rPr>
      </w:pPr>
    </w:p>
    <w:p>
      <w:pPr>
        <w:ind w:left="360" w:right="20" w:hanging="339"/>
        <w:spacing w:after="0" w:line="228" w:lineRule="auto"/>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ind w:left="360" w:right="420" w:hanging="339"/>
        <w:spacing w:after="0" w:line="231" w:lineRule="auto"/>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ind w:left="360" w:right="160" w:hanging="339"/>
        <w:spacing w:after="0" w:line="228" w:lineRule="auto"/>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ind w:left="360" w:hanging="339"/>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Portfolio company was transferred to Affiliate investments from Control investments during the year ended December 31, 2021.</w:t>
      </w:r>
    </w:p>
    <w:p>
      <w:pPr>
        <w:spacing w:after="0" w:line="1" w:lineRule="exact"/>
        <w:rPr>
          <w:rFonts w:ascii="Arial" w:cs="Arial" w:eastAsia="Arial" w:hAnsi="Arial"/>
          <w:sz w:val="14"/>
          <w:szCs w:val="14"/>
          <w:color w:val="auto"/>
        </w:rPr>
      </w:pPr>
    </w:p>
    <w:p>
      <w:pPr>
        <w:ind w:left="360" w:hanging="339"/>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Portfolio company was transferred to Control investments from Non-control/Non-affiliate investments during the year ended December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58" w:lineRule="exact"/>
        <w:rPr>
          <w:sz w:val="20"/>
          <w:szCs w:val="20"/>
          <w:color w:val="auto"/>
        </w:rPr>
      </w:pPr>
    </w:p>
    <w:p>
      <w:pPr>
        <w:jc w:val="both"/>
        <w:ind w:firstLine="478"/>
        <w:spacing w:after="0" w:line="239" w:lineRule="auto"/>
        <w:rPr>
          <w:sz w:val="20"/>
          <w:szCs w:val="20"/>
          <w:color w:val="auto"/>
        </w:rPr>
      </w:pPr>
      <w:r>
        <w:rPr>
          <w:rFonts w:ascii="Arial" w:cs="Arial" w:eastAsia="Arial" w:hAnsi="Arial"/>
          <w:sz w:val="18"/>
          <w:szCs w:val="18"/>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as of the measurement date.</w:t>
      </w:r>
    </w:p>
    <w:p>
      <w:pPr>
        <w:spacing w:after="0" w:line="158" w:lineRule="exact"/>
        <w:rPr>
          <w:sz w:val="20"/>
          <w:szCs w:val="20"/>
          <w:color w:val="auto"/>
        </w:rPr>
      </w:pPr>
    </w:p>
    <w:p>
      <w:pPr>
        <w:jc w:val="both"/>
        <w:ind w:firstLine="478"/>
        <w:spacing w:after="0" w:line="291"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Inputs include quoted prices for similar assets in active markets, or that are quoted prices for identical or similar assets in markets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not active and inputs that are observable, either directly or indirectly, for substantially the full term, if applicable, of the investment.</w:t>
      </w:r>
    </w:p>
    <w:p>
      <w:pPr>
        <w:spacing w:after="0" w:line="9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include those that are both unobservable and significant to the overall fair value measurement.</w:t>
      </w:r>
    </w:p>
    <w:p>
      <w:pPr>
        <w:spacing w:after="0" w:line="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 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37"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63" w:lineRule="exact"/>
        <w:rPr>
          <w:sz w:val="20"/>
          <w:szCs w:val="20"/>
          <w:color w:val="auto"/>
        </w:rPr>
      </w:pPr>
    </w:p>
    <w:p>
      <w:pPr>
        <w:ind w:left="960" w:right="20" w:hanging="473"/>
        <w:spacing w:after="0" w:line="261"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62" w:lineRule="exact"/>
        <w:rPr>
          <w:rFonts w:ascii="Arial" w:cs="Arial" w:eastAsia="Arial" w:hAnsi="Arial"/>
          <w:sz w:val="18"/>
          <w:szCs w:val="18"/>
          <w:color w:val="auto"/>
        </w:rPr>
      </w:pPr>
    </w:p>
    <w:p>
      <w:pPr>
        <w:ind w:left="960" w:hanging="47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investment committee of the Investment Advisor;</w:t>
      </w:r>
    </w:p>
    <w:p>
      <w:pPr>
        <w:spacing w:after="0" w:line="103" w:lineRule="exact"/>
        <w:rPr>
          <w:rFonts w:ascii="Arial" w:cs="Arial" w:eastAsia="Arial" w:hAnsi="Arial"/>
          <w:sz w:val="18"/>
          <w:szCs w:val="18"/>
          <w:color w:val="auto"/>
        </w:rPr>
      </w:pPr>
    </w:p>
    <w:p>
      <w:pPr>
        <w:jc w:val="both"/>
        <w:ind w:left="960" w:hanging="473"/>
        <w:spacing w:after="0" w:line="239"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w:t>
      </w:r>
    </w:p>
    <w:p>
      <w:pPr>
        <w:spacing w:after="0" w:line="82" w:lineRule="exact"/>
        <w:rPr>
          <w:rFonts w:ascii="Arial" w:cs="Arial" w:eastAsia="Arial" w:hAnsi="Arial"/>
          <w:sz w:val="18"/>
          <w:szCs w:val="18"/>
          <w:color w:val="auto"/>
        </w:rPr>
      </w:pPr>
    </w:p>
    <w:p>
      <w:pPr>
        <w:ind w:left="960" w:hanging="473"/>
        <w:spacing w:after="0" w:line="261"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62" w:lineRule="exact"/>
        <w:rPr>
          <w:rFonts w:ascii="Arial" w:cs="Arial" w:eastAsia="Arial" w:hAnsi="Arial"/>
          <w:sz w:val="18"/>
          <w:szCs w:val="18"/>
          <w:color w:val="auto"/>
        </w:rPr>
      </w:pPr>
    </w:p>
    <w:p>
      <w:pPr>
        <w:ind w:left="960" w:hanging="473"/>
        <w:spacing w:after="0" w:line="261"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117"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28"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6"/>
          <w:szCs w:val="16"/>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08" w:lineRule="exact"/>
        <w:rPr>
          <w:sz w:val="20"/>
          <w:szCs w:val="20"/>
          <w:color w:val="auto"/>
        </w:rPr>
      </w:pPr>
    </w:p>
    <w:p>
      <w:pPr>
        <w:jc w:val="both"/>
        <w:ind w:firstLine="478"/>
        <w:spacing w:after="0"/>
        <w:rPr>
          <w:sz w:val="20"/>
          <w:szCs w:val="20"/>
          <w:color w:val="auto"/>
        </w:rPr>
      </w:pPr>
      <w:r>
        <w:rPr>
          <w:rFonts w:ascii="Arial" w:cs="Arial" w:eastAsia="Arial" w:hAnsi="Arial"/>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jc w:val="both"/>
        <w:ind w:firstLine="478"/>
        <w:spacing w:after="0" w:line="268" w:lineRule="auto"/>
        <w:rPr>
          <w:sz w:val="20"/>
          <w:szCs w:val="20"/>
          <w:color w:val="auto"/>
        </w:rPr>
      </w:pPr>
      <w:r>
        <w:rPr>
          <w:rFonts w:ascii="Arial" w:cs="Arial" w:eastAsia="Arial" w:hAnsi="Arial"/>
          <w:sz w:val="16"/>
          <w:szCs w:val="16"/>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121" w:lineRule="exact"/>
        <w:rPr>
          <w:sz w:val="20"/>
          <w:szCs w:val="20"/>
          <w:color w:val="auto"/>
        </w:rPr>
      </w:pPr>
    </w:p>
    <w:p>
      <w:pPr>
        <w:jc w:val="both"/>
        <w:ind w:firstLine="478"/>
        <w:spacing w:after="0" w:line="239" w:lineRule="auto"/>
        <w:rPr>
          <w:sz w:val="20"/>
          <w:szCs w:val="20"/>
          <w:color w:val="auto"/>
        </w:rPr>
      </w:pPr>
      <w:r>
        <w:rPr>
          <w:rFonts w:ascii="Arial" w:cs="Arial" w:eastAsia="Arial" w:hAnsi="Arial"/>
          <w:sz w:val="18"/>
          <w:szCs w:val="18"/>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37"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21"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six months ended June 30, 2022 and 2021.</w:t>
      </w:r>
    </w:p>
    <w:p>
      <w:pPr>
        <w:spacing w:after="0" w:line="128" w:lineRule="exact"/>
        <w:rPr>
          <w:sz w:val="20"/>
          <w:szCs w:val="20"/>
          <w:color w:val="auto"/>
        </w:rPr>
      </w:pPr>
    </w:p>
    <w:p>
      <w:pPr>
        <w:jc w:val="both"/>
        <w:ind w:firstLine="479"/>
        <w:spacing w:after="0" w:line="261" w:lineRule="auto"/>
        <w:rPr>
          <w:sz w:val="20"/>
          <w:szCs w:val="20"/>
          <w:color w:val="auto"/>
        </w:rPr>
      </w:pPr>
      <w:r>
        <w:rPr>
          <w:rFonts w:ascii="Arial" w:cs="Arial" w:eastAsia="Arial" w:hAnsi="Arial"/>
          <w:sz w:val="18"/>
          <w:szCs w:val="18"/>
          <w:color w:val="auto"/>
        </w:rPr>
        <w:t>The following tables present a reconciliation of the beginning and ending balances for fair valued investments measured using significant unobservable inputs (Level 3) for the six months ended June 30, 2022 and 2021: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First Lien</w:t>
            </w:r>
          </w:p>
        </w:tc>
        <w:tc>
          <w:tcPr>
            <w:tcW w:w="160" w:type="dxa"/>
            <w:vAlign w:val="bottom"/>
          </w:tcPr>
          <w:p>
            <w:pPr>
              <w:spacing w:after="0"/>
              <w:rPr>
                <w:sz w:val="12"/>
                <w:szCs w:val="12"/>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3"/>
              </w:rPr>
              <w:t>Second Lien</w:t>
            </w:r>
          </w:p>
        </w:tc>
        <w:tc>
          <w:tcPr>
            <w:tcW w:w="200" w:type="dxa"/>
            <w:vAlign w:val="bottom"/>
          </w:tcPr>
          <w:p>
            <w:pPr>
              <w:spacing w:after="0"/>
              <w:rPr>
                <w:sz w:val="12"/>
                <w:szCs w:val="12"/>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Subordinated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4"/>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Debt</w:t>
            </w:r>
          </w:p>
        </w:tc>
        <w:tc>
          <w:tcPr>
            <w:tcW w:w="16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Debt</w:t>
            </w:r>
          </w:p>
        </w:tc>
        <w:tc>
          <w:tcPr>
            <w:tcW w:w="200" w:type="dxa"/>
            <w:vAlign w:val="bottom"/>
          </w:tcPr>
          <w:p>
            <w:pPr>
              <w:spacing w:after="0"/>
              <w:rPr>
                <w:sz w:val="14"/>
                <w:szCs w:val="14"/>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9"/>
              </w:rPr>
              <w:t>Warrants</w:t>
            </w:r>
          </w:p>
        </w:tc>
        <w:tc>
          <w:tcPr>
            <w:tcW w:w="18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Total</w:t>
            </w:r>
          </w:p>
        </w:tc>
      </w:tr>
      <w:tr>
        <w:trPr>
          <w:trHeight w:val="145"/>
        </w:trPr>
        <w:tc>
          <w:tcPr>
            <w:tcW w:w="3620" w:type="dxa"/>
            <w:vAlign w:val="bottom"/>
            <w:tcBorders>
              <w:top w:val="single" w:sz="8" w:color="auto"/>
            </w:tcBorders>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Balance, December 31, 2020</w:t>
            </w:r>
          </w:p>
        </w:tc>
        <w:tc>
          <w:tcPr>
            <w:tcW w:w="14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37"/>
              <w:spacing w:after="0" w:line="144"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187,353</w:t>
            </w:r>
          </w:p>
        </w:tc>
        <w:tc>
          <w:tcPr>
            <w:tcW w:w="2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17"/>
              <w:spacing w:after="0" w:line="144"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332,154</w:t>
            </w:r>
          </w:p>
        </w:tc>
        <w:tc>
          <w:tcPr>
            <w:tcW w:w="26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57"/>
              <w:spacing w:after="0" w:line="144" w:lineRule="exact"/>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107,911</w:t>
            </w: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112,836</w:t>
            </w: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2,615</w:t>
            </w:r>
          </w:p>
        </w:tc>
        <w:tc>
          <w:tcPr>
            <w:tcW w:w="22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37"/>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742,869</w:t>
            </w:r>
          </w:p>
        </w:tc>
        <w:tc>
          <w:tcPr>
            <w:tcW w:w="100" w:type="dxa"/>
            <w:vAlign w:val="bottom"/>
            <w:shd w:val="clear" w:color="auto" w:fill="CFF0FC"/>
          </w:tcPr>
          <w:p>
            <w:pPr>
              <w:spacing w:after="0"/>
              <w:rPr>
                <w:sz w:val="12"/>
                <w:szCs w:val="12"/>
                <w:color w:val="auto"/>
              </w:rPr>
            </w:pPr>
          </w:p>
        </w:tc>
      </w:tr>
      <w:tr>
        <w:trPr>
          <w:trHeight w:val="148"/>
        </w:trPr>
        <w:tc>
          <w:tcPr>
            <w:tcW w:w="3620" w:type="dxa"/>
            <w:vAlign w:val="bottom"/>
          </w:tcPr>
          <w:p>
            <w:pPr>
              <w:ind w:left="20"/>
              <w:spacing w:after="0"/>
              <w:rPr>
                <w:sz w:val="20"/>
                <w:szCs w:val="20"/>
                <w:color w:val="auto"/>
              </w:rPr>
            </w:pPr>
            <w:r>
              <w:rPr>
                <w:rFonts w:ascii="Arial" w:cs="Arial" w:eastAsia="Arial" w:hAnsi="Arial"/>
                <w:sz w:val="13"/>
                <w:szCs w:val="13"/>
                <w:color w:val="auto"/>
              </w:rPr>
              <w:t>Net realized gains (losses) on investments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5,366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5,366</w:t>
            </w:r>
          </w:p>
        </w:tc>
        <w:tc>
          <w:tcPr>
            <w:tcW w:w="100" w:type="dxa"/>
            <w:vAlign w:val="bottom"/>
          </w:tcPr>
          <w:p>
            <w:pPr>
              <w:spacing w:after="0"/>
              <w:rPr>
                <w:sz w:val="12"/>
                <w:szCs w:val="12"/>
                <w:color w:val="auto"/>
              </w:rPr>
            </w:pPr>
          </w:p>
        </w:tc>
      </w:tr>
      <w:tr>
        <w:trPr>
          <w:trHeight w:val="148"/>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Net change in unrealized appreciation (depreciation) on investments</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(2,387 )</w:t>
            </w: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(3,479 )</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(125 )</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21,876</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16,684</w:t>
            </w:r>
          </w:p>
        </w:tc>
        <w:tc>
          <w:tcPr>
            <w:tcW w:w="100" w:type="dxa"/>
            <w:vAlign w:val="bottom"/>
            <w:shd w:val="clear" w:color="auto" w:fill="CFF0FC"/>
          </w:tcPr>
          <w:p>
            <w:pPr>
              <w:spacing w:after="0"/>
              <w:rPr>
                <w:sz w:val="12"/>
                <w:szCs w:val="12"/>
                <w:color w:val="auto"/>
              </w:rPr>
            </w:pPr>
          </w:p>
        </w:tc>
      </w:tr>
      <w:tr>
        <w:trPr>
          <w:trHeight w:val="149"/>
        </w:trPr>
        <w:tc>
          <w:tcPr>
            <w:tcW w:w="3620" w:type="dxa"/>
            <w:vAlign w:val="bottom"/>
          </w:tcPr>
          <w:p>
            <w:pPr>
              <w:ind w:left="20"/>
              <w:spacing w:after="0"/>
              <w:rPr>
                <w:sz w:val="20"/>
                <w:szCs w:val="20"/>
                <w:color w:val="auto"/>
              </w:rPr>
            </w:pPr>
            <w:r>
              <w:rPr>
                <w:rFonts w:ascii="Arial" w:cs="Arial" w:eastAsia="Arial" w:hAnsi="Arial"/>
                <w:sz w:val="13"/>
                <w:szCs w:val="13"/>
                <w:color w:val="auto"/>
              </w:rPr>
              <w:t>Purchase of investments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132,900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11,500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16,001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6,948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167,349</w:t>
            </w:r>
          </w:p>
        </w:tc>
        <w:tc>
          <w:tcPr>
            <w:tcW w:w="100" w:type="dxa"/>
            <w:vAlign w:val="bottom"/>
          </w:tcPr>
          <w:p>
            <w:pPr>
              <w:spacing w:after="0"/>
              <w:rPr>
                <w:sz w:val="12"/>
                <w:szCs w:val="12"/>
                <w:color w:val="auto"/>
              </w:rPr>
            </w:pPr>
          </w:p>
        </w:tc>
      </w:tr>
      <w:tr>
        <w:trPr>
          <w:trHeight w:val="148"/>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sales and repayments of investments</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(32,568 )</w:t>
            </w: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(135,048 )</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(24,039 )</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(191,560 )</w:t>
            </w:r>
          </w:p>
        </w:tc>
      </w:tr>
      <w:tr>
        <w:trPr>
          <w:trHeight w:val="148"/>
        </w:trPr>
        <w:tc>
          <w:tcPr>
            <w:tcW w:w="3620" w:type="dxa"/>
            <w:vAlign w:val="bottom"/>
          </w:tcPr>
          <w:p>
            <w:pPr>
              <w:ind w:left="20"/>
              <w:spacing w:after="0"/>
              <w:rPr>
                <w:sz w:val="20"/>
                <w:szCs w:val="20"/>
                <w:color w:val="auto"/>
              </w:rPr>
            </w:pPr>
            <w:r>
              <w:rPr>
                <w:rFonts w:ascii="Arial" w:cs="Arial" w:eastAsia="Arial" w:hAnsi="Arial"/>
                <w:sz w:val="13"/>
                <w:szCs w:val="13"/>
                <w:color w:val="auto"/>
              </w:rPr>
              <w:t>Interest and dividend income paid-in-kind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1,974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2,177</w:t>
            </w:r>
          </w:p>
        </w:tc>
        <w:tc>
          <w:tcPr>
            <w:tcW w:w="100" w:type="dxa"/>
            <w:vAlign w:val="bottom"/>
          </w:tcPr>
          <w:p>
            <w:pPr>
              <w:spacing w:after="0"/>
              <w:rPr>
                <w:sz w:val="12"/>
                <w:szCs w:val="12"/>
                <w:color w:val="auto"/>
              </w:rPr>
            </w:pPr>
          </w:p>
        </w:tc>
      </w:tr>
      <w:tr>
        <w:trPr>
          <w:trHeight w:val="149"/>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loan origination fees</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(1,038 )</w:t>
            </w: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(54 )</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(79 )</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(1,171 )</w:t>
            </w:r>
          </w:p>
        </w:tc>
      </w:tr>
      <w:tr>
        <w:trPr>
          <w:trHeight w:val="148"/>
        </w:trPr>
        <w:tc>
          <w:tcPr>
            <w:tcW w:w="3620" w:type="dxa"/>
            <w:vAlign w:val="bottom"/>
          </w:tcPr>
          <w:p>
            <w:pPr>
              <w:ind w:left="20"/>
              <w:spacing w:after="0"/>
              <w:rPr>
                <w:sz w:val="20"/>
                <w:szCs w:val="20"/>
                <w:color w:val="auto"/>
              </w:rPr>
            </w:pPr>
            <w:r>
              <w:rPr>
                <w:rFonts w:ascii="Arial" w:cs="Arial" w:eastAsia="Arial" w:hAnsi="Arial"/>
                <w:sz w:val="13"/>
                <w:szCs w:val="13"/>
                <w:color w:val="auto"/>
              </w:rPr>
              <w:t>Accretion of loan origination fees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711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1,139</w:t>
            </w:r>
          </w:p>
        </w:tc>
        <w:tc>
          <w:tcPr>
            <w:tcW w:w="100" w:type="dxa"/>
            <w:vAlign w:val="bottom"/>
          </w:tcPr>
          <w:p>
            <w:pPr>
              <w:spacing w:after="0"/>
              <w:rPr>
                <w:sz w:val="12"/>
                <w:szCs w:val="12"/>
                <w:color w:val="auto"/>
              </w:rPr>
            </w:pPr>
          </w:p>
        </w:tc>
      </w:tr>
      <w:tr>
        <w:trPr>
          <w:trHeight w:val="149"/>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Accretion of original issue discount</w:t>
            </w:r>
          </w:p>
        </w:tc>
        <w:tc>
          <w:tcPr>
            <w:tcW w:w="1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605</w:t>
            </w: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362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Balance, June 30, 2021</w:t>
            </w:r>
          </w:p>
        </w:tc>
        <w:tc>
          <w:tcPr>
            <w:tcW w:w="320" w:type="dxa"/>
            <w:vAlign w:val="bottom"/>
            <w:gridSpan w:val="2"/>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285,011</w:t>
            </w:r>
          </w:p>
        </w:tc>
        <w:tc>
          <w:tcPr>
            <w:tcW w:w="260" w:type="dxa"/>
            <w:vAlign w:val="bottom"/>
          </w:tcPr>
          <w:p>
            <w:pPr>
              <w:spacing w:after="0"/>
              <w:rPr>
                <w:sz w:val="12"/>
                <w:szCs w:val="12"/>
                <w:color w:val="auto"/>
              </w:rPr>
            </w:pPr>
          </w:p>
        </w:tc>
        <w:tc>
          <w:tcPr>
            <w:tcW w:w="160" w:type="dxa"/>
            <w:vAlign w:val="bottom"/>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line="129" w:lineRule="exact"/>
              <w:rPr>
                <w:sz w:val="20"/>
                <w:szCs w:val="20"/>
                <w:color w:val="auto"/>
              </w:rPr>
            </w:pPr>
            <w:r>
              <w:rPr>
                <w:rFonts w:ascii="Arial" w:cs="Arial" w:eastAsia="Arial" w:hAnsi="Arial"/>
                <w:sz w:val="13"/>
                <w:szCs w:val="13"/>
                <w:color w:val="auto"/>
              </w:rPr>
              <w:t>207,953</w:t>
            </w:r>
          </w:p>
        </w:tc>
        <w:tc>
          <w:tcPr>
            <w:tcW w:w="260" w:type="dxa"/>
            <w:vAlign w:val="bottom"/>
          </w:tcPr>
          <w:p>
            <w:pPr>
              <w:spacing w:after="0"/>
              <w:rPr>
                <w:sz w:val="12"/>
                <w:szCs w:val="12"/>
                <w:color w:val="auto"/>
              </w:rPr>
            </w:pPr>
          </w:p>
        </w:tc>
        <w:tc>
          <w:tcPr>
            <w:tcW w:w="200" w:type="dxa"/>
            <w:vAlign w:val="bottom"/>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line="129" w:lineRule="exact"/>
              <w:rPr>
                <w:sz w:val="20"/>
                <w:szCs w:val="20"/>
                <w:color w:val="auto"/>
              </w:rPr>
            </w:pPr>
            <w:r>
              <w:rPr>
                <w:rFonts w:ascii="Arial" w:cs="Arial" w:eastAsia="Arial" w:hAnsi="Arial"/>
                <w:sz w:val="13"/>
                <w:szCs w:val="13"/>
                <w:color w:val="auto"/>
              </w:rPr>
              <w:t>99,854</w:t>
            </w:r>
          </w:p>
        </w:tc>
        <w:tc>
          <w:tcPr>
            <w:tcW w:w="240" w:type="dxa"/>
            <w:vAlign w:val="bottom"/>
          </w:tcPr>
          <w:p>
            <w:pPr>
              <w:spacing w:after="0"/>
              <w:rPr>
                <w:sz w:val="12"/>
                <w:szCs w:val="12"/>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147,226</w:t>
            </w:r>
          </w:p>
        </w:tc>
        <w:tc>
          <w:tcPr>
            <w:tcW w:w="220" w:type="dxa"/>
            <w:vAlign w:val="bottom"/>
          </w:tcPr>
          <w:p>
            <w:pPr>
              <w:spacing w:after="0"/>
              <w:rPr>
                <w:sz w:val="12"/>
                <w:szCs w:val="12"/>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3,414</w:t>
            </w:r>
          </w:p>
        </w:tc>
        <w:tc>
          <w:tcPr>
            <w:tcW w:w="220" w:type="dxa"/>
            <w:vAlign w:val="bottom"/>
          </w:tcPr>
          <w:p>
            <w:pPr>
              <w:spacing w:after="0"/>
              <w:rPr>
                <w:sz w:val="12"/>
                <w:szCs w:val="12"/>
                <w:color w:val="auto"/>
              </w:rPr>
            </w:pPr>
          </w:p>
        </w:tc>
        <w:tc>
          <w:tcPr>
            <w:tcW w:w="180" w:type="dxa"/>
            <w:vAlign w:val="bottom"/>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743,458</w:t>
            </w:r>
          </w:p>
        </w:tc>
        <w:tc>
          <w:tcPr>
            <w:tcW w:w="100" w:type="dxa"/>
            <w:vAlign w:val="bottom"/>
          </w:tcPr>
          <w:p>
            <w:pPr>
              <w:spacing w:after="0"/>
              <w:rPr>
                <w:sz w:val="12"/>
                <w:szCs w:val="12"/>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362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Balance, December 31, 2021</w:t>
            </w: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354,922</w:t>
            </w: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158,815</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12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36,064</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165,762</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3,204</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718,767</w:t>
            </w:r>
          </w:p>
        </w:tc>
        <w:tc>
          <w:tcPr>
            <w:tcW w:w="100" w:type="dxa"/>
            <w:vAlign w:val="bottom"/>
            <w:shd w:val="clear" w:color="auto" w:fill="CFF0FC"/>
          </w:tcPr>
          <w:p>
            <w:pPr>
              <w:spacing w:after="0"/>
              <w:rPr>
                <w:sz w:val="11"/>
                <w:szCs w:val="11"/>
                <w:color w:val="auto"/>
              </w:rPr>
            </w:pPr>
          </w:p>
        </w:tc>
      </w:tr>
      <w:tr>
        <w:trPr>
          <w:trHeight w:val="148"/>
        </w:trPr>
        <w:tc>
          <w:tcPr>
            <w:tcW w:w="3620" w:type="dxa"/>
            <w:vAlign w:val="bottom"/>
          </w:tcPr>
          <w:p>
            <w:pPr>
              <w:ind w:left="20"/>
              <w:spacing w:after="0"/>
              <w:rPr>
                <w:sz w:val="20"/>
                <w:szCs w:val="20"/>
                <w:color w:val="auto"/>
              </w:rPr>
            </w:pPr>
            <w:r>
              <w:rPr>
                <w:rFonts w:ascii="Arial" w:cs="Arial" w:eastAsia="Arial" w:hAnsi="Arial"/>
                <w:sz w:val="13"/>
                <w:szCs w:val="13"/>
                <w:color w:val="auto"/>
              </w:rPr>
              <w:t>Net realized gains (losses) on investments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25,176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25,176</w:t>
            </w:r>
          </w:p>
        </w:tc>
        <w:tc>
          <w:tcPr>
            <w:tcW w:w="100" w:type="dxa"/>
            <w:vAlign w:val="bottom"/>
          </w:tcPr>
          <w:p>
            <w:pPr>
              <w:spacing w:after="0"/>
              <w:rPr>
                <w:sz w:val="12"/>
                <w:szCs w:val="12"/>
                <w:color w:val="auto"/>
              </w:rPr>
            </w:pPr>
          </w:p>
        </w:tc>
      </w:tr>
      <w:tr>
        <w:trPr>
          <w:trHeight w:val="149"/>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Net change in unrealized appreciation (depreciation) on investments</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379</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(3,862 )</w:t>
            </w: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(23,048 )</w:t>
            </w: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(23 )</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(26,500 )</w:t>
            </w:r>
          </w:p>
        </w:tc>
      </w:tr>
      <w:tr>
        <w:trPr>
          <w:trHeight w:val="148"/>
        </w:trPr>
        <w:tc>
          <w:tcPr>
            <w:tcW w:w="3620" w:type="dxa"/>
            <w:vAlign w:val="bottom"/>
          </w:tcPr>
          <w:p>
            <w:pPr>
              <w:ind w:left="20"/>
              <w:spacing w:after="0"/>
              <w:rPr>
                <w:sz w:val="20"/>
                <w:szCs w:val="20"/>
                <w:color w:val="auto"/>
              </w:rPr>
            </w:pPr>
            <w:r>
              <w:rPr>
                <w:rFonts w:ascii="Arial" w:cs="Arial" w:eastAsia="Arial" w:hAnsi="Arial"/>
                <w:sz w:val="13"/>
                <w:szCs w:val="13"/>
                <w:color w:val="auto"/>
              </w:rPr>
              <w:t>Purchase of investments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91,247</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31,895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32,471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4,485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160,098</w:t>
            </w:r>
          </w:p>
        </w:tc>
        <w:tc>
          <w:tcPr>
            <w:tcW w:w="100" w:type="dxa"/>
            <w:vAlign w:val="bottom"/>
          </w:tcPr>
          <w:p>
            <w:pPr>
              <w:spacing w:after="0"/>
              <w:rPr>
                <w:sz w:val="12"/>
                <w:szCs w:val="12"/>
                <w:color w:val="auto"/>
              </w:rPr>
            </w:pPr>
          </w:p>
        </w:tc>
      </w:tr>
      <w:tr>
        <w:trPr>
          <w:trHeight w:val="148"/>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sales and repayments of investments</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(14,312 )</w:t>
            </w: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(18,731 )</w:t>
            </w: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(34,965 )</w:t>
            </w: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(68,008 )</w:t>
            </w:r>
          </w:p>
        </w:tc>
      </w:tr>
      <w:tr>
        <w:trPr>
          <w:trHeight w:val="149"/>
        </w:trPr>
        <w:tc>
          <w:tcPr>
            <w:tcW w:w="3620" w:type="dxa"/>
            <w:vAlign w:val="bottom"/>
          </w:tcPr>
          <w:p>
            <w:pPr>
              <w:ind w:left="20"/>
              <w:spacing w:after="0"/>
              <w:rPr>
                <w:sz w:val="20"/>
                <w:szCs w:val="20"/>
                <w:color w:val="auto"/>
              </w:rPr>
            </w:pPr>
            <w:r>
              <w:rPr>
                <w:rFonts w:ascii="Arial" w:cs="Arial" w:eastAsia="Arial" w:hAnsi="Arial"/>
                <w:sz w:val="13"/>
                <w:szCs w:val="13"/>
                <w:color w:val="auto"/>
              </w:rPr>
              <w:t>Interest and dividend income paid-in-kind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366</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914</w:t>
            </w:r>
          </w:p>
        </w:tc>
        <w:tc>
          <w:tcPr>
            <w:tcW w:w="100" w:type="dxa"/>
            <w:vAlign w:val="bottom"/>
          </w:tcPr>
          <w:p>
            <w:pPr>
              <w:spacing w:after="0"/>
              <w:rPr>
                <w:sz w:val="12"/>
                <w:szCs w:val="12"/>
                <w:color w:val="auto"/>
              </w:rPr>
            </w:pPr>
          </w:p>
        </w:tc>
      </w:tr>
      <w:tr>
        <w:trPr>
          <w:trHeight w:val="148"/>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loan origination fees</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(669 )</w:t>
            </w: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(115 )</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(239 )</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(1,023 )</w:t>
            </w:r>
          </w:p>
        </w:tc>
      </w:tr>
      <w:tr>
        <w:trPr>
          <w:trHeight w:val="149"/>
        </w:trPr>
        <w:tc>
          <w:tcPr>
            <w:tcW w:w="3620" w:type="dxa"/>
            <w:vAlign w:val="bottom"/>
          </w:tcPr>
          <w:p>
            <w:pPr>
              <w:ind w:left="20"/>
              <w:spacing w:after="0"/>
              <w:rPr>
                <w:sz w:val="20"/>
                <w:szCs w:val="20"/>
                <w:color w:val="auto"/>
              </w:rPr>
            </w:pPr>
            <w:r>
              <w:rPr>
                <w:rFonts w:ascii="Arial" w:cs="Arial" w:eastAsia="Arial" w:hAnsi="Arial"/>
                <w:sz w:val="13"/>
                <w:szCs w:val="13"/>
                <w:color w:val="auto"/>
              </w:rPr>
              <w:t>Accretion of loan origination fees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606</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711</w:t>
            </w:r>
          </w:p>
        </w:tc>
        <w:tc>
          <w:tcPr>
            <w:tcW w:w="100" w:type="dxa"/>
            <w:vAlign w:val="bottom"/>
          </w:tcPr>
          <w:p>
            <w:pPr>
              <w:spacing w:after="0"/>
              <w:rPr>
                <w:sz w:val="12"/>
                <w:szCs w:val="12"/>
                <w:color w:val="auto"/>
              </w:rPr>
            </w:pPr>
          </w:p>
        </w:tc>
      </w:tr>
      <w:tr>
        <w:trPr>
          <w:trHeight w:val="148"/>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Accretion of original issue discount</w:t>
            </w:r>
          </w:p>
        </w:tc>
        <w:tc>
          <w:tcPr>
            <w:tcW w:w="1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2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w:t>
            </w: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362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Balance, June 30, 2022</w:t>
            </w:r>
          </w:p>
        </w:tc>
        <w:tc>
          <w:tcPr>
            <w:tcW w:w="320" w:type="dxa"/>
            <w:vAlign w:val="bottom"/>
            <w:gridSpan w:val="2"/>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432,549</w:t>
            </w:r>
          </w:p>
        </w:tc>
        <w:tc>
          <w:tcPr>
            <w:tcW w:w="260" w:type="dxa"/>
            <w:vAlign w:val="bottom"/>
          </w:tcPr>
          <w:p>
            <w:pPr>
              <w:spacing w:after="0"/>
              <w:rPr>
                <w:sz w:val="12"/>
                <w:szCs w:val="12"/>
                <w:color w:val="auto"/>
              </w:rPr>
            </w:pPr>
          </w:p>
        </w:tc>
        <w:tc>
          <w:tcPr>
            <w:tcW w:w="160" w:type="dxa"/>
            <w:vAlign w:val="bottom"/>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line="129" w:lineRule="exact"/>
              <w:rPr>
                <w:sz w:val="20"/>
                <w:szCs w:val="20"/>
                <w:color w:val="auto"/>
              </w:rPr>
            </w:pPr>
            <w:r>
              <w:rPr>
                <w:rFonts w:ascii="Arial" w:cs="Arial" w:eastAsia="Arial" w:hAnsi="Arial"/>
                <w:sz w:val="13"/>
                <w:szCs w:val="13"/>
                <w:color w:val="auto"/>
              </w:rPr>
              <w:t>168,547</w:t>
            </w:r>
          </w:p>
        </w:tc>
        <w:tc>
          <w:tcPr>
            <w:tcW w:w="260" w:type="dxa"/>
            <w:vAlign w:val="bottom"/>
          </w:tcPr>
          <w:p>
            <w:pPr>
              <w:spacing w:after="0"/>
              <w:rPr>
                <w:sz w:val="12"/>
                <w:szCs w:val="12"/>
                <w:color w:val="auto"/>
              </w:rPr>
            </w:pPr>
          </w:p>
        </w:tc>
        <w:tc>
          <w:tcPr>
            <w:tcW w:w="200" w:type="dxa"/>
            <w:vAlign w:val="bottom"/>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line="129" w:lineRule="exact"/>
              <w:rPr>
                <w:sz w:val="20"/>
                <w:szCs w:val="20"/>
                <w:color w:val="auto"/>
              </w:rPr>
            </w:pPr>
            <w:r>
              <w:rPr>
                <w:rFonts w:ascii="Arial" w:cs="Arial" w:eastAsia="Arial" w:hAnsi="Arial"/>
                <w:sz w:val="13"/>
                <w:szCs w:val="13"/>
                <w:color w:val="auto"/>
              </w:rPr>
              <w:t>68,508</w:t>
            </w:r>
          </w:p>
        </w:tc>
        <w:tc>
          <w:tcPr>
            <w:tcW w:w="240" w:type="dxa"/>
            <w:vAlign w:val="bottom"/>
          </w:tcPr>
          <w:p>
            <w:pPr>
              <w:spacing w:after="0"/>
              <w:rPr>
                <w:sz w:val="12"/>
                <w:szCs w:val="12"/>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137,410</w:t>
            </w:r>
          </w:p>
        </w:tc>
        <w:tc>
          <w:tcPr>
            <w:tcW w:w="220" w:type="dxa"/>
            <w:vAlign w:val="bottom"/>
          </w:tcPr>
          <w:p>
            <w:pPr>
              <w:spacing w:after="0"/>
              <w:rPr>
                <w:sz w:val="12"/>
                <w:szCs w:val="12"/>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3,181</w:t>
            </w:r>
          </w:p>
        </w:tc>
        <w:tc>
          <w:tcPr>
            <w:tcW w:w="220" w:type="dxa"/>
            <w:vAlign w:val="bottom"/>
          </w:tcPr>
          <w:p>
            <w:pPr>
              <w:spacing w:after="0"/>
              <w:rPr>
                <w:sz w:val="12"/>
                <w:szCs w:val="12"/>
                <w:color w:val="auto"/>
              </w:rPr>
            </w:pPr>
          </w:p>
        </w:tc>
        <w:tc>
          <w:tcPr>
            <w:tcW w:w="180" w:type="dxa"/>
            <w:vAlign w:val="bottom"/>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810,195</w:t>
            </w:r>
          </w:p>
        </w:tc>
        <w:tc>
          <w:tcPr>
            <w:tcW w:w="100" w:type="dxa"/>
            <w:vAlign w:val="bottom"/>
          </w:tcPr>
          <w:p>
            <w:pPr>
              <w:spacing w:after="0"/>
              <w:rPr>
                <w:sz w:val="12"/>
                <w:szCs w:val="12"/>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-1102360</wp:posOffset>
            </wp:positionV>
            <wp:extent cx="7747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-1102360</wp:posOffset>
            </wp:positionV>
            <wp:extent cx="7683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-1102360</wp:posOffset>
            </wp:positionV>
            <wp:extent cx="7747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-1102360</wp:posOffset>
            </wp:positionV>
            <wp:extent cx="6858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-1102360</wp:posOffset>
            </wp:positionV>
            <wp:extent cx="6858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-1102360</wp:posOffset>
            </wp:positionV>
            <wp:extent cx="6858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-125095</wp:posOffset>
            </wp:positionV>
            <wp:extent cx="7747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-125095</wp:posOffset>
            </wp:positionV>
            <wp:extent cx="7683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-125095</wp:posOffset>
            </wp:positionV>
            <wp:extent cx="7747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-125095</wp:posOffset>
            </wp:positionV>
            <wp:extent cx="6858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-125095</wp:posOffset>
            </wp:positionV>
            <wp:extent cx="6858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wp:posOffset>
            </wp:positionV>
            <wp:extent cx="685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82" w:lineRule="exact"/>
        <w:rPr>
          <w:sz w:val="20"/>
          <w:szCs w:val="20"/>
          <w:color w:val="auto"/>
        </w:rPr>
      </w:pPr>
    </w:p>
    <w:p>
      <w:pPr>
        <w:jc w:val="both"/>
        <w:ind w:firstLine="479"/>
        <w:spacing w:after="0" w:line="248" w:lineRule="auto"/>
        <w:rPr>
          <w:sz w:val="20"/>
          <w:szCs w:val="20"/>
          <w:color w:val="auto"/>
        </w:rPr>
      </w:pPr>
      <w:r>
        <w:rPr>
          <w:rFonts w:ascii="Arial" w:cs="Arial" w:eastAsia="Arial" w:hAnsi="Arial"/>
          <w:sz w:val="18"/>
          <w:szCs w:val="18"/>
          <w:color w:val="auto"/>
        </w:rPr>
        <w:t>Net change in unrealized appreciation/(depreciation) of $(5,656) and (2,974) for the three and six months ended June 30, 2022, was attributable to Level 3 investments held at June 30, 2022, respectively. Net change in unrealized appreciation/(depreciation) of $14,214 and 16,349 for the three and six months ended June 30, 2021, respectively, was attributable to Level 3 investments held at June 30, 2021.</w:t>
      </w:r>
    </w:p>
    <w:p>
      <w:pPr>
        <w:spacing w:after="0" w:line="128" w:lineRule="exact"/>
        <w:rPr>
          <w:sz w:val="20"/>
          <w:szCs w:val="20"/>
          <w:color w:val="auto"/>
        </w:rPr>
      </w:pPr>
    </w:p>
    <w:p>
      <w:pPr>
        <w:jc w:val="both"/>
        <w:ind w:right="20" w:firstLine="478"/>
        <w:spacing w:after="0" w:line="248" w:lineRule="auto"/>
        <w:rPr>
          <w:sz w:val="20"/>
          <w:szCs w:val="20"/>
          <w:color w:val="auto"/>
        </w:rPr>
      </w:pPr>
      <w:r>
        <w:rPr>
          <w:rFonts w:ascii="Arial" w:cs="Arial" w:eastAsia="Arial" w:hAnsi="Arial"/>
          <w:sz w:val="18"/>
          <w:szCs w:val="18"/>
          <w:color w:val="auto"/>
        </w:rPr>
        <w:t>The following tables summarize the significant unobservable inputs by valuation technique used to determine the fair value of the Company’s Level 3 debt and equity investments as of June 30, 2022 and December 31, 2021. The tables are not intended to be all-inclusive, but instead capture the significant unobservable inputs relevant to the Company’s determination of fair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 at</w:t>
            </w:r>
          </w:p>
        </w:tc>
        <w:tc>
          <w:tcPr>
            <w:tcW w:w="280" w:type="dxa"/>
            <w:vAlign w:val="bottom"/>
          </w:tcPr>
          <w:p>
            <w:pPr>
              <w:spacing w:after="0"/>
              <w:rPr>
                <w:sz w:val="16"/>
                <w:szCs w:val="16"/>
                <w:color w:val="auto"/>
              </w:rPr>
            </w:pPr>
          </w:p>
        </w:tc>
        <w:tc>
          <w:tcPr>
            <w:tcW w:w="1880" w:type="dxa"/>
            <w:vAlign w:val="bottom"/>
          </w:tcPr>
          <w:p>
            <w:pPr>
              <w:ind w:left="600"/>
              <w:spacing w:after="0"/>
              <w:rPr>
                <w:sz w:val="20"/>
                <w:szCs w:val="20"/>
                <w:color w:val="auto"/>
              </w:rPr>
            </w:pPr>
            <w:r>
              <w:rPr>
                <w:rFonts w:ascii="Arial" w:cs="Arial" w:eastAsia="Arial" w:hAnsi="Arial"/>
                <w:sz w:val="16"/>
                <w:szCs w:val="16"/>
                <w:b w:val="1"/>
                <w:bCs w:val="1"/>
                <w:color w:val="auto"/>
              </w:rPr>
              <w:t>Valuation</w:t>
            </w:r>
          </w:p>
        </w:tc>
        <w:tc>
          <w:tcPr>
            <w:tcW w:w="140" w:type="dxa"/>
            <w:vAlign w:val="bottom"/>
          </w:tcPr>
          <w:p>
            <w:pPr>
              <w:spacing w:after="0"/>
              <w:rPr>
                <w:sz w:val="16"/>
                <w:szCs w:val="16"/>
                <w:color w:val="auto"/>
              </w:rPr>
            </w:pPr>
          </w:p>
        </w:tc>
        <w:tc>
          <w:tcPr>
            <w:tcW w:w="2760" w:type="dxa"/>
            <w:vAlign w:val="bottom"/>
          </w:tcPr>
          <w:p>
            <w:pPr>
              <w:ind w:left="900"/>
              <w:spacing w:after="0"/>
              <w:rPr>
                <w:sz w:val="20"/>
                <w:szCs w:val="20"/>
                <w:color w:val="auto"/>
              </w:rPr>
            </w:pPr>
            <w:r>
              <w:rPr>
                <w:rFonts w:ascii="Arial" w:cs="Arial" w:eastAsia="Arial" w:hAnsi="Arial"/>
                <w:sz w:val="16"/>
                <w:szCs w:val="16"/>
                <w:b w:val="1"/>
                <w:bCs w:val="1"/>
                <w:color w:val="auto"/>
              </w:rPr>
              <w:t>Unobservable</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ind w:left="380"/>
              <w:spacing w:after="0"/>
              <w:rPr>
                <w:sz w:val="20"/>
                <w:szCs w:val="20"/>
                <w:color w:val="auto"/>
              </w:rPr>
            </w:pPr>
            <w:r>
              <w:rPr>
                <w:rFonts w:ascii="Arial" w:cs="Arial" w:eastAsia="Arial" w:hAnsi="Arial"/>
                <w:sz w:val="16"/>
                <w:szCs w:val="16"/>
                <w:b w:val="1"/>
                <w:bCs w:val="1"/>
                <w:color w:val="auto"/>
              </w:rPr>
              <w:t>Range</w:t>
            </w:r>
          </w:p>
        </w:tc>
      </w:tr>
      <w:tr>
        <w:trPr>
          <w:trHeight w:val="230"/>
        </w:trPr>
        <w:tc>
          <w:tcPr>
            <w:tcW w:w="2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9"/>
              </w:rPr>
              <w:t>June 30, 2022</w:t>
            </w:r>
          </w:p>
        </w:tc>
        <w:tc>
          <w:tcPr>
            <w:tcW w:w="280" w:type="dxa"/>
            <w:vAlign w:val="bottom"/>
          </w:tcPr>
          <w:p>
            <w:pPr>
              <w:spacing w:after="0"/>
              <w:rPr>
                <w:sz w:val="19"/>
                <w:szCs w:val="19"/>
                <w:color w:val="auto"/>
              </w:rPr>
            </w:pPr>
          </w:p>
        </w:tc>
        <w:tc>
          <w:tcPr>
            <w:tcW w:w="18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Techniques</w:t>
            </w:r>
          </w:p>
        </w:tc>
        <w:tc>
          <w:tcPr>
            <w:tcW w:w="140" w:type="dxa"/>
            <w:vAlign w:val="bottom"/>
          </w:tcPr>
          <w:p>
            <w:pPr>
              <w:spacing w:after="0"/>
              <w:rPr>
                <w:sz w:val="19"/>
                <w:szCs w:val="19"/>
                <w:color w:val="auto"/>
              </w:rPr>
            </w:pPr>
          </w:p>
        </w:tc>
        <w:tc>
          <w:tcPr>
            <w:tcW w:w="276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Inputs</w:t>
            </w:r>
          </w:p>
        </w:tc>
        <w:tc>
          <w:tcPr>
            <w:tcW w:w="160" w:type="dxa"/>
            <w:vAlign w:val="bottom"/>
          </w:tcPr>
          <w:p>
            <w:pPr>
              <w:spacing w:after="0"/>
              <w:rPr>
                <w:sz w:val="19"/>
                <w:szCs w:val="19"/>
                <w:color w:val="auto"/>
              </w:rPr>
            </w:pPr>
          </w:p>
        </w:tc>
        <w:tc>
          <w:tcPr>
            <w:tcW w:w="1860" w:type="dxa"/>
            <w:vAlign w:val="bottom"/>
            <w:tcBorders>
              <w:bottom w:val="single" w:sz="8" w:color="auto"/>
            </w:tcBorders>
            <w:gridSpan w:val="2"/>
          </w:tcPr>
          <w:p>
            <w:pPr>
              <w:ind w:left="220"/>
              <w:spacing w:after="0" w:line="230" w:lineRule="exact"/>
              <w:rPr>
                <w:sz w:val="20"/>
                <w:szCs w:val="20"/>
                <w:color w:val="auto"/>
              </w:rPr>
            </w:pPr>
            <w:r>
              <w:rPr>
                <w:rFonts w:ascii="Arial" w:cs="Arial" w:eastAsia="Arial" w:hAnsi="Arial"/>
                <w:sz w:val="16"/>
                <w:szCs w:val="16"/>
                <w:b w:val="1"/>
                <w:bCs w:val="1"/>
                <w:color w:val="auto"/>
                <w:w w:val="99"/>
              </w:rPr>
              <w:t>(weighted average)</w:t>
            </w:r>
            <w:r>
              <w:rPr>
                <w:rFonts w:ascii="Arial" w:cs="Arial" w:eastAsia="Arial" w:hAnsi="Arial"/>
                <w:sz w:val="21"/>
                <w:szCs w:val="21"/>
                <w:b w:val="1"/>
                <w:bCs w:val="1"/>
                <w:color w:val="auto"/>
                <w:w w:val="99"/>
                <w:vertAlign w:val="superscript"/>
              </w:rPr>
              <w:t>(1)</w:t>
            </w:r>
          </w:p>
        </w:tc>
      </w:tr>
      <w:tr>
        <w:trPr>
          <w:trHeight w:val="183"/>
        </w:trPr>
        <w:tc>
          <w:tcPr>
            <w:tcW w:w="25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Debt investments:</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7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r>
      <w:tr>
        <w:trPr>
          <w:trHeight w:val="189"/>
        </w:trPr>
        <w:tc>
          <w:tcPr>
            <w:tcW w:w="2500" w:type="dxa"/>
            <w:vAlign w:val="bottom"/>
          </w:tcPr>
          <w:p>
            <w:pPr>
              <w:ind w:left="200"/>
              <w:spacing w:after="0"/>
              <w:rPr>
                <w:sz w:val="20"/>
                <w:szCs w:val="20"/>
                <w:color w:val="auto"/>
              </w:rPr>
            </w:pPr>
            <w:r>
              <w:rPr>
                <w:rFonts w:ascii="Arial" w:cs="Arial" w:eastAsia="Arial" w:hAnsi="Arial"/>
                <w:sz w:val="16"/>
                <w:szCs w:val="16"/>
                <w:color w:val="auto"/>
              </w:rPr>
              <w:t>First Lien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405,024</w:t>
            </w:r>
          </w:p>
        </w:tc>
        <w:tc>
          <w:tcPr>
            <w:tcW w:w="28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Discounted cash flow</w:t>
            </w:r>
          </w:p>
        </w:tc>
        <w:tc>
          <w:tcPr>
            <w:tcW w:w="140" w:type="dxa"/>
            <w:vAlign w:val="bottom"/>
          </w:tcPr>
          <w:p>
            <w:pPr>
              <w:spacing w:after="0"/>
              <w:rPr>
                <w:sz w:val="16"/>
                <w:szCs w:val="16"/>
                <w:color w:val="auto"/>
              </w:rPr>
            </w:pPr>
          </w:p>
        </w:tc>
        <w:tc>
          <w:tcPr>
            <w:tcW w:w="2760" w:type="dxa"/>
            <w:vAlign w:val="bottom"/>
          </w:tcPr>
          <w:p>
            <w:pPr>
              <w:ind w:left="20"/>
              <w:spacing w:after="0"/>
              <w:rPr>
                <w:sz w:val="20"/>
                <w:szCs w:val="20"/>
                <w:color w:val="auto"/>
              </w:rPr>
            </w:pPr>
            <w:r>
              <w:rPr>
                <w:rFonts w:ascii="Arial" w:cs="Arial" w:eastAsia="Arial" w:hAnsi="Arial"/>
                <w:sz w:val="16"/>
                <w:szCs w:val="16"/>
                <w:color w:val="auto"/>
              </w:rPr>
              <w:t>Weighted average cost of capital</w:t>
            </w:r>
          </w:p>
        </w:tc>
        <w:tc>
          <w:tcPr>
            <w:tcW w:w="2020" w:type="dxa"/>
            <w:vAlign w:val="bottom"/>
            <w:gridSpan w:val="3"/>
          </w:tcPr>
          <w:p>
            <w:pPr>
              <w:ind w:left="180"/>
              <w:spacing w:after="0"/>
              <w:rPr>
                <w:sz w:val="20"/>
                <w:szCs w:val="20"/>
                <w:color w:val="auto"/>
              </w:rPr>
            </w:pPr>
            <w:r>
              <w:rPr>
                <w:rFonts w:ascii="Arial" w:cs="Arial" w:eastAsia="Arial" w:hAnsi="Arial"/>
                <w:sz w:val="16"/>
                <w:szCs w:val="16"/>
                <w:color w:val="auto"/>
              </w:rPr>
              <w:t>4.9% - 21.5% (12.6%)</w:t>
            </w:r>
          </w:p>
        </w:tc>
      </w:tr>
      <w:tr>
        <w:trPr>
          <w:trHeight w:val="189"/>
        </w:trPr>
        <w:tc>
          <w:tcPr>
            <w:tcW w:w="2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11,000</w:t>
            </w:r>
          </w:p>
        </w:tc>
        <w:tc>
          <w:tcPr>
            <w:tcW w:w="28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Enterprise value</w:t>
            </w:r>
          </w:p>
        </w:tc>
        <w:tc>
          <w:tcPr>
            <w:tcW w:w="140" w:type="dxa"/>
            <w:vAlign w:val="bottom"/>
            <w:shd w:val="clear" w:color="auto" w:fill="CFF0FC"/>
          </w:tcPr>
          <w:p>
            <w:pPr>
              <w:spacing w:after="0"/>
              <w:rPr>
                <w:sz w:val="16"/>
                <w:szCs w:val="16"/>
                <w:color w:val="auto"/>
              </w:rPr>
            </w:pPr>
          </w:p>
        </w:tc>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 Coverage</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2"/>
              </w:rPr>
              <w:t>1.3x</w:t>
            </w:r>
          </w:p>
        </w:tc>
        <w:tc>
          <w:tcPr>
            <w:tcW w:w="1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- 1.3x (1.3x)</w:t>
            </w:r>
          </w:p>
        </w:tc>
      </w:tr>
      <w:tr>
        <w:trPr>
          <w:trHeight w:val="189"/>
        </w:trPr>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16,525</w:t>
            </w:r>
          </w:p>
        </w:tc>
        <w:tc>
          <w:tcPr>
            <w:tcW w:w="28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Enterprise value</w:t>
            </w:r>
          </w:p>
        </w:tc>
        <w:tc>
          <w:tcPr>
            <w:tcW w:w="140" w:type="dxa"/>
            <w:vAlign w:val="bottom"/>
          </w:tcPr>
          <w:p>
            <w:pPr>
              <w:spacing w:after="0"/>
              <w:rPr>
                <w:sz w:val="16"/>
                <w:szCs w:val="16"/>
                <w:color w:val="auto"/>
              </w:rPr>
            </w:pPr>
          </w:p>
        </w:tc>
        <w:tc>
          <w:tcPr>
            <w:tcW w:w="2760" w:type="dxa"/>
            <w:vAlign w:val="bottom"/>
          </w:tcPr>
          <w:p>
            <w:pPr>
              <w:ind w:left="20"/>
              <w:spacing w:after="0"/>
              <w:rPr>
                <w:sz w:val="20"/>
                <w:szCs w:val="20"/>
                <w:color w:val="auto"/>
              </w:rPr>
            </w:pPr>
            <w:r>
              <w:rPr>
                <w:rFonts w:ascii="Arial" w:cs="Arial" w:eastAsia="Arial" w:hAnsi="Arial"/>
                <w:sz w:val="16"/>
                <w:szCs w:val="16"/>
                <w:color w:val="auto"/>
              </w:rPr>
              <w:t>Revenue multiples</w:t>
            </w:r>
          </w:p>
        </w:tc>
        <w:tc>
          <w:tcPr>
            <w:tcW w:w="16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w w:val="92"/>
              </w:rPr>
              <w:t>2.5x</w:t>
            </w:r>
          </w:p>
        </w:tc>
        <w:tc>
          <w:tcPr>
            <w:tcW w:w="1540" w:type="dxa"/>
            <w:vAlign w:val="bottom"/>
          </w:tcPr>
          <w:p>
            <w:pPr>
              <w:ind w:left="20"/>
              <w:spacing w:after="0"/>
              <w:rPr>
                <w:sz w:val="20"/>
                <w:szCs w:val="20"/>
                <w:color w:val="auto"/>
              </w:rPr>
            </w:pPr>
            <w:r>
              <w:rPr>
                <w:rFonts w:ascii="Arial" w:cs="Arial" w:eastAsia="Arial" w:hAnsi="Arial"/>
                <w:sz w:val="16"/>
                <w:szCs w:val="16"/>
                <w:color w:val="auto"/>
              </w:rPr>
              <w:t>- 4.6x (3.4x)</w:t>
            </w:r>
          </w:p>
        </w:tc>
      </w:tr>
      <w:tr>
        <w:trPr>
          <w:trHeight w:val="189"/>
        </w:trPr>
        <w:tc>
          <w:tcPr>
            <w:tcW w:w="2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760" w:type="dxa"/>
            <w:vAlign w:val="bottom"/>
            <w:shd w:val="clear" w:color="auto" w:fill="CFF0FC"/>
          </w:tcPr>
          <w:p>
            <w:pPr>
              <w:spacing w:after="0"/>
              <w:rPr>
                <w:sz w:val="16"/>
                <w:szCs w:val="16"/>
                <w:color w:val="auto"/>
              </w:rPr>
            </w:pPr>
          </w:p>
        </w:tc>
        <w:tc>
          <w:tcPr>
            <w:tcW w:w="2020" w:type="dxa"/>
            <w:vAlign w:val="bottom"/>
            <w:gridSpan w:val="3"/>
            <w:shd w:val="clear" w:color="auto" w:fill="CFF0FC"/>
          </w:tcPr>
          <w:p>
            <w:pPr>
              <w:spacing w:after="0"/>
              <w:rPr>
                <w:sz w:val="16"/>
                <w:szCs w:val="16"/>
                <w:color w:val="auto"/>
              </w:rPr>
            </w:pPr>
          </w:p>
        </w:tc>
      </w:tr>
      <w:tr>
        <w:trPr>
          <w:trHeight w:val="189"/>
        </w:trPr>
        <w:tc>
          <w:tcPr>
            <w:tcW w:w="2500" w:type="dxa"/>
            <w:vAlign w:val="bottom"/>
          </w:tcPr>
          <w:p>
            <w:pPr>
              <w:ind w:left="200"/>
              <w:spacing w:after="0"/>
              <w:rPr>
                <w:sz w:val="20"/>
                <w:szCs w:val="20"/>
                <w:color w:val="auto"/>
              </w:rPr>
            </w:pPr>
            <w:r>
              <w:rPr>
                <w:rFonts w:ascii="Arial" w:cs="Arial" w:eastAsia="Arial" w:hAnsi="Arial"/>
                <w:sz w:val="16"/>
                <w:szCs w:val="16"/>
                <w:color w:val="auto"/>
              </w:rPr>
              <w:t>Second Lien Debt</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160,770</w:t>
            </w:r>
          </w:p>
        </w:tc>
        <w:tc>
          <w:tcPr>
            <w:tcW w:w="28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Discounted cash flow</w:t>
            </w:r>
          </w:p>
        </w:tc>
        <w:tc>
          <w:tcPr>
            <w:tcW w:w="140" w:type="dxa"/>
            <w:vAlign w:val="bottom"/>
          </w:tcPr>
          <w:p>
            <w:pPr>
              <w:spacing w:after="0"/>
              <w:rPr>
                <w:sz w:val="16"/>
                <w:szCs w:val="16"/>
                <w:color w:val="auto"/>
              </w:rPr>
            </w:pPr>
          </w:p>
        </w:tc>
        <w:tc>
          <w:tcPr>
            <w:tcW w:w="2760" w:type="dxa"/>
            <w:vAlign w:val="bottom"/>
          </w:tcPr>
          <w:p>
            <w:pPr>
              <w:ind w:left="20"/>
              <w:spacing w:after="0"/>
              <w:rPr>
                <w:sz w:val="20"/>
                <w:szCs w:val="20"/>
                <w:color w:val="auto"/>
              </w:rPr>
            </w:pPr>
            <w:r>
              <w:rPr>
                <w:rFonts w:ascii="Arial" w:cs="Arial" w:eastAsia="Arial" w:hAnsi="Arial"/>
                <w:sz w:val="16"/>
                <w:szCs w:val="16"/>
                <w:color w:val="auto"/>
              </w:rPr>
              <w:t>Weighted average cost of capital</w:t>
            </w:r>
          </w:p>
        </w:tc>
        <w:tc>
          <w:tcPr>
            <w:tcW w:w="2020" w:type="dxa"/>
            <w:vAlign w:val="bottom"/>
            <w:gridSpan w:val="3"/>
          </w:tcPr>
          <w:p>
            <w:pPr>
              <w:ind w:left="180"/>
              <w:spacing w:after="0"/>
              <w:rPr>
                <w:sz w:val="20"/>
                <w:szCs w:val="20"/>
                <w:color w:val="auto"/>
              </w:rPr>
            </w:pPr>
            <w:r>
              <w:rPr>
                <w:rFonts w:ascii="Arial" w:cs="Arial" w:eastAsia="Arial" w:hAnsi="Arial"/>
                <w:sz w:val="16"/>
                <w:szCs w:val="16"/>
                <w:color w:val="auto"/>
              </w:rPr>
              <w:t>8.0% - 17.3% (12.1%)</w:t>
            </w:r>
          </w:p>
        </w:tc>
      </w:tr>
      <w:tr>
        <w:trPr>
          <w:trHeight w:val="189"/>
        </w:trPr>
        <w:tc>
          <w:tcPr>
            <w:tcW w:w="2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5,589</w:t>
            </w:r>
          </w:p>
        </w:tc>
        <w:tc>
          <w:tcPr>
            <w:tcW w:w="28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Enterprise value</w:t>
            </w:r>
          </w:p>
        </w:tc>
        <w:tc>
          <w:tcPr>
            <w:tcW w:w="140" w:type="dxa"/>
            <w:vAlign w:val="bottom"/>
            <w:shd w:val="clear" w:color="auto" w:fill="CFF0FC"/>
          </w:tcPr>
          <w:p>
            <w:pPr>
              <w:spacing w:after="0"/>
              <w:rPr>
                <w:sz w:val="16"/>
                <w:szCs w:val="16"/>
                <w:color w:val="auto"/>
              </w:rPr>
            </w:pPr>
          </w:p>
        </w:tc>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EBITDA multiples</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2"/>
              </w:rPr>
              <w:t>3.8x</w:t>
            </w:r>
          </w:p>
        </w:tc>
        <w:tc>
          <w:tcPr>
            <w:tcW w:w="1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- 3.8x (3.8x)</w:t>
            </w:r>
          </w:p>
        </w:tc>
      </w:tr>
      <w:tr>
        <w:trPr>
          <w:trHeight w:val="189"/>
        </w:trPr>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2,188</w:t>
            </w:r>
          </w:p>
        </w:tc>
        <w:tc>
          <w:tcPr>
            <w:tcW w:w="28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Enterprise value</w:t>
            </w:r>
          </w:p>
        </w:tc>
        <w:tc>
          <w:tcPr>
            <w:tcW w:w="140" w:type="dxa"/>
            <w:vAlign w:val="bottom"/>
          </w:tcPr>
          <w:p>
            <w:pPr>
              <w:spacing w:after="0"/>
              <w:rPr>
                <w:sz w:val="16"/>
                <w:szCs w:val="16"/>
                <w:color w:val="auto"/>
              </w:rPr>
            </w:pPr>
          </w:p>
        </w:tc>
        <w:tc>
          <w:tcPr>
            <w:tcW w:w="2760" w:type="dxa"/>
            <w:vAlign w:val="bottom"/>
          </w:tcPr>
          <w:p>
            <w:pPr>
              <w:ind w:left="20"/>
              <w:spacing w:after="0"/>
              <w:rPr>
                <w:sz w:val="20"/>
                <w:szCs w:val="20"/>
                <w:color w:val="auto"/>
              </w:rPr>
            </w:pPr>
            <w:r>
              <w:rPr>
                <w:rFonts w:ascii="Arial" w:cs="Arial" w:eastAsia="Arial" w:hAnsi="Arial"/>
                <w:sz w:val="16"/>
                <w:szCs w:val="16"/>
                <w:color w:val="auto"/>
              </w:rPr>
              <w:t>Asset Coverage</w:t>
            </w:r>
          </w:p>
        </w:tc>
        <w:tc>
          <w:tcPr>
            <w:tcW w:w="16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w w:val="92"/>
              </w:rPr>
              <w:t>0.9x</w:t>
            </w:r>
          </w:p>
        </w:tc>
        <w:tc>
          <w:tcPr>
            <w:tcW w:w="1540" w:type="dxa"/>
            <w:vAlign w:val="bottom"/>
          </w:tcPr>
          <w:p>
            <w:pPr>
              <w:ind w:left="20"/>
              <w:spacing w:after="0"/>
              <w:rPr>
                <w:sz w:val="20"/>
                <w:szCs w:val="20"/>
                <w:color w:val="auto"/>
              </w:rPr>
            </w:pPr>
            <w:r>
              <w:rPr>
                <w:rFonts w:ascii="Arial" w:cs="Arial" w:eastAsia="Arial" w:hAnsi="Arial"/>
                <w:sz w:val="16"/>
                <w:szCs w:val="16"/>
                <w:color w:val="auto"/>
              </w:rPr>
              <w:t>- 0.9x (0.9x)</w:t>
            </w:r>
          </w:p>
        </w:tc>
      </w:tr>
      <w:tr>
        <w:trPr>
          <w:trHeight w:val="189"/>
        </w:trPr>
        <w:tc>
          <w:tcPr>
            <w:tcW w:w="2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760" w:type="dxa"/>
            <w:vAlign w:val="bottom"/>
            <w:shd w:val="clear" w:color="auto" w:fill="CFF0FC"/>
          </w:tcPr>
          <w:p>
            <w:pPr>
              <w:spacing w:after="0"/>
              <w:rPr>
                <w:sz w:val="16"/>
                <w:szCs w:val="16"/>
                <w:color w:val="auto"/>
              </w:rPr>
            </w:pPr>
          </w:p>
        </w:tc>
        <w:tc>
          <w:tcPr>
            <w:tcW w:w="2020" w:type="dxa"/>
            <w:vAlign w:val="bottom"/>
            <w:gridSpan w:val="3"/>
            <w:shd w:val="clear" w:color="auto" w:fill="CFF0FC"/>
          </w:tcPr>
          <w:p>
            <w:pPr>
              <w:spacing w:after="0"/>
              <w:rPr>
                <w:sz w:val="16"/>
                <w:szCs w:val="16"/>
                <w:color w:val="auto"/>
              </w:rPr>
            </w:pPr>
          </w:p>
        </w:tc>
      </w:tr>
      <w:tr>
        <w:trPr>
          <w:trHeight w:val="189"/>
        </w:trPr>
        <w:tc>
          <w:tcPr>
            <w:tcW w:w="2500" w:type="dxa"/>
            <w:vAlign w:val="bottom"/>
          </w:tcPr>
          <w:p>
            <w:pPr>
              <w:ind w:left="200"/>
              <w:spacing w:after="0"/>
              <w:rPr>
                <w:sz w:val="20"/>
                <w:szCs w:val="20"/>
                <w:color w:val="auto"/>
              </w:rPr>
            </w:pPr>
            <w:r>
              <w:rPr>
                <w:rFonts w:ascii="Arial" w:cs="Arial" w:eastAsia="Arial" w:hAnsi="Arial"/>
                <w:sz w:val="16"/>
                <w:szCs w:val="16"/>
                <w:color w:val="auto"/>
              </w:rPr>
              <w:t>Subordinated Debt</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68,508</w:t>
            </w:r>
          </w:p>
        </w:tc>
        <w:tc>
          <w:tcPr>
            <w:tcW w:w="28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Discounted cash flow</w:t>
            </w:r>
          </w:p>
        </w:tc>
        <w:tc>
          <w:tcPr>
            <w:tcW w:w="140" w:type="dxa"/>
            <w:vAlign w:val="bottom"/>
          </w:tcPr>
          <w:p>
            <w:pPr>
              <w:spacing w:after="0"/>
              <w:rPr>
                <w:sz w:val="16"/>
                <w:szCs w:val="16"/>
                <w:color w:val="auto"/>
              </w:rPr>
            </w:pPr>
          </w:p>
        </w:tc>
        <w:tc>
          <w:tcPr>
            <w:tcW w:w="2760" w:type="dxa"/>
            <w:vAlign w:val="bottom"/>
          </w:tcPr>
          <w:p>
            <w:pPr>
              <w:ind w:left="20"/>
              <w:spacing w:after="0"/>
              <w:rPr>
                <w:sz w:val="20"/>
                <w:szCs w:val="20"/>
                <w:color w:val="auto"/>
              </w:rPr>
            </w:pPr>
            <w:r>
              <w:rPr>
                <w:rFonts w:ascii="Arial" w:cs="Arial" w:eastAsia="Arial" w:hAnsi="Arial"/>
                <w:sz w:val="16"/>
                <w:szCs w:val="16"/>
                <w:color w:val="auto"/>
              </w:rPr>
              <w:t>Weighted average cost of capital</w:t>
            </w:r>
          </w:p>
        </w:tc>
        <w:tc>
          <w:tcPr>
            <w:tcW w:w="2020" w:type="dxa"/>
            <w:vAlign w:val="bottom"/>
            <w:gridSpan w:val="3"/>
          </w:tcPr>
          <w:p>
            <w:pPr>
              <w:ind w:left="180"/>
              <w:spacing w:after="0"/>
              <w:rPr>
                <w:sz w:val="20"/>
                <w:szCs w:val="20"/>
                <w:color w:val="auto"/>
              </w:rPr>
            </w:pPr>
            <w:r>
              <w:rPr>
                <w:rFonts w:ascii="Arial" w:cs="Arial" w:eastAsia="Arial" w:hAnsi="Arial"/>
                <w:sz w:val="16"/>
                <w:szCs w:val="16"/>
                <w:color w:val="auto"/>
              </w:rPr>
              <w:t>7.3% - 13.5% (10.8%)</w:t>
            </w:r>
          </w:p>
        </w:tc>
      </w:tr>
      <w:tr>
        <w:trPr>
          <w:trHeight w:val="189"/>
        </w:trPr>
        <w:tc>
          <w:tcPr>
            <w:tcW w:w="2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r>
      <w:tr>
        <w:trPr>
          <w:trHeight w:val="189"/>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Equity investments: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25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Equity</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127,959</w:t>
            </w:r>
          </w:p>
        </w:tc>
        <w:tc>
          <w:tcPr>
            <w:tcW w:w="28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Enterprise value</w:t>
            </w:r>
          </w:p>
        </w:tc>
        <w:tc>
          <w:tcPr>
            <w:tcW w:w="140" w:type="dxa"/>
            <w:vAlign w:val="bottom"/>
            <w:shd w:val="clear" w:color="auto" w:fill="CFF0FC"/>
          </w:tcPr>
          <w:p>
            <w:pPr>
              <w:spacing w:after="0"/>
              <w:rPr>
                <w:sz w:val="16"/>
                <w:szCs w:val="16"/>
                <w:color w:val="auto"/>
              </w:rPr>
            </w:pPr>
          </w:p>
        </w:tc>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EBITDA multiples</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2"/>
              </w:rPr>
              <w:t>3.3x</w:t>
            </w:r>
          </w:p>
        </w:tc>
        <w:tc>
          <w:tcPr>
            <w:tcW w:w="1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- 16.0x (7.5x)</w:t>
            </w:r>
          </w:p>
        </w:tc>
      </w:tr>
      <w:tr>
        <w:trPr>
          <w:trHeight w:val="189"/>
        </w:trPr>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9,451</w:t>
            </w:r>
          </w:p>
        </w:tc>
        <w:tc>
          <w:tcPr>
            <w:tcW w:w="28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Enterprise value</w:t>
            </w:r>
          </w:p>
        </w:tc>
        <w:tc>
          <w:tcPr>
            <w:tcW w:w="140" w:type="dxa"/>
            <w:vAlign w:val="bottom"/>
          </w:tcPr>
          <w:p>
            <w:pPr>
              <w:spacing w:after="0"/>
              <w:rPr>
                <w:sz w:val="16"/>
                <w:szCs w:val="16"/>
                <w:color w:val="auto"/>
              </w:rPr>
            </w:pPr>
          </w:p>
        </w:tc>
        <w:tc>
          <w:tcPr>
            <w:tcW w:w="2760" w:type="dxa"/>
            <w:vAlign w:val="bottom"/>
          </w:tcPr>
          <w:p>
            <w:pPr>
              <w:ind w:left="20"/>
              <w:spacing w:after="0"/>
              <w:rPr>
                <w:sz w:val="20"/>
                <w:szCs w:val="20"/>
                <w:color w:val="auto"/>
              </w:rPr>
            </w:pPr>
            <w:r>
              <w:rPr>
                <w:rFonts w:ascii="Arial" w:cs="Arial" w:eastAsia="Arial" w:hAnsi="Arial"/>
                <w:sz w:val="16"/>
                <w:szCs w:val="16"/>
                <w:color w:val="auto"/>
              </w:rPr>
              <w:t>Revenue multiples</w:t>
            </w:r>
          </w:p>
        </w:tc>
        <w:tc>
          <w:tcPr>
            <w:tcW w:w="16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w w:val="92"/>
              </w:rPr>
              <w:t>3.5x</w:t>
            </w:r>
          </w:p>
        </w:tc>
        <w:tc>
          <w:tcPr>
            <w:tcW w:w="1540" w:type="dxa"/>
            <w:vAlign w:val="bottom"/>
          </w:tcPr>
          <w:p>
            <w:pPr>
              <w:ind w:left="20"/>
              <w:spacing w:after="0"/>
              <w:rPr>
                <w:sz w:val="20"/>
                <w:szCs w:val="20"/>
                <w:color w:val="auto"/>
              </w:rPr>
            </w:pPr>
            <w:r>
              <w:rPr>
                <w:rFonts w:ascii="Arial" w:cs="Arial" w:eastAsia="Arial" w:hAnsi="Arial"/>
                <w:sz w:val="16"/>
                <w:szCs w:val="16"/>
                <w:color w:val="auto"/>
              </w:rPr>
              <w:t>- 8.8x (6.2x)</w:t>
            </w:r>
          </w:p>
        </w:tc>
      </w:tr>
      <w:tr>
        <w:trPr>
          <w:trHeight w:val="189"/>
        </w:trPr>
        <w:tc>
          <w:tcPr>
            <w:tcW w:w="2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r>
      <w:tr>
        <w:trPr>
          <w:trHeight w:val="179"/>
        </w:trPr>
        <w:tc>
          <w:tcPr>
            <w:tcW w:w="2500" w:type="dxa"/>
            <w:vAlign w:val="bottom"/>
          </w:tcPr>
          <w:p>
            <w:pPr>
              <w:ind w:left="200"/>
              <w:spacing w:after="0" w:line="179" w:lineRule="exact"/>
              <w:rPr>
                <w:sz w:val="20"/>
                <w:szCs w:val="20"/>
                <w:color w:val="auto"/>
              </w:rPr>
            </w:pPr>
            <w:r>
              <w:rPr>
                <w:rFonts w:ascii="Arial" w:cs="Arial" w:eastAsia="Arial" w:hAnsi="Arial"/>
                <w:sz w:val="16"/>
                <w:szCs w:val="16"/>
                <w:color w:val="auto"/>
              </w:rPr>
              <w:t>Warrants</w:t>
            </w:r>
          </w:p>
        </w:tc>
        <w:tc>
          <w:tcPr>
            <w:tcW w:w="240" w:type="dxa"/>
            <w:vAlign w:val="bottom"/>
          </w:tcPr>
          <w:p>
            <w:pPr>
              <w:spacing w:after="0"/>
              <w:rPr>
                <w:sz w:val="15"/>
                <w:szCs w:val="15"/>
                <w:color w:val="auto"/>
              </w:rPr>
            </w:pPr>
          </w:p>
        </w:tc>
        <w:tc>
          <w:tcPr>
            <w:tcW w:w="1420" w:type="dxa"/>
            <w:vAlign w:val="bottom"/>
          </w:tcPr>
          <w:p>
            <w:pPr>
              <w:jc w:val="right"/>
              <w:spacing w:after="0" w:line="179" w:lineRule="exact"/>
              <w:rPr>
                <w:sz w:val="20"/>
                <w:szCs w:val="20"/>
                <w:color w:val="auto"/>
              </w:rPr>
            </w:pPr>
            <w:r>
              <w:rPr>
                <w:rFonts w:ascii="Arial" w:cs="Arial" w:eastAsia="Arial" w:hAnsi="Arial"/>
                <w:sz w:val="16"/>
                <w:szCs w:val="16"/>
                <w:color w:val="auto"/>
              </w:rPr>
              <w:t>3,014</w:t>
            </w:r>
          </w:p>
        </w:tc>
        <w:tc>
          <w:tcPr>
            <w:tcW w:w="280" w:type="dxa"/>
            <w:vAlign w:val="bottom"/>
          </w:tcPr>
          <w:p>
            <w:pPr>
              <w:spacing w:after="0"/>
              <w:rPr>
                <w:sz w:val="15"/>
                <w:szCs w:val="15"/>
                <w:color w:val="auto"/>
              </w:rPr>
            </w:pPr>
          </w:p>
        </w:tc>
        <w:tc>
          <w:tcPr>
            <w:tcW w:w="1880" w:type="dxa"/>
            <w:vAlign w:val="bottom"/>
          </w:tcPr>
          <w:p>
            <w:pPr>
              <w:ind w:left="20"/>
              <w:spacing w:after="0" w:line="179" w:lineRule="exact"/>
              <w:rPr>
                <w:sz w:val="20"/>
                <w:szCs w:val="20"/>
                <w:color w:val="auto"/>
              </w:rPr>
            </w:pPr>
            <w:r>
              <w:rPr>
                <w:rFonts w:ascii="Arial" w:cs="Arial" w:eastAsia="Arial" w:hAnsi="Arial"/>
                <w:sz w:val="16"/>
                <w:szCs w:val="16"/>
                <w:color w:val="auto"/>
              </w:rPr>
              <w:t>Enterprise value</w:t>
            </w:r>
          </w:p>
        </w:tc>
        <w:tc>
          <w:tcPr>
            <w:tcW w:w="140" w:type="dxa"/>
            <w:vAlign w:val="bottom"/>
          </w:tcPr>
          <w:p>
            <w:pPr>
              <w:spacing w:after="0"/>
              <w:rPr>
                <w:sz w:val="15"/>
                <w:szCs w:val="15"/>
                <w:color w:val="auto"/>
              </w:rPr>
            </w:pPr>
          </w:p>
        </w:tc>
        <w:tc>
          <w:tcPr>
            <w:tcW w:w="2760" w:type="dxa"/>
            <w:vAlign w:val="bottom"/>
          </w:tcPr>
          <w:p>
            <w:pPr>
              <w:ind w:left="20"/>
              <w:spacing w:after="0" w:line="179" w:lineRule="exact"/>
              <w:rPr>
                <w:sz w:val="20"/>
                <w:szCs w:val="20"/>
                <w:color w:val="auto"/>
              </w:rPr>
            </w:pPr>
            <w:r>
              <w:rPr>
                <w:rFonts w:ascii="Arial" w:cs="Arial" w:eastAsia="Arial" w:hAnsi="Arial"/>
                <w:sz w:val="16"/>
                <w:szCs w:val="16"/>
                <w:color w:val="auto"/>
              </w:rPr>
              <w:t>EBITDA multiples</w:t>
            </w:r>
          </w:p>
        </w:tc>
        <w:tc>
          <w:tcPr>
            <w:tcW w:w="160" w:type="dxa"/>
            <w:vAlign w:val="bottom"/>
          </w:tcPr>
          <w:p>
            <w:pPr>
              <w:spacing w:after="0"/>
              <w:rPr>
                <w:sz w:val="15"/>
                <w:szCs w:val="15"/>
                <w:color w:val="auto"/>
              </w:rPr>
            </w:pPr>
          </w:p>
        </w:tc>
        <w:tc>
          <w:tcPr>
            <w:tcW w:w="320" w:type="dxa"/>
            <w:vAlign w:val="bottom"/>
          </w:tcPr>
          <w:p>
            <w:pPr>
              <w:ind w:left="20"/>
              <w:spacing w:after="0" w:line="179" w:lineRule="exact"/>
              <w:rPr>
                <w:sz w:val="20"/>
                <w:szCs w:val="20"/>
                <w:color w:val="auto"/>
              </w:rPr>
            </w:pPr>
            <w:r>
              <w:rPr>
                <w:rFonts w:ascii="Arial" w:cs="Arial" w:eastAsia="Arial" w:hAnsi="Arial"/>
                <w:sz w:val="16"/>
                <w:szCs w:val="16"/>
                <w:color w:val="auto"/>
                <w:w w:val="92"/>
              </w:rPr>
              <w:t>4.5x</w:t>
            </w:r>
          </w:p>
        </w:tc>
        <w:tc>
          <w:tcPr>
            <w:tcW w:w="1540" w:type="dxa"/>
            <w:vAlign w:val="bottom"/>
          </w:tcPr>
          <w:p>
            <w:pPr>
              <w:ind w:left="20"/>
              <w:spacing w:after="0" w:line="179" w:lineRule="exact"/>
              <w:rPr>
                <w:sz w:val="20"/>
                <w:szCs w:val="20"/>
                <w:color w:val="auto"/>
              </w:rPr>
            </w:pPr>
            <w:r>
              <w:rPr>
                <w:rFonts w:ascii="Arial" w:cs="Arial" w:eastAsia="Arial" w:hAnsi="Arial"/>
                <w:sz w:val="16"/>
                <w:szCs w:val="16"/>
                <w:color w:val="auto"/>
              </w:rPr>
              <w:t>- 6.0x (5.7x)</w:t>
            </w:r>
          </w:p>
        </w:tc>
      </w:tr>
      <w:tr>
        <w:trPr>
          <w:trHeight w:val="192"/>
        </w:trPr>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167</w:t>
            </w:r>
          </w:p>
        </w:tc>
        <w:tc>
          <w:tcPr>
            <w:tcW w:w="28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Enterprise value</w:t>
            </w:r>
          </w:p>
        </w:tc>
        <w:tc>
          <w:tcPr>
            <w:tcW w:w="140" w:type="dxa"/>
            <w:vAlign w:val="bottom"/>
          </w:tcPr>
          <w:p>
            <w:pPr>
              <w:spacing w:after="0"/>
              <w:rPr>
                <w:sz w:val="16"/>
                <w:szCs w:val="16"/>
                <w:color w:val="auto"/>
              </w:rPr>
            </w:pPr>
          </w:p>
        </w:tc>
        <w:tc>
          <w:tcPr>
            <w:tcW w:w="2760" w:type="dxa"/>
            <w:vAlign w:val="bottom"/>
          </w:tcPr>
          <w:p>
            <w:pPr>
              <w:ind w:left="20"/>
              <w:spacing w:after="0"/>
              <w:rPr>
                <w:sz w:val="20"/>
                <w:szCs w:val="20"/>
                <w:color w:val="auto"/>
              </w:rPr>
            </w:pPr>
            <w:r>
              <w:rPr>
                <w:rFonts w:ascii="Arial" w:cs="Arial" w:eastAsia="Arial" w:hAnsi="Arial"/>
                <w:sz w:val="16"/>
                <w:szCs w:val="16"/>
                <w:color w:val="auto"/>
              </w:rPr>
              <w:t>Revenue multiples</w:t>
            </w:r>
          </w:p>
        </w:tc>
        <w:tc>
          <w:tcPr>
            <w:tcW w:w="16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w w:val="92"/>
              </w:rPr>
              <w:t>4.5x</w:t>
            </w:r>
          </w:p>
        </w:tc>
        <w:tc>
          <w:tcPr>
            <w:tcW w:w="1540" w:type="dxa"/>
            <w:vAlign w:val="bottom"/>
          </w:tcPr>
          <w:p>
            <w:pPr>
              <w:ind w:left="20"/>
              <w:spacing w:after="0"/>
              <w:rPr>
                <w:sz w:val="20"/>
                <w:szCs w:val="20"/>
                <w:color w:val="auto"/>
              </w:rPr>
            </w:pPr>
            <w:r>
              <w:rPr>
                <w:rFonts w:ascii="Arial" w:cs="Arial" w:eastAsia="Arial" w:hAnsi="Arial"/>
                <w:sz w:val="16"/>
                <w:szCs w:val="16"/>
                <w:color w:val="auto"/>
              </w:rPr>
              <w:t>- 4.5x (4.5x)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00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480" w:hanging="472"/>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Unobservable inputs were weighted by the relative fair value of the instruments.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 at</w:t>
            </w:r>
          </w:p>
        </w:tc>
        <w:tc>
          <w:tcPr>
            <w:tcW w:w="220" w:type="dxa"/>
            <w:vAlign w:val="bottom"/>
          </w:tcPr>
          <w:p>
            <w:pPr>
              <w:spacing w:after="0"/>
              <w:rPr>
                <w:sz w:val="15"/>
                <w:szCs w:val="15"/>
                <w:color w:val="auto"/>
              </w:rPr>
            </w:pPr>
          </w:p>
        </w:tc>
        <w:tc>
          <w:tcPr>
            <w:tcW w:w="2020" w:type="dxa"/>
            <w:vAlign w:val="bottom"/>
          </w:tcPr>
          <w:p>
            <w:pPr>
              <w:ind w:left="680"/>
              <w:spacing w:after="0"/>
              <w:rPr>
                <w:sz w:val="20"/>
                <w:szCs w:val="20"/>
                <w:color w:val="auto"/>
              </w:rPr>
            </w:pPr>
            <w:r>
              <w:rPr>
                <w:rFonts w:ascii="Arial" w:cs="Arial" w:eastAsia="Arial" w:hAnsi="Arial"/>
                <w:sz w:val="16"/>
                <w:szCs w:val="16"/>
                <w:b w:val="1"/>
                <w:bCs w:val="1"/>
                <w:color w:val="auto"/>
              </w:rPr>
              <w:t>Valuation</w:t>
            </w:r>
          </w:p>
        </w:tc>
        <w:tc>
          <w:tcPr>
            <w:tcW w:w="120" w:type="dxa"/>
            <w:vAlign w:val="bottom"/>
          </w:tcPr>
          <w:p>
            <w:pPr>
              <w:spacing w:after="0"/>
              <w:rPr>
                <w:sz w:val="15"/>
                <w:szCs w:val="15"/>
                <w:color w:val="auto"/>
              </w:rPr>
            </w:pPr>
          </w:p>
        </w:tc>
        <w:tc>
          <w:tcPr>
            <w:tcW w:w="2920" w:type="dxa"/>
            <w:vAlign w:val="bottom"/>
          </w:tcPr>
          <w:p>
            <w:pPr>
              <w:ind w:left="980"/>
              <w:spacing w:after="0"/>
              <w:rPr>
                <w:sz w:val="20"/>
                <w:szCs w:val="20"/>
                <w:color w:val="auto"/>
              </w:rPr>
            </w:pPr>
            <w:r>
              <w:rPr>
                <w:rFonts w:ascii="Arial" w:cs="Arial" w:eastAsia="Arial" w:hAnsi="Arial"/>
                <w:sz w:val="16"/>
                <w:szCs w:val="16"/>
                <w:b w:val="1"/>
                <w:bCs w:val="1"/>
                <w:color w:val="auto"/>
              </w:rPr>
              <w:t>Unobservable</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ind w:left="540"/>
              <w:spacing w:after="0"/>
              <w:rPr>
                <w:sz w:val="20"/>
                <w:szCs w:val="20"/>
                <w:color w:val="auto"/>
              </w:rPr>
            </w:pPr>
            <w:r>
              <w:rPr>
                <w:rFonts w:ascii="Arial" w:cs="Arial" w:eastAsia="Arial" w:hAnsi="Arial"/>
                <w:sz w:val="16"/>
                <w:szCs w:val="16"/>
                <w:b w:val="1"/>
                <w:bCs w:val="1"/>
                <w:color w:val="auto"/>
              </w:rPr>
              <w:t>Range</w:t>
            </w:r>
          </w:p>
        </w:tc>
        <w:tc>
          <w:tcPr>
            <w:tcW w:w="0" w:type="dxa"/>
            <w:vAlign w:val="bottom"/>
          </w:tcPr>
          <w:p>
            <w:pPr>
              <w:spacing w:after="0"/>
              <w:rPr>
                <w:sz w:val="1"/>
                <w:szCs w:val="1"/>
                <w:color w:val="auto"/>
              </w:rPr>
            </w:pPr>
          </w:p>
        </w:tc>
      </w:tr>
      <w:tr>
        <w:trPr>
          <w:trHeight w:val="230"/>
        </w:trPr>
        <w:tc>
          <w:tcPr>
            <w:tcW w:w="2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0"/>
              </w:rPr>
              <w:t>December 31, 2021</w:t>
            </w:r>
          </w:p>
        </w:tc>
        <w:tc>
          <w:tcPr>
            <w:tcW w:w="220" w:type="dxa"/>
            <w:vAlign w:val="bottom"/>
          </w:tcPr>
          <w:p>
            <w:pPr>
              <w:spacing w:after="0"/>
              <w:rPr>
                <w:sz w:val="19"/>
                <w:szCs w:val="19"/>
                <w:color w:val="auto"/>
              </w:rPr>
            </w:pPr>
          </w:p>
        </w:tc>
        <w:tc>
          <w:tcPr>
            <w:tcW w:w="202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Techniques</w:t>
            </w:r>
          </w:p>
        </w:tc>
        <w:tc>
          <w:tcPr>
            <w:tcW w:w="120" w:type="dxa"/>
            <w:vAlign w:val="bottom"/>
          </w:tcPr>
          <w:p>
            <w:pPr>
              <w:spacing w:after="0"/>
              <w:rPr>
                <w:sz w:val="19"/>
                <w:szCs w:val="19"/>
                <w:color w:val="auto"/>
              </w:rPr>
            </w:pPr>
          </w:p>
        </w:tc>
        <w:tc>
          <w:tcPr>
            <w:tcW w:w="2920" w:type="dxa"/>
            <w:vAlign w:val="bottom"/>
            <w:tcBorders>
              <w:bottom w:val="single" w:sz="8" w:color="auto"/>
            </w:tcBorders>
          </w:tcPr>
          <w:p>
            <w:pPr>
              <w:ind w:left="1240"/>
              <w:spacing w:after="0"/>
              <w:rPr>
                <w:sz w:val="20"/>
                <w:szCs w:val="20"/>
                <w:color w:val="auto"/>
              </w:rPr>
            </w:pPr>
            <w:r>
              <w:rPr>
                <w:rFonts w:ascii="Arial" w:cs="Arial" w:eastAsia="Arial" w:hAnsi="Arial"/>
                <w:sz w:val="16"/>
                <w:szCs w:val="16"/>
                <w:b w:val="1"/>
                <w:bCs w:val="1"/>
                <w:color w:val="auto"/>
              </w:rPr>
              <w:t>Inputs</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ind w:left="40"/>
              <w:spacing w:after="0" w:line="230" w:lineRule="exact"/>
              <w:rPr>
                <w:sz w:val="20"/>
                <w:szCs w:val="20"/>
                <w:color w:val="auto"/>
              </w:rPr>
            </w:pPr>
            <w:r>
              <w:rPr>
                <w:rFonts w:ascii="Arial" w:cs="Arial" w:eastAsia="Arial" w:hAnsi="Arial"/>
                <w:sz w:val="16"/>
                <w:szCs w:val="16"/>
                <w:b w:val="1"/>
                <w:bCs w:val="1"/>
                <w:color w:val="auto"/>
              </w:rPr>
              <w:t>(weighted average)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183"/>
        </w:trPr>
        <w:tc>
          <w:tcPr>
            <w:tcW w:w="2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First Lien Debt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335,022</w:t>
            </w:r>
          </w:p>
        </w:tc>
        <w:tc>
          <w:tcPr>
            <w:tcW w:w="220" w:type="dxa"/>
            <w:vAlign w:val="bottom"/>
            <w:shd w:val="clear" w:color="auto" w:fill="CFF0FC"/>
          </w:tcPr>
          <w:p>
            <w:pPr>
              <w:spacing w:after="0"/>
              <w:rPr>
                <w:sz w:val="16"/>
                <w:szCs w:val="16"/>
                <w:color w:val="auto"/>
              </w:rPr>
            </w:pPr>
          </w:p>
        </w:tc>
        <w:tc>
          <w:tcPr>
            <w:tcW w:w="2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Discounted cash flow</w:t>
            </w:r>
          </w:p>
        </w:tc>
        <w:tc>
          <w:tcPr>
            <w:tcW w:w="120" w:type="dxa"/>
            <w:vAlign w:val="bottom"/>
            <w:shd w:val="clear" w:color="auto" w:fill="CFF0FC"/>
          </w:tcPr>
          <w:p>
            <w:pPr>
              <w:spacing w:after="0"/>
              <w:rPr>
                <w:sz w:val="16"/>
                <w:szCs w:val="16"/>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cost of capital</w:t>
            </w:r>
          </w:p>
        </w:tc>
        <w:tc>
          <w:tcPr>
            <w:tcW w:w="230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4.0% - 21.6% (12.2%)</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11,000</w:t>
            </w:r>
          </w:p>
        </w:tc>
        <w:tc>
          <w:tcPr>
            <w:tcW w:w="220" w:type="dxa"/>
            <w:vAlign w:val="bottom"/>
          </w:tcPr>
          <w:p>
            <w:pPr>
              <w:spacing w:after="0"/>
              <w:rPr>
                <w:sz w:val="16"/>
                <w:szCs w:val="16"/>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Enterprise value</w:t>
            </w:r>
          </w:p>
        </w:tc>
        <w:tc>
          <w:tcPr>
            <w:tcW w:w="12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Asset Coverage</w:t>
            </w:r>
          </w:p>
        </w:tc>
        <w:tc>
          <w:tcPr>
            <w:tcW w:w="1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Arial" w:cs="Arial" w:eastAsia="Arial" w:hAnsi="Arial"/>
                <w:sz w:val="16"/>
                <w:szCs w:val="16"/>
                <w:color w:val="auto"/>
                <w:w w:val="99"/>
              </w:rPr>
              <w:t>1.2x</w:t>
            </w:r>
          </w:p>
        </w:tc>
        <w:tc>
          <w:tcPr>
            <w:tcW w:w="1860" w:type="dxa"/>
            <w:vAlign w:val="bottom"/>
          </w:tcPr>
          <w:p>
            <w:pPr>
              <w:ind w:left="20"/>
              <w:spacing w:after="0"/>
              <w:rPr>
                <w:sz w:val="20"/>
                <w:szCs w:val="20"/>
                <w:color w:val="auto"/>
              </w:rPr>
            </w:pPr>
            <w:r>
              <w:rPr>
                <w:rFonts w:ascii="Arial" w:cs="Arial" w:eastAsia="Arial" w:hAnsi="Arial"/>
                <w:sz w:val="16"/>
                <w:szCs w:val="16"/>
                <w:color w:val="auto"/>
              </w:rPr>
              <w:t>- 1.2x (1.2x)</w:t>
            </w: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8,900</w:t>
            </w:r>
          </w:p>
        </w:tc>
        <w:tc>
          <w:tcPr>
            <w:tcW w:w="220" w:type="dxa"/>
            <w:vAlign w:val="bottom"/>
            <w:shd w:val="clear" w:color="auto" w:fill="CFF0FC"/>
          </w:tcPr>
          <w:p>
            <w:pPr>
              <w:spacing w:after="0"/>
              <w:rPr>
                <w:sz w:val="16"/>
                <w:szCs w:val="16"/>
                <w:color w:val="auto"/>
              </w:rPr>
            </w:pPr>
          </w:p>
        </w:tc>
        <w:tc>
          <w:tcPr>
            <w:tcW w:w="2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Enterprise value</w:t>
            </w:r>
          </w:p>
        </w:tc>
        <w:tc>
          <w:tcPr>
            <w:tcW w:w="120" w:type="dxa"/>
            <w:vAlign w:val="bottom"/>
            <w:shd w:val="clear" w:color="auto" w:fill="CFF0FC"/>
          </w:tcPr>
          <w:p>
            <w:pPr>
              <w:spacing w:after="0"/>
              <w:rPr>
                <w:sz w:val="16"/>
                <w:szCs w:val="16"/>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Revenue multiples</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6"/>
                <w:szCs w:val="16"/>
                <w:color w:val="auto"/>
                <w:w w:val="99"/>
              </w:rPr>
              <w:t>4.5x</w:t>
            </w:r>
          </w:p>
        </w:tc>
        <w:tc>
          <w:tcPr>
            <w:tcW w:w="1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- 4.5x (4.5x)</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3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Second Lien Debt</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144,541</w:t>
            </w:r>
          </w:p>
        </w:tc>
        <w:tc>
          <w:tcPr>
            <w:tcW w:w="220" w:type="dxa"/>
            <w:vAlign w:val="bottom"/>
            <w:shd w:val="clear" w:color="auto" w:fill="CFF0FC"/>
          </w:tcPr>
          <w:p>
            <w:pPr>
              <w:spacing w:after="0"/>
              <w:rPr>
                <w:sz w:val="16"/>
                <w:szCs w:val="16"/>
                <w:color w:val="auto"/>
              </w:rPr>
            </w:pPr>
          </w:p>
        </w:tc>
        <w:tc>
          <w:tcPr>
            <w:tcW w:w="2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Discounted cash flow</w:t>
            </w:r>
          </w:p>
        </w:tc>
        <w:tc>
          <w:tcPr>
            <w:tcW w:w="120" w:type="dxa"/>
            <w:vAlign w:val="bottom"/>
            <w:shd w:val="clear" w:color="auto" w:fill="CFF0FC"/>
          </w:tcPr>
          <w:p>
            <w:pPr>
              <w:spacing w:after="0"/>
              <w:rPr>
                <w:sz w:val="16"/>
                <w:szCs w:val="16"/>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cost of capital</w:t>
            </w:r>
          </w:p>
        </w:tc>
        <w:tc>
          <w:tcPr>
            <w:tcW w:w="230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7.8% - 25.0% (14.4%)</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14,274</w:t>
            </w:r>
          </w:p>
        </w:tc>
        <w:tc>
          <w:tcPr>
            <w:tcW w:w="220" w:type="dxa"/>
            <w:vAlign w:val="bottom"/>
          </w:tcPr>
          <w:p>
            <w:pPr>
              <w:spacing w:after="0"/>
              <w:rPr>
                <w:sz w:val="16"/>
                <w:szCs w:val="16"/>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Enterprise value</w:t>
            </w:r>
          </w:p>
        </w:tc>
        <w:tc>
          <w:tcPr>
            <w:tcW w:w="12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Asset Coverage</w:t>
            </w:r>
          </w:p>
        </w:tc>
        <w:tc>
          <w:tcPr>
            <w:tcW w:w="1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Arial" w:cs="Arial" w:eastAsia="Arial" w:hAnsi="Arial"/>
                <w:sz w:val="16"/>
                <w:szCs w:val="16"/>
                <w:color w:val="auto"/>
                <w:w w:val="99"/>
              </w:rPr>
              <w:t>1.0x</w:t>
            </w:r>
          </w:p>
        </w:tc>
        <w:tc>
          <w:tcPr>
            <w:tcW w:w="1860" w:type="dxa"/>
            <w:vAlign w:val="bottom"/>
          </w:tcPr>
          <w:p>
            <w:pPr>
              <w:ind w:left="20"/>
              <w:spacing w:after="0"/>
              <w:rPr>
                <w:sz w:val="20"/>
                <w:szCs w:val="20"/>
                <w:color w:val="auto"/>
              </w:rPr>
            </w:pPr>
            <w:r>
              <w:rPr>
                <w:rFonts w:ascii="Arial" w:cs="Arial" w:eastAsia="Arial" w:hAnsi="Arial"/>
                <w:sz w:val="16"/>
                <w:szCs w:val="16"/>
                <w:color w:val="auto"/>
              </w:rPr>
              <w:t>- 1.4x (1.4x)</w:t>
            </w: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920" w:type="dxa"/>
            <w:vAlign w:val="bottom"/>
            <w:shd w:val="clear" w:color="auto" w:fill="CFF0FC"/>
          </w:tcPr>
          <w:p>
            <w:pPr>
              <w:spacing w:after="0"/>
              <w:rPr>
                <w:sz w:val="16"/>
                <w:szCs w:val="16"/>
                <w:color w:val="auto"/>
              </w:rPr>
            </w:pPr>
          </w:p>
        </w:tc>
        <w:tc>
          <w:tcPr>
            <w:tcW w:w="2300" w:type="dxa"/>
            <w:vAlign w:val="bottom"/>
            <w:gridSpan w:val="3"/>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0"/>
              <w:spacing w:after="0"/>
              <w:rPr>
                <w:sz w:val="20"/>
                <w:szCs w:val="20"/>
                <w:color w:val="auto"/>
              </w:rPr>
            </w:pPr>
            <w:r>
              <w:rPr>
                <w:rFonts w:ascii="Arial" w:cs="Arial" w:eastAsia="Arial" w:hAnsi="Arial"/>
                <w:sz w:val="16"/>
                <w:szCs w:val="16"/>
                <w:color w:val="auto"/>
              </w:rPr>
              <w:t>Subordinated Debt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36,064</w:t>
            </w:r>
          </w:p>
        </w:tc>
        <w:tc>
          <w:tcPr>
            <w:tcW w:w="220" w:type="dxa"/>
            <w:vAlign w:val="bottom"/>
          </w:tcPr>
          <w:p>
            <w:pPr>
              <w:spacing w:after="0"/>
              <w:rPr>
                <w:sz w:val="16"/>
                <w:szCs w:val="16"/>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Discounted cash flow</w:t>
            </w:r>
          </w:p>
        </w:tc>
        <w:tc>
          <w:tcPr>
            <w:tcW w:w="12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Weighted average cost of capital</w:t>
            </w:r>
          </w:p>
        </w:tc>
        <w:tc>
          <w:tcPr>
            <w:tcW w:w="2300" w:type="dxa"/>
            <w:vAlign w:val="bottom"/>
            <w:gridSpan w:val="3"/>
          </w:tcPr>
          <w:p>
            <w:pPr>
              <w:ind w:left="120"/>
              <w:spacing w:after="0"/>
              <w:rPr>
                <w:sz w:val="20"/>
                <w:szCs w:val="20"/>
                <w:color w:val="auto"/>
              </w:rPr>
            </w:pPr>
            <w:r>
              <w:rPr>
                <w:rFonts w:ascii="Arial" w:cs="Arial" w:eastAsia="Arial" w:hAnsi="Arial"/>
                <w:sz w:val="16"/>
                <w:szCs w:val="16"/>
                <w:color w:val="auto"/>
              </w:rPr>
              <w:t>10.0% - 13.5% (11.1%)</w:t>
            </w: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6"/>
                <w:szCs w:val="16"/>
                <w:b w:val="1"/>
                <w:bCs w:val="1"/>
                <w:color w:val="auto"/>
              </w:rPr>
              <w:t>Equity investments:</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Equity</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162,681</w:t>
            </w:r>
          </w:p>
        </w:tc>
        <w:tc>
          <w:tcPr>
            <w:tcW w:w="220" w:type="dxa"/>
            <w:vAlign w:val="bottom"/>
            <w:shd w:val="clear" w:color="auto" w:fill="CFF0FC"/>
          </w:tcPr>
          <w:p>
            <w:pPr>
              <w:spacing w:after="0"/>
              <w:rPr>
                <w:sz w:val="16"/>
                <w:szCs w:val="16"/>
                <w:color w:val="auto"/>
              </w:rPr>
            </w:pPr>
          </w:p>
        </w:tc>
        <w:tc>
          <w:tcPr>
            <w:tcW w:w="2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Enterprise value</w:t>
            </w:r>
          </w:p>
        </w:tc>
        <w:tc>
          <w:tcPr>
            <w:tcW w:w="120" w:type="dxa"/>
            <w:vAlign w:val="bottom"/>
            <w:shd w:val="clear" w:color="auto" w:fill="CFF0FC"/>
          </w:tcPr>
          <w:p>
            <w:pPr>
              <w:spacing w:after="0"/>
              <w:rPr>
                <w:sz w:val="16"/>
                <w:szCs w:val="16"/>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EBITDA multiples</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6"/>
                <w:szCs w:val="16"/>
                <w:color w:val="auto"/>
                <w:w w:val="99"/>
              </w:rPr>
              <w:t>3.5x</w:t>
            </w:r>
          </w:p>
        </w:tc>
        <w:tc>
          <w:tcPr>
            <w:tcW w:w="1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- 23.8x (8.2x)</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3,081</w:t>
            </w:r>
          </w:p>
        </w:tc>
        <w:tc>
          <w:tcPr>
            <w:tcW w:w="220" w:type="dxa"/>
            <w:vAlign w:val="bottom"/>
          </w:tcPr>
          <w:p>
            <w:pPr>
              <w:spacing w:after="0"/>
              <w:rPr>
                <w:sz w:val="16"/>
                <w:szCs w:val="16"/>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Enterprise value</w:t>
            </w:r>
          </w:p>
        </w:tc>
        <w:tc>
          <w:tcPr>
            <w:tcW w:w="12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Revenue multiples</w:t>
            </w:r>
          </w:p>
        </w:tc>
        <w:tc>
          <w:tcPr>
            <w:tcW w:w="1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Arial" w:cs="Arial" w:eastAsia="Arial" w:hAnsi="Arial"/>
                <w:sz w:val="16"/>
                <w:szCs w:val="16"/>
                <w:color w:val="auto"/>
                <w:w w:val="99"/>
              </w:rPr>
              <w:t>3.5x</w:t>
            </w:r>
          </w:p>
        </w:tc>
        <w:tc>
          <w:tcPr>
            <w:tcW w:w="1860" w:type="dxa"/>
            <w:vAlign w:val="bottom"/>
          </w:tcPr>
          <w:p>
            <w:pPr>
              <w:ind w:left="20"/>
              <w:spacing w:after="0"/>
              <w:rPr>
                <w:sz w:val="20"/>
                <w:szCs w:val="20"/>
                <w:color w:val="auto"/>
              </w:rPr>
            </w:pPr>
            <w:r>
              <w:rPr>
                <w:rFonts w:ascii="Arial" w:cs="Arial" w:eastAsia="Arial" w:hAnsi="Arial"/>
                <w:sz w:val="16"/>
                <w:szCs w:val="16"/>
                <w:color w:val="auto"/>
              </w:rPr>
              <w:t>- 9.3x (6.2x)</w:t>
            </w: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100" w:type="dxa"/>
            <w:vAlign w:val="bottom"/>
          </w:tcPr>
          <w:p>
            <w:pPr>
              <w:ind w:left="200"/>
              <w:spacing w:after="0" w:line="179" w:lineRule="exact"/>
              <w:rPr>
                <w:sz w:val="20"/>
                <w:szCs w:val="20"/>
                <w:color w:val="auto"/>
              </w:rPr>
            </w:pPr>
            <w:r>
              <w:rPr>
                <w:rFonts w:ascii="Arial" w:cs="Arial" w:eastAsia="Arial" w:hAnsi="Arial"/>
                <w:sz w:val="16"/>
                <w:szCs w:val="16"/>
                <w:color w:val="auto"/>
              </w:rPr>
              <w:t>Warrants</w:t>
            </w:r>
          </w:p>
        </w:tc>
        <w:tc>
          <w:tcPr>
            <w:tcW w:w="120" w:type="dxa"/>
            <w:vAlign w:val="bottom"/>
          </w:tcPr>
          <w:p>
            <w:pPr>
              <w:spacing w:after="0"/>
              <w:rPr>
                <w:sz w:val="15"/>
                <w:szCs w:val="15"/>
                <w:color w:val="auto"/>
              </w:rPr>
            </w:pPr>
          </w:p>
        </w:tc>
        <w:tc>
          <w:tcPr>
            <w:tcW w:w="1440" w:type="dxa"/>
            <w:vAlign w:val="bottom"/>
          </w:tcPr>
          <w:p>
            <w:pPr>
              <w:jc w:val="right"/>
              <w:spacing w:after="0" w:line="179" w:lineRule="exact"/>
              <w:rPr>
                <w:sz w:val="20"/>
                <w:szCs w:val="20"/>
                <w:color w:val="auto"/>
              </w:rPr>
            </w:pPr>
            <w:r>
              <w:rPr>
                <w:rFonts w:ascii="Arial" w:cs="Arial" w:eastAsia="Arial" w:hAnsi="Arial"/>
                <w:sz w:val="16"/>
                <w:szCs w:val="16"/>
                <w:color w:val="auto"/>
              </w:rPr>
              <w:t>3,075</w:t>
            </w:r>
          </w:p>
        </w:tc>
        <w:tc>
          <w:tcPr>
            <w:tcW w:w="220" w:type="dxa"/>
            <w:vAlign w:val="bottom"/>
          </w:tcPr>
          <w:p>
            <w:pPr>
              <w:spacing w:after="0"/>
              <w:rPr>
                <w:sz w:val="15"/>
                <w:szCs w:val="15"/>
                <w:color w:val="auto"/>
              </w:rPr>
            </w:pPr>
          </w:p>
        </w:tc>
        <w:tc>
          <w:tcPr>
            <w:tcW w:w="2020" w:type="dxa"/>
            <w:vAlign w:val="bottom"/>
          </w:tcPr>
          <w:p>
            <w:pPr>
              <w:ind w:left="20"/>
              <w:spacing w:after="0" w:line="179" w:lineRule="exact"/>
              <w:rPr>
                <w:sz w:val="20"/>
                <w:szCs w:val="20"/>
                <w:color w:val="auto"/>
              </w:rPr>
            </w:pPr>
            <w:r>
              <w:rPr>
                <w:rFonts w:ascii="Arial" w:cs="Arial" w:eastAsia="Arial" w:hAnsi="Arial"/>
                <w:sz w:val="16"/>
                <w:szCs w:val="16"/>
                <w:color w:val="auto"/>
              </w:rPr>
              <w:t>Enterprise value</w:t>
            </w:r>
          </w:p>
        </w:tc>
        <w:tc>
          <w:tcPr>
            <w:tcW w:w="120" w:type="dxa"/>
            <w:vAlign w:val="bottom"/>
          </w:tcPr>
          <w:p>
            <w:pPr>
              <w:spacing w:after="0"/>
              <w:rPr>
                <w:sz w:val="15"/>
                <w:szCs w:val="15"/>
                <w:color w:val="auto"/>
              </w:rPr>
            </w:pPr>
          </w:p>
        </w:tc>
        <w:tc>
          <w:tcPr>
            <w:tcW w:w="2920" w:type="dxa"/>
            <w:vAlign w:val="bottom"/>
          </w:tcPr>
          <w:p>
            <w:pPr>
              <w:spacing w:after="0" w:line="179" w:lineRule="exact"/>
              <w:rPr>
                <w:sz w:val="20"/>
                <w:szCs w:val="20"/>
                <w:color w:val="auto"/>
              </w:rPr>
            </w:pPr>
            <w:r>
              <w:rPr>
                <w:rFonts w:ascii="Arial" w:cs="Arial" w:eastAsia="Arial" w:hAnsi="Arial"/>
                <w:sz w:val="16"/>
                <w:szCs w:val="16"/>
                <w:color w:val="auto"/>
              </w:rPr>
              <w:t>EBITDA multiples</w:t>
            </w:r>
          </w:p>
        </w:tc>
        <w:tc>
          <w:tcPr>
            <w:tcW w:w="120" w:type="dxa"/>
            <w:vAlign w:val="bottom"/>
          </w:tcPr>
          <w:p>
            <w:pPr>
              <w:spacing w:after="0"/>
              <w:rPr>
                <w:sz w:val="15"/>
                <w:szCs w:val="15"/>
                <w:color w:val="auto"/>
              </w:rPr>
            </w:pPr>
          </w:p>
        </w:tc>
        <w:tc>
          <w:tcPr>
            <w:tcW w:w="320" w:type="dxa"/>
            <w:vAlign w:val="bottom"/>
          </w:tcPr>
          <w:p>
            <w:pPr>
              <w:spacing w:after="0" w:line="179" w:lineRule="exact"/>
              <w:rPr>
                <w:sz w:val="20"/>
                <w:szCs w:val="20"/>
                <w:color w:val="auto"/>
              </w:rPr>
            </w:pPr>
            <w:r>
              <w:rPr>
                <w:rFonts w:ascii="Arial" w:cs="Arial" w:eastAsia="Arial" w:hAnsi="Arial"/>
                <w:sz w:val="16"/>
                <w:szCs w:val="16"/>
                <w:color w:val="auto"/>
                <w:w w:val="99"/>
              </w:rPr>
              <w:t>4.5x</w:t>
            </w:r>
          </w:p>
        </w:tc>
        <w:tc>
          <w:tcPr>
            <w:tcW w:w="1860" w:type="dxa"/>
            <w:vAlign w:val="bottom"/>
          </w:tcPr>
          <w:p>
            <w:pPr>
              <w:ind w:left="20"/>
              <w:spacing w:after="0" w:line="179" w:lineRule="exact"/>
              <w:rPr>
                <w:sz w:val="20"/>
                <w:szCs w:val="20"/>
                <w:color w:val="auto"/>
              </w:rPr>
            </w:pPr>
            <w:r>
              <w:rPr>
                <w:rFonts w:ascii="Arial" w:cs="Arial" w:eastAsia="Arial" w:hAnsi="Arial"/>
                <w:sz w:val="16"/>
                <w:szCs w:val="16"/>
                <w:color w:val="auto"/>
              </w:rPr>
              <w:t>- 6.0x (5.9x)</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129</w:t>
            </w:r>
          </w:p>
        </w:tc>
        <w:tc>
          <w:tcPr>
            <w:tcW w:w="220" w:type="dxa"/>
            <w:vAlign w:val="bottom"/>
          </w:tcPr>
          <w:p>
            <w:pPr>
              <w:spacing w:after="0"/>
              <w:rPr>
                <w:sz w:val="16"/>
                <w:szCs w:val="16"/>
                <w:color w:val="auto"/>
              </w:rPr>
            </w:pPr>
          </w:p>
        </w:tc>
        <w:tc>
          <w:tcPr>
            <w:tcW w:w="2020" w:type="dxa"/>
            <w:vAlign w:val="bottom"/>
          </w:tcPr>
          <w:p>
            <w:pPr>
              <w:ind w:left="20"/>
              <w:spacing w:after="0"/>
              <w:rPr>
                <w:sz w:val="20"/>
                <w:szCs w:val="20"/>
                <w:color w:val="auto"/>
              </w:rPr>
            </w:pPr>
            <w:r>
              <w:rPr>
                <w:rFonts w:ascii="Arial" w:cs="Arial" w:eastAsia="Arial" w:hAnsi="Arial"/>
                <w:sz w:val="16"/>
                <w:szCs w:val="16"/>
                <w:color w:val="auto"/>
              </w:rPr>
              <w:t>Enterprise value</w:t>
            </w:r>
          </w:p>
        </w:tc>
        <w:tc>
          <w:tcPr>
            <w:tcW w:w="12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Revenue multiples</w:t>
            </w:r>
          </w:p>
        </w:tc>
        <w:tc>
          <w:tcPr>
            <w:tcW w:w="1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Arial" w:cs="Arial" w:eastAsia="Arial" w:hAnsi="Arial"/>
                <w:sz w:val="16"/>
                <w:szCs w:val="16"/>
                <w:color w:val="auto"/>
                <w:w w:val="99"/>
              </w:rPr>
              <w:t>4.5x</w:t>
            </w:r>
          </w:p>
        </w:tc>
        <w:tc>
          <w:tcPr>
            <w:tcW w:w="1860" w:type="dxa"/>
            <w:vAlign w:val="bottom"/>
          </w:tcPr>
          <w:p>
            <w:pPr>
              <w:ind w:left="20"/>
              <w:spacing w:after="0"/>
              <w:rPr>
                <w:sz w:val="20"/>
                <w:szCs w:val="20"/>
                <w:color w:val="auto"/>
              </w:rPr>
            </w:pPr>
            <w:r>
              <w:rPr>
                <w:rFonts w:ascii="Arial" w:cs="Arial" w:eastAsia="Arial" w:hAnsi="Arial"/>
                <w:sz w:val="16"/>
                <w:szCs w:val="16"/>
                <w:color w:val="auto"/>
              </w:rPr>
              <w:t>- 4.5x (4.5x)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00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480" w:hanging="472"/>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Unobservable inputs were weighted by the relative fair value of the instruments.</w:t>
      </w:r>
    </w:p>
    <w:p>
      <w:pPr>
        <w:spacing w:after="0" w:line="155" w:lineRule="exact"/>
        <w:rPr>
          <w:sz w:val="20"/>
          <w:szCs w:val="20"/>
          <w:color w:val="auto"/>
        </w:rPr>
      </w:pPr>
    </w:p>
    <w:p>
      <w:pPr>
        <w:ind w:firstLine="478"/>
        <w:spacing w:after="0" w:line="291" w:lineRule="auto"/>
        <w:rPr>
          <w:sz w:val="20"/>
          <w:szCs w:val="20"/>
          <w:color w:val="auto"/>
        </w:rPr>
      </w:pPr>
      <w:r>
        <w:rPr>
          <w:rFonts w:ascii="Arial" w:cs="Arial" w:eastAsia="Arial" w:hAnsi="Arial"/>
          <w:sz w:val="17"/>
          <w:szCs w:val="17"/>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93" w:lineRule="exact"/>
        <w:rPr>
          <w:sz w:val="20"/>
          <w:szCs w:val="20"/>
          <w:color w:val="auto"/>
        </w:rPr>
      </w:pPr>
    </w:p>
    <w:p>
      <w:pPr>
        <w:ind w:firstLine="478"/>
        <w:spacing w:after="0" w:line="291" w:lineRule="auto"/>
        <w:rPr>
          <w:sz w:val="20"/>
          <w:szCs w:val="20"/>
          <w:color w:val="auto"/>
        </w:rPr>
      </w:pPr>
      <w:r>
        <w:rPr>
          <w:rFonts w:ascii="Arial" w:cs="Arial" w:eastAsia="Arial" w:hAnsi="Arial"/>
          <w:sz w:val="17"/>
          <w:szCs w:val="17"/>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shares and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42" w:lineRule="exact"/>
        <w:rPr>
          <w:sz w:val="20"/>
          <w:szCs w:val="20"/>
          <w:color w:val="auto"/>
        </w:rPr>
      </w:pPr>
    </w:p>
    <w:p>
      <w:pPr>
        <w:jc w:val="both"/>
        <w:ind w:firstLine="478"/>
        <w:spacing w:after="0" w:line="262" w:lineRule="auto"/>
        <w:rPr>
          <w:sz w:val="20"/>
          <w:szCs w:val="20"/>
          <w:color w:val="auto"/>
        </w:rPr>
      </w:pPr>
      <w:r>
        <w:rPr>
          <w:rFonts w:ascii="Arial" w:cs="Arial" w:eastAsia="Arial" w:hAnsi="Arial"/>
          <w:sz w:val="17"/>
          <w:szCs w:val="17"/>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the SBA debentures, and the Notes (as defined in Note 6) are recorded at their respective carrying values.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tables summarize the carrying value and fair value of the Company’s debt obligations as of June 30, 2022 and December 31, 2021.</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76"/>
        </w:trPr>
        <w:tc>
          <w:tcPr>
            <w:tcW w:w="43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June 30, 2022</w:t>
            </w:r>
            <w:r>
              <w:rPr>
                <w:rFonts w:ascii="Arial" w:cs="Arial" w:eastAsia="Arial" w:hAnsi="Arial"/>
                <w:sz w:val="24"/>
                <w:szCs w:val="24"/>
                <w:b w:val="1"/>
                <w:bCs w:val="1"/>
                <w:color w:val="auto"/>
                <w:vertAlign w:val="superscript"/>
              </w:rPr>
              <w:t>(5)</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December 31, 2021</w:t>
            </w:r>
            <w:r>
              <w:rPr>
                <w:rFonts w:ascii="Arial" w:cs="Arial" w:eastAsia="Arial" w:hAnsi="Arial"/>
                <w:sz w:val="24"/>
                <w:szCs w:val="24"/>
                <w:b w:val="1"/>
                <w:bCs w:val="1"/>
                <w:color w:val="auto"/>
                <w:vertAlign w:val="superscript"/>
              </w:rPr>
              <w:t>(5)</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36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rPr>
              <w:t>Carrying Value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ind w:left="20"/>
              <w:spacing w:after="0" w:line="156" w:lineRule="exact"/>
              <w:rPr>
                <w:sz w:val="20"/>
                <w:szCs w:val="20"/>
                <w:color w:val="auto"/>
              </w:rPr>
            </w:pPr>
            <w:r>
              <w:rPr>
                <w:rFonts w:ascii="Arial" w:cs="Arial" w:eastAsia="Arial" w:hAnsi="Arial"/>
                <w:sz w:val="18"/>
                <w:szCs w:val="18"/>
                <w:b w:val="1"/>
                <w:bCs w:val="1"/>
                <w:color w:val="auto"/>
              </w:rPr>
              <w:t>Carrying Value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ind w:right="574"/>
              <w:spacing w:after="0" w:line="122" w:lineRule="exact"/>
              <w:rPr>
                <w:sz w:val="20"/>
                <w:szCs w:val="20"/>
                <w:color w:val="auto"/>
              </w:rPr>
            </w:pPr>
            <w:r>
              <w:rPr>
                <w:rFonts w:ascii="Arial" w:cs="Arial" w:eastAsia="Arial" w:hAnsi="Arial"/>
                <w:sz w:val="12"/>
                <w:szCs w:val="12"/>
                <w:b w:val="1"/>
                <w:bCs w:val="1"/>
                <w:color w:val="auto"/>
              </w:rPr>
              <w:t>(1)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restart"/>
          </w:tcPr>
          <w:p>
            <w:pPr>
              <w:jc w:val="right"/>
              <w:ind w:right="250"/>
              <w:spacing w:after="0" w:line="162" w:lineRule="exact"/>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ind w:left="220"/>
              <w:spacing w:after="0" w:line="122" w:lineRule="exact"/>
              <w:rPr>
                <w:sz w:val="20"/>
                <w:szCs w:val="20"/>
                <w:color w:val="auto"/>
              </w:rPr>
            </w:pPr>
            <w:r>
              <w:rPr>
                <w:rFonts w:ascii="Arial" w:cs="Arial" w:eastAsia="Arial" w:hAnsi="Arial"/>
                <w:sz w:val="12"/>
                <w:szCs w:val="12"/>
                <w:b w:val="1"/>
                <w:bCs w:val="1"/>
                <w:color w:val="auto"/>
              </w:rPr>
              <w:t>(1)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restart"/>
          </w:tcPr>
          <w:p>
            <w:pPr>
              <w:jc w:val="right"/>
              <w:ind w:right="230"/>
              <w:spacing w:after="0" w:line="162" w:lineRule="exact"/>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spacing w:after="0" w:line="195" w:lineRule="exact"/>
              <w:rPr>
                <w:sz w:val="20"/>
                <w:szCs w:val="20"/>
                <w:color w:val="auto"/>
              </w:rPr>
            </w:pPr>
            <w:r>
              <w:rPr>
                <w:rFonts w:ascii="Arial" w:cs="Arial" w:eastAsia="Arial" w:hAnsi="Arial"/>
                <w:sz w:val="17"/>
                <w:szCs w:val="17"/>
                <w:color w:val="auto"/>
              </w:rPr>
              <w:t xml:space="preserve">SBA debentures </w:t>
            </w:r>
            <w:r>
              <w:rPr>
                <w:rFonts w:ascii="Arial" w:cs="Arial" w:eastAsia="Arial" w:hAnsi="Arial"/>
                <w:sz w:val="22"/>
                <w:szCs w:val="22"/>
                <w:color w:val="auto"/>
                <w:vertAlign w:val="superscript"/>
              </w:rPr>
              <w:t>(2)</w:t>
            </w:r>
          </w:p>
        </w:tc>
        <w:tc>
          <w:tcPr>
            <w:tcW w:w="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128,500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128,500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107,000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107,000</w:t>
            </w:r>
          </w:p>
        </w:tc>
        <w:tc>
          <w:tcPr>
            <w:tcW w:w="0" w:type="dxa"/>
            <w:vAlign w:val="bottom"/>
          </w:tcPr>
          <w:p>
            <w:pPr>
              <w:spacing w:after="0"/>
              <w:rPr>
                <w:sz w:val="1"/>
                <w:szCs w:val="1"/>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7"/>
                <w:szCs w:val="17"/>
                <w:color w:val="auto"/>
              </w:rPr>
              <w:t xml:space="preserve">Credit Facility borrowings </w:t>
            </w:r>
            <w:r>
              <w:rPr>
                <w:rFonts w:ascii="Arial" w:cs="Arial" w:eastAsia="Arial" w:hAnsi="Arial"/>
                <w:sz w:val="23"/>
                <w:szCs w:val="23"/>
                <w:color w:val="auto"/>
                <w:vertAlign w:val="superscript"/>
              </w:rPr>
              <w:t>(3)</w:t>
            </w:r>
          </w:p>
        </w:tc>
        <w:tc>
          <w:tcPr>
            <w:tcW w:w="320" w:type="dxa"/>
            <w:vAlign w:val="bottom"/>
          </w:tcPr>
          <w:p>
            <w:pPr>
              <w:spacing w:after="0"/>
              <w:rPr>
                <w:sz w:val="17"/>
                <w:szCs w:val="17"/>
                <w:color w:val="auto"/>
              </w:rPr>
            </w:pP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7"/>
                <w:szCs w:val="17"/>
                <w:color w:val="auto"/>
              </w:rPr>
              <w:t xml:space="preserve">January 2026 Notes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125,230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125,258</w:t>
            </w:r>
          </w:p>
        </w:tc>
        <w:tc>
          <w:tcPr>
            <w:tcW w:w="0" w:type="dxa"/>
            <w:vAlign w:val="bottom"/>
          </w:tcPr>
          <w:p>
            <w:pPr>
              <w:spacing w:after="0"/>
              <w:rPr>
                <w:sz w:val="1"/>
                <w:szCs w:val="1"/>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7"/>
                <w:szCs w:val="17"/>
                <w:color w:val="auto"/>
              </w:rPr>
              <w:t xml:space="preserve">November 2026 Notes </w:t>
            </w:r>
            <w:r>
              <w:rPr>
                <w:rFonts w:ascii="Arial" w:cs="Arial" w:eastAsia="Arial" w:hAnsi="Arial"/>
                <w:sz w:val="23"/>
                <w:szCs w:val="23"/>
                <w:color w:val="auto"/>
                <w:vertAlign w:val="superscript"/>
              </w:rPr>
              <w:t>(4)</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125,155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125,171</w:t>
            </w:r>
          </w:p>
        </w:tc>
        <w:tc>
          <w:tcPr>
            <w:tcW w:w="0" w:type="dxa"/>
            <w:vAlign w:val="bottom"/>
          </w:tcPr>
          <w:p>
            <w:pPr>
              <w:spacing w:after="0"/>
              <w:rPr>
                <w:sz w:val="1"/>
                <w:szCs w:val="1"/>
                <w:color w:val="auto"/>
              </w:rPr>
            </w:pPr>
          </w:p>
        </w:tc>
      </w:tr>
      <w:tr>
        <w:trPr>
          <w:trHeight w:val="196"/>
        </w:trPr>
        <w:tc>
          <w:tcPr>
            <w:tcW w:w="436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4"/>
              <w:spacing w:after="0" w:line="182" w:lineRule="exact"/>
              <w:rPr>
                <w:sz w:val="20"/>
                <w:szCs w:val="20"/>
                <w:color w:val="auto"/>
              </w:rPr>
            </w:pPr>
            <w:r>
              <w:rPr>
                <w:rFonts w:ascii="Arial" w:cs="Arial" w:eastAsia="Arial" w:hAnsi="Arial"/>
                <w:sz w:val="18"/>
                <w:szCs w:val="18"/>
                <w:color w:val="auto"/>
              </w:rPr>
              <w:t>378,500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378,885</w:t>
            </w:r>
          </w:p>
        </w:tc>
        <w:tc>
          <w:tcPr>
            <w:tcW w:w="100" w:type="dxa"/>
            <w:vAlign w:val="bottom"/>
          </w:tcPr>
          <w:p>
            <w:pPr>
              <w:spacing w:after="0"/>
              <w:rPr>
                <w:sz w:val="17"/>
                <w:szCs w:val="17"/>
                <w:color w:val="auto"/>
              </w:rPr>
            </w:pPr>
          </w:p>
        </w:tc>
        <w:tc>
          <w:tcPr>
            <w:tcW w:w="320" w:type="dxa"/>
            <w:vAlign w:val="bottom"/>
            <w:tcBorders>
              <w:bottom w:val="single" w:sz="8" w:color="auto"/>
            </w:tcBorders>
          </w:tcPr>
          <w:p>
            <w:pPr>
              <w:ind w:left="20"/>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4"/>
              <w:spacing w:after="0" w:line="182" w:lineRule="exact"/>
              <w:rPr>
                <w:sz w:val="20"/>
                <w:szCs w:val="20"/>
                <w:color w:val="auto"/>
              </w:rPr>
            </w:pPr>
            <w:r>
              <w:rPr>
                <w:rFonts w:ascii="Arial" w:cs="Arial" w:eastAsia="Arial" w:hAnsi="Arial"/>
                <w:sz w:val="18"/>
                <w:szCs w:val="18"/>
                <w:color w:val="auto"/>
              </w:rPr>
              <w:t>357,000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357,429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ind w:left="480" w:hanging="472"/>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Carrying value represents the outstanding principal balance of the debt obligation.</w:t>
      </w:r>
    </w:p>
    <w:p>
      <w:pPr>
        <w:spacing w:after="0" w:line="13" w:lineRule="exact"/>
        <w:rPr>
          <w:rFonts w:ascii="Arial" w:cs="Arial" w:eastAsia="Arial" w:hAnsi="Arial"/>
          <w:sz w:val="14"/>
          <w:szCs w:val="14"/>
          <w:color w:val="auto"/>
        </w:rPr>
      </w:pPr>
    </w:p>
    <w:p>
      <w:pPr>
        <w:ind w:left="480" w:hanging="472"/>
        <w:spacing w:after="0" w:line="241" w:lineRule="auto"/>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ind w:left="480" w:right="20" w:hanging="472"/>
        <w:spacing w:after="0" w:line="241" w:lineRule="auto"/>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fair value of borrowings under the Credit Facility, if valued under ASC Topic 820, are based on a market yield approach and current interest rates, which are Level 3 inputs to the market yield model.</w:t>
      </w:r>
    </w:p>
    <w:p>
      <w:pPr>
        <w:ind w:left="480" w:hanging="472"/>
        <w:spacing w:after="0" w:line="241" w:lineRule="auto"/>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fair value of the January 2026 Notes (as defined in Note 6) and the November 2026 Notes (as defined in Note 6) are estimated by discounting the remaining payments using current market rates for similar instruments and considering such factors as the legal maturity date, which are Level 3 inputs under ASC Topic 820.</w:t>
      </w:r>
    </w:p>
    <w:p>
      <w:pPr>
        <w:ind w:left="480" w:hanging="472"/>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Totals exclude $17,263 and $17,637 of Secured Borrowings as of June 30, 2022 and December 31, 2021, respectively.</w:t>
      </w:r>
    </w:p>
    <w:p>
      <w:pPr>
        <w:spacing w:after="0" w:line="196" w:lineRule="exact"/>
        <w:rPr>
          <w:sz w:val="20"/>
          <w:szCs w:val="20"/>
          <w:color w:val="auto"/>
        </w:rPr>
      </w:pPr>
    </w:p>
    <w:p>
      <w:pPr>
        <w:jc w:val="both"/>
        <w:ind w:firstLine="479"/>
        <w:spacing w:after="0" w:line="261" w:lineRule="auto"/>
        <w:rPr>
          <w:sz w:val="20"/>
          <w:szCs w:val="20"/>
          <w:color w:val="auto"/>
        </w:rPr>
      </w:pPr>
      <w:r>
        <w:rPr>
          <w:rFonts w:ascii="Arial" w:cs="Arial" w:eastAsia="Arial" w:hAnsi="Arial"/>
          <w:sz w:val="18"/>
          <w:szCs w:val="18"/>
          <w:color w:val="auto"/>
        </w:rPr>
        <w:t>The following table summarizes the inputs used to value the Company’s debt obligations if measured at fair value as of June 30, 2022 and December 31, 2021.</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221"/>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Fair Value</w:t>
            </w:r>
          </w:p>
        </w:tc>
      </w:tr>
      <w:tr>
        <w:trPr>
          <w:trHeight w:val="178"/>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350"/>
              <w:spacing w:after="0" w:line="177"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170"/>
              <w:spacing w:after="0" w:line="177" w:lineRule="exact"/>
              <w:rPr>
                <w:sz w:val="20"/>
                <w:szCs w:val="20"/>
                <w:color w:val="auto"/>
              </w:rPr>
            </w:pPr>
            <w:r>
              <w:rPr>
                <w:rFonts w:ascii="Arial" w:cs="Arial" w:eastAsia="Arial" w:hAnsi="Arial"/>
                <w:sz w:val="18"/>
                <w:szCs w:val="18"/>
                <w:b w:val="1"/>
                <w:bCs w:val="1"/>
                <w:color w:val="auto"/>
                <w:w w:val="90"/>
              </w:rPr>
              <w:t>December 31,</w:t>
            </w:r>
          </w:p>
        </w:tc>
      </w:tr>
      <w:tr>
        <w:trPr>
          <w:trHeight w:val="221"/>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Valuation Inputs</w:t>
            </w:r>
          </w:p>
        </w:tc>
        <w:tc>
          <w:tcPr>
            <w:tcW w:w="240" w:type="dxa"/>
            <w:vAlign w:val="bottom"/>
          </w:tcPr>
          <w:p>
            <w:pPr>
              <w:spacing w:after="0"/>
              <w:rPr>
                <w:sz w:val="19"/>
                <w:szCs w:val="19"/>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196"/>
        </w:trPr>
        <w:tc>
          <w:tcPr>
            <w:tcW w:w="46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Level 1</w:t>
            </w:r>
          </w:p>
        </w:tc>
        <w:tc>
          <w:tcPr>
            <w:tcW w:w="1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800" w:type="dxa"/>
            <w:vAlign w:val="bottom"/>
            <w:gridSpan w:val="2"/>
          </w:tcPr>
          <w:p>
            <w:pPr>
              <w:spacing w:after="0" w:line="202" w:lineRule="exact"/>
              <w:rPr>
                <w:sz w:val="20"/>
                <w:szCs w:val="20"/>
                <w:color w:val="auto"/>
              </w:rPr>
            </w:pPr>
            <w:r>
              <w:rPr>
                <w:rFonts w:ascii="Arial" w:cs="Arial" w:eastAsia="Arial" w:hAnsi="Arial"/>
                <w:sz w:val="18"/>
                <w:szCs w:val="18"/>
                <w:color w:val="auto"/>
              </w:rPr>
              <w:t>Level 2</w:t>
            </w:r>
          </w:p>
        </w:tc>
        <w:tc>
          <w:tcPr>
            <w:tcW w:w="24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80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Level 3</w:t>
            </w:r>
          </w:p>
        </w:tc>
        <w:tc>
          <w:tcPr>
            <w:tcW w:w="2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378,885</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357,429</w:t>
            </w:r>
          </w:p>
        </w:tc>
      </w:tr>
      <w:tr>
        <w:trPr>
          <w:trHeight w:val="196"/>
        </w:trPr>
        <w:tc>
          <w:tcPr>
            <w:tcW w:w="4800" w:type="dxa"/>
            <w:vAlign w:val="bottom"/>
            <w:gridSpan w:val="2"/>
          </w:tcPr>
          <w:p>
            <w:pPr>
              <w:spacing w:after="0" w:line="182" w:lineRule="exact"/>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378,885</w:t>
            </w:r>
          </w:p>
        </w:tc>
        <w:tc>
          <w:tcPr>
            <w:tcW w:w="2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357,429</w:t>
            </w: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-159385</wp:posOffset>
            </wp:positionV>
            <wp:extent cx="8572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162"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i w:val="1"/>
          <w:iCs w:val="1"/>
          <w:color w:val="auto"/>
        </w:rPr>
        <w:t xml:space="preserve">Investment Advisory Agreement: </w:t>
      </w:r>
      <w:r>
        <w:rPr>
          <w:rFonts w:ascii="Arial" w:cs="Arial" w:eastAsia="Arial" w:hAnsi="Arial"/>
          <w:sz w:val="18"/>
          <w:szCs w:val="18"/>
          <w:color w:val="auto"/>
        </w:rPr>
        <w:t>The Company has entered into an Investment Advisory Agreement with the Investment Advisor. On June 9, 2022,</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approved the renewal of the Investment Advisory Agreement for the period beginning June 20, 2022, through June 20, 2023.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35" w:lineRule="exact"/>
        <w:rPr>
          <w:sz w:val="20"/>
          <w:szCs w:val="20"/>
          <w:color w:val="auto"/>
        </w:rPr>
      </w:pPr>
    </w:p>
    <w:p>
      <w:pPr>
        <w:jc w:val="both"/>
        <w:ind w:firstLine="478"/>
        <w:spacing w:after="0" w:line="266" w:lineRule="auto"/>
        <w:rPr>
          <w:sz w:val="20"/>
          <w:szCs w:val="20"/>
          <w:color w:val="auto"/>
        </w:rPr>
      </w:pPr>
      <w:r>
        <w:rPr>
          <w:rFonts w:ascii="Arial" w:cs="Arial" w:eastAsia="Arial" w:hAnsi="Arial"/>
          <w:sz w:val="16"/>
          <w:szCs w:val="16"/>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Board of Directors accepted a voluntary, non-contractual, and unconditional waiver from the Investment Advisor to exclude any investments recorded as secured borrowings as defined under GAAP from the base management fee payable as of June 30, 2022. The base management fee is payable quarterly in arrears. The base management fee under the Investment Advisory Agreement was $3,618 and $6,961 for the three and six months ended June 30, 2022, respectively, and $3,215 and $6,391 for the three and six months ended June 30, 2021, respectively. The base management fee waiver was $76 and $152 for the three and six months ended June 30, 2022, respectively. The base management fee waiver was $29 and $29 for the three and six months ended June 30, 2021, respectively. As of June 30, 2022 and December 31, 2021, the base management fee payable (net of the base management fee waiver) was $3,542 and $3,135, respectively.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jc w:val="both"/>
        <w:ind w:firstLine="478"/>
        <w:spacing w:after="0" w:line="271" w:lineRule="auto"/>
        <w:rPr>
          <w:sz w:val="20"/>
          <w:szCs w:val="20"/>
          <w:color w:val="auto"/>
        </w:rPr>
      </w:pPr>
      <w:r>
        <w:rPr>
          <w:rFonts w:ascii="Arial" w:cs="Arial" w:eastAsia="Arial" w:hAnsi="Arial"/>
          <w:sz w:val="16"/>
          <w:szCs w:val="16"/>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115"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35"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7"/>
          <w:szCs w:val="17"/>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20"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The Company pays the Investment Advisor an incentive fee with respect to pre-incentive fee net investment income in each calendar quarter as follows:</w:t>
      </w:r>
    </w:p>
    <w:p>
      <w:pPr>
        <w:spacing w:after="0" w:line="117"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 incentive fee in any calendar quarter in which the pre-incentive fee net investment income does not exceed the hurdle rate of 2.0%;</w:t>
      </w:r>
    </w:p>
    <w:p>
      <w:pPr>
        <w:spacing w:after="0" w:line="115" w:lineRule="exact"/>
        <w:rPr>
          <w:rFonts w:ascii="Arial" w:cs="Arial" w:eastAsia="Arial" w:hAnsi="Arial"/>
          <w:sz w:val="17"/>
          <w:szCs w:val="17"/>
          <w:color w:val="auto"/>
        </w:rPr>
      </w:pPr>
    </w:p>
    <w:p>
      <w:pPr>
        <w:jc w:val="both"/>
        <w:ind w:left="1020" w:hanging="503"/>
        <w:spacing w:after="0" w:line="24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81"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20.0% of the amount of the Company’s pre-incentive fee net investment income, if any, that exceeds 2.5% in any calendar quarter.</w:t>
      </w:r>
    </w:p>
    <w:p>
      <w:pPr>
        <w:spacing w:after="0" w:line="169" w:lineRule="exact"/>
        <w:rPr>
          <w:sz w:val="20"/>
          <w:szCs w:val="20"/>
          <w:color w:val="auto"/>
        </w:rPr>
      </w:pPr>
    </w:p>
    <w:p>
      <w:pPr>
        <w:jc w:val="both"/>
        <w:ind w:firstLine="478"/>
        <w:spacing w:after="0" w:line="253" w:lineRule="auto"/>
        <w:rPr>
          <w:sz w:val="20"/>
          <w:szCs w:val="20"/>
          <w:color w:val="auto"/>
        </w:rPr>
      </w:pPr>
      <w:r>
        <w:rPr>
          <w:rFonts w:ascii="Arial" w:cs="Arial" w:eastAsia="Arial" w:hAnsi="Arial"/>
          <w:sz w:val="17"/>
          <w:szCs w:val="17"/>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was $1,183 and $2,236 for the three and six months ended June 30, 2022, respectively, and $2,550 and $5,219 for the three and six months ended June 30, 2021, respectively. As of June 30, 2022 and December 31, 2021, the income incentive fee payable was $1,183 and $2,622, respectively.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June 30, 2022 and December 31, 2021, the capital gains incentive fee payable in cash was $3,338 and $6,136, respectively (as cumulative aggregate realized capital gains and losses on investments plus aggregate unrealized capital depreciation on investments plus realized losses on extinguishment of debt was negative as of each period). The aggregate amount of capital gains incentive fees paid from the IPO through June 30, 2022 was $6,484.</w:t>
      </w:r>
    </w:p>
    <w:p>
      <w:pPr>
        <w:spacing w:after="0" w:line="114" w:lineRule="exact"/>
        <w:rPr>
          <w:sz w:val="20"/>
          <w:szCs w:val="20"/>
          <w:color w:val="auto"/>
        </w:rPr>
      </w:pPr>
    </w:p>
    <w:p>
      <w:pPr>
        <w:jc w:val="both"/>
        <w:ind w:firstLine="478"/>
        <w:spacing w:after="0" w:line="254" w:lineRule="auto"/>
        <w:rPr>
          <w:sz w:val="20"/>
          <w:szCs w:val="20"/>
          <w:color w:val="auto"/>
        </w:rPr>
      </w:pPr>
      <w:r>
        <w:rPr>
          <w:rFonts w:ascii="Arial" w:cs="Arial" w:eastAsia="Arial" w:hAnsi="Arial"/>
          <w:sz w:val="17"/>
          <w:szCs w:val="17"/>
          <w:color w:val="auto"/>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plus (ii) net unrealized appreciation/(depreciation) on investments plus (iii) realized losses on extinguishment of debt. The capital gains incentive fee accrued (reversed) during the three and six months ended June 30, 2022 was $(605) and $(335), respectively, and $3,883 and $3,974 for the three and six months ended June 30, 2021, respectively. As of June 30, 2022 and December 31, 2021, the accrued capital gains incentive fee payable was $22,756 and $29,227, respectively.</w:t>
      </w:r>
    </w:p>
    <w:p>
      <w:pPr>
        <w:spacing w:after="0" w:line="127"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pacing w:after="0" w:line="121" w:lineRule="exact"/>
        <w:rPr>
          <w:sz w:val="20"/>
          <w:szCs w:val="20"/>
          <w:color w:val="auto"/>
        </w:rPr>
      </w:pPr>
    </w:p>
    <w:p>
      <w:pPr>
        <w:jc w:val="both"/>
        <w:ind w:firstLine="478"/>
        <w:spacing w:after="0" w:line="252" w:lineRule="auto"/>
        <w:rPr>
          <w:sz w:val="20"/>
          <w:szCs w:val="20"/>
          <w:color w:val="auto"/>
        </w:rPr>
      </w:pPr>
      <w:r>
        <w:rPr>
          <w:rFonts w:ascii="Arial" w:cs="Arial" w:eastAsia="Arial" w:hAnsi="Arial"/>
          <w:sz w:val="17"/>
          <w:szCs w:val="17"/>
          <w:i w:val="1"/>
          <w:iCs w:val="1"/>
          <w:color w:val="auto"/>
        </w:rPr>
        <w:t xml:space="preserve">Administration Agreement: </w:t>
      </w:r>
      <w:r>
        <w:rPr>
          <w:rFonts w:ascii="Arial" w:cs="Arial" w:eastAsia="Arial" w:hAnsi="Arial"/>
          <w:sz w:val="17"/>
          <w:szCs w:val="17"/>
          <w:color w:val="auto"/>
        </w:rPr>
        <w:t>The Company also entered into an administration agreement (the “Administration Agreement”) with the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Advisor. On June 9, 2022, the Board approved the renewal of the Administration Agreement for the period beginning June 20, 2022, through June 20, 2023.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on the Company's behalf to those portfolio companies that have accepted the Company's offer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Arial" w:cs="Arial" w:eastAsia="Arial" w:hAnsi="Arial"/>
          <w:sz w:val="17"/>
          <w:szCs w:val="17"/>
          <w:i w:val="1"/>
          <w:iCs w:val="1"/>
          <w:color w:val="auto"/>
        </w:rPr>
        <w:t>.</w:t>
      </w:r>
      <w:r>
        <w:rPr>
          <w:rFonts w:ascii="Arial" w:cs="Arial" w:eastAsia="Arial" w:hAnsi="Arial"/>
          <w:sz w:val="17"/>
          <w:szCs w:val="17"/>
          <w:color w:val="auto"/>
        </w:rPr>
        <w:t xml:space="preserve"> Under the Administration Agreement, administrative service expenses for the three and six months ended June 30, 2022 were $510 and $932, respectively, and $430 and $843 for the three and six months ended June 30, 2021. As of June 30, 2022 and December 31, 2021, the accrued administrative service expense payable was $760 and $634, respectively.</w:t>
      </w:r>
    </w:p>
    <w:p>
      <w:pPr>
        <w:spacing w:after="0" w:line="126" w:lineRule="exact"/>
        <w:rPr>
          <w:sz w:val="20"/>
          <w:szCs w:val="20"/>
          <w:color w:val="auto"/>
        </w:rPr>
      </w:pPr>
    </w:p>
    <w:p>
      <w:pPr>
        <w:jc w:val="both"/>
        <w:ind w:firstLine="478"/>
        <w:spacing w:after="0" w:line="239" w:lineRule="auto"/>
        <w:rPr>
          <w:sz w:val="20"/>
          <w:szCs w:val="20"/>
          <w:color w:val="auto"/>
        </w:rPr>
      </w:pPr>
      <w:r>
        <w:rPr>
          <w:rFonts w:ascii="Arial" w:cs="Arial" w:eastAsia="Arial" w:hAnsi="Arial"/>
          <w:sz w:val="18"/>
          <w:szCs w:val="18"/>
          <w:i w:val="1"/>
          <w:iCs w:val="1"/>
          <w:color w:val="auto"/>
        </w:rPr>
        <w:t>Fidus Equity Fund I, L.P.</w:t>
      </w:r>
      <w:r>
        <w:rPr>
          <w:rFonts w:ascii="Arial" w:cs="Arial" w:eastAsia="Arial" w:hAnsi="Arial"/>
          <w:sz w:val="18"/>
          <w:szCs w:val="18"/>
          <w:color w:val="auto"/>
        </w:rPr>
        <w:t>: On February 25, 2020, the Company entered into a Limited Partnership Agreement (the “Agreement”) with Fidus Equity</w:t>
      </w:r>
      <w:r>
        <w:rPr>
          <w:rFonts w:ascii="Arial" w:cs="Arial" w:eastAsia="Arial" w:hAnsi="Arial"/>
          <w:sz w:val="18"/>
          <w:szCs w:val="18"/>
          <w:i w:val="1"/>
          <w:iCs w:val="1"/>
          <w:color w:val="auto"/>
        </w:rPr>
        <w:t xml:space="preserve"> </w:t>
      </w:r>
      <w:r>
        <w:rPr>
          <w:rFonts w:ascii="Arial" w:cs="Arial" w:eastAsia="Arial" w:hAnsi="Arial"/>
          <w:sz w:val="18"/>
          <w:szCs w:val="18"/>
          <w:color w:val="auto"/>
        </w:rPr>
        <w:t>Fund I, L.P. (“FEF I”). Pursuant to the Agreement, the Company will serve as the General Partner of FEF I. Owned by third-party investors, FEF I was formed to purchase 50% of select equity investments from the Company. The Company will not receive any fees from FEF I for any services provided in its capacity as the General Partner of FEF I.</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62"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 On June 16, 2014, FIC entered into a senior secured revolving credit agreement (the "Credit Agreement" and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revolving credit facility, the “Credit Facility”) with ING Capital 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Capital LLC, as administrative agent. The Amended Credit Agreement amends, restates, and replaces the Credit Agreement. On June 26, 2020, the Company amended the Amended Credit Agreement, but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w:t>
      </w:r>
    </w:p>
    <w:p>
      <w:pPr>
        <w:spacing w:after="0" w:line="134" w:lineRule="exact"/>
        <w:rPr>
          <w:sz w:val="20"/>
          <w:szCs w:val="20"/>
          <w:color w:val="auto"/>
        </w:rPr>
      </w:pPr>
    </w:p>
    <w:p>
      <w:pPr>
        <w:jc w:val="both"/>
        <w:ind w:firstLine="469"/>
        <w:spacing w:after="0" w:line="252" w:lineRule="auto"/>
        <w:rPr>
          <w:sz w:val="20"/>
          <w:szCs w:val="20"/>
          <w:color w:val="auto"/>
        </w:rPr>
      </w:pPr>
      <w:r>
        <w:rPr>
          <w:rFonts w:ascii="Arial" w:cs="Arial" w:eastAsia="Arial" w:hAnsi="Arial"/>
          <w:sz w:val="17"/>
          <w:szCs w:val="17"/>
          <w:color w:val="auto"/>
        </w:rPr>
        <w:t>Under the Amended Credit Agreement, (i) revolving commitments by lenders were increased from $90,000 to $100,000, with an accordion feature that allows for an increase in total commitments up to $250,000,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 The Company pays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1.00 (on a regulatory basis). The Credit Facility is secured by a first priority security interest in all of our assets, excluding the assets of our SBIC subsidiaries.</w:t>
      </w:r>
    </w:p>
    <w:p>
      <w:pPr>
        <w:spacing w:after="0" w:line="126" w:lineRule="exact"/>
        <w:rPr>
          <w:sz w:val="20"/>
          <w:szCs w:val="20"/>
          <w:color w:val="auto"/>
        </w:rPr>
      </w:pPr>
    </w:p>
    <w:p>
      <w:pPr>
        <w:jc w:val="both"/>
        <w:ind w:firstLine="478"/>
        <w:spacing w:after="0" w:line="284"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01"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June 30, 2022 and December 31, 2021, the Company was in compliance in all material respect with the terms of the Credit Facility.</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 xml:space="preserve">SBA debentures: </w:t>
      </w:r>
      <w:r>
        <w:rPr>
          <w:rFonts w:ascii="Arial" w:cs="Arial" w:eastAsia="Arial" w:hAnsi="Arial"/>
          <w:sz w:val="18"/>
          <w:szCs w:val="18"/>
          <w:color w:val="auto"/>
        </w:rPr>
        <w:t>The Company uses debenture leverage provided through the SBA to fund a portion of its investment purchases.</w:t>
      </w:r>
    </w:p>
    <w:p>
      <w:pPr>
        <w:spacing w:after="0" w:line="158"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June 30, 2022 and December 31, 2021, approved and unused SBA debenture commitments were $71,500 and $63,000, respectively. The SBA may limit the amount that may be drawn each year under these commitments, and each issuance of leverage is conditioned on the Company’s full compliance, as determined by the SBA, with the terms and conditions under SBA regulations.</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June 30, 2022 and December 31, 2021, the Company’s issued and outstanding SBA debentures mature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4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rPr>
              <w:t>FIDUS INVESTMENT CORPORATION</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20" w:type="dxa"/>
            <w:vAlign w:val="bottom"/>
            <w:gridSpan w:val="5"/>
          </w:tcPr>
          <w:p>
            <w:pPr>
              <w:jc w:val="center"/>
              <w:ind w:left="10"/>
              <w:spacing w:after="0" w:line="202" w:lineRule="exact"/>
              <w:rPr>
                <w:sz w:val="20"/>
                <w:szCs w:val="20"/>
                <w:color w:val="auto"/>
              </w:rPr>
            </w:pPr>
            <w:r>
              <w:rPr>
                <w:rFonts w:ascii="Arial" w:cs="Arial" w:eastAsia="Arial" w:hAnsi="Arial"/>
                <w:sz w:val="18"/>
                <w:szCs w:val="18"/>
                <w:b w:val="1"/>
                <w:bCs w:val="1"/>
                <w:color w:val="auto"/>
                <w:w w:val="89"/>
              </w:rPr>
              <w:t>Notes to Consolidated Financial Statements (unaudited)</w:t>
            </w: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40" w:type="dxa"/>
            <w:vAlign w:val="bottom"/>
            <w:gridSpan w:val="4"/>
          </w:tcPr>
          <w:p>
            <w:pPr>
              <w:jc w:val="center"/>
              <w:ind w:left="410"/>
              <w:spacing w:after="0" w:line="202" w:lineRule="exact"/>
              <w:rPr>
                <w:sz w:val="20"/>
                <w:szCs w:val="20"/>
                <w:color w:val="auto"/>
              </w:rPr>
            </w:pPr>
            <w:r>
              <w:rPr>
                <w:rFonts w:ascii="Arial" w:cs="Arial" w:eastAsia="Arial" w:hAnsi="Arial"/>
                <w:sz w:val="18"/>
                <w:szCs w:val="18"/>
                <w:b w:val="1"/>
                <w:bCs w:val="1"/>
                <w:color w:val="auto"/>
                <w:w w:val="88"/>
              </w:rPr>
              <w:t>(in thousands, except shares and per share data)</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3000" w:type="dxa"/>
            <w:vAlign w:val="bottom"/>
          </w:tcPr>
          <w:p>
            <w:pPr>
              <w:ind w:left="1220"/>
              <w:spacing w:after="0" w:line="181" w:lineRule="exact"/>
              <w:rPr>
                <w:sz w:val="20"/>
                <w:szCs w:val="20"/>
                <w:color w:val="auto"/>
              </w:rPr>
            </w:pPr>
            <w:r>
              <w:rPr>
                <w:rFonts w:ascii="Arial" w:cs="Arial" w:eastAsia="Arial" w:hAnsi="Arial"/>
                <w:sz w:val="18"/>
                <w:szCs w:val="18"/>
                <w:b w:val="1"/>
                <w:bCs w:val="1"/>
                <w:color w:val="auto"/>
              </w:rPr>
              <w:t>Pooling</w:t>
            </w:r>
          </w:p>
        </w:tc>
        <w:tc>
          <w:tcPr>
            <w:tcW w:w="260" w:type="dxa"/>
            <w:vAlign w:val="bottom"/>
          </w:tcPr>
          <w:p>
            <w:pPr>
              <w:spacing w:after="0"/>
              <w:rPr>
                <w:sz w:val="15"/>
                <w:szCs w:val="15"/>
                <w:color w:val="auto"/>
              </w:rPr>
            </w:pPr>
          </w:p>
        </w:tc>
        <w:tc>
          <w:tcPr>
            <w:tcW w:w="17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Maturity</w:t>
            </w:r>
          </w:p>
        </w:tc>
        <w:tc>
          <w:tcPr>
            <w:tcW w:w="260" w:type="dxa"/>
            <w:vAlign w:val="bottom"/>
          </w:tcPr>
          <w:p>
            <w:pPr>
              <w:spacing w:after="0"/>
              <w:rPr>
                <w:sz w:val="15"/>
                <w:szCs w:val="15"/>
                <w:color w:val="auto"/>
              </w:rPr>
            </w:pPr>
          </w:p>
        </w:tc>
        <w:tc>
          <w:tcPr>
            <w:tcW w:w="16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3"/>
              </w:rPr>
              <w:t>Fixed</w:t>
            </w: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390"/>
              <w:spacing w:after="0" w:line="181" w:lineRule="exact"/>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ind w:right="230"/>
              <w:spacing w:after="0" w:line="181" w:lineRule="exact"/>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5"/>
                <w:szCs w:val="15"/>
                <w:color w:val="auto"/>
              </w:rPr>
            </w:pPr>
          </w:p>
        </w:tc>
      </w:tr>
      <w:tr>
        <w:trPr>
          <w:trHeight w:val="243"/>
        </w:trPr>
        <w:tc>
          <w:tcPr>
            <w:tcW w:w="3000" w:type="dxa"/>
            <w:vAlign w:val="bottom"/>
            <w:tcBorders>
              <w:bottom w:val="single" w:sz="8" w:color="auto"/>
            </w:tcBorders>
          </w:tcPr>
          <w:p>
            <w:pPr>
              <w:ind w:left="1240"/>
              <w:spacing w:after="0" w:line="243" w:lineRule="exact"/>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24"/>
                <w:szCs w:val="24"/>
                <w:b w:val="1"/>
                <w:bCs w:val="1"/>
                <w:color w:val="auto"/>
                <w:vertAlign w:val="superscript"/>
              </w:rPr>
              <w:t>(1)</w:t>
            </w:r>
          </w:p>
        </w:tc>
        <w:tc>
          <w:tcPr>
            <w:tcW w:w="26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6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6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196"/>
        </w:trPr>
        <w:tc>
          <w:tcPr>
            <w:tcW w:w="30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2"/>
              </w:rPr>
              <w:t>3/25/2015</w:t>
            </w:r>
          </w:p>
        </w:tc>
        <w:tc>
          <w:tcPr>
            <w:tcW w:w="26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3/1/2025</w:t>
            </w:r>
          </w:p>
        </w:tc>
        <w:tc>
          <w:tcPr>
            <w:tcW w:w="26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3.277</w:t>
            </w:r>
          </w:p>
        </w:tc>
        <w:tc>
          <w:tcPr>
            <w:tcW w:w="60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11,500</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22,500</w:t>
            </w:r>
          </w:p>
        </w:tc>
        <w:tc>
          <w:tcPr>
            <w:tcW w:w="100" w:type="dxa"/>
            <w:vAlign w:val="bottom"/>
            <w:shd w:val="clear" w:color="auto" w:fill="CFF0FC"/>
          </w:tcPr>
          <w:p>
            <w:pPr>
              <w:spacing w:after="0"/>
              <w:rPr>
                <w:sz w:val="17"/>
                <w:szCs w:val="17"/>
                <w:color w:val="auto"/>
              </w:rPr>
            </w:pPr>
          </w:p>
        </w:tc>
      </w:tr>
      <w:tr>
        <w:trPr>
          <w:trHeight w:val="203"/>
        </w:trPr>
        <w:tc>
          <w:tcPr>
            <w:tcW w:w="3000" w:type="dxa"/>
            <w:vAlign w:val="bottom"/>
          </w:tcPr>
          <w:p>
            <w:pPr>
              <w:jc w:val="center"/>
              <w:spacing w:after="0" w:line="202" w:lineRule="exact"/>
              <w:rPr>
                <w:sz w:val="20"/>
                <w:szCs w:val="20"/>
                <w:color w:val="auto"/>
              </w:rPr>
            </w:pPr>
            <w:r>
              <w:rPr>
                <w:rFonts w:ascii="Arial" w:cs="Arial" w:eastAsia="Arial" w:hAnsi="Arial"/>
                <w:sz w:val="18"/>
                <w:szCs w:val="18"/>
                <w:color w:val="auto"/>
                <w:w w:val="92"/>
              </w:rPr>
              <w:t>3/23/2016</w:t>
            </w:r>
          </w:p>
        </w:tc>
        <w:tc>
          <w:tcPr>
            <w:tcW w:w="196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1"/>
              </w:rPr>
              <w:t>3/1/2026</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3.267</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1,500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1,500</w:t>
            </w:r>
          </w:p>
        </w:tc>
        <w:tc>
          <w:tcPr>
            <w:tcW w:w="100" w:type="dxa"/>
            <w:vAlign w:val="bottom"/>
          </w:tcPr>
          <w:p>
            <w:pPr>
              <w:spacing w:after="0"/>
              <w:rPr>
                <w:sz w:val="17"/>
                <w:szCs w:val="17"/>
                <w:color w:val="auto"/>
              </w:rPr>
            </w:pPr>
          </w:p>
        </w:tc>
      </w:tr>
      <w:tr>
        <w:trPr>
          <w:trHeight w:val="203"/>
        </w:trPr>
        <w:tc>
          <w:tcPr>
            <w:tcW w:w="3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3/23/2016</w:t>
            </w:r>
          </w:p>
        </w:tc>
        <w:tc>
          <w:tcPr>
            <w:tcW w:w="196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91"/>
              </w:rPr>
              <w:t>3/1/2026</w:t>
            </w:r>
          </w:p>
        </w:tc>
        <w:tc>
          <w:tcPr>
            <w:tcW w:w="1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3.249</w:t>
            </w:r>
          </w:p>
        </w:tc>
        <w:tc>
          <w:tcPr>
            <w:tcW w:w="6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2,500</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2,500</w:t>
            </w:r>
          </w:p>
        </w:tc>
        <w:tc>
          <w:tcPr>
            <w:tcW w:w="100" w:type="dxa"/>
            <w:vAlign w:val="bottom"/>
            <w:shd w:val="clear" w:color="auto" w:fill="CFF0FC"/>
          </w:tcPr>
          <w:p>
            <w:pPr>
              <w:spacing w:after="0"/>
              <w:rPr>
                <w:sz w:val="17"/>
                <w:szCs w:val="17"/>
                <w:color w:val="auto"/>
              </w:rPr>
            </w:pPr>
          </w:p>
        </w:tc>
      </w:tr>
      <w:tr>
        <w:trPr>
          <w:trHeight w:val="203"/>
        </w:trPr>
        <w:tc>
          <w:tcPr>
            <w:tcW w:w="3000" w:type="dxa"/>
            <w:vAlign w:val="bottom"/>
          </w:tcPr>
          <w:p>
            <w:pPr>
              <w:jc w:val="center"/>
              <w:spacing w:after="0" w:line="202" w:lineRule="exact"/>
              <w:rPr>
                <w:sz w:val="20"/>
                <w:szCs w:val="20"/>
                <w:color w:val="auto"/>
              </w:rPr>
            </w:pPr>
            <w:r>
              <w:rPr>
                <w:rFonts w:ascii="Arial" w:cs="Arial" w:eastAsia="Arial" w:hAnsi="Arial"/>
                <w:sz w:val="18"/>
                <w:szCs w:val="18"/>
                <w:color w:val="auto"/>
                <w:w w:val="92"/>
              </w:rPr>
              <w:t>9/21/2016</w:t>
            </w:r>
          </w:p>
        </w:tc>
        <w:tc>
          <w:tcPr>
            <w:tcW w:w="196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1"/>
              </w:rPr>
              <w:t>9/1/2026</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2.793</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100" w:type="dxa"/>
            <w:vAlign w:val="bottom"/>
          </w:tcPr>
          <w:p>
            <w:pPr>
              <w:spacing w:after="0"/>
              <w:rPr>
                <w:sz w:val="17"/>
                <w:szCs w:val="17"/>
                <w:color w:val="auto"/>
              </w:rPr>
            </w:pPr>
          </w:p>
        </w:tc>
      </w:tr>
      <w:tr>
        <w:trPr>
          <w:trHeight w:val="203"/>
        </w:trPr>
        <w:tc>
          <w:tcPr>
            <w:tcW w:w="3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9/20/2017</w:t>
            </w:r>
          </w:p>
        </w:tc>
        <w:tc>
          <w:tcPr>
            <w:tcW w:w="196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91"/>
              </w:rPr>
              <w:t>9/1/2027</w:t>
            </w:r>
          </w:p>
        </w:tc>
        <w:tc>
          <w:tcPr>
            <w:tcW w:w="1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3.260</w:t>
            </w:r>
          </w:p>
        </w:tc>
        <w:tc>
          <w:tcPr>
            <w:tcW w:w="6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7"/>
                <w:szCs w:val="17"/>
                <w:color w:val="auto"/>
              </w:rPr>
            </w:pPr>
          </w:p>
        </w:tc>
      </w:tr>
      <w:tr>
        <w:trPr>
          <w:trHeight w:val="203"/>
        </w:trPr>
        <w:tc>
          <w:tcPr>
            <w:tcW w:w="3000" w:type="dxa"/>
            <w:vAlign w:val="bottom"/>
          </w:tcPr>
          <w:p>
            <w:pPr>
              <w:jc w:val="center"/>
              <w:spacing w:after="0" w:line="202" w:lineRule="exact"/>
              <w:rPr>
                <w:sz w:val="20"/>
                <w:szCs w:val="20"/>
                <w:color w:val="auto"/>
              </w:rPr>
            </w:pPr>
            <w:r>
              <w:rPr>
                <w:rFonts w:ascii="Arial" w:cs="Arial" w:eastAsia="Arial" w:hAnsi="Arial"/>
                <w:sz w:val="18"/>
                <w:szCs w:val="18"/>
                <w:color w:val="auto"/>
                <w:w w:val="92"/>
              </w:rPr>
              <w:t>9/20/2017</w:t>
            </w:r>
          </w:p>
        </w:tc>
        <w:tc>
          <w:tcPr>
            <w:tcW w:w="196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1"/>
              </w:rPr>
              <w:t>9/1/2027</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3.190</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33,000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33,000</w:t>
            </w:r>
          </w:p>
        </w:tc>
        <w:tc>
          <w:tcPr>
            <w:tcW w:w="100" w:type="dxa"/>
            <w:vAlign w:val="bottom"/>
          </w:tcPr>
          <w:p>
            <w:pPr>
              <w:spacing w:after="0"/>
              <w:rPr>
                <w:sz w:val="17"/>
                <w:szCs w:val="17"/>
                <w:color w:val="auto"/>
              </w:rPr>
            </w:pPr>
          </w:p>
        </w:tc>
      </w:tr>
      <w:tr>
        <w:trPr>
          <w:trHeight w:val="203"/>
        </w:trPr>
        <w:tc>
          <w:tcPr>
            <w:tcW w:w="3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3/21/2018</w:t>
            </w:r>
          </w:p>
        </w:tc>
        <w:tc>
          <w:tcPr>
            <w:tcW w:w="196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91"/>
              </w:rPr>
              <w:t>3/1/2028</w:t>
            </w:r>
          </w:p>
        </w:tc>
        <w:tc>
          <w:tcPr>
            <w:tcW w:w="1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3.534</w:t>
            </w:r>
          </w:p>
        </w:tc>
        <w:tc>
          <w:tcPr>
            <w:tcW w:w="6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9,000</w:t>
            </w:r>
          </w:p>
        </w:tc>
        <w:tc>
          <w:tcPr>
            <w:tcW w:w="100" w:type="dxa"/>
            <w:vAlign w:val="bottom"/>
            <w:shd w:val="clear" w:color="auto" w:fill="CFF0FC"/>
          </w:tcPr>
          <w:p>
            <w:pPr>
              <w:spacing w:after="0"/>
              <w:rPr>
                <w:sz w:val="17"/>
                <w:szCs w:val="17"/>
                <w:color w:val="auto"/>
              </w:rPr>
            </w:pPr>
          </w:p>
        </w:tc>
      </w:tr>
      <w:tr>
        <w:trPr>
          <w:trHeight w:val="203"/>
        </w:trPr>
        <w:tc>
          <w:tcPr>
            <w:tcW w:w="3000" w:type="dxa"/>
            <w:vAlign w:val="bottom"/>
          </w:tcPr>
          <w:p>
            <w:pPr>
              <w:jc w:val="center"/>
              <w:spacing w:after="0" w:line="202" w:lineRule="exact"/>
              <w:rPr>
                <w:sz w:val="20"/>
                <w:szCs w:val="20"/>
                <w:color w:val="auto"/>
              </w:rPr>
            </w:pPr>
            <w:r>
              <w:rPr>
                <w:rFonts w:ascii="Arial" w:cs="Arial" w:eastAsia="Arial" w:hAnsi="Arial"/>
                <w:sz w:val="18"/>
                <w:szCs w:val="18"/>
                <w:color w:val="auto"/>
                <w:w w:val="92"/>
              </w:rPr>
              <w:t>9/25/2019</w:t>
            </w:r>
          </w:p>
        </w:tc>
        <w:tc>
          <w:tcPr>
            <w:tcW w:w="196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1"/>
              </w:rPr>
              <w:t>9/1/2029</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2.377</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100" w:type="dxa"/>
            <w:vAlign w:val="bottom"/>
          </w:tcPr>
          <w:p>
            <w:pPr>
              <w:spacing w:after="0"/>
              <w:rPr>
                <w:sz w:val="17"/>
                <w:szCs w:val="17"/>
                <w:color w:val="auto"/>
              </w:rPr>
            </w:pPr>
          </w:p>
        </w:tc>
      </w:tr>
      <w:tr>
        <w:trPr>
          <w:trHeight w:val="203"/>
        </w:trPr>
        <w:tc>
          <w:tcPr>
            <w:tcW w:w="3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3/25/2020</w:t>
            </w:r>
          </w:p>
        </w:tc>
        <w:tc>
          <w:tcPr>
            <w:tcW w:w="196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91"/>
              </w:rPr>
              <w:t>3/1/2030</w:t>
            </w:r>
          </w:p>
        </w:tc>
        <w:tc>
          <w:tcPr>
            <w:tcW w:w="1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2.172</w:t>
            </w:r>
          </w:p>
        </w:tc>
        <w:tc>
          <w:tcPr>
            <w:tcW w:w="6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6,000</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6,000</w:t>
            </w:r>
          </w:p>
        </w:tc>
        <w:tc>
          <w:tcPr>
            <w:tcW w:w="100" w:type="dxa"/>
            <w:vAlign w:val="bottom"/>
            <w:shd w:val="clear" w:color="auto" w:fill="CFF0FC"/>
          </w:tcPr>
          <w:p>
            <w:pPr>
              <w:spacing w:after="0"/>
              <w:rPr>
                <w:sz w:val="17"/>
                <w:szCs w:val="17"/>
                <w:color w:val="auto"/>
              </w:rPr>
            </w:pPr>
          </w:p>
        </w:tc>
      </w:tr>
      <w:tr>
        <w:trPr>
          <w:trHeight w:val="203"/>
        </w:trPr>
        <w:tc>
          <w:tcPr>
            <w:tcW w:w="3000" w:type="dxa"/>
            <w:vAlign w:val="bottom"/>
          </w:tcPr>
          <w:p>
            <w:pPr>
              <w:jc w:val="center"/>
              <w:spacing w:after="0" w:line="202" w:lineRule="exact"/>
              <w:rPr>
                <w:sz w:val="20"/>
                <w:szCs w:val="20"/>
                <w:color w:val="auto"/>
              </w:rPr>
            </w:pPr>
            <w:r>
              <w:rPr>
                <w:rFonts w:ascii="Arial" w:cs="Arial" w:eastAsia="Arial" w:hAnsi="Arial"/>
                <w:sz w:val="18"/>
                <w:szCs w:val="18"/>
                <w:color w:val="auto"/>
                <w:w w:val="92"/>
              </w:rPr>
              <w:t>9/22/2021</w:t>
            </w:r>
          </w:p>
        </w:tc>
        <w:tc>
          <w:tcPr>
            <w:tcW w:w="196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1"/>
              </w:rPr>
              <w:t>9/1/2031</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1.398</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11,500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11,500</w:t>
            </w:r>
          </w:p>
        </w:tc>
        <w:tc>
          <w:tcPr>
            <w:tcW w:w="100" w:type="dxa"/>
            <w:vAlign w:val="bottom"/>
          </w:tcPr>
          <w:p>
            <w:pPr>
              <w:spacing w:after="0"/>
              <w:rPr>
                <w:sz w:val="17"/>
                <w:szCs w:val="17"/>
                <w:color w:val="auto"/>
              </w:rPr>
            </w:pPr>
          </w:p>
        </w:tc>
      </w:tr>
      <w:tr>
        <w:trPr>
          <w:trHeight w:val="203"/>
        </w:trPr>
        <w:tc>
          <w:tcPr>
            <w:tcW w:w="3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3/23/2022</w:t>
            </w:r>
          </w:p>
        </w:tc>
        <w:tc>
          <w:tcPr>
            <w:tcW w:w="196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91"/>
              </w:rPr>
              <w:t>3/1/2032</w:t>
            </w:r>
          </w:p>
        </w:tc>
        <w:tc>
          <w:tcPr>
            <w:tcW w:w="1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3.209</w:t>
            </w:r>
          </w:p>
        </w:tc>
        <w:tc>
          <w:tcPr>
            <w:tcW w:w="6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43,500</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12,000</w:t>
            </w:r>
          </w:p>
        </w:tc>
        <w:tc>
          <w:tcPr>
            <w:tcW w:w="100" w:type="dxa"/>
            <w:vAlign w:val="bottom"/>
            <w:shd w:val="clear" w:color="auto" w:fill="CFF0FC"/>
          </w:tcPr>
          <w:p>
            <w:pPr>
              <w:spacing w:after="0"/>
              <w:rPr>
                <w:sz w:val="17"/>
                <w:szCs w:val="17"/>
                <w:color w:val="auto"/>
              </w:rPr>
            </w:pPr>
          </w:p>
        </w:tc>
      </w:tr>
      <w:tr>
        <w:trPr>
          <w:trHeight w:val="203"/>
        </w:trPr>
        <w:tc>
          <w:tcPr>
            <w:tcW w:w="3000" w:type="dxa"/>
            <w:vAlign w:val="bottom"/>
          </w:tcPr>
          <w:p>
            <w:pPr>
              <w:jc w:val="center"/>
              <w:spacing w:after="0" w:line="202" w:lineRule="exact"/>
              <w:rPr>
                <w:sz w:val="20"/>
                <w:szCs w:val="20"/>
                <w:color w:val="auto"/>
              </w:rPr>
            </w:pPr>
            <w:r>
              <w:rPr>
                <w:rFonts w:ascii="Arial" w:cs="Arial" w:eastAsia="Arial" w:hAnsi="Arial"/>
                <w:sz w:val="18"/>
                <w:szCs w:val="18"/>
                <w:color w:val="auto"/>
                <w:w w:val="99"/>
              </w:rPr>
              <w:t>(2)</w:t>
            </w:r>
          </w:p>
        </w:tc>
        <w:tc>
          <w:tcPr>
            <w:tcW w:w="196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99"/>
              </w:rPr>
              <w:t>(2)</w:t>
            </w:r>
          </w:p>
        </w:tc>
        <w:tc>
          <w:tcPr>
            <w:tcW w:w="19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90"/>
              </w:rPr>
              <w:t>(2)</w:t>
            </w:r>
          </w:p>
        </w:tc>
        <w:tc>
          <w:tcPr>
            <w:tcW w:w="6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10,000</w:t>
            </w: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30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outstanding SBA debentures</w:t>
            </w:r>
          </w:p>
        </w:tc>
        <w:tc>
          <w:tcPr>
            <w:tcW w:w="26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128,500</w:t>
            </w:r>
          </w:p>
        </w:tc>
        <w:tc>
          <w:tcPr>
            <w:tcW w:w="3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107,000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left="480" w:right="20" w:hanging="459"/>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SBA has two scheduled pooling dates for debentures (in March and in September). Certain debentures funded during the reporting periods may not be pooled until the subsequent pooling date.</w:t>
      </w:r>
    </w:p>
    <w:p>
      <w:pPr>
        <w:ind w:left="480" w:right="40" w:hanging="459"/>
        <w:spacing w:after="0" w:line="237" w:lineRule="auto"/>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issued $10,000 in SBA debentures which will pool in September 2022. Until the pooling date, the debentures bear interest at a fixed rate interim interest rate of 1.86%. The Company expects the current interim interest rate will reset to a higher long-term fixed rate on the pooling date.</w:t>
      </w:r>
    </w:p>
    <w:p>
      <w:pPr>
        <w:spacing w:after="0" w:line="147" w:lineRule="exact"/>
        <w:rPr>
          <w:sz w:val="20"/>
          <w:szCs w:val="20"/>
          <w:color w:val="auto"/>
        </w:rPr>
      </w:pPr>
    </w:p>
    <w:p>
      <w:pPr>
        <w:jc w:val="both"/>
        <w:ind w:left="20" w:firstLine="461"/>
        <w:spacing w:after="0" w:line="279" w:lineRule="auto"/>
        <w:rPr>
          <w:sz w:val="20"/>
          <w:szCs w:val="20"/>
          <w:color w:val="auto"/>
        </w:rPr>
      </w:pPr>
      <w:r>
        <w:rPr>
          <w:rFonts w:ascii="Arial" w:cs="Arial" w:eastAsia="Arial" w:hAnsi="Arial"/>
          <w:sz w:val="16"/>
          <w:szCs w:val="16"/>
          <w:i w:val="1"/>
          <w:iCs w:val="1"/>
          <w:color w:val="auto"/>
        </w:rPr>
        <w:t xml:space="preserve">Notes: </w:t>
      </w:r>
      <w:r>
        <w:rPr>
          <w:rFonts w:ascii="Arial" w:cs="Arial" w:eastAsia="Arial" w:hAnsi="Arial"/>
          <w:sz w:val="16"/>
          <w:szCs w:val="16"/>
          <w:color w:val="auto"/>
        </w:rPr>
        <w:t>On February 2, 2018, the Company closed the public offering of approximately $43,478 in aggregate principal amount of its 5.875% notes</w:t>
      </w:r>
      <w:r>
        <w:rPr>
          <w:rFonts w:ascii="Arial" w:cs="Arial" w:eastAsia="Arial" w:hAnsi="Arial"/>
          <w:sz w:val="16"/>
          <w:szCs w:val="16"/>
          <w:i w:val="1"/>
          <w:iCs w:val="1"/>
          <w:color w:val="auto"/>
        </w:rPr>
        <w:t xml:space="preserve"> </w:t>
      </w:r>
      <w:r>
        <w:rPr>
          <w:rFonts w:ascii="Arial" w:cs="Arial" w:eastAsia="Arial" w:hAnsi="Arial"/>
          <w:sz w:val="16"/>
          <w:szCs w:val="16"/>
          <w:color w:val="auto"/>
        </w:rPr>
        <w:t>due 2023, or the “2023 Notes.” On February 22, 2018, the underwriters exercised their option to purchase an additional $6,522 in aggregate principal of the 2023 Notes. The total net proceeds to the Company from the 2023 Notes, including the exercise of the underwriters’ option, after deducting underwriting discounts of approximately $1,500 and offering expenses of $438, were approximately $48,062. On January 19, 2021, the Company redeemed $50,000 in aggregate principal amount of the issued and outstanding 2023 Notes, resulting in a realized loss on extinguishment of debt of approximately $794.</w:t>
      </w:r>
    </w:p>
    <w:p>
      <w:pPr>
        <w:spacing w:after="0" w:line="308" w:lineRule="exact"/>
        <w:rPr>
          <w:sz w:val="20"/>
          <w:szCs w:val="20"/>
          <w:color w:val="auto"/>
        </w:rPr>
      </w:pPr>
    </w:p>
    <w:p>
      <w:pPr>
        <w:jc w:val="both"/>
        <w:ind w:left="20"/>
        <w:spacing w:after="0" w:line="255" w:lineRule="auto"/>
        <w:rPr>
          <w:sz w:val="20"/>
          <w:szCs w:val="20"/>
          <w:color w:val="auto"/>
        </w:rPr>
      </w:pPr>
      <w:r>
        <w:rPr>
          <w:rFonts w:ascii="Arial" w:cs="Arial" w:eastAsia="Arial" w:hAnsi="Arial"/>
          <w:sz w:val="17"/>
          <w:szCs w:val="17"/>
          <w:color w:val="auto"/>
        </w:rPr>
        <w:t>On February 8, 2019, the Company closed the public offering of approximately $60,000 in aggregate principal amount of its 6.000% notes due 2024, or the “February 2024 Notes”. On February 19, 2019, the underwriters exercised their option to purchase an additional $9,000 in aggregate principal of the February 2024 Notes. The total net proceeds to the Company from the February 2024 Notes, including the exercise of the underwriters’ option, after deducting underwriting discounts of approximately $2,070 and estimated offering expenses of $409, were approximately $66,521. On February 16, 2021, the Company redeemed $50,000 of the $69,000 aggregate principal amount on the February 2024 Notes, resulting in a realized loss on extinguishment of debt of approximately $1,081. On November 2, 2021, we fully redeemed the remaining $19,000 in aggregate principal amount on the issued and outstanding February 2024 Notes, resulting in a realized loss on extinguishment of debt of approximately $313.</w:t>
      </w:r>
    </w:p>
    <w:p>
      <w:pPr>
        <w:spacing w:after="0" w:line="328" w:lineRule="exact"/>
        <w:rPr>
          <w:sz w:val="20"/>
          <w:szCs w:val="20"/>
          <w:color w:val="auto"/>
        </w:rPr>
      </w:pPr>
    </w:p>
    <w:p>
      <w:pPr>
        <w:jc w:val="both"/>
        <w:ind w:left="20"/>
        <w:spacing w:after="0" w:line="276" w:lineRule="auto"/>
        <w:rPr>
          <w:sz w:val="20"/>
          <w:szCs w:val="20"/>
          <w:color w:val="auto"/>
        </w:rPr>
      </w:pPr>
      <w:r>
        <w:rPr>
          <w:rFonts w:ascii="Arial" w:cs="Arial" w:eastAsia="Arial" w:hAnsi="Arial"/>
          <w:sz w:val="16"/>
          <w:szCs w:val="16"/>
          <w:color w:val="auto"/>
        </w:rPr>
        <w:t>On October 16, 2019, the Company closed the public offering of approximately $55,000 in aggregate principal amount of its 5.375% notes due 2024, or the “November 2024 Notes” (collectively with the 2023 Notes and the February 2024 Notes, the “Public Notes”). On October 23, 2019, the underwriters exercised their option to purchase an additional $8,250 in aggregate principal of the November 2024 Notes. The total net proceeds to the Company from the November 2024 Notes, including the exercise of the underwriters’ option, after deducting underwriting discounts of approximately $1,898 and estimated offering expenses of $300, were approximately $61,053. On November 2, 2021, we fully redeemed $63,250 in aggregate principal amount on the issued and outstanding November 2024 Notes, resulting in a realized loss on extinguishment of debt of approximately $1,311.</w:t>
      </w:r>
    </w:p>
    <w:p>
      <w:pPr>
        <w:spacing w:after="0" w:line="310" w:lineRule="exact"/>
        <w:rPr>
          <w:sz w:val="20"/>
          <w:szCs w:val="20"/>
          <w:color w:val="auto"/>
        </w:rPr>
      </w:pPr>
    </w:p>
    <w:p>
      <w:pPr>
        <w:jc w:val="both"/>
        <w:ind w:left="20"/>
        <w:spacing w:after="0" w:line="267" w:lineRule="auto"/>
        <w:rPr>
          <w:sz w:val="20"/>
          <w:szCs w:val="20"/>
          <w:color w:val="auto"/>
        </w:rPr>
      </w:pPr>
      <w:r>
        <w:rPr>
          <w:rFonts w:ascii="Arial" w:cs="Arial" w:eastAsia="Arial" w:hAnsi="Arial"/>
          <w:sz w:val="16"/>
          <w:szCs w:val="16"/>
          <w:color w:val="auto"/>
        </w:rPr>
        <w:t>On December 23, 2020, the Company closed the offering of $125,000 in aggregate principal amount of its 4.75% notes due 2026, or the “January 2026 Notes”. The total net proceeds to the Company from the January 2026 Notes after deducting underwriting discounts of $2,500 and estimated offering expenses of approximately $400, were approximately $122,100. The January 2026 Notes will mature on January 31, 2026 and bear interest at a rate of 4.75%. The January 2026 Notes may be redeemed in whole or in part at any time or from time to time at our option subject to a make whole provision if redeemed more than three months prior to maturity and at par thereafter. Interest on the January 2026 Notes is payable on January 31 and July 31 of each year. The Company does not intend to list the January 2026 Notes on any securities exchange or automated dealer quotation system.</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344"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On October 8, 2021, the Company closed the offering of $125,000 in aggregate principal amount of its 3.50% notes due 2026, or the “November 2026 Notes” (collectively with the Public Notes and the January 2026 Notes, the “Notes”). The total net proceeds to the Company from the November 2026 Notes, based on a public offering price of 99.996% of par, after deducting underwriting discounts of $2,505 and estimated offering expenses of approximately $400, were approximately $122,095. The November 2026 Notes will mature on November 15, 2026 and bear interest at a rate of 3.50%. The November 2026 Notes may be redeemed in whole or in part at any time or from time to time at our option subject to a make whole provision if redeemed more than three months prior to maturity and at par thereafter. Interest on the November 2026 Notes is payable on May 15 and November 15 of each year, beginning May 15, 2022. The Company does not intend to list the November 2026 Notes on any securities exchange or automated dealer quotation system.</w:t>
      </w:r>
    </w:p>
    <w:p>
      <w:pPr>
        <w:spacing w:after="0" w:line="342" w:lineRule="exact"/>
        <w:rPr>
          <w:sz w:val="20"/>
          <w:szCs w:val="20"/>
          <w:color w:val="auto"/>
        </w:rPr>
      </w:pPr>
    </w:p>
    <w:p>
      <w:pPr>
        <w:jc w:val="both"/>
        <w:ind w:left="20"/>
        <w:spacing w:after="0" w:line="243" w:lineRule="auto"/>
        <w:rPr>
          <w:sz w:val="20"/>
          <w:szCs w:val="20"/>
          <w:color w:val="auto"/>
        </w:rPr>
      </w:pPr>
      <w:r>
        <w:rPr>
          <w:rFonts w:ascii="Arial" w:cs="Arial" w:eastAsia="Arial" w:hAnsi="Arial"/>
          <w:sz w:val="18"/>
          <w:szCs w:val="18"/>
          <w:color w:val="auto"/>
        </w:rPr>
        <w:t>Each of the Notes are unsecured obligations of the Company and rank pari passu with the Company’s existing and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Borrowing</w:t>
      </w:r>
    </w:p>
    <w:p>
      <w:pPr>
        <w:spacing w:after="0" w:line="158" w:lineRule="exact"/>
        <w:rPr>
          <w:sz w:val="20"/>
          <w:szCs w:val="20"/>
          <w:color w:val="auto"/>
        </w:rPr>
      </w:pPr>
    </w:p>
    <w:p>
      <w:pPr>
        <w:jc w:val="both"/>
        <w:ind w:left="20" w:firstLine="461"/>
        <w:spacing w:after="0"/>
        <w:rPr>
          <w:sz w:val="20"/>
          <w:szCs w:val="20"/>
          <w:color w:val="auto"/>
        </w:rPr>
      </w:pPr>
      <w:r>
        <w:rPr>
          <w:rFonts w:ascii="Arial" w:cs="Arial" w:eastAsia="Arial" w:hAnsi="Arial"/>
          <w:sz w:val="18"/>
          <w:szCs w:val="18"/>
          <w:color w:val="auto"/>
        </w:rPr>
        <w:t>As of June 30, 2022, the carrying value of secured borrowings totaled $17,263 and the fair value of the associated loans included in investments was $17,263. As of December 31, 2021, the carrying value of secured borrowings totaled $17,637 and the fair value of the associated loans included in investments was $17,522.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5.1% and 4.4% as of June 30, 2022, and December 31, 2021, respectively.</w:t>
      </w:r>
    </w:p>
    <w:p>
      <w:pPr>
        <w:spacing w:after="0" w:line="135"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7"/>
          <w:szCs w:val="17"/>
          <w:color w:val="auto"/>
        </w:rPr>
        <w:t>As of June 30, 2022, and December 31, 2021, the aggregate amount outstanding of the senior securities (including secured borrowings) issued by the Company was $267,263 and $267,637, respectively, for which our asset coverage was 281.1% and 282.2%, respectively. The SBA-guaranteed debentures are not subject to the asset coverage requirements of the 1940 Act as a result of exemptive relief granted to us by the SEC on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Financing Expenses</w:t>
      </w:r>
    </w:p>
    <w:p>
      <w:pPr>
        <w:spacing w:after="0" w:line="158" w:lineRule="exact"/>
        <w:rPr>
          <w:sz w:val="20"/>
          <w:szCs w:val="20"/>
          <w:color w:val="auto"/>
        </w:rPr>
      </w:pPr>
    </w:p>
    <w:p>
      <w:pPr>
        <w:jc w:val="both"/>
        <w:ind w:firstLine="597"/>
        <w:spacing w:after="0" w:line="243" w:lineRule="auto"/>
        <w:rPr>
          <w:sz w:val="20"/>
          <w:szCs w:val="20"/>
          <w:color w:val="auto"/>
        </w:rPr>
      </w:pPr>
      <w:r>
        <w:rPr>
          <w:rFonts w:ascii="Arial" w:cs="Arial" w:eastAsia="Arial" w:hAnsi="Arial"/>
          <w:sz w:val="18"/>
          <w:szCs w:val="18"/>
          <w:color w:val="auto"/>
        </w:rPr>
        <w:t>Interest and fees related to the Company’s debt for the three and six months ended June 30, 2022 and 2021 which are included in interest and financing expenses on the consolidated statements of operations,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gridSpan w:val="10"/>
          </w:tcPr>
          <w:p>
            <w:pPr>
              <w:jc w:val="center"/>
              <w:ind w:left="136"/>
              <w:spacing w:after="0"/>
              <w:rPr>
                <w:sz w:val="20"/>
                <w:szCs w:val="20"/>
                <w:color w:val="auto"/>
              </w:rPr>
            </w:pPr>
            <w:r>
              <w:rPr>
                <w:rFonts w:ascii="Arial" w:cs="Arial" w:eastAsia="Arial" w:hAnsi="Arial"/>
                <w:sz w:val="9"/>
                <w:szCs w:val="9"/>
                <w:b w:val="1"/>
                <w:bCs w:val="1"/>
                <w:color w:val="auto"/>
                <w:w w:val="90"/>
              </w:rPr>
              <w:t>Three Months Ended June 30, 2022</w:t>
            </w: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gridSpan w:val="9"/>
          </w:tcPr>
          <w:p>
            <w:pPr>
              <w:ind w:left="380"/>
              <w:spacing w:after="0"/>
              <w:rPr>
                <w:sz w:val="20"/>
                <w:szCs w:val="20"/>
                <w:color w:val="auto"/>
              </w:rPr>
            </w:pPr>
            <w:r>
              <w:rPr>
                <w:rFonts w:ascii="Arial" w:cs="Arial" w:eastAsia="Arial" w:hAnsi="Arial"/>
                <w:sz w:val="9"/>
                <w:szCs w:val="9"/>
                <w:b w:val="1"/>
                <w:bCs w:val="1"/>
                <w:color w:val="auto"/>
                <w:w w:val="89"/>
              </w:rPr>
              <w:t>Three Months Ended June 30, 2021</w:t>
            </w: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ind w:right="195"/>
              <w:spacing w:after="0" w:line="93" w:lineRule="exact"/>
              <w:rPr>
                <w:sz w:val="20"/>
                <w:szCs w:val="20"/>
                <w:color w:val="auto"/>
              </w:rPr>
            </w:pPr>
            <w:r>
              <w:rPr>
                <w:rFonts w:ascii="Arial" w:cs="Arial" w:eastAsia="Arial" w:hAnsi="Arial"/>
                <w:sz w:val="9"/>
                <w:szCs w:val="9"/>
                <w:b w:val="1"/>
                <w:bCs w:val="1"/>
                <w:color w:val="auto"/>
                <w:w w:val="94"/>
              </w:rPr>
              <w:t>SBA</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gridSpan w:val="2"/>
          </w:tcPr>
          <w:p>
            <w:pPr>
              <w:jc w:val="center"/>
              <w:ind w:right="96"/>
              <w:spacing w:after="0" w:line="93" w:lineRule="exact"/>
              <w:rPr>
                <w:sz w:val="20"/>
                <w:szCs w:val="20"/>
                <w:color w:val="auto"/>
              </w:rPr>
            </w:pPr>
            <w:r>
              <w:rPr>
                <w:rFonts w:ascii="Arial" w:cs="Arial" w:eastAsia="Arial" w:hAnsi="Arial"/>
                <w:sz w:val="9"/>
                <w:szCs w:val="9"/>
                <w:b w:val="1"/>
                <w:bCs w:val="1"/>
                <w:color w:val="auto"/>
                <w:w w:val="92"/>
              </w:rPr>
              <w:t>Credit</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tcPr>
          <w:p>
            <w:pPr>
              <w:jc w:val="center"/>
              <w:ind w:right="36"/>
              <w:spacing w:after="0" w:line="93" w:lineRule="exact"/>
              <w:rPr>
                <w:sz w:val="20"/>
                <w:szCs w:val="20"/>
                <w:color w:val="auto"/>
              </w:rPr>
            </w:pPr>
            <w:r>
              <w:rPr>
                <w:rFonts w:ascii="Arial" w:cs="Arial" w:eastAsia="Arial" w:hAnsi="Arial"/>
                <w:sz w:val="9"/>
                <w:szCs w:val="9"/>
                <w:b w:val="1"/>
                <w:bCs w:val="1"/>
                <w:color w:val="auto"/>
                <w:w w:val="84"/>
              </w:rPr>
              <w:t>Secured</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ind w:right="175"/>
              <w:spacing w:after="0" w:line="93" w:lineRule="exact"/>
              <w:rPr>
                <w:sz w:val="20"/>
                <w:szCs w:val="20"/>
                <w:color w:val="auto"/>
              </w:rPr>
            </w:pPr>
            <w:r>
              <w:rPr>
                <w:rFonts w:ascii="Arial" w:cs="Arial" w:eastAsia="Arial" w:hAnsi="Arial"/>
                <w:sz w:val="9"/>
                <w:szCs w:val="9"/>
                <w:b w:val="1"/>
                <w:bCs w:val="1"/>
                <w:color w:val="auto"/>
              </w:rPr>
              <w:t>SBA</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gridSpan w:val="3"/>
          </w:tcPr>
          <w:p>
            <w:pPr>
              <w:jc w:val="center"/>
              <w:ind w:right="140"/>
              <w:spacing w:after="0" w:line="93" w:lineRule="exact"/>
              <w:rPr>
                <w:sz w:val="20"/>
                <w:szCs w:val="20"/>
                <w:color w:val="auto"/>
              </w:rPr>
            </w:pPr>
            <w:r>
              <w:rPr>
                <w:rFonts w:ascii="Arial" w:cs="Arial" w:eastAsia="Arial" w:hAnsi="Arial"/>
                <w:sz w:val="9"/>
                <w:szCs w:val="9"/>
                <w:b w:val="1"/>
                <w:bCs w:val="1"/>
                <w:color w:val="auto"/>
                <w:w w:val="92"/>
              </w:rPr>
              <w:t>Credit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3"/>
          </w:tcPr>
          <w:p>
            <w:pPr>
              <w:jc w:val="center"/>
              <w:ind w:right="380"/>
              <w:spacing w:after="0" w:line="93" w:lineRule="exact"/>
              <w:rPr>
                <w:sz w:val="20"/>
                <w:szCs w:val="20"/>
                <w:color w:val="auto"/>
              </w:rPr>
            </w:pPr>
            <w:r>
              <w:rPr>
                <w:rFonts w:ascii="Arial" w:cs="Arial" w:eastAsia="Arial" w:hAnsi="Arial"/>
                <w:sz w:val="9"/>
                <w:szCs w:val="9"/>
                <w:b w:val="1"/>
                <w:bCs w:val="1"/>
                <w:color w:val="auto"/>
                <w:w w:val="84"/>
              </w:rPr>
              <w:t>Secured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75"/>
              <w:spacing w:after="0"/>
              <w:rPr>
                <w:sz w:val="20"/>
                <w:szCs w:val="20"/>
                <w:color w:val="auto"/>
              </w:rPr>
            </w:pPr>
            <w:r>
              <w:rPr>
                <w:rFonts w:ascii="Arial" w:cs="Arial" w:eastAsia="Arial" w:hAnsi="Arial"/>
                <w:sz w:val="9"/>
                <w:szCs w:val="9"/>
                <w:b w:val="1"/>
                <w:bCs w:val="1"/>
                <w:color w:val="auto"/>
                <w:w w:val="86"/>
              </w:rPr>
              <w:t>debentures</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center"/>
              <w:ind w:right="96"/>
              <w:spacing w:after="0"/>
              <w:rPr>
                <w:sz w:val="20"/>
                <w:szCs w:val="20"/>
                <w:color w:val="auto"/>
              </w:rPr>
            </w:pPr>
            <w:r>
              <w:rPr>
                <w:rFonts w:ascii="Arial" w:cs="Arial" w:eastAsia="Arial" w:hAnsi="Arial"/>
                <w:sz w:val="9"/>
                <w:szCs w:val="9"/>
                <w:b w:val="1"/>
                <w:bCs w:val="1"/>
                <w:color w:val="auto"/>
                <w:w w:val="90"/>
              </w:rPr>
              <w:t>Facility</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56"/>
              <w:spacing w:after="0"/>
              <w:rPr>
                <w:sz w:val="20"/>
                <w:szCs w:val="20"/>
                <w:color w:val="auto"/>
              </w:rPr>
            </w:pPr>
            <w:r>
              <w:rPr>
                <w:rFonts w:ascii="Arial" w:cs="Arial" w:eastAsia="Arial" w:hAnsi="Arial"/>
                <w:sz w:val="9"/>
                <w:szCs w:val="9"/>
                <w:b w:val="1"/>
                <w:bCs w:val="1"/>
                <w:color w:val="auto"/>
                <w:w w:val="87"/>
              </w:rPr>
              <w:t>Borrowings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4"/>
          </w:tcPr>
          <w:p>
            <w:pPr>
              <w:jc w:val="right"/>
              <w:ind w:right="440"/>
              <w:spacing w:after="0"/>
              <w:rPr>
                <w:sz w:val="20"/>
                <w:szCs w:val="20"/>
                <w:color w:val="auto"/>
              </w:rPr>
            </w:pPr>
            <w:r>
              <w:rPr>
                <w:rFonts w:ascii="Arial" w:cs="Arial" w:eastAsia="Arial" w:hAnsi="Arial"/>
                <w:sz w:val="9"/>
                <w:szCs w:val="9"/>
                <w:b w:val="1"/>
                <w:bCs w:val="1"/>
                <w:color w:val="auto"/>
                <w:w w:val="87"/>
              </w:rPr>
              <w:t>Notes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ind w:left="40"/>
              <w:spacing w:after="0"/>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10"/>
                <w:szCs w:val="10"/>
                <w:color w:val="auto"/>
              </w:rPr>
            </w:pPr>
          </w:p>
        </w:tc>
        <w:tc>
          <w:tcPr>
            <w:tcW w:w="540" w:type="dxa"/>
            <w:vAlign w:val="bottom"/>
            <w:gridSpan w:val="2"/>
          </w:tcPr>
          <w:p>
            <w:pPr>
              <w:jc w:val="right"/>
              <w:ind w:right="55"/>
              <w:spacing w:after="0"/>
              <w:rPr>
                <w:sz w:val="20"/>
                <w:szCs w:val="20"/>
                <w:color w:val="auto"/>
              </w:rPr>
            </w:pPr>
            <w:r>
              <w:rPr>
                <w:rFonts w:ascii="Arial" w:cs="Arial" w:eastAsia="Arial" w:hAnsi="Arial"/>
                <w:sz w:val="9"/>
                <w:szCs w:val="9"/>
                <w:b w:val="1"/>
                <w:bCs w:val="1"/>
                <w:color w:val="auto"/>
                <w:w w:val="86"/>
              </w:rPr>
              <w:t>debentures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3"/>
          </w:tcPr>
          <w:p>
            <w:pPr>
              <w:jc w:val="center"/>
              <w:ind w:right="160"/>
              <w:spacing w:after="0"/>
              <w:rPr>
                <w:sz w:val="20"/>
                <w:szCs w:val="20"/>
                <w:color w:val="auto"/>
              </w:rPr>
            </w:pPr>
            <w:r>
              <w:rPr>
                <w:rFonts w:ascii="Arial" w:cs="Arial" w:eastAsia="Arial" w:hAnsi="Arial"/>
                <w:sz w:val="9"/>
                <w:szCs w:val="9"/>
                <w:b w:val="1"/>
                <w:bCs w:val="1"/>
                <w:color w:val="auto"/>
                <w:w w:val="96"/>
              </w:rPr>
              <w:t>Facility</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9"/>
                <w:szCs w:val="9"/>
                <w:b w:val="1"/>
                <w:bCs w:val="1"/>
                <w:color w:val="auto"/>
                <w:w w:val="91"/>
              </w:rPr>
              <w:t>Borrowings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w w:val="95"/>
              </w:rPr>
              <w:t>Notes</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ind w:left="60"/>
              <w:spacing w:after="0"/>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50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rPr>
              <w:t>Stated interest expense</w:t>
            </w:r>
          </w:p>
        </w:tc>
        <w:tc>
          <w:tcPr>
            <w:tcW w:w="10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911</w:t>
            </w:r>
          </w:p>
        </w:tc>
        <w:tc>
          <w:tcPr>
            <w:tcW w:w="220" w:type="dxa"/>
            <w:vAlign w:val="bottom"/>
            <w:shd w:val="clear" w:color="auto" w:fill="CCEEFF"/>
          </w:tcPr>
          <w:p>
            <w:pPr>
              <w:spacing w:after="0"/>
              <w:rPr>
                <w:sz w:val="8"/>
                <w:szCs w:val="8"/>
                <w:color w:val="auto"/>
              </w:rPr>
            </w:pPr>
          </w:p>
        </w:tc>
        <w:tc>
          <w:tcPr>
            <w:tcW w:w="140" w:type="dxa"/>
            <w:vAlign w:val="bottom"/>
            <w:tcBorders>
              <w:top w:val="single" w:sz="8" w:color="auto"/>
            </w:tcBorders>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gridSpan w:val="2"/>
            <w:shd w:val="clear" w:color="auto" w:fill="CCEEFF"/>
          </w:tcPr>
          <w:p>
            <w:pPr>
              <w:jc w:val="center"/>
              <w:ind w:left="275"/>
              <w:spacing w:after="0" w:line="102" w:lineRule="exact"/>
              <w:rPr>
                <w:sz w:val="20"/>
                <w:szCs w:val="20"/>
                <w:color w:val="auto"/>
              </w:rPr>
            </w:pPr>
            <w:r>
              <w:rPr>
                <w:rFonts w:ascii="Arial" w:cs="Arial" w:eastAsia="Arial" w:hAnsi="Arial"/>
                <w:sz w:val="9"/>
                <w:szCs w:val="9"/>
                <w:color w:val="auto"/>
                <w:w w:val="92"/>
              </w:rPr>
              <w:t>387</w:t>
            </w:r>
          </w:p>
        </w:tc>
        <w:tc>
          <w:tcPr>
            <w:tcW w:w="22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15"/>
              <w:spacing w:after="0" w:line="102" w:lineRule="exact"/>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229</w:t>
            </w:r>
          </w:p>
        </w:tc>
        <w:tc>
          <w:tcPr>
            <w:tcW w:w="2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35"/>
              <w:spacing w:after="0" w:line="102" w:lineRule="exact"/>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2,578</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15"/>
              <w:spacing w:after="0" w:line="102" w:lineRule="exact"/>
              <w:rPr>
                <w:sz w:val="20"/>
                <w:szCs w:val="20"/>
                <w:color w:val="auto"/>
              </w:rPr>
            </w:pPr>
            <w:r>
              <w:rPr>
                <w:rFonts w:ascii="Arial" w:cs="Arial" w:eastAsia="Arial" w:hAnsi="Arial"/>
                <w:sz w:val="9"/>
                <w:szCs w:val="9"/>
                <w:color w:val="auto"/>
                <w:w w:val="78"/>
              </w:rPr>
              <w:t>$</w:t>
            </w: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4,105</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1,038</w:t>
            </w:r>
          </w:p>
        </w:tc>
        <w:tc>
          <w:tcPr>
            <w:tcW w:w="22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4"/>
                <w:szCs w:val="4"/>
                <w:color w:val="auto"/>
                <w:w w:val="87"/>
              </w:rPr>
              <w:t>$</w:t>
            </w:r>
          </w:p>
        </w:tc>
        <w:tc>
          <w:tcPr>
            <w:tcW w:w="480" w:type="dxa"/>
            <w:vAlign w:val="bottom"/>
            <w:tcBorders>
              <w:top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371</w:t>
            </w: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ind w:right="75"/>
              <w:spacing w:after="0" w:line="102" w:lineRule="exact"/>
              <w:rPr>
                <w:sz w:val="20"/>
                <w:szCs w:val="20"/>
                <w:color w:val="auto"/>
              </w:rPr>
            </w:pPr>
            <w:r>
              <w:rPr>
                <w:rFonts w:ascii="Arial" w:cs="Arial" w:eastAsia="Arial" w:hAnsi="Arial"/>
                <w:sz w:val="9"/>
                <w:szCs w:val="9"/>
                <w:color w:val="auto"/>
                <w:w w:val="78"/>
              </w:rPr>
              <w:t>$</w:t>
            </w:r>
          </w:p>
        </w:tc>
        <w:tc>
          <w:tcPr>
            <w:tcW w:w="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gridSpan w:val="2"/>
            <w:shd w:val="clear" w:color="auto" w:fill="CCEEFF"/>
          </w:tcPr>
          <w:p>
            <w:pPr>
              <w:jc w:val="right"/>
              <w:ind w:right="20"/>
              <w:spacing w:after="0" w:line="102" w:lineRule="exact"/>
              <w:rPr>
                <w:sz w:val="20"/>
                <w:szCs w:val="20"/>
                <w:color w:val="auto"/>
              </w:rPr>
            </w:pPr>
            <w:r>
              <w:rPr>
                <w:rFonts w:ascii="Arial" w:cs="Arial" w:eastAsia="Arial" w:hAnsi="Arial"/>
                <w:sz w:val="9"/>
                <w:szCs w:val="9"/>
                <w:color w:val="auto"/>
              </w:rPr>
              <w:t>2,619</w:t>
            </w: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ind w:left="20"/>
              <w:spacing w:after="0" w:line="102" w:lineRule="exact"/>
              <w:rPr>
                <w:sz w:val="20"/>
                <w:szCs w:val="20"/>
                <w:color w:val="auto"/>
              </w:rPr>
            </w:pPr>
            <w:r>
              <w:rPr>
                <w:rFonts w:ascii="Arial" w:cs="Arial" w:eastAsia="Arial" w:hAnsi="Arial"/>
                <w:sz w:val="9"/>
                <w:szCs w:val="9"/>
                <w:color w:val="auto"/>
              </w:rPr>
              <w:t>$</w:t>
            </w:r>
          </w:p>
        </w:tc>
        <w:tc>
          <w:tcPr>
            <w:tcW w:w="420" w:type="dxa"/>
            <w:vAlign w:val="bottom"/>
            <w:tcBorders>
              <w:top w:val="single" w:sz="8" w:color="auto"/>
            </w:tcBorders>
            <w:gridSpan w:val="2"/>
            <w:shd w:val="clear" w:color="auto" w:fill="CCEEFF"/>
          </w:tcPr>
          <w:p>
            <w:pPr>
              <w:jc w:val="right"/>
              <w:ind w:right="20"/>
              <w:spacing w:after="0" w:line="102" w:lineRule="exact"/>
              <w:rPr>
                <w:sz w:val="20"/>
                <w:szCs w:val="20"/>
                <w:color w:val="auto"/>
              </w:rPr>
            </w:pPr>
            <w:r>
              <w:rPr>
                <w:rFonts w:ascii="Arial" w:cs="Arial" w:eastAsia="Arial" w:hAnsi="Arial"/>
                <w:sz w:val="9"/>
                <w:szCs w:val="9"/>
                <w:color w:val="auto"/>
              </w:rPr>
              <w:t>4,028</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color w:val="auto"/>
              </w:rPr>
              <w:t>Amortization of deferred financing costs</w:t>
            </w: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144</w:t>
            </w: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2"/>
          </w:tcPr>
          <w:p>
            <w:pPr>
              <w:jc w:val="center"/>
              <w:ind w:left="295"/>
              <w:spacing w:after="0"/>
              <w:rPr>
                <w:sz w:val="20"/>
                <w:szCs w:val="20"/>
                <w:color w:val="auto"/>
              </w:rPr>
            </w:pPr>
            <w:r>
              <w:rPr>
                <w:rFonts w:ascii="Arial" w:cs="Arial" w:eastAsia="Arial" w:hAnsi="Arial"/>
                <w:sz w:val="9"/>
                <w:szCs w:val="9"/>
                <w:color w:val="auto"/>
                <w:w w:val="79"/>
              </w:rPr>
              <w:t>113</w:t>
            </w: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w:t>
            </w:r>
          </w:p>
        </w:tc>
        <w:tc>
          <w:tcPr>
            <w:tcW w:w="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277</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534</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140</w:t>
            </w: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113</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color w:val="auto"/>
              </w:rPr>
              <w:t>281</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color w:val="auto"/>
              </w:rPr>
              <w:t>534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500" w:type="dxa"/>
            <w:vAlign w:val="bottom"/>
            <w:tcBorders>
              <w:bottom w:val="single" w:sz="8" w:color="CCEEFF"/>
            </w:tcBorders>
            <w:shd w:val="clear" w:color="auto" w:fill="CCEEFF"/>
          </w:tcPr>
          <w:p>
            <w:pPr>
              <w:ind w:left="20"/>
              <w:spacing w:after="0" w:line="102" w:lineRule="exact"/>
              <w:rPr>
                <w:sz w:val="20"/>
                <w:szCs w:val="20"/>
                <w:color w:val="auto"/>
              </w:rPr>
            </w:pPr>
            <w:r>
              <w:rPr>
                <w:rFonts w:ascii="Arial" w:cs="Arial" w:eastAsia="Arial" w:hAnsi="Arial"/>
                <w:sz w:val="9"/>
                <w:szCs w:val="9"/>
                <w:color w:val="auto"/>
              </w:rPr>
              <w:t>Total interest and financing expenses</w:t>
            </w:r>
          </w:p>
        </w:tc>
        <w:tc>
          <w:tcPr>
            <w:tcW w:w="10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1,055</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gridSpan w:val="2"/>
            <w:shd w:val="clear" w:color="auto" w:fill="CCEEFF"/>
          </w:tcPr>
          <w:p>
            <w:pPr>
              <w:jc w:val="center"/>
              <w:ind w:left="275"/>
              <w:spacing w:after="0" w:line="102" w:lineRule="exact"/>
              <w:rPr>
                <w:sz w:val="20"/>
                <w:szCs w:val="20"/>
                <w:color w:val="auto"/>
              </w:rPr>
            </w:pPr>
            <w:r>
              <w:rPr>
                <w:rFonts w:ascii="Arial" w:cs="Arial" w:eastAsia="Arial" w:hAnsi="Arial"/>
                <w:sz w:val="9"/>
                <w:szCs w:val="9"/>
                <w:color w:val="auto"/>
                <w:w w:val="92"/>
              </w:rPr>
              <w:t>500</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5"/>
              <w:spacing w:after="0" w:line="102" w:lineRule="exact"/>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229</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5"/>
              <w:spacing w:after="0" w:line="102" w:lineRule="exact"/>
              <w:rPr>
                <w:sz w:val="20"/>
                <w:szCs w:val="20"/>
                <w:color w:val="auto"/>
              </w:rPr>
            </w:pPr>
            <w:r>
              <w:rPr>
                <w:rFonts w:ascii="Arial" w:cs="Arial" w:eastAsia="Arial" w:hAnsi="Arial"/>
                <w:sz w:val="9"/>
                <w:szCs w:val="9"/>
                <w:color w:val="auto"/>
                <w:w w:val="78"/>
              </w:rPr>
              <w:t>$</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2,855</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5"/>
              <w:spacing w:after="0" w:line="102" w:lineRule="exact"/>
              <w:rPr>
                <w:sz w:val="20"/>
                <w:szCs w:val="20"/>
                <w:color w:val="auto"/>
              </w:rPr>
            </w:pPr>
            <w:r>
              <w:rPr>
                <w:rFonts w:ascii="Arial" w:cs="Arial" w:eastAsia="Arial" w:hAnsi="Arial"/>
                <w:sz w:val="9"/>
                <w:szCs w:val="9"/>
                <w:color w:val="auto"/>
                <w:w w:val="78"/>
              </w:rPr>
              <w:t>$</w:t>
            </w: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4,639</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1,178</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4"/>
                <w:szCs w:val="4"/>
                <w:color w:val="auto"/>
                <w:w w:val="87"/>
              </w:rPr>
              <w:t>$</w:t>
            </w:r>
          </w:p>
        </w:tc>
        <w:tc>
          <w:tcPr>
            <w:tcW w:w="480" w:type="dxa"/>
            <w:vAlign w:val="bottom"/>
            <w:tcBorders>
              <w:bottom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484</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5"/>
              <w:spacing w:after="0" w:line="102" w:lineRule="exact"/>
              <w:rPr>
                <w:sz w:val="20"/>
                <w:szCs w:val="20"/>
                <w:color w:val="auto"/>
              </w:rPr>
            </w:pPr>
            <w:r>
              <w:rPr>
                <w:rFonts w:ascii="Arial" w:cs="Arial" w:eastAsia="Arial" w:hAnsi="Arial"/>
                <w:sz w:val="9"/>
                <w:szCs w:val="9"/>
                <w:color w:val="auto"/>
                <w:w w:val="78"/>
              </w:rPr>
              <w:t>$</w:t>
            </w: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78"/>
              </w:rPr>
              <w:t>$</w:t>
            </w:r>
          </w:p>
        </w:tc>
        <w:tc>
          <w:tcPr>
            <w:tcW w:w="380" w:type="dxa"/>
            <w:vAlign w:val="bottom"/>
            <w:tcBorders>
              <w:bottom w:val="single" w:sz="8" w:color="auto"/>
            </w:tcBorders>
            <w:gridSpan w:val="2"/>
            <w:shd w:val="clear" w:color="auto" w:fill="CCEEFF"/>
          </w:tcPr>
          <w:p>
            <w:pPr>
              <w:jc w:val="right"/>
              <w:ind w:right="20"/>
              <w:spacing w:after="0" w:line="102" w:lineRule="exact"/>
              <w:rPr>
                <w:sz w:val="20"/>
                <w:szCs w:val="20"/>
                <w:color w:val="auto"/>
              </w:rPr>
            </w:pPr>
            <w:r>
              <w:rPr>
                <w:rFonts w:ascii="Arial" w:cs="Arial" w:eastAsia="Arial" w:hAnsi="Arial"/>
                <w:sz w:val="9"/>
                <w:szCs w:val="9"/>
                <w:color w:val="auto"/>
              </w:rPr>
              <w:t>2,900</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ind w:left="20"/>
              <w:spacing w:after="0" w:line="102" w:lineRule="exact"/>
              <w:rPr>
                <w:sz w:val="20"/>
                <w:szCs w:val="20"/>
                <w:color w:val="auto"/>
              </w:rPr>
            </w:pPr>
            <w:r>
              <w:rPr>
                <w:rFonts w:ascii="Arial" w:cs="Arial" w:eastAsia="Arial" w:hAnsi="Arial"/>
                <w:sz w:val="9"/>
                <w:szCs w:val="9"/>
                <w:color w:val="auto"/>
              </w:rPr>
              <w:t>$</w:t>
            </w:r>
          </w:p>
        </w:tc>
        <w:tc>
          <w:tcPr>
            <w:tcW w:w="420" w:type="dxa"/>
            <w:vAlign w:val="bottom"/>
            <w:tcBorders>
              <w:bottom w:val="single" w:sz="8" w:color="auto"/>
            </w:tcBorders>
            <w:gridSpan w:val="2"/>
            <w:shd w:val="clear" w:color="auto" w:fill="CCEEFF"/>
          </w:tcPr>
          <w:p>
            <w:pPr>
              <w:jc w:val="right"/>
              <w:ind w:right="20"/>
              <w:spacing w:after="0" w:line="102" w:lineRule="exact"/>
              <w:rPr>
                <w:sz w:val="20"/>
                <w:szCs w:val="20"/>
                <w:color w:val="auto"/>
              </w:rPr>
            </w:pPr>
            <w:r>
              <w:rPr>
                <w:rFonts w:ascii="Arial" w:cs="Arial" w:eastAsia="Arial" w:hAnsi="Arial"/>
                <w:sz w:val="9"/>
                <w:szCs w:val="9"/>
                <w:color w:val="auto"/>
              </w:rPr>
              <w:t>4,562</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9"/>
          </w:tcPr>
          <w:p>
            <w:pPr>
              <w:ind w:left="120"/>
              <w:spacing w:after="0"/>
              <w:rPr>
                <w:sz w:val="20"/>
                <w:szCs w:val="20"/>
                <w:color w:val="auto"/>
              </w:rPr>
            </w:pPr>
            <w:r>
              <w:rPr>
                <w:rFonts w:ascii="Arial" w:cs="Arial" w:eastAsia="Arial" w:hAnsi="Arial"/>
                <w:sz w:val="9"/>
                <w:szCs w:val="9"/>
                <w:b w:val="1"/>
                <w:bCs w:val="1"/>
                <w:color w:val="auto"/>
                <w:w w:val="89"/>
              </w:rPr>
              <w:t>Six Months Ended June 30, 2022</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7"/>
          </w:tcPr>
          <w:p>
            <w:pPr>
              <w:ind w:left="20"/>
              <w:spacing w:after="0"/>
              <w:rPr>
                <w:sz w:val="20"/>
                <w:szCs w:val="20"/>
                <w:color w:val="auto"/>
              </w:rPr>
            </w:pPr>
            <w:r>
              <w:rPr>
                <w:rFonts w:ascii="Arial" w:cs="Arial" w:eastAsia="Arial" w:hAnsi="Arial"/>
                <w:sz w:val="9"/>
                <w:szCs w:val="9"/>
                <w:b w:val="1"/>
                <w:bCs w:val="1"/>
                <w:color w:val="auto"/>
                <w:w w:val="92"/>
              </w:rPr>
              <w:t>Six Months Ended June 30, 2021</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4"/>
            <w:vMerge w:val="restart"/>
          </w:tcPr>
          <w:p>
            <w:pPr>
              <w:jc w:val="right"/>
              <w:ind w:right="140"/>
              <w:spacing w:after="0"/>
              <w:rPr>
                <w:sz w:val="20"/>
                <w:szCs w:val="20"/>
                <w:color w:val="auto"/>
              </w:rPr>
            </w:pPr>
            <w:r>
              <w:rPr>
                <w:rFonts w:ascii="Arial" w:cs="Arial" w:eastAsia="Arial" w:hAnsi="Arial"/>
                <w:sz w:val="9"/>
                <w:szCs w:val="9"/>
                <w:b w:val="1"/>
                <w:bCs w:val="1"/>
                <w:color w:val="auto"/>
                <w:w w:val="91"/>
              </w:rPr>
              <w:t>SBA debentures</w:t>
            </w:r>
          </w:p>
        </w:tc>
        <w:tc>
          <w:tcPr>
            <w:tcW w:w="140" w:type="dxa"/>
            <w:vAlign w:val="bottom"/>
          </w:tcPr>
          <w:p>
            <w:pPr>
              <w:spacing w:after="0"/>
              <w:rPr>
                <w:sz w:val="6"/>
                <w:szCs w:val="6"/>
                <w:color w:val="auto"/>
              </w:rPr>
            </w:pPr>
          </w:p>
        </w:tc>
        <w:tc>
          <w:tcPr>
            <w:tcW w:w="700" w:type="dxa"/>
            <w:vAlign w:val="bottom"/>
            <w:gridSpan w:val="3"/>
          </w:tcPr>
          <w:p>
            <w:pPr>
              <w:jc w:val="center"/>
              <w:ind w:right="115"/>
              <w:spacing w:after="0" w:line="75" w:lineRule="exact"/>
              <w:rPr>
                <w:sz w:val="20"/>
                <w:szCs w:val="20"/>
                <w:color w:val="auto"/>
              </w:rPr>
            </w:pPr>
            <w:r>
              <w:rPr>
                <w:rFonts w:ascii="Arial" w:cs="Arial" w:eastAsia="Arial" w:hAnsi="Arial"/>
                <w:sz w:val="8"/>
                <w:szCs w:val="8"/>
                <w:b w:val="1"/>
                <w:bCs w:val="1"/>
                <w:color w:val="auto"/>
              </w:rPr>
              <w:t>Credit</w:t>
            </w:r>
          </w:p>
        </w:tc>
        <w:tc>
          <w:tcPr>
            <w:tcW w:w="120" w:type="dxa"/>
            <w:vAlign w:val="bottom"/>
          </w:tcPr>
          <w:p>
            <w:pPr>
              <w:spacing w:after="0"/>
              <w:rPr>
                <w:sz w:val="6"/>
                <w:szCs w:val="6"/>
                <w:color w:val="auto"/>
              </w:rPr>
            </w:pPr>
          </w:p>
        </w:tc>
        <w:tc>
          <w:tcPr>
            <w:tcW w:w="500" w:type="dxa"/>
            <w:vAlign w:val="bottom"/>
          </w:tcPr>
          <w:p>
            <w:pPr>
              <w:jc w:val="center"/>
              <w:ind w:left="96"/>
              <w:spacing w:after="0" w:line="75" w:lineRule="exact"/>
              <w:rPr>
                <w:sz w:val="20"/>
                <w:szCs w:val="20"/>
                <w:color w:val="auto"/>
              </w:rPr>
            </w:pPr>
            <w:r>
              <w:rPr>
                <w:rFonts w:ascii="Arial" w:cs="Arial" w:eastAsia="Arial" w:hAnsi="Arial"/>
                <w:sz w:val="8"/>
                <w:szCs w:val="8"/>
                <w:b w:val="1"/>
                <w:bCs w:val="1"/>
                <w:color w:val="auto"/>
              </w:rPr>
              <w:t>Secured</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3"/>
            <w:vMerge w:val="restart"/>
          </w:tcPr>
          <w:p>
            <w:pPr>
              <w:jc w:val="right"/>
              <w:ind w:right="300"/>
              <w:spacing w:after="0"/>
              <w:rPr>
                <w:sz w:val="20"/>
                <w:szCs w:val="20"/>
                <w:color w:val="auto"/>
              </w:rPr>
            </w:pPr>
            <w:r>
              <w:rPr>
                <w:rFonts w:ascii="Arial" w:cs="Arial" w:eastAsia="Arial" w:hAnsi="Arial"/>
                <w:sz w:val="9"/>
                <w:szCs w:val="9"/>
                <w:b w:val="1"/>
                <w:bCs w:val="1"/>
                <w:color w:val="auto"/>
              </w:rPr>
              <w:t>Notes</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3"/>
            <w:vMerge w:val="restart"/>
          </w:tcPr>
          <w:p>
            <w:pPr>
              <w:ind w:left="120"/>
              <w:spacing w:after="0"/>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3"/>
            <w:vMerge w:val="restart"/>
          </w:tcPr>
          <w:p>
            <w:pPr>
              <w:jc w:val="right"/>
              <w:ind w:right="138"/>
              <w:spacing w:after="0"/>
              <w:rPr>
                <w:sz w:val="20"/>
                <w:szCs w:val="20"/>
                <w:color w:val="auto"/>
              </w:rPr>
            </w:pPr>
            <w:r>
              <w:rPr>
                <w:rFonts w:ascii="Arial" w:cs="Arial" w:eastAsia="Arial" w:hAnsi="Arial"/>
                <w:sz w:val="9"/>
                <w:szCs w:val="9"/>
                <w:b w:val="1"/>
                <w:bCs w:val="1"/>
                <w:color w:val="auto"/>
                <w:w w:val="91"/>
              </w:rPr>
              <w:t>SBA debentures</w:t>
            </w:r>
          </w:p>
        </w:tc>
        <w:tc>
          <w:tcPr>
            <w:tcW w:w="80" w:type="dxa"/>
            <w:vAlign w:val="bottom"/>
          </w:tcPr>
          <w:p>
            <w:pPr>
              <w:spacing w:after="0"/>
              <w:rPr>
                <w:sz w:val="6"/>
                <w:szCs w:val="6"/>
                <w:color w:val="auto"/>
              </w:rPr>
            </w:pPr>
          </w:p>
        </w:tc>
        <w:tc>
          <w:tcPr>
            <w:tcW w:w="420" w:type="dxa"/>
            <w:vAlign w:val="bottom"/>
            <w:gridSpan w:val="2"/>
          </w:tcPr>
          <w:p>
            <w:pPr>
              <w:ind w:left="160"/>
              <w:spacing w:after="0" w:line="75" w:lineRule="exact"/>
              <w:rPr>
                <w:sz w:val="20"/>
                <w:szCs w:val="20"/>
                <w:color w:val="auto"/>
              </w:rPr>
            </w:pPr>
            <w:r>
              <w:rPr>
                <w:rFonts w:ascii="Arial" w:cs="Arial" w:eastAsia="Arial" w:hAnsi="Arial"/>
                <w:sz w:val="8"/>
                <w:szCs w:val="8"/>
                <w:b w:val="1"/>
                <w:bCs w:val="1"/>
                <w:color w:val="auto"/>
              </w:rPr>
              <w:t>Credit</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3"/>
          </w:tcPr>
          <w:p>
            <w:pPr>
              <w:jc w:val="center"/>
              <w:ind w:right="320"/>
              <w:spacing w:after="0" w:line="75" w:lineRule="exact"/>
              <w:rPr>
                <w:sz w:val="20"/>
                <w:szCs w:val="20"/>
                <w:color w:val="auto"/>
              </w:rPr>
            </w:pPr>
            <w:r>
              <w:rPr>
                <w:rFonts w:ascii="Arial" w:cs="Arial" w:eastAsia="Arial" w:hAnsi="Arial"/>
                <w:sz w:val="8"/>
                <w:szCs w:val="8"/>
                <w:b w:val="1"/>
                <w:bCs w:val="1"/>
                <w:color w:val="auto"/>
              </w:rPr>
              <w:t>Secured</w:t>
            </w:r>
          </w:p>
        </w:tc>
        <w:tc>
          <w:tcPr>
            <w:tcW w:w="80" w:type="dxa"/>
            <w:vAlign w:val="bottom"/>
          </w:tcPr>
          <w:p>
            <w:pPr>
              <w:spacing w:after="0"/>
              <w:rPr>
                <w:sz w:val="6"/>
                <w:szCs w:val="6"/>
                <w:color w:val="auto"/>
              </w:rPr>
            </w:pPr>
          </w:p>
        </w:tc>
        <w:tc>
          <w:tcPr>
            <w:tcW w:w="540" w:type="dxa"/>
            <w:vAlign w:val="bottom"/>
            <w:gridSpan w:val="4"/>
            <w:vMerge w:val="restart"/>
          </w:tcPr>
          <w:p>
            <w:pPr>
              <w:jc w:val="right"/>
              <w:ind w:right="280"/>
              <w:spacing w:after="0"/>
              <w:rPr>
                <w:sz w:val="20"/>
                <w:szCs w:val="20"/>
                <w:color w:val="auto"/>
              </w:rPr>
            </w:pPr>
            <w:r>
              <w:rPr>
                <w:rFonts w:ascii="Arial" w:cs="Arial" w:eastAsia="Arial" w:hAnsi="Arial"/>
                <w:sz w:val="9"/>
                <w:szCs w:val="9"/>
                <w:b w:val="1"/>
                <w:bCs w:val="1"/>
                <w:color w:val="auto"/>
                <w:w w:val="95"/>
              </w:rPr>
              <w:t>Notes</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gridSpan w:val="3"/>
            <w:vMerge w:val="restart"/>
          </w:tcPr>
          <w:p>
            <w:pPr>
              <w:jc w:val="center"/>
              <w:ind w:right="95"/>
              <w:spacing w:after="0"/>
              <w:rPr>
                <w:sz w:val="20"/>
                <w:szCs w:val="20"/>
                <w:color w:val="auto"/>
              </w:rPr>
            </w:pPr>
            <w:r>
              <w:rPr>
                <w:rFonts w:ascii="Arial" w:cs="Arial" w:eastAsia="Arial" w:hAnsi="Arial"/>
                <w:sz w:val="9"/>
                <w:szCs w:val="9"/>
                <w:b w:val="1"/>
                <w:bCs w:val="1"/>
                <w:color w:val="auto"/>
                <w:w w:val="90"/>
              </w:rPr>
              <w:t>Facility</w:t>
            </w:r>
          </w:p>
        </w:tc>
        <w:tc>
          <w:tcPr>
            <w:tcW w:w="120" w:type="dxa"/>
            <w:vAlign w:val="bottom"/>
          </w:tcPr>
          <w:p>
            <w:pPr>
              <w:spacing w:after="0"/>
              <w:rPr>
                <w:sz w:val="5"/>
                <w:szCs w:val="5"/>
                <w:color w:val="auto"/>
              </w:rPr>
            </w:pPr>
          </w:p>
        </w:tc>
        <w:tc>
          <w:tcPr>
            <w:tcW w:w="920" w:type="dxa"/>
            <w:vAlign w:val="bottom"/>
            <w:gridSpan w:val="6"/>
            <w:vMerge w:val="restart"/>
          </w:tcPr>
          <w:p>
            <w:pPr>
              <w:jc w:val="center"/>
              <w:ind w:right="260"/>
              <w:spacing w:after="0"/>
              <w:rPr>
                <w:sz w:val="20"/>
                <w:szCs w:val="20"/>
                <w:color w:val="auto"/>
              </w:rPr>
            </w:pPr>
            <w:r>
              <w:rPr>
                <w:rFonts w:ascii="Arial" w:cs="Arial" w:eastAsia="Arial" w:hAnsi="Arial"/>
                <w:sz w:val="9"/>
                <w:szCs w:val="9"/>
                <w:b w:val="1"/>
                <w:bCs w:val="1"/>
                <w:color w:val="auto"/>
                <w:w w:val="91"/>
              </w:rPr>
              <w:t>Borrowings</w:t>
            </w:r>
          </w:p>
        </w:tc>
        <w:tc>
          <w:tcPr>
            <w:tcW w:w="100" w:type="dxa"/>
            <w:vAlign w:val="bottom"/>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5"/>
            <w:vMerge w:val="restart"/>
          </w:tcPr>
          <w:p>
            <w:pPr>
              <w:jc w:val="right"/>
              <w:ind w:right="295"/>
              <w:spacing w:after="0"/>
              <w:rPr>
                <w:sz w:val="20"/>
                <w:szCs w:val="20"/>
                <w:color w:val="auto"/>
              </w:rPr>
            </w:pPr>
            <w:r>
              <w:rPr>
                <w:rFonts w:ascii="Arial" w:cs="Arial" w:eastAsia="Arial" w:hAnsi="Arial"/>
                <w:sz w:val="9"/>
                <w:szCs w:val="9"/>
                <w:b w:val="1"/>
                <w:bCs w:val="1"/>
                <w:color w:val="auto"/>
              </w:rPr>
              <w:t>Facility</w:t>
            </w:r>
          </w:p>
        </w:tc>
        <w:tc>
          <w:tcPr>
            <w:tcW w:w="80" w:type="dxa"/>
            <w:vAlign w:val="bottom"/>
          </w:tcPr>
          <w:p>
            <w:pPr>
              <w:spacing w:after="0"/>
              <w:rPr>
                <w:sz w:val="5"/>
                <w:szCs w:val="5"/>
                <w:color w:val="auto"/>
              </w:rPr>
            </w:pPr>
          </w:p>
        </w:tc>
        <w:tc>
          <w:tcPr>
            <w:tcW w:w="880" w:type="dxa"/>
            <w:vAlign w:val="bottom"/>
            <w:gridSpan w:val="3"/>
            <w:vMerge w:val="restart"/>
          </w:tcPr>
          <w:p>
            <w:pPr>
              <w:jc w:val="center"/>
              <w:ind w:right="280"/>
              <w:spacing w:after="0"/>
              <w:rPr>
                <w:sz w:val="20"/>
                <w:szCs w:val="20"/>
                <w:color w:val="auto"/>
              </w:rPr>
            </w:pPr>
            <w:r>
              <w:rPr>
                <w:rFonts w:ascii="Arial" w:cs="Arial" w:eastAsia="Arial" w:hAnsi="Arial"/>
                <w:sz w:val="9"/>
                <w:szCs w:val="9"/>
                <w:b w:val="1"/>
                <w:bCs w:val="1"/>
                <w:color w:val="auto"/>
                <w:w w:val="87"/>
              </w:rPr>
              <w:t>Borrowings</w:t>
            </w:r>
          </w:p>
        </w:tc>
        <w:tc>
          <w:tcPr>
            <w:tcW w:w="80" w:type="dxa"/>
            <w:vAlign w:val="bottom"/>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6"/>
            <w:vMerge w:val="continue"/>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500" w:type="dxa"/>
            <w:vAlign w:val="bottom"/>
            <w:shd w:val="clear" w:color="auto" w:fill="CFF0FC"/>
          </w:tcPr>
          <w:p>
            <w:pPr>
              <w:ind w:left="20"/>
              <w:spacing w:after="0" w:line="102" w:lineRule="exact"/>
              <w:rPr>
                <w:sz w:val="20"/>
                <w:szCs w:val="20"/>
                <w:color w:val="auto"/>
              </w:rPr>
            </w:pPr>
            <w:r>
              <w:rPr>
                <w:rFonts w:ascii="Arial" w:cs="Arial" w:eastAsia="Arial" w:hAnsi="Arial"/>
                <w:sz w:val="9"/>
                <w:szCs w:val="9"/>
                <w:color w:val="auto"/>
              </w:rPr>
              <w:t>Stated interest expense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jc w:val="right"/>
              <w:ind w:right="335"/>
              <w:spacing w:after="0" w:line="102" w:lineRule="exact"/>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tcBorders>
            <w:gridSpan w:val="2"/>
            <w:shd w:val="clear" w:color="auto" w:fill="CFF0FC"/>
          </w:tcPr>
          <w:p>
            <w:pPr>
              <w:jc w:val="right"/>
              <w:spacing w:after="0" w:line="102" w:lineRule="exact"/>
              <w:rPr>
                <w:sz w:val="20"/>
                <w:szCs w:val="20"/>
                <w:color w:val="auto"/>
              </w:rPr>
            </w:pPr>
            <w:r>
              <w:rPr>
                <w:rFonts w:ascii="Arial" w:cs="Arial" w:eastAsia="Arial" w:hAnsi="Arial"/>
                <w:sz w:val="9"/>
                <w:szCs w:val="9"/>
                <w:color w:val="auto"/>
                <w:w w:val="97"/>
              </w:rPr>
              <w:t>1,650</w:t>
            </w: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60" w:type="dxa"/>
            <w:vAlign w:val="bottom"/>
            <w:tcBorders>
              <w:top w:val="single" w:sz="8" w:color="auto"/>
            </w:tcBorders>
            <w:shd w:val="clear" w:color="auto" w:fill="CFF0FC"/>
          </w:tcPr>
          <w:p>
            <w:pPr>
              <w:jc w:val="center"/>
              <w:ind w:right="256"/>
              <w:spacing w:after="0" w:line="102" w:lineRule="exact"/>
              <w:rPr>
                <w:sz w:val="20"/>
                <w:szCs w:val="20"/>
                <w:color w:val="auto"/>
              </w:rPr>
            </w:pPr>
            <w:r>
              <w:rPr>
                <w:rFonts w:ascii="Arial" w:cs="Arial" w:eastAsia="Arial" w:hAnsi="Arial"/>
                <w:sz w:val="9"/>
                <w:szCs w:val="9"/>
                <w:color w:val="auto"/>
              </w:rPr>
              <w:t>$</w:t>
            </w:r>
          </w:p>
        </w:tc>
        <w:tc>
          <w:tcPr>
            <w:tcW w:w="2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750</w:t>
            </w: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jc w:val="right"/>
              <w:ind w:right="396"/>
              <w:spacing w:after="0" w:line="102" w:lineRule="exact"/>
              <w:rPr>
                <w:sz w:val="20"/>
                <w:szCs w:val="20"/>
                <w:color w:val="auto"/>
              </w:rPr>
            </w:pPr>
            <w:r>
              <w:rPr>
                <w:rFonts w:ascii="Arial" w:cs="Arial" w:eastAsia="Arial" w:hAnsi="Arial"/>
                <w:sz w:val="9"/>
                <w:szCs w:val="9"/>
                <w:color w:val="auto"/>
                <w:w w:val="78"/>
              </w:rPr>
              <w:t>$</w:t>
            </w:r>
          </w:p>
        </w:tc>
        <w:tc>
          <w:tcPr>
            <w:tcW w:w="160" w:type="dxa"/>
            <w:vAlign w:val="bottom"/>
            <w:tcBorders>
              <w:top w:val="single" w:sz="8" w:color="auto"/>
            </w:tcBorders>
            <w:gridSpan w:val="2"/>
            <w:shd w:val="clear" w:color="auto" w:fill="CFF0FC"/>
          </w:tcPr>
          <w:p>
            <w:pPr>
              <w:jc w:val="right"/>
              <w:ind w:right="20"/>
              <w:spacing w:after="0" w:line="102" w:lineRule="exact"/>
              <w:rPr>
                <w:sz w:val="20"/>
                <w:szCs w:val="20"/>
                <w:color w:val="auto"/>
              </w:rPr>
            </w:pPr>
            <w:r>
              <w:rPr>
                <w:rFonts w:ascii="Arial" w:cs="Arial" w:eastAsia="Arial" w:hAnsi="Arial"/>
                <w:sz w:val="9"/>
                <w:szCs w:val="9"/>
                <w:color w:val="auto"/>
                <w:w w:val="79"/>
              </w:rPr>
              <w:t>437</w:t>
            </w: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4"/>
                <w:szCs w:val="4"/>
                <w:color w:val="auto"/>
                <w:w w:val="87"/>
              </w:rPr>
              <w:t>$</w:t>
            </w:r>
          </w:p>
        </w:tc>
        <w:tc>
          <w:tcPr>
            <w:tcW w:w="460" w:type="dxa"/>
            <w:vAlign w:val="bottom"/>
            <w:tcBorders>
              <w:top w:val="single" w:sz="8" w:color="auto"/>
            </w:tcBorders>
            <w:gridSpan w:val="2"/>
            <w:shd w:val="clear" w:color="auto" w:fill="CFF0FC"/>
          </w:tcPr>
          <w:p>
            <w:pPr>
              <w:jc w:val="right"/>
              <w:ind w:right="20"/>
              <w:spacing w:after="0" w:line="102" w:lineRule="exact"/>
              <w:rPr>
                <w:sz w:val="20"/>
                <w:szCs w:val="20"/>
                <w:color w:val="auto"/>
              </w:rPr>
            </w:pPr>
            <w:r>
              <w:rPr>
                <w:rFonts w:ascii="Arial" w:cs="Arial" w:eastAsia="Arial" w:hAnsi="Arial"/>
                <w:sz w:val="9"/>
                <w:szCs w:val="9"/>
                <w:color w:val="auto"/>
              </w:rPr>
              <w:t>5,156</w:t>
            </w: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gridSpan w:val="2"/>
            <w:shd w:val="clear" w:color="auto" w:fill="CFF0FC"/>
          </w:tcPr>
          <w:p>
            <w:pPr>
              <w:ind w:left="300"/>
              <w:spacing w:after="0" w:line="102" w:lineRule="exact"/>
              <w:rPr>
                <w:sz w:val="20"/>
                <w:szCs w:val="20"/>
                <w:color w:val="auto"/>
              </w:rPr>
            </w:pPr>
            <w:r>
              <w:rPr>
                <w:rFonts w:ascii="Arial" w:cs="Arial" w:eastAsia="Arial" w:hAnsi="Arial"/>
                <w:sz w:val="9"/>
                <w:szCs w:val="9"/>
                <w:color w:val="auto"/>
                <w:w w:val="88"/>
              </w:rPr>
              <w:t>7,993</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tcBorders>
              <w:top w:val="single" w:sz="8" w:color="auto"/>
            </w:tcBorders>
            <w:shd w:val="clear" w:color="auto" w:fill="CFF0FC"/>
          </w:tcPr>
          <w:p>
            <w:pPr>
              <w:jc w:val="right"/>
              <w:ind w:right="375"/>
              <w:spacing w:after="0" w:line="102" w:lineRule="exact"/>
              <w:rPr>
                <w:sz w:val="20"/>
                <w:szCs w:val="20"/>
                <w:color w:val="auto"/>
              </w:rPr>
            </w:pPr>
            <w:r>
              <w:rPr>
                <w:rFonts w:ascii="Arial" w:cs="Arial" w:eastAsia="Arial" w:hAnsi="Arial"/>
                <w:sz w:val="9"/>
                <w:szCs w:val="9"/>
                <w:color w:val="auto"/>
                <w:w w:val="78"/>
              </w:rPr>
              <w:t>$</w:t>
            </w:r>
          </w:p>
        </w:tc>
        <w:tc>
          <w:tcPr>
            <w:tcW w:w="2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w w:val="79"/>
              </w:rPr>
              <w:t>2,171</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jc w:val="right"/>
              <w:ind w:right="296"/>
              <w:spacing w:after="0" w:line="102" w:lineRule="exact"/>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w w:val="79"/>
              </w:rPr>
              <w:t>733</w:t>
            </w:r>
          </w:p>
        </w:tc>
        <w:tc>
          <w:tcPr>
            <w:tcW w:w="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w w:val="78"/>
              </w:rPr>
              <w:t>$</w:t>
            </w:r>
          </w:p>
        </w:tc>
        <w:tc>
          <w:tcPr>
            <w:tcW w:w="8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w w:val="88"/>
              </w:rPr>
              <w:t>5,735</w:t>
            </w:r>
          </w:p>
        </w:tc>
        <w:tc>
          <w:tcPr>
            <w:tcW w:w="1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w w:val="78"/>
              </w:rPr>
              <w:t>$</w:t>
            </w:r>
          </w:p>
        </w:tc>
        <w:tc>
          <w:tcPr>
            <w:tcW w:w="12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ind w:left="80"/>
              <w:spacing w:after="0" w:line="102" w:lineRule="exact"/>
              <w:rPr>
                <w:sz w:val="20"/>
                <w:szCs w:val="20"/>
                <w:color w:val="auto"/>
              </w:rPr>
            </w:pPr>
            <w:r>
              <w:rPr>
                <w:rFonts w:ascii="Arial" w:cs="Arial" w:eastAsia="Arial" w:hAnsi="Arial"/>
                <w:sz w:val="9"/>
                <w:szCs w:val="9"/>
                <w:color w:val="auto"/>
                <w:w w:val="88"/>
              </w:rPr>
              <w:t>8,639</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0"/>
              <w:spacing w:after="0"/>
              <w:rPr>
                <w:sz w:val="20"/>
                <w:szCs w:val="20"/>
                <w:color w:val="auto"/>
              </w:rPr>
            </w:pPr>
            <w:r>
              <w:rPr>
                <w:rFonts w:ascii="Arial" w:cs="Arial" w:eastAsia="Arial" w:hAnsi="Arial"/>
                <w:sz w:val="9"/>
                <w:szCs w:val="9"/>
                <w:color w:val="auto"/>
              </w:rPr>
              <w:t>Amortization of deferred financing costs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282</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225</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color w:val="auto"/>
              </w:rPr>
              <w:t>551</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2"/>
          </w:tcPr>
          <w:p>
            <w:pPr>
              <w:ind w:left="300"/>
              <w:spacing w:after="0"/>
              <w:rPr>
                <w:sz w:val="20"/>
                <w:szCs w:val="20"/>
                <w:color w:val="auto"/>
              </w:rPr>
            </w:pPr>
            <w:r>
              <w:rPr>
                <w:rFonts w:ascii="Arial" w:cs="Arial" w:eastAsia="Arial" w:hAnsi="Arial"/>
                <w:sz w:val="9"/>
                <w:szCs w:val="9"/>
                <w:color w:val="auto"/>
                <w:w w:val="88"/>
              </w:rPr>
              <w:t>1,058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270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9"/>
              </w:rPr>
              <w:t>225</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622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9"/>
                <w:szCs w:val="9"/>
                <w:color w:val="auto"/>
                <w:w w:val="79"/>
              </w:rPr>
              <w:t>1,117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500" w:type="dxa"/>
            <w:vAlign w:val="bottom"/>
            <w:tcBorders>
              <w:bottom w:val="single" w:sz="8" w:color="CFF0FC"/>
            </w:tcBorders>
            <w:shd w:val="clear" w:color="auto" w:fill="CFF0FC"/>
          </w:tcPr>
          <w:p>
            <w:pPr>
              <w:ind w:left="20"/>
              <w:spacing w:after="0" w:line="102" w:lineRule="exact"/>
              <w:rPr>
                <w:sz w:val="20"/>
                <w:szCs w:val="20"/>
                <w:color w:val="auto"/>
              </w:rPr>
            </w:pPr>
            <w:r>
              <w:rPr>
                <w:rFonts w:ascii="Arial" w:cs="Arial" w:eastAsia="Arial" w:hAnsi="Arial"/>
                <w:sz w:val="9"/>
                <w:szCs w:val="9"/>
                <w:color w:val="auto"/>
              </w:rPr>
              <w:t>Total interest and financing expenses</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ind w:right="335"/>
              <w:spacing w:after="0" w:line="102" w:lineRule="exact"/>
              <w:rPr>
                <w:sz w:val="20"/>
                <w:szCs w:val="20"/>
                <w:color w:val="auto"/>
              </w:rPr>
            </w:pPr>
            <w:r>
              <w:rPr>
                <w:rFonts w:ascii="Arial" w:cs="Arial" w:eastAsia="Arial" w:hAnsi="Arial"/>
                <w:sz w:val="9"/>
                <w:szCs w:val="9"/>
                <w:color w:val="auto"/>
                <w:w w:val="78"/>
              </w:rPr>
              <w:t>$</w:t>
            </w:r>
          </w:p>
        </w:tc>
        <w:tc>
          <w:tcPr>
            <w:tcW w:w="240" w:type="dxa"/>
            <w:vAlign w:val="bottom"/>
            <w:tcBorders>
              <w:bottom w:val="single" w:sz="8" w:color="auto"/>
            </w:tcBorders>
            <w:gridSpan w:val="2"/>
            <w:shd w:val="clear" w:color="auto" w:fill="CFF0FC"/>
          </w:tcPr>
          <w:p>
            <w:pPr>
              <w:jc w:val="right"/>
              <w:spacing w:after="0" w:line="102" w:lineRule="exact"/>
              <w:rPr>
                <w:sz w:val="20"/>
                <w:szCs w:val="20"/>
                <w:color w:val="auto"/>
              </w:rPr>
            </w:pPr>
            <w:r>
              <w:rPr>
                <w:rFonts w:ascii="Arial" w:cs="Arial" w:eastAsia="Arial" w:hAnsi="Arial"/>
                <w:sz w:val="9"/>
                <w:szCs w:val="9"/>
                <w:color w:val="auto"/>
                <w:w w:val="97"/>
              </w:rPr>
              <w:t>1,932</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center"/>
              <w:ind w:right="256"/>
              <w:spacing w:after="0" w:line="102" w:lineRule="exact"/>
              <w:rPr>
                <w:sz w:val="20"/>
                <w:szCs w:val="20"/>
                <w:color w:val="auto"/>
              </w:rPr>
            </w:pPr>
            <w:r>
              <w:rPr>
                <w:rFonts w:ascii="Arial" w:cs="Arial" w:eastAsia="Arial" w:hAnsi="Arial"/>
                <w:sz w:val="9"/>
                <w:szCs w:val="9"/>
                <w:color w:val="auto"/>
              </w:rPr>
              <w:t>$</w:t>
            </w:r>
          </w:p>
        </w:tc>
        <w:tc>
          <w:tcPr>
            <w:tcW w:w="220" w:type="dxa"/>
            <w:vAlign w:val="bottom"/>
            <w:tcBorders>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975</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ind w:right="396"/>
              <w:spacing w:after="0" w:line="102" w:lineRule="exact"/>
              <w:rPr>
                <w:sz w:val="20"/>
                <w:szCs w:val="20"/>
                <w:color w:val="auto"/>
              </w:rPr>
            </w:pPr>
            <w:r>
              <w:rPr>
                <w:rFonts w:ascii="Arial" w:cs="Arial" w:eastAsia="Arial" w:hAnsi="Arial"/>
                <w:sz w:val="9"/>
                <w:szCs w:val="9"/>
                <w:color w:val="auto"/>
                <w:w w:val="78"/>
              </w:rPr>
              <w:t>$</w:t>
            </w:r>
          </w:p>
        </w:tc>
        <w:tc>
          <w:tcPr>
            <w:tcW w:w="160" w:type="dxa"/>
            <w:vAlign w:val="bottom"/>
            <w:tcBorders>
              <w:bottom w:val="single" w:sz="8" w:color="auto"/>
            </w:tcBorders>
            <w:gridSpan w:val="2"/>
            <w:shd w:val="clear" w:color="auto" w:fill="CFF0FC"/>
          </w:tcPr>
          <w:p>
            <w:pPr>
              <w:jc w:val="right"/>
              <w:ind w:right="20"/>
              <w:spacing w:after="0" w:line="102" w:lineRule="exact"/>
              <w:rPr>
                <w:sz w:val="20"/>
                <w:szCs w:val="20"/>
                <w:color w:val="auto"/>
              </w:rPr>
            </w:pPr>
            <w:r>
              <w:rPr>
                <w:rFonts w:ascii="Arial" w:cs="Arial" w:eastAsia="Arial" w:hAnsi="Arial"/>
                <w:sz w:val="9"/>
                <w:szCs w:val="9"/>
                <w:color w:val="auto"/>
                <w:w w:val="79"/>
              </w:rPr>
              <w:t>437</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4"/>
                <w:szCs w:val="4"/>
                <w:color w:val="auto"/>
                <w:w w:val="87"/>
              </w:rPr>
              <w:t>$</w:t>
            </w:r>
          </w:p>
        </w:tc>
        <w:tc>
          <w:tcPr>
            <w:tcW w:w="460" w:type="dxa"/>
            <w:vAlign w:val="bottom"/>
            <w:tcBorders>
              <w:bottom w:val="single" w:sz="8" w:color="auto"/>
            </w:tcBorders>
            <w:gridSpan w:val="2"/>
            <w:shd w:val="clear" w:color="auto" w:fill="CFF0FC"/>
          </w:tcPr>
          <w:p>
            <w:pPr>
              <w:jc w:val="right"/>
              <w:ind w:right="20"/>
              <w:spacing w:after="0" w:line="102" w:lineRule="exact"/>
              <w:rPr>
                <w:sz w:val="20"/>
                <w:szCs w:val="20"/>
                <w:color w:val="auto"/>
              </w:rPr>
            </w:pPr>
            <w:r>
              <w:rPr>
                <w:rFonts w:ascii="Arial" w:cs="Arial" w:eastAsia="Arial" w:hAnsi="Arial"/>
                <w:sz w:val="9"/>
                <w:szCs w:val="9"/>
                <w:color w:val="auto"/>
              </w:rPr>
              <w:t>5,707</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gridSpan w:val="2"/>
            <w:shd w:val="clear" w:color="auto" w:fill="CFF0FC"/>
          </w:tcPr>
          <w:p>
            <w:pPr>
              <w:ind w:left="300"/>
              <w:spacing w:after="0" w:line="102" w:lineRule="exact"/>
              <w:rPr>
                <w:sz w:val="20"/>
                <w:szCs w:val="20"/>
                <w:color w:val="auto"/>
              </w:rPr>
            </w:pPr>
            <w:r>
              <w:rPr>
                <w:rFonts w:ascii="Arial" w:cs="Arial" w:eastAsia="Arial" w:hAnsi="Arial"/>
                <w:sz w:val="9"/>
                <w:szCs w:val="9"/>
                <w:color w:val="auto"/>
                <w:w w:val="88"/>
              </w:rPr>
              <w:t>9,051</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ind w:right="375"/>
              <w:spacing w:after="0" w:line="102" w:lineRule="exact"/>
              <w:rPr>
                <w:sz w:val="20"/>
                <w:szCs w:val="20"/>
                <w:color w:val="auto"/>
              </w:rPr>
            </w:pPr>
            <w:r>
              <w:rPr>
                <w:rFonts w:ascii="Arial" w:cs="Arial" w:eastAsia="Arial" w:hAnsi="Arial"/>
                <w:sz w:val="9"/>
                <w:szCs w:val="9"/>
                <w:color w:val="auto"/>
                <w:w w:val="78"/>
              </w:rPr>
              <w:t>$</w:t>
            </w:r>
          </w:p>
        </w:tc>
        <w:tc>
          <w:tcPr>
            <w:tcW w:w="220" w:type="dxa"/>
            <w:vAlign w:val="bottom"/>
            <w:tcBorders>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w w:val="79"/>
              </w:rPr>
              <w:t>2,441</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ind w:right="296"/>
              <w:spacing w:after="0" w:line="102" w:lineRule="exact"/>
              <w:rPr>
                <w:sz w:val="20"/>
                <w:szCs w:val="20"/>
                <w:color w:val="auto"/>
              </w:rPr>
            </w:pPr>
            <w:r>
              <w:rPr>
                <w:rFonts w:ascii="Arial" w:cs="Arial" w:eastAsia="Arial" w:hAnsi="Arial"/>
                <w:sz w:val="9"/>
                <w:szCs w:val="9"/>
                <w:color w:val="auto"/>
                <w:w w:val="78"/>
              </w:rPr>
              <w:t>$</w:t>
            </w:r>
          </w:p>
        </w:tc>
        <w:tc>
          <w:tcPr>
            <w:tcW w:w="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w w:val="79"/>
              </w:rPr>
              <w:t>958</w:t>
            </w:r>
          </w:p>
        </w:tc>
        <w:tc>
          <w:tcPr>
            <w:tcW w:w="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w w:val="78"/>
              </w:rPr>
              <w:t>$</w:t>
            </w:r>
          </w:p>
        </w:tc>
        <w:tc>
          <w:tcPr>
            <w:tcW w:w="8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spacing w:after="0" w:line="102" w:lineRule="exact"/>
              <w:rPr>
                <w:sz w:val="20"/>
                <w:szCs w:val="20"/>
                <w:color w:val="auto"/>
              </w:rPr>
            </w:pPr>
            <w:r>
              <w:rPr>
                <w:rFonts w:ascii="Arial" w:cs="Arial" w:eastAsia="Arial" w:hAnsi="Arial"/>
                <w:sz w:val="9"/>
                <w:szCs w:val="9"/>
                <w:color w:val="auto"/>
                <w:w w:val="88"/>
              </w:rPr>
              <w:t>6,357</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95"/>
              <w:spacing w:after="0" w:line="102" w:lineRule="exact"/>
              <w:rPr>
                <w:sz w:val="20"/>
                <w:szCs w:val="20"/>
                <w:color w:val="auto"/>
              </w:rPr>
            </w:pPr>
            <w:r>
              <w:rPr>
                <w:rFonts w:ascii="Arial" w:cs="Arial" w:eastAsia="Arial" w:hAnsi="Arial"/>
                <w:sz w:val="9"/>
                <w:szCs w:val="9"/>
                <w:color w:val="auto"/>
                <w:w w:val="78"/>
              </w:rPr>
              <w:t>$</w:t>
            </w:r>
          </w:p>
        </w:tc>
        <w:tc>
          <w:tcPr>
            <w:tcW w:w="12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ind w:left="80"/>
              <w:spacing w:after="0" w:line="102" w:lineRule="exact"/>
              <w:rPr>
                <w:sz w:val="20"/>
                <w:szCs w:val="20"/>
                <w:color w:val="auto"/>
              </w:rPr>
            </w:pPr>
            <w:r>
              <w:rPr>
                <w:rFonts w:ascii="Arial" w:cs="Arial" w:eastAsia="Arial" w:hAnsi="Arial"/>
                <w:sz w:val="9"/>
                <w:szCs w:val="9"/>
                <w:color w:val="auto"/>
                <w:w w:val="88"/>
              </w:rPr>
              <w:t>9,756</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500" w:type="dxa"/>
            <w:vAlign w:val="bottom"/>
          </w:tcPr>
          <w:p>
            <w:pPr>
              <w:ind w:left="20"/>
              <w:spacing w:after="0" w:line="89" w:lineRule="exact"/>
              <w:rPr>
                <w:sz w:val="20"/>
                <w:szCs w:val="20"/>
                <w:color w:val="auto"/>
              </w:rPr>
            </w:pPr>
            <w:r>
              <w:rPr>
                <w:rFonts w:ascii="Arial" w:cs="Arial" w:eastAsia="Arial" w:hAnsi="Arial"/>
                <w:sz w:val="9"/>
                <w:szCs w:val="9"/>
                <w:color w:val="auto"/>
              </w:rPr>
              <w:t>Weighted average stated interest rate, period end</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gridSpan w:val="3"/>
          </w:tcPr>
          <w:p>
            <w:pPr>
              <w:jc w:val="right"/>
              <w:ind w:right="20"/>
              <w:spacing w:after="0" w:line="89" w:lineRule="exact"/>
              <w:rPr>
                <w:sz w:val="20"/>
                <w:szCs w:val="20"/>
                <w:color w:val="auto"/>
              </w:rPr>
            </w:pPr>
            <w:r>
              <w:rPr>
                <w:rFonts w:ascii="Arial" w:cs="Arial" w:eastAsia="Arial" w:hAnsi="Arial"/>
                <w:sz w:val="9"/>
                <w:szCs w:val="9"/>
                <w:color w:val="auto"/>
                <w:w w:val="96"/>
              </w:rPr>
              <w:t>2.846 %</w:t>
            </w: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gridSpan w:val="2"/>
          </w:tcPr>
          <w:p>
            <w:pPr>
              <w:jc w:val="right"/>
              <w:ind w:right="95"/>
              <w:spacing w:after="0" w:line="89" w:lineRule="exact"/>
              <w:rPr>
                <w:sz w:val="20"/>
                <w:szCs w:val="20"/>
                <w:color w:val="auto"/>
              </w:rPr>
            </w:pPr>
            <w:r>
              <w:rPr>
                <w:rFonts w:ascii="Arial" w:cs="Arial" w:eastAsia="Arial" w:hAnsi="Arial"/>
                <w:sz w:val="9"/>
                <w:szCs w:val="9"/>
                <w:color w:val="auto"/>
              </w:rPr>
              <w:t>N/A</w:t>
            </w:r>
          </w:p>
        </w:tc>
        <w:tc>
          <w:tcPr>
            <w:tcW w:w="880" w:type="dxa"/>
            <w:vAlign w:val="bottom"/>
            <w:gridSpan w:val="5"/>
          </w:tcPr>
          <w:p>
            <w:pPr>
              <w:jc w:val="right"/>
              <w:ind w:right="20"/>
              <w:spacing w:after="0" w:line="89" w:lineRule="exact"/>
              <w:rPr>
                <w:sz w:val="20"/>
                <w:szCs w:val="20"/>
                <w:color w:val="auto"/>
              </w:rPr>
            </w:pPr>
            <w:r>
              <w:rPr>
                <w:rFonts w:ascii="Arial" w:cs="Arial" w:eastAsia="Arial" w:hAnsi="Arial"/>
                <w:sz w:val="9"/>
                <w:szCs w:val="9"/>
                <w:color w:val="auto"/>
              </w:rPr>
              <w:t>5.119 %</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tcPr>
          <w:p>
            <w:pPr>
              <w:jc w:val="right"/>
              <w:ind w:right="40"/>
              <w:spacing w:after="0" w:line="89" w:lineRule="exact"/>
              <w:rPr>
                <w:sz w:val="20"/>
                <w:szCs w:val="20"/>
                <w:color w:val="auto"/>
              </w:rPr>
            </w:pPr>
            <w:r>
              <w:rPr>
                <w:rFonts w:ascii="Arial" w:cs="Arial" w:eastAsia="Arial" w:hAnsi="Arial"/>
                <w:sz w:val="9"/>
                <w:szCs w:val="9"/>
                <w:color w:val="auto"/>
              </w:rPr>
              <w:t>4.125 %</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tcPr>
          <w:p>
            <w:pPr>
              <w:ind w:left="300"/>
              <w:spacing w:after="0" w:line="89" w:lineRule="exact"/>
              <w:rPr>
                <w:sz w:val="20"/>
                <w:szCs w:val="20"/>
                <w:color w:val="auto"/>
              </w:rPr>
            </w:pPr>
            <w:r>
              <w:rPr>
                <w:rFonts w:ascii="Arial" w:cs="Arial" w:eastAsia="Arial" w:hAnsi="Arial"/>
                <w:sz w:val="9"/>
                <w:szCs w:val="9"/>
                <w:color w:val="auto"/>
              </w:rPr>
              <w:t>3.753 %</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gridSpan w:val="2"/>
          </w:tcPr>
          <w:p>
            <w:pPr>
              <w:jc w:val="right"/>
              <w:ind w:right="18"/>
              <w:spacing w:after="0" w:line="89" w:lineRule="exact"/>
              <w:rPr>
                <w:sz w:val="20"/>
                <w:szCs w:val="20"/>
                <w:color w:val="auto"/>
              </w:rPr>
            </w:pPr>
            <w:r>
              <w:rPr>
                <w:rFonts w:ascii="Arial" w:cs="Arial" w:eastAsia="Arial" w:hAnsi="Arial"/>
                <w:sz w:val="9"/>
                <w:szCs w:val="9"/>
                <w:color w:val="auto"/>
                <w:w w:val="84"/>
              </w:rPr>
              <w:t>3.002 %</w:t>
            </w:r>
          </w:p>
        </w:tc>
        <w:tc>
          <w:tcPr>
            <w:tcW w:w="860" w:type="dxa"/>
            <w:vAlign w:val="bottom"/>
            <w:gridSpan w:val="6"/>
          </w:tcPr>
          <w:p>
            <w:pPr>
              <w:jc w:val="right"/>
              <w:ind w:right="75"/>
              <w:spacing w:after="0" w:line="89" w:lineRule="exact"/>
              <w:rPr>
                <w:sz w:val="20"/>
                <w:szCs w:val="20"/>
                <w:color w:val="auto"/>
              </w:rPr>
            </w:pPr>
            <w:r>
              <w:rPr>
                <w:rFonts w:ascii="Arial" w:cs="Arial" w:eastAsia="Arial" w:hAnsi="Arial"/>
                <w:sz w:val="9"/>
                <w:szCs w:val="9"/>
                <w:color w:val="auto"/>
              </w:rPr>
              <w:t>0.000 %</w:t>
            </w:r>
          </w:p>
        </w:tc>
        <w:tc>
          <w:tcPr>
            <w:tcW w:w="80" w:type="dxa"/>
            <w:vAlign w:val="bottom"/>
          </w:tcPr>
          <w:p>
            <w:pPr>
              <w:spacing w:after="0"/>
              <w:rPr>
                <w:sz w:val="7"/>
                <w:szCs w:val="7"/>
                <w:color w:val="auto"/>
              </w:rPr>
            </w:pPr>
          </w:p>
        </w:tc>
        <w:tc>
          <w:tcPr>
            <w:tcW w:w="880" w:type="dxa"/>
            <w:vAlign w:val="bottom"/>
            <w:gridSpan w:val="3"/>
          </w:tcPr>
          <w:p>
            <w:pPr>
              <w:jc w:val="right"/>
              <w:ind w:right="240"/>
              <w:spacing w:after="0" w:line="89" w:lineRule="exact"/>
              <w:rPr>
                <w:sz w:val="20"/>
                <w:szCs w:val="20"/>
                <w:color w:val="auto"/>
              </w:rPr>
            </w:pPr>
            <w:r>
              <w:rPr>
                <w:rFonts w:ascii="Arial" w:cs="Arial" w:eastAsia="Arial" w:hAnsi="Arial"/>
                <w:sz w:val="9"/>
                <w:szCs w:val="9"/>
                <w:color w:val="auto"/>
              </w:rPr>
              <w:t>N/A</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2"/>
          </w:tcPr>
          <w:p>
            <w:pPr>
              <w:jc w:val="right"/>
              <w:ind w:right="60"/>
              <w:spacing w:after="0" w:line="89" w:lineRule="exact"/>
              <w:rPr>
                <w:sz w:val="20"/>
                <w:szCs w:val="20"/>
                <w:color w:val="auto"/>
              </w:rPr>
            </w:pPr>
            <w:r>
              <w:rPr>
                <w:rFonts w:ascii="Arial" w:cs="Arial" w:eastAsia="Arial" w:hAnsi="Arial"/>
                <w:sz w:val="9"/>
                <w:szCs w:val="9"/>
                <w:color w:val="auto"/>
                <w:w w:val="90"/>
              </w:rPr>
              <w:t>5.055 %</w:t>
            </w: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gridSpan w:val="2"/>
          </w:tcPr>
          <w:p>
            <w:pPr>
              <w:ind w:left="80"/>
              <w:spacing w:after="0" w:line="89" w:lineRule="exact"/>
              <w:rPr>
                <w:sz w:val="20"/>
                <w:szCs w:val="20"/>
                <w:color w:val="auto"/>
              </w:rPr>
            </w:pPr>
            <w:r>
              <w:rPr>
                <w:rFonts w:ascii="Arial" w:cs="Arial" w:eastAsia="Arial" w:hAnsi="Arial"/>
                <w:sz w:val="9"/>
                <w:szCs w:val="9"/>
                <w:color w:val="auto"/>
                <w:w w:val="96"/>
              </w:rPr>
              <w:t>4.230 %</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ind w:left="20"/>
              <w:spacing w:after="0"/>
              <w:rPr>
                <w:sz w:val="20"/>
                <w:szCs w:val="20"/>
                <w:color w:val="auto"/>
              </w:rPr>
            </w:pPr>
            <w:r>
              <w:rPr>
                <w:rFonts w:ascii="Arial" w:cs="Arial" w:eastAsia="Arial" w:hAnsi="Arial"/>
                <w:sz w:val="9"/>
                <w:szCs w:val="9"/>
                <w:color w:val="auto"/>
              </w:rPr>
              <w:t>Unused commitment fee rate, period end</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60" w:type="dxa"/>
            <w:vAlign w:val="bottom"/>
            <w:gridSpan w:val="3"/>
            <w:shd w:val="clear" w:color="auto" w:fill="CFF0FC"/>
          </w:tcPr>
          <w:p>
            <w:pPr>
              <w:jc w:val="right"/>
              <w:ind w:right="120"/>
              <w:spacing w:after="0"/>
              <w:rPr>
                <w:sz w:val="20"/>
                <w:szCs w:val="20"/>
                <w:color w:val="auto"/>
              </w:rPr>
            </w:pPr>
            <w:r>
              <w:rPr>
                <w:rFonts w:ascii="Arial" w:cs="Arial" w:eastAsia="Arial" w:hAnsi="Arial"/>
                <w:sz w:val="9"/>
                <w:szCs w:val="9"/>
                <w:color w:val="auto"/>
              </w:rPr>
              <w:t>N/A</w:t>
            </w:r>
          </w:p>
        </w:tc>
        <w:tc>
          <w:tcPr>
            <w:tcW w:w="1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w w:val="84"/>
              </w:rPr>
              <w:t>1.375 %</w:t>
            </w:r>
          </w:p>
        </w:tc>
        <w:tc>
          <w:tcPr>
            <w:tcW w:w="120" w:type="dxa"/>
            <w:vAlign w:val="bottom"/>
            <w:shd w:val="clear" w:color="auto" w:fill="CFF0FC"/>
          </w:tcPr>
          <w:p>
            <w:pPr>
              <w:spacing w:after="0"/>
              <w:rPr>
                <w:sz w:val="9"/>
                <w:szCs w:val="9"/>
                <w:color w:val="auto"/>
              </w:rPr>
            </w:pPr>
          </w:p>
        </w:tc>
        <w:tc>
          <w:tcPr>
            <w:tcW w:w="920" w:type="dxa"/>
            <w:vAlign w:val="bottom"/>
            <w:gridSpan w:val="6"/>
            <w:shd w:val="clear" w:color="auto" w:fill="CFF0FC"/>
          </w:tcPr>
          <w:p>
            <w:pPr>
              <w:ind w:left="480"/>
              <w:spacing w:after="0"/>
              <w:rPr>
                <w:sz w:val="20"/>
                <w:szCs w:val="20"/>
                <w:color w:val="auto"/>
              </w:rPr>
            </w:pPr>
            <w:r>
              <w:rPr>
                <w:rFonts w:ascii="Arial" w:cs="Arial" w:eastAsia="Arial" w:hAnsi="Arial"/>
                <w:sz w:val="9"/>
                <w:szCs w:val="9"/>
                <w:color w:val="auto"/>
              </w:rPr>
              <w:t>N/A</w:t>
            </w:r>
          </w:p>
        </w:tc>
        <w:tc>
          <w:tcPr>
            <w:tcW w:w="100" w:type="dxa"/>
            <w:vAlign w:val="bottom"/>
            <w:shd w:val="clear" w:color="auto" w:fill="CFF0FC"/>
          </w:tcPr>
          <w:p>
            <w:pPr>
              <w:spacing w:after="0"/>
              <w:rPr>
                <w:sz w:val="9"/>
                <w:szCs w:val="9"/>
                <w:color w:val="auto"/>
              </w:rPr>
            </w:pPr>
          </w:p>
        </w:tc>
        <w:tc>
          <w:tcPr>
            <w:tcW w:w="580" w:type="dxa"/>
            <w:vAlign w:val="bottom"/>
            <w:gridSpan w:val="3"/>
            <w:shd w:val="clear" w:color="auto" w:fill="CFF0FC"/>
          </w:tcPr>
          <w:p>
            <w:pPr>
              <w:jc w:val="right"/>
              <w:ind w:right="140"/>
              <w:spacing w:after="0"/>
              <w:rPr>
                <w:sz w:val="20"/>
                <w:szCs w:val="20"/>
                <w:color w:val="auto"/>
              </w:rPr>
            </w:pPr>
            <w:r>
              <w:rPr>
                <w:rFonts w:ascii="Arial" w:cs="Arial" w:eastAsia="Arial" w:hAnsi="Arial"/>
                <w:sz w:val="9"/>
                <w:szCs w:val="9"/>
                <w:color w:val="auto"/>
              </w:rPr>
              <w:t>N/A</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gridSpan w:val="3"/>
            <w:shd w:val="clear" w:color="auto" w:fill="CFF0FC"/>
          </w:tcPr>
          <w:p>
            <w:pPr>
              <w:ind w:left="300"/>
              <w:spacing w:after="0"/>
              <w:rPr>
                <w:sz w:val="20"/>
                <w:szCs w:val="20"/>
                <w:color w:val="auto"/>
              </w:rPr>
            </w:pPr>
            <w:r>
              <w:rPr>
                <w:rFonts w:ascii="Arial" w:cs="Arial" w:eastAsia="Arial" w:hAnsi="Arial"/>
                <w:sz w:val="9"/>
                <w:szCs w:val="9"/>
                <w:color w:val="auto"/>
              </w:rPr>
              <w:t>1.375 %</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340" w:type="dxa"/>
            <w:vAlign w:val="bottom"/>
            <w:gridSpan w:val="2"/>
            <w:shd w:val="clear" w:color="auto" w:fill="CFF0FC"/>
          </w:tcPr>
          <w:p>
            <w:pPr>
              <w:jc w:val="right"/>
              <w:ind w:right="118"/>
              <w:spacing w:after="0"/>
              <w:rPr>
                <w:sz w:val="20"/>
                <w:szCs w:val="20"/>
                <w:color w:val="auto"/>
              </w:rPr>
            </w:pPr>
            <w:r>
              <w:rPr>
                <w:rFonts w:ascii="Arial" w:cs="Arial" w:eastAsia="Arial" w:hAnsi="Arial"/>
                <w:sz w:val="9"/>
                <w:szCs w:val="9"/>
                <w:color w:val="auto"/>
              </w:rPr>
              <w:t>N/A</w:t>
            </w:r>
          </w:p>
        </w:tc>
        <w:tc>
          <w:tcPr>
            <w:tcW w:w="860" w:type="dxa"/>
            <w:vAlign w:val="bottom"/>
            <w:gridSpan w:val="6"/>
            <w:shd w:val="clear" w:color="auto" w:fill="CFF0FC"/>
          </w:tcPr>
          <w:p>
            <w:pPr>
              <w:jc w:val="right"/>
              <w:ind w:right="75"/>
              <w:spacing w:after="0"/>
              <w:rPr>
                <w:sz w:val="20"/>
                <w:szCs w:val="20"/>
                <w:color w:val="auto"/>
              </w:rPr>
            </w:pPr>
            <w:r>
              <w:rPr>
                <w:rFonts w:ascii="Arial" w:cs="Arial" w:eastAsia="Arial" w:hAnsi="Arial"/>
                <w:sz w:val="9"/>
                <w:szCs w:val="9"/>
                <w:color w:val="auto"/>
              </w:rPr>
              <w:t>1.375 %</w:t>
            </w:r>
          </w:p>
        </w:tc>
        <w:tc>
          <w:tcPr>
            <w:tcW w:w="80" w:type="dxa"/>
            <w:vAlign w:val="bottom"/>
            <w:shd w:val="clear" w:color="auto" w:fill="CFF0FC"/>
          </w:tcPr>
          <w:p>
            <w:pPr>
              <w:spacing w:after="0"/>
              <w:rPr>
                <w:sz w:val="9"/>
                <w:szCs w:val="9"/>
                <w:color w:val="auto"/>
              </w:rPr>
            </w:pP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9"/>
                <w:szCs w:val="9"/>
                <w:color w:val="auto"/>
              </w:rPr>
              <w:t>N/A</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9"/>
                <w:szCs w:val="9"/>
                <w:color w:val="auto"/>
              </w:rPr>
              <w:t>N/A</w:t>
            </w: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9"/>
                <w:szCs w:val="9"/>
                <w:color w:val="auto"/>
                <w:w w:val="96"/>
              </w:rPr>
              <w:t>1.375 %</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-736600</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-719455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-736600</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-719455</wp:posOffset>
            </wp:positionV>
            <wp:extent cx="774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-736600</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-719455</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-736600</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-719455</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-736600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-719455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-736600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-719455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-736600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-719455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-736600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-719455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-736600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-719455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-162560</wp:posOffset>
            </wp:positionV>
            <wp:extent cx="768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-145415</wp:posOffset>
            </wp:positionV>
            <wp:extent cx="768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-162560</wp:posOffset>
            </wp:positionV>
            <wp:extent cx="768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-145415</wp:posOffset>
            </wp:positionV>
            <wp:extent cx="768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-162560</wp:posOffset>
            </wp:positionV>
            <wp:extent cx="774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-145415</wp:posOffset>
            </wp:positionV>
            <wp:extent cx="7747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-162560</wp:posOffset>
            </wp:positionV>
            <wp:extent cx="774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-145415</wp:posOffset>
            </wp:positionV>
            <wp:extent cx="774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-162560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-145415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-162560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-145415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-162560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-145415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-162560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-145415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-162560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-145415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-162560</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-145415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Losses on Extinguishment of Debt</w:t>
      </w:r>
    </w:p>
    <w:p>
      <w:pPr>
        <w:spacing w:after="0" w:line="158" w:lineRule="exact"/>
        <w:rPr>
          <w:sz w:val="20"/>
          <w:szCs w:val="20"/>
          <w:color w:val="auto"/>
        </w:rPr>
      </w:pPr>
    </w:p>
    <w:p>
      <w:pPr>
        <w:jc w:val="both"/>
        <w:ind w:firstLine="469"/>
        <w:spacing w:after="0" w:line="238" w:lineRule="auto"/>
        <w:rPr>
          <w:sz w:val="20"/>
          <w:szCs w:val="20"/>
          <w:color w:val="auto"/>
        </w:rPr>
      </w:pPr>
      <w:r>
        <w:rPr>
          <w:rFonts w:ascii="Arial" w:cs="Arial" w:eastAsia="Arial" w:hAnsi="Arial"/>
          <w:sz w:val="18"/>
          <w:szCs w:val="18"/>
          <w:color w:val="auto"/>
        </w:rPr>
        <w:t>During the six months ended June 30, 2022 and 2021, the Company prepaid $20,000 and $19,200 of SBA debentures, respectively, which were scheduled to mature on dates ranging from 2025 to 2028 and 2025 to 2028, respectively. During the six months ended June 30, 2021, the Company redeemed $50,000 of the issued and outstanding 2023 Notes. As a result of the prepayments, the Company recognized realized losses on extinguishment of debt of $198 and $2,180, respectively, equal to the write-off of the related unamortized deferred financing costs, during the six months ended June 30, 2022 and 2021.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158" w:lineRule="exact"/>
        <w:rPr>
          <w:sz w:val="20"/>
          <w:szCs w:val="20"/>
          <w:color w:val="auto"/>
        </w:rPr>
      </w:pPr>
    </w:p>
    <w:p>
      <w:pPr>
        <w:jc w:val="both"/>
        <w:ind w:right="20" w:firstLine="464"/>
        <w:spacing w:after="0" w:line="248" w:lineRule="auto"/>
        <w:rPr>
          <w:sz w:val="20"/>
          <w:szCs w:val="20"/>
          <w:color w:val="auto"/>
        </w:rPr>
      </w:pPr>
      <w:r>
        <w:rPr>
          <w:rFonts w:ascii="Arial" w:cs="Arial" w:eastAsia="Arial" w:hAnsi="Arial"/>
          <w:sz w:val="18"/>
          <w:szCs w:val="18"/>
          <w:color w:val="auto"/>
        </w:rPr>
        <w:t>Deferred financing costs are amortized into interest and financing expenses on the consolidated statements of operations, using the effective interest method, over the term of the respective financing instrument. Deferred financing costs related to the SBA debentures, the Credit Facility, and the Notes as of June 30, 2022 and December 31, 2021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5"/>
              </w:rPr>
              <w:t>December 31, 2021</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600"/>
              <w:spacing w:after="0" w:line="160" w:lineRule="exact"/>
              <w:rPr>
                <w:sz w:val="20"/>
                <w:szCs w:val="20"/>
                <w:color w:val="auto"/>
              </w:rPr>
            </w:pPr>
            <w:r>
              <w:rPr>
                <w:rFonts w:ascii="Arial" w:cs="Arial" w:eastAsia="Arial" w:hAnsi="Arial"/>
                <w:sz w:val="14"/>
                <w:szCs w:val="14"/>
                <w:b w:val="1"/>
                <w:bCs w:val="1"/>
                <w:color w:val="auto"/>
              </w:rPr>
              <w:t>SBA</w:t>
            </w:r>
          </w:p>
        </w:tc>
        <w:tc>
          <w:tcPr>
            <w:tcW w:w="120" w:type="dxa"/>
            <w:vAlign w:val="bottom"/>
          </w:tcPr>
          <w:p>
            <w:pPr>
              <w:spacing w:after="0"/>
              <w:rPr>
                <w:sz w:val="13"/>
                <w:szCs w:val="13"/>
                <w:color w:val="auto"/>
              </w:rPr>
            </w:pPr>
          </w:p>
        </w:tc>
        <w:tc>
          <w:tcPr>
            <w:tcW w:w="880" w:type="dxa"/>
            <w:vAlign w:val="bottom"/>
            <w:gridSpan w:val="2"/>
          </w:tcPr>
          <w:p>
            <w:pPr>
              <w:jc w:val="right"/>
              <w:ind w:right="420"/>
              <w:spacing w:after="0" w:line="160" w:lineRule="exact"/>
              <w:rPr>
                <w:sz w:val="20"/>
                <w:szCs w:val="20"/>
                <w:color w:val="auto"/>
              </w:rPr>
            </w:pPr>
            <w:r>
              <w:rPr>
                <w:rFonts w:ascii="Arial" w:cs="Arial" w:eastAsia="Arial" w:hAnsi="Arial"/>
                <w:sz w:val="14"/>
                <w:szCs w:val="14"/>
                <w:b w:val="1"/>
                <w:bCs w:val="1"/>
                <w:color w:val="auto"/>
              </w:rPr>
              <w:t>Credit</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560"/>
              <w:spacing w:after="0" w:line="160" w:lineRule="exact"/>
              <w:rPr>
                <w:sz w:val="20"/>
                <w:szCs w:val="20"/>
                <w:color w:val="auto"/>
              </w:rPr>
            </w:pPr>
            <w:r>
              <w:rPr>
                <w:rFonts w:ascii="Arial" w:cs="Arial" w:eastAsia="Arial" w:hAnsi="Arial"/>
                <w:sz w:val="14"/>
                <w:szCs w:val="14"/>
                <w:b w:val="1"/>
                <w:bCs w:val="1"/>
                <w:color w:val="auto"/>
              </w:rPr>
              <w:t>SBA</w:t>
            </w:r>
          </w:p>
        </w:tc>
        <w:tc>
          <w:tcPr>
            <w:tcW w:w="100" w:type="dxa"/>
            <w:vAlign w:val="bottom"/>
          </w:tcPr>
          <w:p>
            <w:pPr>
              <w:spacing w:after="0"/>
              <w:rPr>
                <w:sz w:val="13"/>
                <w:szCs w:val="13"/>
                <w:color w:val="auto"/>
              </w:rPr>
            </w:pPr>
          </w:p>
        </w:tc>
        <w:tc>
          <w:tcPr>
            <w:tcW w:w="860" w:type="dxa"/>
            <w:vAlign w:val="bottom"/>
            <w:gridSpan w:val="2"/>
          </w:tcPr>
          <w:p>
            <w:pPr>
              <w:jc w:val="right"/>
              <w:ind w:right="400"/>
              <w:spacing w:after="0" w:line="160" w:lineRule="exact"/>
              <w:rPr>
                <w:sz w:val="20"/>
                <w:szCs w:val="20"/>
                <w:color w:val="auto"/>
              </w:rPr>
            </w:pPr>
            <w:r>
              <w:rPr>
                <w:rFonts w:ascii="Arial" w:cs="Arial" w:eastAsia="Arial" w:hAnsi="Arial"/>
                <w:sz w:val="14"/>
                <w:szCs w:val="14"/>
                <w:b w:val="1"/>
                <w:bCs w:val="1"/>
                <w:color w:val="auto"/>
              </w:rPr>
              <w:t>Credit</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debentures</w:t>
            </w:r>
          </w:p>
        </w:tc>
        <w:tc>
          <w:tcPr>
            <w:tcW w:w="120" w:type="dxa"/>
            <w:vAlign w:val="bottom"/>
          </w:tcPr>
          <w:p>
            <w:pPr>
              <w:spacing w:after="0"/>
              <w:rPr>
                <w:sz w:val="16"/>
                <w:szCs w:val="16"/>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Facility</w:t>
            </w:r>
          </w:p>
        </w:tc>
        <w:tc>
          <w:tcPr>
            <w:tcW w:w="140" w:type="dxa"/>
            <w:vAlign w:val="bottom"/>
          </w:tcPr>
          <w:p>
            <w:pPr>
              <w:spacing w:after="0"/>
              <w:rPr>
                <w:sz w:val="16"/>
                <w:szCs w:val="16"/>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Notes</w:t>
            </w:r>
          </w:p>
        </w:tc>
        <w:tc>
          <w:tcPr>
            <w:tcW w:w="140" w:type="dxa"/>
            <w:vAlign w:val="bottom"/>
          </w:tcPr>
          <w:p>
            <w:pPr>
              <w:spacing w:after="0"/>
              <w:rPr>
                <w:sz w:val="16"/>
                <w:szCs w:val="16"/>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debentures</w:t>
            </w:r>
          </w:p>
        </w:tc>
        <w:tc>
          <w:tcPr>
            <w:tcW w:w="10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6"/>
                <w:szCs w:val="16"/>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Notes</w:t>
            </w:r>
          </w:p>
        </w:tc>
        <w:tc>
          <w:tcPr>
            <w:tcW w:w="14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69"/>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SBA debenture commitment fees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2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4"/>
                <w:szCs w:val="14"/>
                <w:color w:val="auto"/>
              </w:rPr>
            </w:pPr>
          </w:p>
        </w:tc>
      </w:tr>
      <w:tr>
        <w:trPr>
          <w:trHeight w:val="176"/>
        </w:trPr>
        <w:tc>
          <w:tcPr>
            <w:tcW w:w="3280" w:type="dxa"/>
            <w:vAlign w:val="bottom"/>
          </w:tcPr>
          <w:p>
            <w:pPr>
              <w:ind w:left="20"/>
              <w:spacing w:after="0"/>
              <w:rPr>
                <w:sz w:val="20"/>
                <w:szCs w:val="20"/>
                <w:color w:val="auto"/>
              </w:rPr>
            </w:pPr>
            <w:r>
              <w:rPr>
                <w:rFonts w:ascii="Arial" w:cs="Arial" w:eastAsia="Arial" w:hAnsi="Arial"/>
                <w:sz w:val="14"/>
                <w:szCs w:val="14"/>
                <w:color w:val="auto"/>
              </w:rPr>
              <w:t>SBA debenture leverage fees</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5,549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5,549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4,538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4,538</w:t>
            </w:r>
          </w:p>
        </w:tc>
        <w:tc>
          <w:tcPr>
            <w:tcW w:w="100" w:type="dxa"/>
            <w:vAlign w:val="bottom"/>
          </w:tcPr>
          <w:p>
            <w:pPr>
              <w:spacing w:after="0"/>
              <w:rPr>
                <w:sz w:val="15"/>
                <w:szCs w:val="15"/>
                <w:color w:val="auto"/>
              </w:rPr>
            </w:pPr>
          </w:p>
        </w:tc>
      </w:tr>
      <w:tr>
        <w:trPr>
          <w:trHeight w:val="17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Facility upfront fees</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w:t>
            </w:r>
          </w:p>
        </w:tc>
        <w:tc>
          <w:tcPr>
            <w:tcW w:w="100" w:type="dxa"/>
            <w:vAlign w:val="bottom"/>
            <w:shd w:val="clear" w:color="auto" w:fill="CCEEFF"/>
          </w:tcPr>
          <w:p>
            <w:pPr>
              <w:spacing w:after="0"/>
              <w:rPr>
                <w:sz w:val="15"/>
                <w:szCs w:val="15"/>
                <w:color w:val="auto"/>
              </w:rPr>
            </w:pPr>
          </w:p>
        </w:tc>
      </w:tr>
      <w:tr>
        <w:trPr>
          <w:trHeight w:val="175"/>
        </w:trPr>
        <w:tc>
          <w:tcPr>
            <w:tcW w:w="3280" w:type="dxa"/>
            <w:vAlign w:val="bottom"/>
          </w:tcPr>
          <w:p>
            <w:pPr>
              <w:ind w:left="20"/>
              <w:spacing w:after="0"/>
              <w:rPr>
                <w:sz w:val="20"/>
                <w:szCs w:val="20"/>
                <w:color w:val="auto"/>
              </w:rPr>
            </w:pPr>
            <w:r>
              <w:rPr>
                <w:rFonts w:ascii="Arial" w:cs="Arial" w:eastAsia="Arial" w:hAnsi="Arial"/>
                <w:sz w:val="14"/>
                <w:szCs w:val="14"/>
                <w:color w:val="auto"/>
              </w:rPr>
              <w:t>Notes underwriting discounts</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5,005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5,005</w:t>
            </w:r>
          </w:p>
        </w:tc>
        <w:tc>
          <w:tcPr>
            <w:tcW w:w="100" w:type="dxa"/>
            <w:vAlign w:val="bottom"/>
          </w:tcPr>
          <w:p>
            <w:pPr>
              <w:spacing w:after="0"/>
              <w:rPr>
                <w:sz w:val="15"/>
                <w:szCs w:val="15"/>
                <w:color w:val="auto"/>
              </w:rPr>
            </w:pPr>
          </w:p>
        </w:tc>
      </w:tr>
      <w:tr>
        <w:trPr>
          <w:trHeight w:val="17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debt issue costs</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15"/>
                <w:szCs w:val="15"/>
                <w:color w:val="auto"/>
              </w:rPr>
            </w:pPr>
          </w:p>
        </w:tc>
      </w:tr>
      <w:tr>
        <w:trPr>
          <w:trHeight w:val="169"/>
        </w:trPr>
        <w:tc>
          <w:tcPr>
            <w:tcW w:w="328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Total deferred financing costs</w:t>
            </w: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8,549</w:t>
            </w:r>
          </w:p>
        </w:tc>
        <w:tc>
          <w:tcPr>
            <w:tcW w:w="2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3,238</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5,690</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17,477</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7,038</w:t>
            </w:r>
          </w:p>
        </w:tc>
        <w:tc>
          <w:tcPr>
            <w:tcW w:w="2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3,238</w:t>
            </w:r>
          </w:p>
        </w:tc>
        <w:tc>
          <w:tcPr>
            <w:tcW w:w="2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5,690</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15,966</w:t>
            </w:r>
          </w:p>
        </w:tc>
        <w:tc>
          <w:tcPr>
            <w:tcW w:w="100" w:type="dxa"/>
            <w:vAlign w:val="bottom"/>
            <w:tcBorders>
              <w:top w:val="single" w:sz="8" w:color="CCEEFF"/>
            </w:tcBorders>
          </w:tcPr>
          <w:p>
            <w:pPr>
              <w:spacing w:after="0"/>
              <w:rPr>
                <w:sz w:val="14"/>
                <w:szCs w:val="14"/>
                <w:color w:val="auto"/>
              </w:rPr>
            </w:pPr>
          </w:p>
        </w:tc>
      </w:tr>
      <w:tr>
        <w:trPr>
          <w:trHeight w:val="175"/>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(4,496 )</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(2,868 )</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(1,257 )</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(8,621 )</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(4,016 )</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(2,643 )</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(706 )</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(7,365 )</w:t>
            </w:r>
          </w:p>
        </w:tc>
      </w:tr>
      <w:tr>
        <w:trPr>
          <w:trHeight w:val="169"/>
        </w:trPr>
        <w:tc>
          <w:tcPr>
            <w:tcW w:w="328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Unamortized deferred financing costs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4,053</w:t>
            </w:r>
          </w:p>
        </w:tc>
        <w:tc>
          <w:tcPr>
            <w:tcW w:w="28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4,433</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8,856</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3,022</w:t>
            </w:r>
          </w:p>
        </w:tc>
        <w:tc>
          <w:tcPr>
            <w:tcW w:w="24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595</w:t>
            </w:r>
          </w:p>
        </w:tc>
        <w:tc>
          <w:tcPr>
            <w:tcW w:w="26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4,984</w:t>
            </w: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8,601</w:t>
            </w:r>
          </w:p>
        </w:tc>
        <w:tc>
          <w:tcPr>
            <w:tcW w:w="100" w:type="dxa"/>
            <w:vAlign w:val="bottom"/>
            <w:tcBorders>
              <w:top w:val="single" w:sz="8" w:color="CCEEFF"/>
            </w:tcBorders>
          </w:tcPr>
          <w:p>
            <w:pPr>
              <w:spacing w:after="0"/>
              <w:rPr>
                <w:sz w:val="14"/>
                <w:szCs w:val="14"/>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-373380</wp:posOffset>
            </wp:positionV>
            <wp:extent cx="76835" cy="1168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11684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-373380</wp:posOffset>
            </wp:positionV>
            <wp:extent cx="77470" cy="1168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470" cy="11684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-373380</wp:posOffset>
            </wp:positionV>
            <wp:extent cx="77470" cy="1168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11684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-373380</wp:posOffset>
            </wp:positionV>
            <wp:extent cx="68580" cy="1168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11684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-373380</wp:posOffset>
            </wp:positionV>
            <wp:extent cx="68580" cy="1168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11684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-373380</wp:posOffset>
            </wp:positionV>
            <wp:extent cx="68580" cy="1168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11684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-373380</wp:posOffset>
            </wp:positionV>
            <wp:extent cx="68580" cy="1168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1168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-373380</wp:posOffset>
            </wp:positionV>
            <wp:extent cx="68580" cy="1168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11684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-142240</wp:posOffset>
            </wp:positionV>
            <wp:extent cx="76835" cy="1428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14287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-142240</wp:posOffset>
            </wp:positionV>
            <wp:extent cx="77470" cy="1428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14287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-142240</wp:posOffset>
            </wp:positionV>
            <wp:extent cx="77470" cy="1428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14287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-142240</wp:posOffset>
            </wp:positionV>
            <wp:extent cx="68580" cy="1428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14287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-142240</wp:posOffset>
            </wp:positionV>
            <wp:extent cx="68580" cy="1428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4287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-142240</wp:posOffset>
            </wp:positionV>
            <wp:extent cx="68580" cy="1428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14287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-142240</wp:posOffset>
            </wp:positionV>
            <wp:extent cx="68580" cy="1428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1428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1428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142875"/>
                    </a:xfrm>
                    <a:prstGeom prst="rect">
                      <a:avLst/>
                    </a:prstGeom>
                    <a:noFill/>
                  </pic:spPr>
                </pic:pic>
              </a:graphicData>
            </a:graphic>
          </wp:anchor>
        </w:drawing>
      </w:r>
    </w:p>
    <w:p>
      <w:pPr>
        <w:spacing w:after="0" w:line="168" w:lineRule="exact"/>
        <w:rPr>
          <w:sz w:val="20"/>
          <w:szCs w:val="20"/>
          <w:color w:val="auto"/>
        </w:rPr>
      </w:pPr>
    </w:p>
    <w:p>
      <w:pPr>
        <w:jc w:val="both"/>
        <w:ind w:firstLine="479"/>
        <w:spacing w:after="0" w:line="248" w:lineRule="auto"/>
        <w:rPr>
          <w:sz w:val="20"/>
          <w:szCs w:val="20"/>
          <w:color w:val="auto"/>
        </w:rPr>
      </w:pPr>
      <w:r>
        <w:rPr>
          <w:rFonts w:ascii="Arial" w:cs="Arial" w:eastAsia="Arial" w:hAnsi="Arial"/>
          <w:sz w:val="18"/>
          <w:szCs w:val="18"/>
          <w:color w:val="auto"/>
        </w:rPr>
        <w:t>Unamortized deferred financing costs are presented as a direct offset to the SBA debentures, the Credit Facility and the Notes liabilities on the consolidated statements of assets and liabilities. The following table summarizes the outstanding debt net of unamortized deferred financing costs as of June 30, 2022 and December 31, 2021: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3"/>
                <w:szCs w:val="13"/>
                <w:b w:val="1"/>
                <w:bCs w:val="1"/>
                <w:color w:val="auto"/>
              </w:rPr>
              <w:t>June 30, 2022</w:t>
            </w:r>
            <w:r>
              <w:rPr>
                <w:rFonts w:ascii="Arial" w:cs="Arial" w:eastAsia="Arial" w:hAnsi="Arial"/>
                <w:sz w:val="16"/>
                <w:szCs w:val="16"/>
                <w:b w:val="1"/>
                <w:bCs w:val="1"/>
                <w:color w:val="auto"/>
                <w:vertAlign w:val="superscript"/>
              </w:rPr>
              <w:t>(1)</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3"/>
                <w:szCs w:val="13"/>
                <w:b w:val="1"/>
                <w:bCs w:val="1"/>
                <w:color w:val="auto"/>
              </w:rPr>
              <w:t>December 31, 2021</w:t>
            </w:r>
            <w:r>
              <w:rPr>
                <w:rFonts w:ascii="Arial" w:cs="Arial" w:eastAsia="Arial" w:hAnsi="Arial"/>
                <w:sz w:val="16"/>
                <w:szCs w:val="16"/>
                <w:b w:val="1"/>
                <w:bCs w:val="1"/>
                <w:color w:val="auto"/>
                <w:vertAlign w:val="superscript"/>
              </w:rPr>
              <w:t>(1)</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4"/>
        </w:trPr>
        <w:tc>
          <w:tcPr>
            <w:tcW w:w="3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540"/>
              <w:spacing w:after="0" w:line="124" w:lineRule="exact"/>
              <w:rPr>
                <w:sz w:val="20"/>
                <w:szCs w:val="20"/>
                <w:color w:val="auto"/>
              </w:rPr>
            </w:pPr>
            <w:r>
              <w:rPr>
                <w:rFonts w:ascii="Arial" w:cs="Arial" w:eastAsia="Arial" w:hAnsi="Arial"/>
                <w:sz w:val="13"/>
                <w:szCs w:val="13"/>
                <w:b w:val="1"/>
                <w:bCs w:val="1"/>
                <w:color w:val="auto"/>
              </w:rPr>
              <w:t>SBA</w:t>
            </w:r>
          </w:p>
        </w:tc>
        <w:tc>
          <w:tcPr>
            <w:tcW w:w="120" w:type="dxa"/>
            <w:vAlign w:val="bottom"/>
          </w:tcPr>
          <w:p>
            <w:pPr>
              <w:spacing w:after="0"/>
              <w:rPr>
                <w:sz w:val="10"/>
                <w:szCs w:val="10"/>
                <w:color w:val="auto"/>
              </w:rPr>
            </w:pPr>
          </w:p>
        </w:tc>
        <w:tc>
          <w:tcPr>
            <w:tcW w:w="920" w:type="dxa"/>
            <w:vAlign w:val="bottom"/>
            <w:gridSpan w:val="2"/>
          </w:tcPr>
          <w:p>
            <w:pPr>
              <w:jc w:val="right"/>
              <w:ind w:right="417"/>
              <w:spacing w:after="0" w:line="124" w:lineRule="exact"/>
              <w:rPr>
                <w:sz w:val="20"/>
                <w:szCs w:val="20"/>
                <w:color w:val="auto"/>
              </w:rPr>
            </w:pPr>
            <w:r>
              <w:rPr>
                <w:rFonts w:ascii="Arial" w:cs="Arial" w:eastAsia="Arial" w:hAnsi="Arial"/>
                <w:sz w:val="13"/>
                <w:szCs w:val="13"/>
                <w:b w:val="1"/>
                <w:bCs w:val="1"/>
                <w:color w:val="auto"/>
              </w:rPr>
              <w:t>Credit</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480"/>
              <w:spacing w:after="0" w:line="124" w:lineRule="exact"/>
              <w:rPr>
                <w:sz w:val="20"/>
                <w:szCs w:val="20"/>
                <w:color w:val="auto"/>
              </w:rPr>
            </w:pPr>
            <w:r>
              <w:rPr>
                <w:rFonts w:ascii="Arial" w:cs="Arial" w:eastAsia="Arial" w:hAnsi="Arial"/>
                <w:sz w:val="13"/>
                <w:szCs w:val="13"/>
                <w:b w:val="1"/>
                <w:bCs w:val="1"/>
                <w:color w:val="auto"/>
              </w:rPr>
              <w:t>SBA</w:t>
            </w:r>
          </w:p>
        </w:tc>
        <w:tc>
          <w:tcPr>
            <w:tcW w:w="140" w:type="dxa"/>
            <w:vAlign w:val="bottom"/>
          </w:tcPr>
          <w:p>
            <w:pPr>
              <w:spacing w:after="0"/>
              <w:rPr>
                <w:sz w:val="10"/>
                <w:szCs w:val="10"/>
                <w:color w:val="auto"/>
              </w:rPr>
            </w:pPr>
          </w:p>
        </w:tc>
        <w:tc>
          <w:tcPr>
            <w:tcW w:w="860" w:type="dxa"/>
            <w:vAlign w:val="bottom"/>
            <w:gridSpan w:val="2"/>
          </w:tcPr>
          <w:p>
            <w:pPr>
              <w:jc w:val="right"/>
              <w:ind w:right="377"/>
              <w:spacing w:after="0" w:line="124" w:lineRule="exact"/>
              <w:rPr>
                <w:sz w:val="20"/>
                <w:szCs w:val="20"/>
                <w:color w:val="auto"/>
              </w:rPr>
            </w:pPr>
            <w:r>
              <w:rPr>
                <w:rFonts w:ascii="Arial" w:cs="Arial" w:eastAsia="Arial" w:hAnsi="Arial"/>
                <w:sz w:val="13"/>
                <w:szCs w:val="13"/>
                <w:b w:val="1"/>
                <w:bCs w:val="1"/>
                <w:color w:val="auto"/>
              </w:rPr>
              <w:t>Credit</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4"/>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2"/>
              </w:rPr>
              <w:t>debentures</w:t>
            </w:r>
          </w:p>
        </w:tc>
        <w:tc>
          <w:tcPr>
            <w:tcW w:w="120" w:type="dxa"/>
            <w:vAlign w:val="bottom"/>
          </w:tcPr>
          <w:p>
            <w:pPr>
              <w:spacing w:after="0"/>
              <w:rPr>
                <w:sz w:val="14"/>
                <w:szCs w:val="14"/>
                <w:color w:val="auto"/>
              </w:rPr>
            </w:pPr>
          </w:p>
        </w:tc>
        <w:tc>
          <w:tcPr>
            <w:tcW w:w="920" w:type="dxa"/>
            <w:vAlign w:val="bottom"/>
            <w:gridSpan w:val="2"/>
          </w:tcPr>
          <w:p>
            <w:pPr>
              <w:jc w:val="right"/>
              <w:ind w:right="397"/>
              <w:spacing w:after="0"/>
              <w:rPr>
                <w:sz w:val="20"/>
                <w:szCs w:val="20"/>
                <w:color w:val="auto"/>
              </w:rPr>
            </w:pPr>
            <w:r>
              <w:rPr>
                <w:rFonts w:ascii="Arial" w:cs="Arial" w:eastAsia="Arial" w:hAnsi="Arial"/>
                <w:sz w:val="13"/>
                <w:szCs w:val="13"/>
                <w:b w:val="1"/>
                <w:bCs w:val="1"/>
                <w:color w:val="auto"/>
                <w:w w:val="98"/>
              </w:rPr>
              <w:t>Facility</w:t>
            </w:r>
          </w:p>
        </w:tc>
        <w:tc>
          <w:tcPr>
            <w:tcW w:w="16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Notes</w:t>
            </w:r>
          </w:p>
        </w:tc>
        <w:tc>
          <w:tcPr>
            <w:tcW w:w="160" w:type="dxa"/>
            <w:vAlign w:val="bottom"/>
          </w:tcPr>
          <w:p>
            <w:pPr>
              <w:spacing w:after="0"/>
              <w:rPr>
                <w:sz w:val="14"/>
                <w:szCs w:val="14"/>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2"/>
              </w:rPr>
              <w:t>debentures</w:t>
            </w:r>
          </w:p>
        </w:tc>
        <w:tc>
          <w:tcPr>
            <w:tcW w:w="140" w:type="dxa"/>
            <w:vAlign w:val="bottom"/>
          </w:tcPr>
          <w:p>
            <w:pPr>
              <w:spacing w:after="0"/>
              <w:rPr>
                <w:sz w:val="14"/>
                <w:szCs w:val="14"/>
                <w:color w:val="auto"/>
              </w:rPr>
            </w:pPr>
          </w:p>
        </w:tc>
        <w:tc>
          <w:tcPr>
            <w:tcW w:w="860" w:type="dxa"/>
            <w:vAlign w:val="bottom"/>
            <w:gridSpan w:val="2"/>
          </w:tcPr>
          <w:p>
            <w:pPr>
              <w:jc w:val="right"/>
              <w:ind w:right="337"/>
              <w:spacing w:after="0"/>
              <w:rPr>
                <w:sz w:val="20"/>
                <w:szCs w:val="20"/>
                <w:color w:val="auto"/>
              </w:rPr>
            </w:pPr>
            <w:r>
              <w:rPr>
                <w:rFonts w:ascii="Arial" w:cs="Arial" w:eastAsia="Arial" w:hAnsi="Arial"/>
                <w:sz w:val="13"/>
                <w:szCs w:val="13"/>
                <w:b w:val="1"/>
                <w:bCs w:val="1"/>
                <w:color w:val="auto"/>
                <w:w w:val="98"/>
              </w:rPr>
              <w:t>Facility</w:t>
            </w:r>
          </w:p>
        </w:tc>
        <w:tc>
          <w:tcPr>
            <w:tcW w:w="14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9"/>
              </w:rPr>
              <w:t>Notes</w:t>
            </w:r>
          </w:p>
        </w:tc>
        <w:tc>
          <w:tcPr>
            <w:tcW w:w="2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w:t>
            </w:r>
          </w:p>
        </w:tc>
      </w:tr>
      <w:tr>
        <w:trPr>
          <w:trHeight w:val="144"/>
        </w:trPr>
        <w:tc>
          <w:tcPr>
            <w:tcW w:w="31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Outstanding debt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128,500</w:t>
            </w: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250,000</w:t>
            </w: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7"/>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378,500</w:t>
            </w: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107,000</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250,000</w:t>
            </w: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7"/>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357,000</w:t>
            </w:r>
          </w:p>
        </w:tc>
        <w:tc>
          <w:tcPr>
            <w:tcW w:w="100" w:type="dxa"/>
            <w:vAlign w:val="bottom"/>
            <w:shd w:val="clear" w:color="auto" w:fill="CCEEFF"/>
          </w:tcPr>
          <w:p>
            <w:pPr>
              <w:spacing w:after="0"/>
              <w:rPr>
                <w:sz w:val="12"/>
                <w:szCs w:val="12"/>
                <w:color w:val="auto"/>
              </w:rPr>
            </w:pPr>
          </w:p>
        </w:tc>
      </w:tr>
      <w:tr>
        <w:trPr>
          <w:trHeight w:val="148"/>
        </w:trPr>
        <w:tc>
          <w:tcPr>
            <w:tcW w:w="3120" w:type="dxa"/>
            <w:vAlign w:val="bottom"/>
          </w:tcPr>
          <w:p>
            <w:pPr>
              <w:ind w:left="20"/>
              <w:spacing w:after="0"/>
              <w:rPr>
                <w:sz w:val="20"/>
                <w:szCs w:val="20"/>
                <w:color w:val="auto"/>
              </w:rPr>
            </w:pPr>
            <w:r>
              <w:rPr>
                <w:rFonts w:ascii="Arial" w:cs="Arial" w:eastAsia="Arial" w:hAnsi="Arial"/>
                <w:sz w:val="13"/>
                <w:szCs w:val="13"/>
                <w:color w:val="auto"/>
              </w:rPr>
              <w:t>Less: unamortized deferred financing costs</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(4,053 )</w:t>
            </w:r>
          </w:p>
        </w:tc>
        <w:tc>
          <w:tcPr>
            <w:tcW w:w="120" w:type="dxa"/>
            <w:vAlign w:val="bottom"/>
          </w:tcPr>
          <w:p>
            <w:pPr>
              <w:spacing w:after="0"/>
              <w:rPr>
                <w:sz w:val="12"/>
                <w:szCs w:val="12"/>
                <w:color w:val="auto"/>
              </w:rPr>
            </w:pPr>
          </w:p>
        </w:tc>
        <w:tc>
          <w:tcPr>
            <w:tcW w:w="920" w:type="dxa"/>
            <w:vAlign w:val="bottom"/>
            <w:gridSpan w:val="2"/>
          </w:tcPr>
          <w:p>
            <w:pPr>
              <w:jc w:val="right"/>
              <w:ind w:right="137"/>
              <w:spacing w:after="0"/>
              <w:rPr>
                <w:sz w:val="20"/>
                <w:szCs w:val="20"/>
                <w:color w:val="auto"/>
              </w:rPr>
            </w:pPr>
            <w:r>
              <w:rPr>
                <w:rFonts w:ascii="Arial" w:cs="Arial" w:eastAsia="Arial" w:hAnsi="Arial"/>
                <w:sz w:val="13"/>
                <w:szCs w:val="13"/>
                <w:color w:val="auto"/>
              </w:rPr>
              <w:t>(370 )</w:t>
            </w:r>
          </w:p>
        </w:tc>
        <w:tc>
          <w:tcPr>
            <w:tcW w:w="1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(4,433 )</w:t>
            </w:r>
          </w:p>
        </w:tc>
        <w:tc>
          <w:tcPr>
            <w:tcW w:w="16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(8,856 )</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(3,022 )</w:t>
            </w:r>
          </w:p>
        </w:tc>
        <w:tc>
          <w:tcPr>
            <w:tcW w:w="140" w:type="dxa"/>
            <w:vAlign w:val="bottom"/>
          </w:tcPr>
          <w:p>
            <w:pPr>
              <w:spacing w:after="0"/>
              <w:rPr>
                <w:sz w:val="12"/>
                <w:szCs w:val="12"/>
                <w:color w:val="auto"/>
              </w:rPr>
            </w:pPr>
          </w:p>
        </w:tc>
        <w:tc>
          <w:tcPr>
            <w:tcW w:w="860" w:type="dxa"/>
            <w:vAlign w:val="bottom"/>
            <w:gridSpan w:val="2"/>
          </w:tcPr>
          <w:p>
            <w:pPr>
              <w:jc w:val="right"/>
              <w:ind w:right="117"/>
              <w:spacing w:after="0"/>
              <w:rPr>
                <w:sz w:val="20"/>
                <w:szCs w:val="20"/>
                <w:color w:val="auto"/>
              </w:rPr>
            </w:pPr>
            <w:r>
              <w:rPr>
                <w:rFonts w:ascii="Arial" w:cs="Arial" w:eastAsia="Arial" w:hAnsi="Arial"/>
                <w:sz w:val="13"/>
                <w:szCs w:val="13"/>
                <w:color w:val="auto"/>
              </w:rPr>
              <w:t>(595 )</w:t>
            </w:r>
          </w:p>
        </w:tc>
        <w:tc>
          <w:tcPr>
            <w:tcW w:w="14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(4,984 )</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(8,601 )</w:t>
            </w:r>
          </w:p>
        </w:tc>
      </w:tr>
      <w:tr>
        <w:trPr>
          <w:trHeight w:val="182"/>
        </w:trPr>
        <w:tc>
          <w:tcPr>
            <w:tcW w:w="312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Debt, net of deferred financing costs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124,447</w:t>
            </w: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(370</w:t>
            </w:r>
          </w:p>
        </w:tc>
        <w:tc>
          <w:tcPr>
            <w:tcW w:w="260" w:type="dxa"/>
            <w:vAlign w:val="bottom"/>
            <w:tcBorders>
              <w:bottom w:val="single" w:sz="8" w:color="CCEEFF"/>
            </w:tcBorders>
            <w:shd w:val="clear" w:color="auto" w:fill="CCEEFF"/>
          </w:tcPr>
          <w:p>
            <w:pPr>
              <w:jc w:val="right"/>
              <w:ind w:right="137"/>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245,567</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369,644</w:t>
            </w: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103,978</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(595</w:t>
            </w:r>
          </w:p>
        </w:tc>
        <w:tc>
          <w:tcPr>
            <w:tcW w:w="240" w:type="dxa"/>
            <w:vAlign w:val="bottom"/>
            <w:tcBorders>
              <w:bottom w:val="single" w:sz="8" w:color="CCEEFF"/>
            </w:tcBorders>
            <w:shd w:val="clear" w:color="auto" w:fill="CCEEFF"/>
          </w:tcPr>
          <w:p>
            <w:pPr>
              <w:jc w:val="right"/>
              <w:ind w:right="117"/>
              <w:spacing w:after="0" w:line="142" w:lineRule="exact"/>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245,016</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7"/>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348,399</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-25400</wp:posOffset>
            </wp:positionV>
            <wp:extent cx="768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-7620</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-25400</wp:posOffset>
            </wp:positionV>
            <wp:extent cx="774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-25400</wp:posOffset>
            </wp:positionV>
            <wp:extent cx="774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774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-25400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excludes $17,263 and $17,637 of Secured Borrowings as of June 30, 2022 and December 31, 2021, respectively.</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As of June 30, 2022, the Company’s debt liabilities are scheduled to mature as follows </w:t>
      </w:r>
      <w:r>
        <w:rPr>
          <w:rFonts w:ascii="Arial" w:cs="Arial" w:eastAsia="Arial" w:hAnsi="Arial"/>
          <w:sz w:val="24"/>
          <w:szCs w:val="24"/>
          <w:color w:val="auto"/>
          <w:vertAlign w:val="superscript"/>
        </w:rPr>
        <w:t>(1)</w:t>
      </w:r>
      <w:r>
        <w:rPr>
          <w:rFonts w:ascii="Arial" w:cs="Arial" w:eastAsia="Arial" w:hAnsi="Arial"/>
          <w:sz w:val="18"/>
          <w:szCs w:val="18"/>
          <w:color w:val="auto"/>
        </w:rPr>
        <w:t>:</w:t>
      </w:r>
    </w:p>
    <w:p>
      <w:pPr>
        <w:spacing w:after="0" w:line="10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SBA</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ind w:left="280"/>
              <w:spacing w:after="0"/>
              <w:rPr>
                <w:sz w:val="20"/>
                <w:szCs w:val="20"/>
                <w:color w:val="auto"/>
              </w:rPr>
            </w:pPr>
            <w:r>
              <w:rPr>
                <w:rFonts w:ascii="Arial" w:cs="Arial" w:eastAsia="Arial" w:hAnsi="Arial"/>
                <w:sz w:val="18"/>
                <w:szCs w:val="18"/>
                <w:b w:val="1"/>
                <w:bCs w:val="1"/>
                <w:color w:val="auto"/>
              </w:rPr>
              <w:t>Credit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Secured</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debentures</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140"/>
              <w:spacing w:after="0" w:line="243" w:lineRule="exact"/>
              <w:rPr>
                <w:sz w:val="20"/>
                <w:szCs w:val="20"/>
                <w:color w:val="auto"/>
              </w:rPr>
            </w:pPr>
            <w:r>
              <w:rPr>
                <w:rFonts w:ascii="Arial" w:cs="Arial" w:eastAsia="Arial" w:hAnsi="Arial"/>
                <w:sz w:val="18"/>
                <w:szCs w:val="18"/>
                <w:b w:val="1"/>
                <w:bCs w:val="1"/>
                <w:color w:val="auto"/>
              </w:rPr>
              <w:t xml:space="preserve">Facility </w:t>
            </w:r>
            <w:r>
              <w:rPr>
                <w:rFonts w:ascii="Arial" w:cs="Arial" w:eastAsia="Arial" w:hAnsi="Arial"/>
                <w:sz w:val="24"/>
                <w:szCs w:val="24"/>
                <w:b w:val="1"/>
                <w:bCs w:val="1"/>
                <w:color w:val="auto"/>
                <w:vertAlign w:val="superscript"/>
              </w:rPr>
              <w:t>(2)</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Borrowings</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Notes</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1"/>
                <w:szCs w:val="21"/>
                <w:color w:val="auto"/>
              </w:rPr>
            </w:pPr>
          </w:p>
        </w:tc>
      </w:tr>
      <w:tr>
        <w:trPr>
          <w:trHeight w:val="196"/>
        </w:trPr>
        <w:tc>
          <w:tcPr>
            <w:tcW w:w="14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ind w:left="1100"/>
              <w:spacing w:after="0" w:line="196" w:lineRule="exact"/>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3"/>
        </w:trPr>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89"/>
              </w:rPr>
              <w:t>2023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ind w:left="1100"/>
              <w:spacing w:after="0" w:line="202" w:lineRule="exact"/>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1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2024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3"/>
        </w:trPr>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89"/>
              </w:rPr>
              <w:t>2025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11,500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ind w:left="1100"/>
              <w:spacing w:after="0" w:line="202" w:lineRule="exact"/>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11,500</w:t>
            </w:r>
          </w:p>
        </w:tc>
        <w:tc>
          <w:tcPr>
            <w:tcW w:w="100" w:type="dxa"/>
            <w:vAlign w:val="bottom"/>
          </w:tcPr>
          <w:p>
            <w:pPr>
              <w:spacing w:after="0"/>
              <w:rPr>
                <w:sz w:val="17"/>
                <w:szCs w:val="17"/>
                <w:color w:val="auto"/>
              </w:rPr>
            </w:pPr>
          </w:p>
        </w:tc>
      </w:tr>
      <w:tr>
        <w:trPr>
          <w:trHeight w:val="203"/>
        </w:trPr>
        <w:tc>
          <w:tcPr>
            <w:tcW w:w="1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2026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17,263</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271,763</w:t>
            </w:r>
          </w:p>
        </w:tc>
        <w:tc>
          <w:tcPr>
            <w:tcW w:w="100" w:type="dxa"/>
            <w:vAlign w:val="bottom"/>
            <w:shd w:val="clear" w:color="auto" w:fill="CCEEFF"/>
          </w:tcPr>
          <w:p>
            <w:pPr>
              <w:spacing w:after="0"/>
              <w:rPr>
                <w:sz w:val="17"/>
                <w:szCs w:val="17"/>
                <w:color w:val="auto"/>
              </w:rPr>
            </w:pPr>
          </w:p>
        </w:tc>
      </w:tr>
      <w:tr>
        <w:trPr>
          <w:trHeight w:val="203"/>
        </w:trPr>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89"/>
              </w:rPr>
              <w:t>Thereafter</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112,500</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1100"/>
              <w:spacing w:after="0" w:line="202" w:lineRule="exact"/>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112,500</w:t>
            </w:r>
          </w:p>
        </w:tc>
        <w:tc>
          <w:tcPr>
            <w:tcW w:w="100" w:type="dxa"/>
            <w:vAlign w:val="bottom"/>
          </w:tcPr>
          <w:p>
            <w:pPr>
              <w:spacing w:after="0"/>
              <w:rPr>
                <w:sz w:val="17"/>
                <w:szCs w:val="17"/>
                <w:color w:val="auto"/>
              </w:rPr>
            </w:pPr>
          </w:p>
        </w:tc>
      </w:tr>
      <w:tr>
        <w:trPr>
          <w:trHeight w:val="236"/>
        </w:trPr>
        <w:tc>
          <w:tcPr>
            <w:tcW w:w="1460" w:type="dxa"/>
            <w:vAlign w:val="bottom"/>
            <w:tcBorders>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4"/>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128,500</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ind w:left="1100"/>
              <w:spacing w:after="0" w:line="182" w:lineRule="exact"/>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17,263</w:t>
            </w: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250,000</w:t>
            </w: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395,763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-24765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603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03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ind w:left="360" w:right="20" w:hanging="339"/>
        <w:spacing w:after="0" w:line="234" w:lineRule="auto"/>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ind w:left="360" w:hanging="339"/>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Credit Facility matures on April 24, 2023.</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62"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The Company had outstanding commitments to portfolio companies to fund various undrawn revolving loans, other debt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capital commitments totaling $15,289 and $8,170 as of June 30, 2022 and December 31, 2021, respectively. Such outstanding commitments are summarized in the following table: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line="227" w:lineRule="auto"/>
        <w:rPr>
          <w:sz w:val="20"/>
          <w:szCs w:val="20"/>
          <w:color w:val="auto"/>
        </w:rPr>
      </w:pPr>
      <w:r>
        <w:rPr>
          <w:rFonts w:ascii="Arial" w:cs="Arial" w:eastAsia="Arial" w:hAnsi="Arial"/>
          <w:sz w:val="18"/>
          <w:szCs w:val="18"/>
          <w:b w:val="1"/>
          <w:bCs w:val="1"/>
          <w:color w:val="auto"/>
        </w:rPr>
        <w:t>(in thousands, except shares and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3"/>
                <w:szCs w:val="13"/>
                <w:b w:val="1"/>
                <w:bCs w:val="1"/>
                <w:color w:val="auto"/>
              </w:rPr>
              <w:t>June 30, 2022</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3"/>
                <w:szCs w:val="13"/>
                <w:b w:val="1"/>
                <w:bCs w:val="1"/>
                <w:color w:val="auto"/>
              </w:rPr>
              <w:t>December 31, 2021</w:t>
            </w:r>
          </w:p>
        </w:tc>
        <w:tc>
          <w:tcPr>
            <w:tcW w:w="280" w:type="dxa"/>
            <w:vAlign w:val="bottom"/>
          </w:tcPr>
          <w:p>
            <w:pPr>
              <w:spacing w:after="0"/>
              <w:rPr>
                <w:sz w:val="13"/>
                <w:szCs w:val="13"/>
                <w:color w:val="auto"/>
              </w:rPr>
            </w:pPr>
          </w:p>
        </w:tc>
      </w:tr>
      <w:tr>
        <w:trPr>
          <w:trHeight w:val="124"/>
        </w:trPr>
        <w:tc>
          <w:tcPr>
            <w:tcW w:w="5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357"/>
              <w:spacing w:after="0" w:line="124" w:lineRule="exact"/>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jc w:val="right"/>
              <w:ind w:right="257"/>
              <w:spacing w:after="0" w:line="124" w:lineRule="exact"/>
              <w:rPr>
                <w:sz w:val="20"/>
                <w:szCs w:val="20"/>
                <w:color w:val="auto"/>
              </w:rPr>
            </w:pPr>
            <w:r>
              <w:rPr>
                <w:rFonts w:ascii="Arial" w:cs="Arial" w:eastAsia="Arial" w:hAnsi="Arial"/>
                <w:sz w:val="13"/>
                <w:szCs w:val="13"/>
                <w:b w:val="1"/>
                <w:bCs w:val="1"/>
                <w:color w:val="auto"/>
              </w:rPr>
              <w:t>Unfunded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337"/>
              <w:spacing w:after="0" w:line="124" w:lineRule="exact"/>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jc w:val="right"/>
              <w:ind w:right="257"/>
              <w:spacing w:after="0" w:line="124" w:lineRule="exact"/>
              <w:rPr>
                <w:sz w:val="20"/>
                <w:szCs w:val="20"/>
                <w:color w:val="auto"/>
              </w:rPr>
            </w:pPr>
            <w:r>
              <w:rPr>
                <w:rFonts w:ascii="Arial" w:cs="Arial" w:eastAsia="Arial" w:hAnsi="Arial"/>
                <w:sz w:val="13"/>
                <w:szCs w:val="13"/>
                <w:b w:val="1"/>
                <w:bCs w:val="1"/>
                <w:color w:val="auto"/>
              </w:rPr>
              <w:t>Unfunded</w:t>
            </w:r>
          </w:p>
        </w:tc>
        <w:tc>
          <w:tcPr>
            <w:tcW w:w="280" w:type="dxa"/>
            <w:vAlign w:val="bottom"/>
          </w:tcPr>
          <w:p>
            <w:pPr>
              <w:spacing w:after="0"/>
              <w:rPr>
                <w:sz w:val="10"/>
                <w:szCs w:val="10"/>
                <w:color w:val="auto"/>
              </w:rPr>
            </w:pPr>
          </w:p>
        </w:tc>
      </w:tr>
      <w:tr>
        <w:trPr>
          <w:trHeight w:val="164"/>
        </w:trPr>
        <w:tc>
          <w:tcPr>
            <w:tcW w:w="5560" w:type="dxa"/>
            <w:vAlign w:val="bottom"/>
            <w:gridSpan w:val="2"/>
          </w:tcPr>
          <w:p>
            <w:pPr>
              <w:ind w:left="20"/>
              <w:spacing w:after="0"/>
              <w:rPr>
                <w:sz w:val="20"/>
                <w:szCs w:val="20"/>
                <w:color w:val="auto"/>
              </w:rPr>
            </w:pPr>
            <w:r>
              <w:rPr>
                <w:rFonts w:ascii="Arial" w:cs="Arial" w:eastAsia="Arial" w:hAnsi="Arial"/>
                <w:sz w:val="13"/>
                <w:szCs w:val="13"/>
                <w:b w:val="1"/>
                <w:bCs w:val="1"/>
                <w:color w:val="auto"/>
              </w:rPr>
              <w:t>Portfolio Company - Investment</w:t>
            </w:r>
          </w:p>
        </w:tc>
        <w:tc>
          <w:tcPr>
            <w:tcW w:w="140" w:type="dxa"/>
            <w:vAlign w:val="bottom"/>
          </w:tcPr>
          <w:p>
            <w:pPr>
              <w:spacing w:after="0"/>
              <w:rPr>
                <w:sz w:val="14"/>
                <w:szCs w:val="14"/>
                <w:color w:val="auto"/>
              </w:rPr>
            </w:pPr>
          </w:p>
        </w:tc>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auto"/>
                <w:w w:val="95"/>
              </w:rPr>
              <w:t>Commitment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77"/>
              <w:spacing w:after="0"/>
              <w:rPr>
                <w:sz w:val="20"/>
                <w:szCs w:val="20"/>
                <w:color w:val="auto"/>
              </w:rPr>
            </w:pPr>
            <w:r>
              <w:rPr>
                <w:rFonts w:ascii="Arial" w:cs="Arial" w:eastAsia="Arial" w:hAnsi="Arial"/>
                <w:sz w:val="13"/>
                <w:szCs w:val="13"/>
                <w:b w:val="1"/>
                <w:bCs w:val="1"/>
                <w:color w:val="auto"/>
                <w:w w:val="98"/>
              </w:rPr>
              <w:t>Commitment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17"/>
              <w:spacing w:after="0"/>
              <w:rPr>
                <w:sz w:val="20"/>
                <w:szCs w:val="20"/>
                <w:color w:val="auto"/>
              </w:rPr>
            </w:pPr>
            <w:r>
              <w:rPr>
                <w:rFonts w:ascii="Arial" w:cs="Arial" w:eastAsia="Arial" w:hAnsi="Arial"/>
                <w:sz w:val="13"/>
                <w:szCs w:val="13"/>
                <w:b w:val="1"/>
                <w:bCs w:val="1"/>
                <w:color w:val="auto"/>
                <w:w w:val="95"/>
              </w:rPr>
              <w:t>Commitment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77"/>
              <w:spacing w:after="0"/>
              <w:rPr>
                <w:sz w:val="20"/>
                <w:szCs w:val="20"/>
                <w:color w:val="auto"/>
              </w:rPr>
            </w:pPr>
            <w:r>
              <w:rPr>
                <w:rFonts w:ascii="Arial" w:cs="Arial" w:eastAsia="Arial" w:hAnsi="Arial"/>
                <w:sz w:val="13"/>
                <w:szCs w:val="13"/>
                <w:b w:val="1"/>
                <w:bCs w:val="1"/>
                <w:color w:val="auto"/>
                <w:w w:val="98"/>
              </w:rPr>
              <w:t>Commitment</w:t>
            </w:r>
          </w:p>
        </w:tc>
        <w:tc>
          <w:tcPr>
            <w:tcW w:w="280" w:type="dxa"/>
            <w:vAlign w:val="bottom"/>
          </w:tcPr>
          <w:p>
            <w:pPr>
              <w:spacing w:after="0"/>
              <w:rPr>
                <w:sz w:val="14"/>
                <w:szCs w:val="14"/>
                <w:color w:val="auto"/>
              </w:rPr>
            </w:pPr>
          </w:p>
        </w:tc>
      </w:tr>
      <w:tr>
        <w:trPr>
          <w:trHeight w:val="144"/>
        </w:trPr>
        <w:tc>
          <w:tcPr>
            <w:tcW w:w="5400" w:type="dxa"/>
            <w:vAlign w:val="bottom"/>
            <w:tcBorders>
              <w:top w:val="single" w:sz="8" w:color="auto"/>
            </w:tcBorders>
          </w:tcPr>
          <w:p>
            <w:pPr>
              <w:ind w:left="20"/>
              <w:spacing w:after="0" w:line="144" w:lineRule="exact"/>
              <w:rPr>
                <w:sz w:val="20"/>
                <w:szCs w:val="20"/>
                <w:color w:val="auto"/>
              </w:rPr>
            </w:pPr>
            <w:r>
              <w:rPr>
                <w:rFonts w:ascii="Arial" w:cs="Arial" w:eastAsia="Arial" w:hAnsi="Arial"/>
                <w:sz w:val="13"/>
                <w:szCs w:val="13"/>
                <w:color w:val="auto"/>
              </w:rPr>
              <w:t>Acendre Midco, Inc. - Revolving Loan</w:t>
            </w: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1,000</w:t>
            </w:r>
          </w:p>
        </w:tc>
        <w:tc>
          <w:tcPr>
            <w:tcW w:w="280" w:type="dxa"/>
            <w:vAlign w:val="bottom"/>
          </w:tcPr>
          <w:p>
            <w:pPr>
              <w:spacing w:after="0"/>
              <w:rPr>
                <w:sz w:val="12"/>
                <w:szCs w:val="12"/>
                <w:color w:val="auto"/>
              </w:rPr>
            </w:pPr>
          </w:p>
        </w:tc>
        <w:tc>
          <w:tcPr>
            <w:tcW w:w="160" w:type="dxa"/>
            <w:vAlign w:val="bottom"/>
            <w:tcBorders>
              <w:top w:val="single" w:sz="8" w:color="auto"/>
            </w:tcBorders>
          </w:tcPr>
          <w:p>
            <w:pPr>
              <w:jc w:val="right"/>
              <w:ind w:right="17"/>
              <w:spacing w:after="0" w:line="144" w:lineRule="exact"/>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1,000</w:t>
            </w:r>
          </w:p>
        </w:tc>
        <w:tc>
          <w:tcPr>
            <w:tcW w:w="260" w:type="dxa"/>
            <w:vAlign w:val="bottom"/>
          </w:tcPr>
          <w:p>
            <w:pPr>
              <w:spacing w:after="0"/>
              <w:rPr>
                <w:sz w:val="12"/>
                <w:szCs w:val="12"/>
                <w:color w:val="auto"/>
              </w:rPr>
            </w:pPr>
          </w:p>
        </w:tc>
        <w:tc>
          <w:tcPr>
            <w:tcW w:w="1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1,000</w:t>
            </w:r>
          </w:p>
        </w:tc>
        <w:tc>
          <w:tcPr>
            <w:tcW w:w="260" w:type="dxa"/>
            <w:vAlign w:val="bottom"/>
          </w:tcPr>
          <w:p>
            <w:pPr>
              <w:spacing w:after="0"/>
              <w:rPr>
                <w:sz w:val="12"/>
                <w:szCs w:val="12"/>
                <w:color w:val="auto"/>
              </w:rPr>
            </w:pPr>
          </w:p>
        </w:tc>
        <w:tc>
          <w:tcPr>
            <w:tcW w:w="160" w:type="dxa"/>
            <w:vAlign w:val="bottom"/>
            <w:tcBorders>
              <w:top w:val="single" w:sz="8" w:color="auto"/>
            </w:tcBorders>
          </w:tcPr>
          <w:p>
            <w:pPr>
              <w:jc w:val="right"/>
              <w:ind w:right="17"/>
              <w:spacing w:after="0" w:line="144" w:lineRule="exact"/>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1,000</w:t>
            </w:r>
          </w:p>
        </w:tc>
        <w:tc>
          <w:tcPr>
            <w:tcW w:w="280" w:type="dxa"/>
            <w:vAlign w:val="bottom"/>
          </w:tcPr>
          <w:p>
            <w:pPr>
              <w:spacing w:after="0"/>
              <w:rPr>
                <w:sz w:val="12"/>
                <w:szCs w:val="12"/>
                <w:color w:val="auto"/>
              </w:rPr>
            </w:pPr>
          </w:p>
        </w:tc>
      </w:tr>
      <w:tr>
        <w:trPr>
          <w:trHeight w:val="148"/>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Combined Systems, Inc. - Revolving Loan</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w:t>
            </w:r>
          </w:p>
        </w:tc>
        <w:tc>
          <w:tcPr>
            <w:tcW w:w="280" w:type="dxa"/>
            <w:vAlign w:val="bottom"/>
            <w:shd w:val="clear" w:color="auto" w:fill="CCEEFF"/>
          </w:tcPr>
          <w:p>
            <w:pPr>
              <w:spacing w:after="0"/>
              <w:rPr>
                <w:sz w:val="12"/>
                <w:szCs w:val="12"/>
                <w:color w:val="auto"/>
              </w:rPr>
            </w:pPr>
          </w:p>
        </w:tc>
      </w:tr>
      <w:tr>
        <w:trPr>
          <w:trHeight w:val="149"/>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Elements Brands, LLC - Revolving Loan</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3,000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1,500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3,000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838</w:t>
            </w:r>
          </w:p>
        </w:tc>
        <w:tc>
          <w:tcPr>
            <w:tcW w:w="280" w:type="dxa"/>
            <w:vAlign w:val="bottom"/>
          </w:tcPr>
          <w:p>
            <w:pPr>
              <w:spacing w:after="0"/>
              <w:rPr>
                <w:sz w:val="12"/>
                <w:szCs w:val="12"/>
                <w:color w:val="auto"/>
              </w:rPr>
            </w:pPr>
          </w:p>
        </w:tc>
      </w:tr>
      <w:tr>
        <w:trPr>
          <w:trHeight w:val="148"/>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Choice Technology Solutions, LLC (dba Choice Merchant Solutions, LLC) - Revolving Loan</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r>
      <w:tr>
        <w:trPr>
          <w:trHeight w:val="148"/>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Rhino Assembly Company, LLC - Delayed Draw Commitment</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875</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875</w:t>
            </w:r>
          </w:p>
        </w:tc>
        <w:tc>
          <w:tcPr>
            <w:tcW w:w="280" w:type="dxa"/>
            <w:vAlign w:val="bottom"/>
          </w:tcPr>
          <w:p>
            <w:pPr>
              <w:spacing w:after="0"/>
              <w:rPr>
                <w:sz w:val="12"/>
                <w:szCs w:val="12"/>
                <w:color w:val="auto"/>
              </w:rPr>
            </w:pPr>
          </w:p>
        </w:tc>
      </w:tr>
      <w:tr>
        <w:trPr>
          <w:trHeight w:val="148"/>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Safety Products Group, LLC - Common Equity (Units)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2,852</w:t>
            </w:r>
          </w:p>
        </w:tc>
        <w:tc>
          <w:tcPr>
            <w:tcW w:w="260" w:type="dxa"/>
            <w:vAlign w:val="bottom"/>
            <w:shd w:val="clear" w:color="auto" w:fill="CCEEFF"/>
          </w:tcPr>
          <w:p>
            <w:pPr>
              <w:jc w:val="right"/>
              <w:spacing w:after="0"/>
              <w:rPr>
                <w:sz w:val="20"/>
                <w:szCs w:val="20"/>
                <w:color w:val="auto"/>
              </w:rPr>
            </w:pPr>
            <w:r>
              <w:rPr>
                <w:rFonts w:ascii="Arial" w:cs="Arial" w:eastAsia="Arial" w:hAnsi="Arial"/>
                <w:sz w:val="8"/>
                <w:szCs w:val="8"/>
                <w:color w:val="auto"/>
              </w:rPr>
              <w:t>(1)</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2,852</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(1)</w:t>
            </w:r>
          </w:p>
        </w:tc>
      </w:tr>
      <w:tr>
        <w:trPr>
          <w:trHeight w:val="148"/>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Tedia Company, LLC - Revolving Loan</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4,000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3,500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r>
      <w:tr>
        <w:trPr>
          <w:trHeight w:val="14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Tedia Company, LLC - Delayed Draw Term Loan</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r>
      <w:tr>
        <w:trPr>
          <w:trHeight w:val="148"/>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Western's Smokehouse, LLC - Delayed Draw Term Loan</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3,500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3,500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r>
      <w:tr>
        <w:trPr>
          <w:trHeight w:val="148"/>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Wonderware Holdings, LLC (dba CORE Business Technologies) - Delayed Draw Term Loan</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280" w:type="dxa"/>
            <w:vAlign w:val="bottom"/>
            <w:shd w:val="clear" w:color="auto" w:fill="CCEEFF"/>
          </w:tcPr>
          <w:p>
            <w:pPr>
              <w:spacing w:after="0"/>
              <w:rPr>
                <w:sz w:val="12"/>
                <w:szCs w:val="12"/>
                <w:color w:val="auto"/>
              </w:rPr>
            </w:pPr>
          </w:p>
        </w:tc>
      </w:tr>
      <w:tr>
        <w:trPr>
          <w:trHeight w:val="148"/>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Zonkd, LLC - Delayed Draw Term Loan</w:t>
            </w: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r>
      <w:tr>
        <w:trPr>
          <w:trHeight w:val="196"/>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22,500</w:t>
            </w: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15,289</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13,727</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8,170</w:t>
            </w:r>
          </w:p>
        </w:tc>
        <w:tc>
          <w:tcPr>
            <w:tcW w:w="280" w:type="dxa"/>
            <w:vAlign w:val="bottom"/>
            <w:tcBorders>
              <w:bottom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-25400</wp:posOffset>
            </wp:positionV>
            <wp:extent cx="768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768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480" w:hanging="472"/>
        <w:spacing w:after="0" w:line="273" w:lineRule="auto"/>
        <w:tabs>
          <w:tab w:leader="none" w:pos="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Portfolio company was no longer held at period end. The commitment represents the Company's maximum potential liability related to certain guaranteed obligations stemming from the prior sale of the portfolio company's underlying operations.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Additional detail for each of the commitments above is provided in the Company’s consolidated schedules of investments.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commitments are generally subject to the borrowers meeting certain criteria such as compliance with financial and nonfinancial covenants.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Since commitments may expire without being drawn upon, the total commitment amount does not necessarily represent future cash requirements.</w:t>
      </w:r>
    </w:p>
    <w:p>
      <w:pPr>
        <w:spacing w:after="0" w:line="153"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6"/>
          <w:szCs w:val="16"/>
          <w:i w:val="1"/>
          <w:iCs w:val="1"/>
          <w:color w:val="auto"/>
        </w:rPr>
        <w:t xml:space="preserve">Indemnifications: </w:t>
      </w:r>
      <w:r>
        <w:rPr>
          <w:rFonts w:ascii="Arial" w:cs="Arial" w:eastAsia="Arial" w:hAnsi="Arial"/>
          <w:sz w:val="16"/>
          <w:szCs w:val="16"/>
          <w:color w:val="auto"/>
        </w:rPr>
        <w:t>In the normal course of business, the Company enters into contracts and agreements that contain a variety of representations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08"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the normal course of business, the Company may be subject to legal and regulatory proceedings that are generally incidental</w:t>
      </w:r>
      <w:r>
        <w:rPr>
          <w:rFonts w:ascii="Arial" w:cs="Arial" w:eastAsia="Arial" w:hAnsi="Arial"/>
          <w:sz w:val="17"/>
          <w:szCs w:val="17"/>
          <w:i w:val="1"/>
          <w:iCs w:val="1"/>
          <w:color w:val="auto"/>
        </w:rPr>
        <w:t xml:space="preserve"> </w:t>
      </w:r>
      <w:r>
        <w:rPr>
          <w:rFonts w:ascii="Arial" w:cs="Arial" w:eastAsia="Arial" w:hAnsi="Arial"/>
          <w:sz w:val="17"/>
          <w:szCs w:val="17"/>
          <w:color w:val="auto"/>
        </w:rPr>
        <w:t>to its ongoing operations. While the outcome of any such legal proceedings cannot be predicted with certainty, the Company does not believe any such legal proceedings will have a material adverse effect on the Company’s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of Common Stock</w:t>
      </w:r>
    </w:p>
    <w:p>
      <w:pPr>
        <w:spacing w:after="0" w:line="158" w:lineRule="exact"/>
        <w:rPr>
          <w:sz w:val="20"/>
          <w:szCs w:val="20"/>
          <w:color w:val="auto"/>
        </w:rPr>
      </w:pPr>
    </w:p>
    <w:p>
      <w:pPr>
        <w:jc w:val="both"/>
        <w:ind w:firstLine="479"/>
        <w:spacing w:after="0" w:line="261" w:lineRule="auto"/>
        <w:rPr>
          <w:sz w:val="20"/>
          <w:szCs w:val="20"/>
          <w:color w:val="auto"/>
        </w:rPr>
      </w:pPr>
      <w:r>
        <w:rPr>
          <w:rFonts w:ascii="Arial" w:cs="Arial" w:eastAsia="Arial" w:hAnsi="Arial"/>
          <w:sz w:val="18"/>
          <w:szCs w:val="18"/>
          <w:color w:val="auto"/>
        </w:rPr>
        <w:t>The following table summarizes the cumulative total shares issued, net proceeds received, and weighted average offering price in public offerings of the Company’s common stock since the IPO in June 2011.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Cumulative</w:t>
            </w:r>
          </w:p>
        </w:tc>
        <w:tc>
          <w:tcPr>
            <w:tcW w:w="300" w:type="dxa"/>
            <w:vAlign w:val="bottom"/>
          </w:tcPr>
          <w:p>
            <w:pPr>
              <w:spacing w:after="0"/>
              <w:rPr>
                <w:sz w:val="18"/>
                <w:szCs w:val="18"/>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2"/>
              </w:rPr>
              <w:t>Cumulative Gross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Cumulative Underwriting Fees</w:t>
            </w:r>
          </w:p>
        </w:tc>
        <w:tc>
          <w:tcPr>
            <w:tcW w:w="280" w:type="dxa"/>
            <w:vAlign w:val="bottom"/>
          </w:tcPr>
          <w:p>
            <w:pPr>
              <w:spacing w:after="0"/>
              <w:rPr>
                <w:sz w:val="18"/>
                <w:szCs w:val="18"/>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0"/>
              </w:rPr>
              <w:t>Weighted Average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000" w:type="dxa"/>
            <w:vAlign w:val="bottom"/>
            <w:vMerge w:val="restart"/>
          </w:tcPr>
          <w:p>
            <w:pPr>
              <w:ind w:left="1240"/>
              <w:spacing w:after="0" w:line="176" w:lineRule="exact"/>
              <w:rPr>
                <w:sz w:val="20"/>
                <w:szCs w:val="20"/>
                <w:color w:val="auto"/>
              </w:rPr>
            </w:pPr>
            <w:r>
              <w:rPr>
                <w:rFonts w:ascii="Arial" w:cs="Arial" w:eastAsia="Arial" w:hAnsi="Arial"/>
                <w:sz w:val="18"/>
                <w:szCs w:val="18"/>
                <w:b w:val="1"/>
                <w:bCs w:val="1"/>
                <w:color w:val="auto"/>
              </w:rPr>
              <w:t>Period</w:t>
            </w:r>
          </w:p>
        </w:tc>
        <w:tc>
          <w:tcPr>
            <w:tcW w:w="18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0" w:type="dxa"/>
            <w:vAlign w:val="bottom"/>
            <w:vMerge w:val="restart"/>
          </w:tcPr>
          <w:p>
            <w:pPr>
              <w:jc w:val="center"/>
              <w:ind w:right="70"/>
              <w:spacing w:after="0" w:line="176" w:lineRule="exact"/>
              <w:rPr>
                <w:sz w:val="20"/>
                <w:szCs w:val="20"/>
                <w:color w:val="auto"/>
              </w:rPr>
            </w:pPr>
            <w:r>
              <w:rPr>
                <w:rFonts w:ascii="Arial" w:cs="Arial" w:eastAsia="Arial" w:hAnsi="Arial"/>
                <w:sz w:val="18"/>
                <w:szCs w:val="18"/>
                <w:b w:val="1"/>
                <w:bCs w:val="1"/>
                <w:color w:val="auto"/>
                <w:w w:val="89"/>
              </w:rPr>
              <w:t>and Commissions and Offering</w:t>
            </w:r>
          </w:p>
        </w:tc>
        <w:tc>
          <w:tcPr>
            <w:tcW w:w="28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0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Number of Shares</w:t>
            </w: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Proceeds</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Offering Price</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center"/>
              <w:ind w:right="30"/>
              <w:spacing w:after="0" w:line="216" w:lineRule="exact"/>
              <w:rPr>
                <w:sz w:val="20"/>
                <w:szCs w:val="20"/>
                <w:color w:val="auto"/>
              </w:rPr>
            </w:pPr>
            <w:r>
              <w:rPr>
                <w:rFonts w:ascii="Arial" w:cs="Arial" w:eastAsia="Arial" w:hAnsi="Arial"/>
                <w:sz w:val="18"/>
                <w:szCs w:val="18"/>
                <w:b w:val="1"/>
                <w:bCs w:val="1"/>
                <w:color w:val="auto"/>
                <w:w w:val="80"/>
              </w:rPr>
              <w:t xml:space="preserve">Costs </w:t>
            </w:r>
            <w:r>
              <w:rPr>
                <w:rFonts w:ascii="Arial" w:cs="Arial" w:eastAsia="Arial" w:hAnsi="Arial"/>
                <w:sz w:val="24"/>
                <w:szCs w:val="24"/>
                <w:b w:val="1"/>
                <w:bCs w:val="1"/>
                <w:color w:val="auto"/>
                <w:w w:val="80"/>
                <w:vertAlign w:val="superscript"/>
              </w:rPr>
              <w:t>(1)</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Cumulative since IPO</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14,388,414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236,597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8,989</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8"/>
        <w:spacing w:after="0" w:line="273" w:lineRule="auto"/>
        <w:tabs>
          <w:tab w:leader="none" w:pos="223"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 shares have been issued for the three and six months ended June 30, 2022 and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ATM Program</w:t>
      </w:r>
    </w:p>
    <w:p>
      <w:pPr>
        <w:spacing w:after="0" w:line="158" w:lineRule="exact"/>
        <w:rPr>
          <w:sz w:val="20"/>
          <w:szCs w:val="20"/>
          <w:color w:val="auto"/>
        </w:rPr>
      </w:pPr>
    </w:p>
    <w:p>
      <w:pPr>
        <w:jc w:val="both"/>
        <w:ind w:firstLine="479"/>
        <w:spacing w:after="0" w:line="239" w:lineRule="auto"/>
        <w:rPr>
          <w:sz w:val="20"/>
          <w:szCs w:val="20"/>
          <w:color w:val="auto"/>
        </w:rPr>
      </w:pPr>
      <w:r>
        <w:rPr>
          <w:rFonts w:ascii="Arial" w:cs="Arial" w:eastAsia="Arial" w:hAnsi="Arial"/>
          <w:sz w:val="18"/>
          <w:szCs w:val="18"/>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There were no issuances of common stock under the ATM program during the last two fiscal years and for the six months ended June 30, 2022.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58" w:lineRule="exact"/>
        <w:rPr>
          <w:sz w:val="20"/>
          <w:szCs w:val="20"/>
          <w:color w:val="auto"/>
        </w:rPr>
      </w:pPr>
    </w:p>
    <w:p>
      <w:pPr>
        <w:ind w:firstLine="478"/>
        <w:spacing w:after="0" w:line="291" w:lineRule="auto"/>
        <w:rPr>
          <w:sz w:val="20"/>
          <w:szCs w:val="20"/>
          <w:color w:val="auto"/>
        </w:rPr>
      </w:pPr>
      <w:r>
        <w:rPr>
          <w:rFonts w:ascii="Arial" w:cs="Arial" w:eastAsia="Arial" w:hAnsi="Arial"/>
          <w:sz w:val="17"/>
          <w:szCs w:val="17"/>
          <w:color w:val="auto"/>
        </w:rPr>
        <w:t>As described in Note 2, the Company has a Stock Repurchase Program under which the Company may acquire up to $5,000 of its outstanding common stock. The Company did not make any repurchases of common stock during the three and six months ended June 30, 2022 and 2021.</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Refer to Note 9 for additional information regarding the issuance of shares under the DRIP.</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had 24,437,400 shares of common stock outstanding as of June 30, 2022 and December 31,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Dividends and Distributions</w:t>
      </w:r>
    </w:p>
    <w:p>
      <w:pPr>
        <w:spacing w:after="0" w:line="162" w:lineRule="exact"/>
        <w:rPr>
          <w:sz w:val="20"/>
          <w:szCs w:val="20"/>
          <w:color w:val="auto"/>
        </w:rPr>
      </w:pPr>
    </w:p>
    <w:p>
      <w:pPr>
        <w:ind w:firstLine="479"/>
        <w:spacing w:after="0" w:line="261" w:lineRule="auto"/>
        <w:rPr>
          <w:sz w:val="20"/>
          <w:szCs w:val="20"/>
          <w:color w:val="auto"/>
        </w:rPr>
      </w:pPr>
      <w:r>
        <w:rPr>
          <w:rFonts w:ascii="Arial" w:cs="Arial" w:eastAsia="Arial" w:hAnsi="Arial"/>
          <w:sz w:val="18"/>
          <w:szCs w:val="18"/>
          <w:color w:val="auto"/>
        </w:rPr>
        <w:t>The Company’s dividends and distributions are recorded on the record date. The following table summarizes the dividends paid during the last two fiscal years and for the six months ended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ind w:right="107"/>
              <w:spacing w:after="0"/>
              <w:rPr>
                <w:sz w:val="20"/>
                <w:szCs w:val="20"/>
                <w:color w:val="auto"/>
              </w:rPr>
            </w:pPr>
            <w:r>
              <w:rPr>
                <w:rFonts w:ascii="Arial" w:cs="Arial" w:eastAsia="Arial" w:hAnsi="Arial"/>
                <w:sz w:val="11"/>
                <w:szCs w:val="11"/>
                <w:b w:val="1"/>
                <w:bCs w:val="1"/>
                <w:color w:val="auto"/>
                <w:w w:val="98"/>
              </w:rPr>
              <w:t>DRIP</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DRIP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Record</w:t>
            </w:r>
          </w:p>
        </w:tc>
        <w:tc>
          <w:tcPr>
            <w:tcW w:w="160" w:type="dxa"/>
            <w:vAlign w:val="bottom"/>
          </w:tcPr>
          <w:p>
            <w:pPr>
              <w:spacing w:after="0"/>
              <w:rPr>
                <w:sz w:val="11"/>
                <w:szCs w:val="1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b w:val="1"/>
                <w:bCs w:val="1"/>
                <w:color w:val="auto"/>
              </w:rPr>
              <w:t>Payment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207"/>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367"/>
              <w:spacing w:after="0"/>
              <w:rPr>
                <w:sz w:val="20"/>
                <w:szCs w:val="20"/>
                <w:color w:val="auto"/>
              </w:rPr>
            </w:pPr>
            <w:r>
              <w:rPr>
                <w:rFonts w:ascii="Arial" w:cs="Arial" w:eastAsia="Arial" w:hAnsi="Arial"/>
                <w:sz w:val="11"/>
                <w:szCs w:val="11"/>
                <w:b w:val="1"/>
                <w:bCs w:val="1"/>
                <w:color w:val="auto"/>
              </w:rPr>
              <w:t>Total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367"/>
              <w:spacing w:after="0"/>
              <w:rPr>
                <w:sz w:val="20"/>
                <w:szCs w:val="20"/>
                <w:color w:val="auto"/>
              </w:rPr>
            </w:pPr>
            <w:r>
              <w:rPr>
                <w:rFonts w:ascii="Arial" w:cs="Arial" w:eastAsia="Arial" w:hAnsi="Arial"/>
                <w:sz w:val="11"/>
                <w:szCs w:val="11"/>
                <w:b w:val="1"/>
                <w:bCs w:val="1"/>
                <w:color w:val="auto"/>
              </w:rPr>
              <w:t>Cash</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ind w:right="87"/>
              <w:spacing w:after="0"/>
              <w:rPr>
                <w:sz w:val="20"/>
                <w:szCs w:val="20"/>
                <w:color w:val="auto"/>
              </w:rPr>
            </w:pPr>
            <w:r>
              <w:rPr>
                <w:rFonts w:ascii="Arial" w:cs="Arial" w:eastAsia="Arial" w:hAnsi="Arial"/>
                <w:sz w:val="11"/>
                <w:szCs w:val="11"/>
                <w:b w:val="1"/>
                <w:bCs w:val="1"/>
                <w:color w:val="auto"/>
                <w:w w:val="87"/>
              </w:rPr>
              <w:t>Shares</w:t>
            </w:r>
          </w:p>
        </w:tc>
        <w:tc>
          <w:tcPr>
            <w:tcW w:w="360" w:type="dxa"/>
            <w:vAlign w:val="bottom"/>
          </w:tcPr>
          <w:p>
            <w:pPr>
              <w:spacing w:after="0"/>
              <w:rPr>
                <w:sz w:val="11"/>
                <w:szCs w:val="11"/>
                <w:color w:val="auto"/>
              </w:rPr>
            </w:pPr>
          </w:p>
        </w:tc>
        <w:tc>
          <w:tcPr>
            <w:tcW w:w="700" w:type="dxa"/>
            <w:vAlign w:val="bottom"/>
          </w:tcPr>
          <w:p>
            <w:pPr>
              <w:ind w:left="220"/>
              <w:spacing w:after="0"/>
              <w:rPr>
                <w:sz w:val="20"/>
                <w:szCs w:val="20"/>
                <w:color w:val="auto"/>
              </w:rPr>
            </w:pPr>
            <w:r>
              <w:rPr>
                <w:rFonts w:ascii="Arial" w:cs="Arial" w:eastAsia="Arial" w:hAnsi="Arial"/>
                <w:sz w:val="11"/>
                <w:szCs w:val="11"/>
                <w:b w:val="1"/>
                <w:bCs w:val="1"/>
                <w:color w:val="auto"/>
              </w:rPr>
              <w:t>DRIP</w:t>
            </w:r>
          </w:p>
        </w:tc>
        <w:tc>
          <w:tcPr>
            <w:tcW w:w="34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91"/>
              </w:rPr>
              <w:t>Share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Declared</w:t>
            </w:r>
          </w:p>
        </w:tc>
        <w:tc>
          <w:tcPr>
            <w:tcW w:w="1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7"/>
              <w:spacing w:after="0"/>
              <w:rPr>
                <w:sz w:val="20"/>
                <w:szCs w:val="20"/>
                <w:color w:val="auto"/>
              </w:rPr>
            </w:pPr>
            <w:r>
              <w:rPr>
                <w:rFonts w:ascii="Arial" w:cs="Arial" w:eastAsia="Arial" w:hAnsi="Arial"/>
                <w:sz w:val="11"/>
                <w:szCs w:val="11"/>
                <w:b w:val="1"/>
                <w:bCs w:val="1"/>
                <w:color w:val="auto"/>
                <w:w w:val="97"/>
              </w:rPr>
              <w:t>Per Share</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Distribution</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07"/>
              <w:spacing w:after="0"/>
              <w:rPr>
                <w:sz w:val="20"/>
                <w:szCs w:val="20"/>
                <w:color w:val="auto"/>
              </w:rPr>
            </w:pPr>
            <w:r>
              <w:rPr>
                <w:rFonts w:ascii="Arial" w:cs="Arial" w:eastAsia="Arial" w:hAnsi="Arial"/>
                <w:sz w:val="11"/>
                <w:szCs w:val="11"/>
                <w:b w:val="1"/>
                <w:bCs w:val="1"/>
                <w:color w:val="auto"/>
              </w:rPr>
              <w:t>Distribution</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07"/>
              <w:spacing w:after="0"/>
              <w:rPr>
                <w:sz w:val="20"/>
                <w:szCs w:val="20"/>
                <w:color w:val="auto"/>
              </w:rPr>
            </w:pPr>
            <w:r>
              <w:rPr>
                <w:rFonts w:ascii="Arial" w:cs="Arial" w:eastAsia="Arial" w:hAnsi="Arial"/>
                <w:sz w:val="11"/>
                <w:szCs w:val="11"/>
                <w:b w:val="1"/>
                <w:bCs w:val="1"/>
                <w:color w:val="auto"/>
                <w:w w:val="88"/>
              </w:rPr>
              <w:t>Value</w:t>
            </w:r>
          </w:p>
        </w:tc>
        <w:tc>
          <w:tcPr>
            <w:tcW w:w="360" w:type="dxa"/>
            <w:vAlign w:val="bottom"/>
          </w:tcPr>
          <w:p>
            <w:pPr>
              <w:spacing w:after="0"/>
              <w:rPr>
                <w:sz w:val="12"/>
                <w:szCs w:val="12"/>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Shares</w:t>
            </w:r>
          </w:p>
        </w:tc>
        <w:tc>
          <w:tcPr>
            <w:tcW w:w="34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Issue Price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500" w:type="dxa"/>
            <w:vAlign w:val="bottom"/>
            <w:gridSpan w:val="2"/>
            <w:shd w:val="clear" w:color="auto" w:fill="CFF0FC"/>
          </w:tcPr>
          <w:p>
            <w:pPr>
              <w:ind w:left="20"/>
              <w:spacing w:after="0"/>
              <w:rPr>
                <w:sz w:val="20"/>
                <w:szCs w:val="20"/>
                <w:color w:val="auto"/>
              </w:rPr>
            </w:pPr>
            <w:r>
              <w:rPr>
                <w:rFonts w:ascii="Arial" w:cs="Arial" w:eastAsia="Arial" w:hAnsi="Arial"/>
                <w:sz w:val="11"/>
                <w:szCs w:val="11"/>
                <w:b w:val="1"/>
                <w:bCs w:val="1"/>
                <w:color w:val="auto"/>
              </w:rPr>
              <w:t>Year Ended December 31, 2020:</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20" w:type="dxa"/>
            <w:vAlign w:val="bottom"/>
            <w:vMerge w:val="restart"/>
          </w:tcPr>
          <w:p>
            <w:pPr>
              <w:ind w:left="20"/>
              <w:spacing w:after="0"/>
              <w:rPr>
                <w:sz w:val="20"/>
                <w:szCs w:val="20"/>
                <w:color w:val="auto"/>
              </w:rPr>
            </w:pPr>
            <w:r>
              <w:rPr>
                <w:rFonts w:ascii="Arial" w:cs="Arial" w:eastAsia="Arial" w:hAnsi="Arial"/>
                <w:sz w:val="11"/>
                <w:szCs w:val="11"/>
                <w:color w:val="auto"/>
                <w:w w:val="97"/>
              </w:rPr>
              <w:t>2/14/2020</w:t>
            </w:r>
          </w:p>
        </w:tc>
        <w:tc>
          <w:tcPr>
            <w:tcW w:w="1980" w:type="dxa"/>
            <w:vAlign w:val="bottom"/>
          </w:tcPr>
          <w:p>
            <w:pPr>
              <w:spacing w:after="0"/>
              <w:rPr>
                <w:sz w:val="7"/>
                <w:szCs w:val="7"/>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1"/>
                <w:szCs w:val="11"/>
                <w:color w:val="auto"/>
              </w:rPr>
              <w:t>3/13/2020</w:t>
            </w:r>
          </w:p>
        </w:tc>
        <w:tc>
          <w:tcPr>
            <w:tcW w:w="820" w:type="dxa"/>
            <w:vAlign w:val="bottom"/>
            <w:gridSpan w:val="2"/>
            <w:vMerge w:val="restart"/>
          </w:tcPr>
          <w:p>
            <w:pPr>
              <w:jc w:val="right"/>
              <w:spacing w:after="0"/>
              <w:rPr>
                <w:sz w:val="20"/>
                <w:szCs w:val="20"/>
                <w:color w:val="auto"/>
              </w:rPr>
            </w:pPr>
            <w:r>
              <w:rPr>
                <w:rFonts w:ascii="Arial" w:cs="Arial" w:eastAsia="Arial" w:hAnsi="Arial"/>
                <w:sz w:val="11"/>
                <w:szCs w:val="11"/>
                <w:color w:val="auto"/>
              </w:rPr>
              <w:t>3/27/2020</w:t>
            </w:r>
          </w:p>
        </w:tc>
        <w:tc>
          <w:tcPr>
            <w:tcW w:w="380" w:type="dxa"/>
            <w:vAlign w:val="bottom"/>
            <w:gridSpan w:val="2"/>
            <w:vMerge w:val="restart"/>
          </w:tcPr>
          <w:p>
            <w:pPr>
              <w:jc w:val="right"/>
              <w:ind w:right="31"/>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0.39</w:t>
            </w:r>
          </w:p>
        </w:tc>
        <w:tc>
          <w:tcPr>
            <w:tcW w:w="4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9,537</w:t>
            </w:r>
          </w:p>
        </w:tc>
        <w:tc>
          <w:tcPr>
            <w:tcW w:w="400" w:type="dxa"/>
            <w:vAlign w:val="bottom"/>
            <w:gridSpan w:val="2"/>
            <w:vMerge w:val="restart"/>
          </w:tcPr>
          <w:p>
            <w:pPr>
              <w:jc w:val="right"/>
              <w:ind w:right="51"/>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9,537</w:t>
            </w:r>
          </w:p>
        </w:tc>
        <w:tc>
          <w:tcPr>
            <w:tcW w:w="340" w:type="dxa"/>
            <w:vAlign w:val="bottom"/>
            <w:gridSpan w:val="2"/>
            <w:vMerge w:val="restart"/>
          </w:tcPr>
          <w:p>
            <w:pPr>
              <w:jc w:val="right"/>
              <w:ind w:right="31"/>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ind w:left="460"/>
              <w:spacing w:after="0"/>
              <w:rPr>
                <w:sz w:val="20"/>
                <w:szCs w:val="20"/>
                <w:color w:val="auto"/>
              </w:rPr>
            </w:pPr>
            <w:r>
              <w:rPr>
                <w:rFonts w:ascii="Arial" w:cs="Arial" w:eastAsia="Arial" w:hAnsi="Arial"/>
                <w:sz w:val="11"/>
                <w:szCs w:val="11"/>
                <w:color w:val="auto"/>
                <w:w w:val="90"/>
              </w:rPr>
              <w:t>—</w:t>
            </w:r>
          </w:p>
        </w:tc>
        <w:tc>
          <w:tcPr>
            <w:tcW w:w="360" w:type="dxa"/>
            <w:vAlign w:val="bottom"/>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vMerge w:val="restart"/>
          </w:tcPr>
          <w:p>
            <w:pPr>
              <w:ind w:left="580"/>
              <w:spacing w:after="0"/>
              <w:rPr>
                <w:sz w:val="20"/>
                <w:szCs w:val="20"/>
                <w:color w:val="auto"/>
              </w:rPr>
            </w:pPr>
            <w:r>
              <w:rPr>
                <w:rFonts w:ascii="Arial" w:cs="Arial" w:eastAsia="Arial" w:hAnsi="Arial"/>
                <w:sz w:val="11"/>
                <w:szCs w:val="11"/>
                <w:color w:val="auto"/>
                <w:w w:val="90"/>
              </w:rPr>
              <w:t>—</w:t>
            </w:r>
          </w:p>
        </w:tc>
        <w:tc>
          <w:tcPr>
            <w:tcW w:w="340" w:type="dxa"/>
            <w:vAlign w:val="bottom"/>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vMerge w:val="restart"/>
          </w:tcPr>
          <w:p>
            <w:pPr>
              <w:ind w:left="9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520" w:type="dxa"/>
            <w:vAlign w:val="bottom"/>
            <w:vMerge w:val="continue"/>
          </w:tcPr>
          <w:p>
            <w:pPr>
              <w:spacing w:after="0"/>
              <w:rPr>
                <w:sz w:val="3"/>
                <w:szCs w:val="3"/>
                <w:color w:val="auto"/>
              </w:rPr>
            </w:pPr>
          </w:p>
        </w:tc>
        <w:tc>
          <w:tcPr>
            <w:tcW w:w="19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CFF0FC"/>
            </w:tcBorders>
            <w:shd w:val="clear" w:color="auto" w:fill="CFF0FC"/>
          </w:tcPr>
          <w:p>
            <w:pPr>
              <w:ind w:left="20"/>
              <w:spacing w:after="0" w:line="115" w:lineRule="exact"/>
              <w:rPr>
                <w:sz w:val="20"/>
                <w:szCs w:val="20"/>
                <w:color w:val="auto"/>
              </w:rPr>
            </w:pPr>
            <w:r>
              <w:rPr>
                <w:rFonts w:ascii="Arial" w:cs="Arial" w:eastAsia="Arial" w:hAnsi="Arial"/>
                <w:sz w:val="11"/>
                <w:szCs w:val="11"/>
                <w:color w:val="auto"/>
                <w:w w:val="97"/>
              </w:rPr>
              <w:t>4/29/2020</w:t>
            </w:r>
          </w:p>
        </w:tc>
        <w:tc>
          <w:tcPr>
            <w:tcW w:w="19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gridSpan w:val="2"/>
            <w:shd w:val="clear" w:color="auto" w:fill="CFF0FC"/>
          </w:tcPr>
          <w:p>
            <w:pPr>
              <w:jc w:val="right"/>
              <w:spacing w:after="0" w:line="115" w:lineRule="exact"/>
              <w:rPr>
                <w:sz w:val="20"/>
                <w:szCs w:val="20"/>
                <w:color w:val="auto"/>
              </w:rPr>
            </w:pPr>
            <w:r>
              <w:rPr>
                <w:rFonts w:ascii="Arial" w:cs="Arial" w:eastAsia="Arial" w:hAnsi="Arial"/>
                <w:sz w:val="11"/>
                <w:szCs w:val="11"/>
                <w:color w:val="auto"/>
              </w:rPr>
              <w:t>6/12/2020</w:t>
            </w:r>
          </w:p>
        </w:tc>
        <w:tc>
          <w:tcPr>
            <w:tcW w:w="820" w:type="dxa"/>
            <w:vAlign w:val="bottom"/>
            <w:tcBorders>
              <w:bottom w:val="single" w:sz="8" w:color="CFF0FC"/>
            </w:tcBorders>
            <w:gridSpan w:val="2"/>
            <w:shd w:val="clear" w:color="auto" w:fill="CFF0FC"/>
          </w:tcPr>
          <w:p>
            <w:pPr>
              <w:jc w:val="right"/>
              <w:spacing w:after="0" w:line="115" w:lineRule="exact"/>
              <w:rPr>
                <w:sz w:val="20"/>
                <w:szCs w:val="20"/>
                <w:color w:val="auto"/>
              </w:rPr>
            </w:pPr>
            <w:r>
              <w:rPr>
                <w:rFonts w:ascii="Arial" w:cs="Arial" w:eastAsia="Arial" w:hAnsi="Arial"/>
                <w:sz w:val="11"/>
                <w:szCs w:val="11"/>
                <w:color w:val="auto"/>
              </w:rPr>
              <w:t>6/26/2020</w:t>
            </w:r>
          </w:p>
        </w:tc>
        <w:tc>
          <w:tcPr>
            <w:tcW w:w="24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jc w:val="right"/>
              <w:spacing w:after="0" w:line="115" w:lineRule="exact"/>
              <w:rPr>
                <w:sz w:val="20"/>
                <w:szCs w:val="20"/>
                <w:color w:val="auto"/>
              </w:rPr>
            </w:pPr>
            <w:r>
              <w:rPr>
                <w:rFonts w:ascii="Arial" w:cs="Arial" w:eastAsia="Arial" w:hAnsi="Arial"/>
                <w:sz w:val="11"/>
                <w:szCs w:val="11"/>
                <w:color w:val="auto"/>
              </w:rPr>
              <w:t>0.30</w:t>
            </w:r>
          </w:p>
        </w:tc>
        <w:tc>
          <w:tcPr>
            <w:tcW w:w="2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900" w:type="dxa"/>
            <w:vAlign w:val="bottom"/>
            <w:tcBorders>
              <w:bottom w:val="single" w:sz="8" w:color="CFF0FC"/>
            </w:tcBorders>
            <w:shd w:val="clear" w:color="auto" w:fill="CFF0FC"/>
          </w:tcPr>
          <w:p>
            <w:pPr>
              <w:jc w:val="right"/>
              <w:spacing w:after="0" w:line="115" w:lineRule="exact"/>
              <w:rPr>
                <w:sz w:val="20"/>
                <w:szCs w:val="20"/>
                <w:color w:val="auto"/>
              </w:rPr>
            </w:pPr>
            <w:r>
              <w:rPr>
                <w:rFonts w:ascii="Arial" w:cs="Arial" w:eastAsia="Arial" w:hAnsi="Arial"/>
                <w:sz w:val="11"/>
                <w:szCs w:val="11"/>
                <w:color w:val="auto"/>
              </w:rPr>
              <w:t>7,331</w:t>
            </w:r>
          </w:p>
        </w:tc>
        <w:tc>
          <w:tcPr>
            <w:tcW w:w="24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900" w:type="dxa"/>
            <w:vAlign w:val="bottom"/>
            <w:tcBorders>
              <w:bottom w:val="single" w:sz="8" w:color="CFF0FC"/>
            </w:tcBorders>
            <w:shd w:val="clear" w:color="auto" w:fill="CFF0FC"/>
          </w:tcPr>
          <w:p>
            <w:pPr>
              <w:jc w:val="right"/>
              <w:spacing w:after="0" w:line="115" w:lineRule="exact"/>
              <w:rPr>
                <w:sz w:val="20"/>
                <w:szCs w:val="20"/>
                <w:color w:val="auto"/>
              </w:rPr>
            </w:pPr>
            <w:r>
              <w:rPr>
                <w:rFonts w:ascii="Arial" w:cs="Arial" w:eastAsia="Arial" w:hAnsi="Arial"/>
                <w:sz w:val="11"/>
                <w:szCs w:val="11"/>
                <w:color w:val="auto"/>
              </w:rPr>
              <w:t>7,331</w:t>
            </w:r>
          </w:p>
        </w:tc>
        <w:tc>
          <w:tcPr>
            <w:tcW w:w="2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ind w:left="460"/>
              <w:spacing w:after="0" w:line="115" w:lineRule="exact"/>
              <w:rPr>
                <w:sz w:val="20"/>
                <w:szCs w:val="20"/>
                <w:color w:val="auto"/>
              </w:rPr>
            </w:pPr>
            <w:r>
              <w:rPr>
                <w:rFonts w:ascii="Arial" w:cs="Arial" w:eastAsia="Arial" w:hAnsi="Arial"/>
                <w:sz w:val="11"/>
                <w:szCs w:val="11"/>
                <w:color w:val="auto"/>
                <w:w w:val="90"/>
              </w:rPr>
              <w:t>—</w:t>
            </w:r>
          </w:p>
        </w:tc>
        <w:tc>
          <w:tcPr>
            <w:tcW w:w="360" w:type="dxa"/>
            <w:vAlign w:val="bottom"/>
            <w:tcBorders>
              <w:bottom w:val="single" w:sz="8" w:color="CFF0FC"/>
            </w:tcBorders>
            <w:shd w:val="clear" w:color="auto" w:fill="CFF0FC"/>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tcBorders>
              <w:bottom w:val="single" w:sz="8" w:color="CFF0FC"/>
            </w:tcBorders>
            <w:shd w:val="clear" w:color="auto" w:fill="CFF0FC"/>
          </w:tcPr>
          <w:p>
            <w:pPr>
              <w:ind w:left="580"/>
              <w:spacing w:after="0" w:line="115" w:lineRule="exact"/>
              <w:rPr>
                <w:sz w:val="20"/>
                <w:szCs w:val="20"/>
                <w:color w:val="auto"/>
              </w:rPr>
            </w:pPr>
            <w:r>
              <w:rPr>
                <w:rFonts w:ascii="Arial" w:cs="Arial" w:eastAsia="Arial" w:hAnsi="Arial"/>
                <w:sz w:val="11"/>
                <w:szCs w:val="11"/>
                <w:color w:val="auto"/>
                <w:w w:val="90"/>
              </w:rPr>
              <w:t>—</w:t>
            </w:r>
          </w:p>
        </w:tc>
        <w:tc>
          <w:tcPr>
            <w:tcW w:w="340" w:type="dxa"/>
            <w:vAlign w:val="bottom"/>
            <w:tcBorders>
              <w:bottom w:val="single" w:sz="8" w:color="CFF0FC"/>
            </w:tcBorders>
            <w:shd w:val="clear" w:color="auto" w:fill="CFF0FC"/>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tcBorders>
              <w:bottom w:val="single" w:sz="8" w:color="CFF0FC"/>
            </w:tcBorders>
            <w:shd w:val="clear" w:color="auto" w:fill="CFF0FC"/>
          </w:tcPr>
          <w:p>
            <w:pPr>
              <w:ind w:left="920"/>
              <w:spacing w:after="0" w:line="115" w:lineRule="exact"/>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20" w:type="dxa"/>
            <w:vAlign w:val="bottom"/>
            <w:vMerge w:val="restart"/>
          </w:tcPr>
          <w:p>
            <w:pPr>
              <w:ind w:left="20"/>
              <w:spacing w:after="0" w:line="125" w:lineRule="exact"/>
              <w:rPr>
                <w:sz w:val="20"/>
                <w:szCs w:val="20"/>
                <w:color w:val="auto"/>
              </w:rPr>
            </w:pPr>
            <w:r>
              <w:rPr>
                <w:rFonts w:ascii="Arial" w:cs="Arial" w:eastAsia="Arial" w:hAnsi="Arial"/>
                <w:sz w:val="11"/>
                <w:szCs w:val="11"/>
                <w:color w:val="auto"/>
                <w:w w:val="97"/>
              </w:rPr>
              <w:t>8/03/2020</w:t>
            </w:r>
          </w:p>
        </w:tc>
        <w:tc>
          <w:tcPr>
            <w:tcW w:w="1980" w:type="dxa"/>
            <w:vAlign w:val="bottom"/>
          </w:tcPr>
          <w:p>
            <w:pPr>
              <w:spacing w:after="0"/>
              <w:rPr>
                <w:sz w:val="7"/>
                <w:szCs w:val="7"/>
                <w:color w:val="auto"/>
              </w:rPr>
            </w:pPr>
          </w:p>
        </w:tc>
        <w:tc>
          <w:tcPr>
            <w:tcW w:w="740" w:type="dxa"/>
            <w:vAlign w:val="bottom"/>
            <w:gridSpan w:val="2"/>
            <w:vMerge w:val="restart"/>
          </w:tcPr>
          <w:p>
            <w:pPr>
              <w:jc w:val="right"/>
              <w:spacing w:after="0" w:line="125" w:lineRule="exact"/>
              <w:rPr>
                <w:sz w:val="20"/>
                <w:szCs w:val="20"/>
                <w:color w:val="auto"/>
              </w:rPr>
            </w:pPr>
            <w:r>
              <w:rPr>
                <w:rFonts w:ascii="Arial" w:cs="Arial" w:eastAsia="Arial" w:hAnsi="Arial"/>
                <w:sz w:val="11"/>
                <w:szCs w:val="11"/>
                <w:color w:val="auto"/>
              </w:rPr>
              <w:t>9/11/2020</w:t>
            </w:r>
          </w:p>
        </w:tc>
        <w:tc>
          <w:tcPr>
            <w:tcW w:w="820" w:type="dxa"/>
            <w:vAlign w:val="bottom"/>
            <w:gridSpan w:val="2"/>
            <w:vMerge w:val="restart"/>
          </w:tcPr>
          <w:p>
            <w:pPr>
              <w:jc w:val="right"/>
              <w:spacing w:after="0" w:line="125" w:lineRule="exact"/>
              <w:rPr>
                <w:sz w:val="20"/>
                <w:szCs w:val="20"/>
                <w:color w:val="auto"/>
              </w:rPr>
            </w:pPr>
            <w:r>
              <w:rPr>
                <w:rFonts w:ascii="Arial" w:cs="Arial" w:eastAsia="Arial" w:hAnsi="Arial"/>
                <w:sz w:val="11"/>
                <w:szCs w:val="11"/>
                <w:color w:val="auto"/>
              </w:rPr>
              <w:t>9/25/2020</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restart"/>
          </w:tcPr>
          <w:p>
            <w:pPr>
              <w:jc w:val="right"/>
              <w:spacing w:after="0" w:line="125" w:lineRule="exact"/>
              <w:rPr>
                <w:sz w:val="20"/>
                <w:szCs w:val="20"/>
                <w:color w:val="auto"/>
              </w:rPr>
            </w:pPr>
            <w:r>
              <w:rPr>
                <w:rFonts w:ascii="Arial" w:cs="Arial" w:eastAsia="Arial" w:hAnsi="Arial"/>
                <w:sz w:val="11"/>
                <w:szCs w:val="11"/>
                <w:color w:val="auto"/>
              </w:rPr>
              <w:t>0.30</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vMerge w:val="restart"/>
          </w:tcPr>
          <w:p>
            <w:pPr>
              <w:jc w:val="right"/>
              <w:spacing w:after="0" w:line="125" w:lineRule="exact"/>
              <w:rPr>
                <w:sz w:val="20"/>
                <w:szCs w:val="20"/>
                <w:color w:val="auto"/>
              </w:rPr>
            </w:pPr>
            <w:r>
              <w:rPr>
                <w:rFonts w:ascii="Arial" w:cs="Arial" w:eastAsia="Arial" w:hAnsi="Arial"/>
                <w:sz w:val="11"/>
                <w:szCs w:val="11"/>
                <w:color w:val="auto"/>
              </w:rPr>
              <w:t>7,331</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vMerge w:val="restart"/>
          </w:tcPr>
          <w:p>
            <w:pPr>
              <w:jc w:val="right"/>
              <w:spacing w:after="0" w:line="125" w:lineRule="exact"/>
              <w:rPr>
                <w:sz w:val="20"/>
                <w:szCs w:val="20"/>
                <w:color w:val="auto"/>
              </w:rPr>
            </w:pPr>
            <w:r>
              <w:rPr>
                <w:rFonts w:ascii="Arial" w:cs="Arial" w:eastAsia="Arial" w:hAnsi="Arial"/>
                <w:sz w:val="11"/>
                <w:szCs w:val="11"/>
                <w:color w:val="auto"/>
              </w:rPr>
              <w:t>7,331</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ind w:left="460"/>
              <w:spacing w:after="0" w:line="125" w:lineRule="exact"/>
              <w:rPr>
                <w:sz w:val="20"/>
                <w:szCs w:val="20"/>
                <w:color w:val="auto"/>
              </w:rPr>
            </w:pPr>
            <w:r>
              <w:rPr>
                <w:rFonts w:ascii="Arial" w:cs="Arial" w:eastAsia="Arial" w:hAnsi="Arial"/>
                <w:sz w:val="11"/>
                <w:szCs w:val="11"/>
                <w:color w:val="auto"/>
                <w:w w:val="90"/>
              </w:rPr>
              <w:t>—</w:t>
            </w:r>
          </w:p>
        </w:tc>
        <w:tc>
          <w:tcPr>
            <w:tcW w:w="360" w:type="dxa"/>
            <w:vAlign w:val="bottom"/>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vMerge w:val="restart"/>
          </w:tcPr>
          <w:p>
            <w:pPr>
              <w:ind w:left="580"/>
              <w:spacing w:after="0" w:line="125" w:lineRule="exact"/>
              <w:rPr>
                <w:sz w:val="20"/>
                <w:szCs w:val="20"/>
                <w:color w:val="auto"/>
              </w:rPr>
            </w:pPr>
            <w:r>
              <w:rPr>
                <w:rFonts w:ascii="Arial" w:cs="Arial" w:eastAsia="Arial" w:hAnsi="Arial"/>
                <w:sz w:val="11"/>
                <w:szCs w:val="11"/>
                <w:color w:val="auto"/>
                <w:w w:val="90"/>
              </w:rPr>
              <w:t>—</w:t>
            </w:r>
          </w:p>
        </w:tc>
        <w:tc>
          <w:tcPr>
            <w:tcW w:w="340" w:type="dxa"/>
            <w:vAlign w:val="bottom"/>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vMerge w:val="restart"/>
          </w:tcPr>
          <w:p>
            <w:pPr>
              <w:ind w:left="920"/>
              <w:spacing w:after="0" w:line="125"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520" w:type="dxa"/>
            <w:vAlign w:val="bottom"/>
            <w:vMerge w:val="continue"/>
          </w:tcPr>
          <w:p>
            <w:pPr>
              <w:spacing w:after="0"/>
              <w:rPr>
                <w:sz w:val="3"/>
                <w:szCs w:val="3"/>
                <w:color w:val="auto"/>
              </w:rPr>
            </w:pPr>
          </w:p>
        </w:tc>
        <w:tc>
          <w:tcPr>
            <w:tcW w:w="19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60" w:type="dxa"/>
            <w:vAlign w:val="bottom"/>
            <w:vMerge w:val="restart"/>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vMerge w:val="continue"/>
          </w:tcPr>
          <w:p>
            <w:pPr>
              <w:spacing w:after="0"/>
              <w:rPr>
                <w:sz w:val="3"/>
                <w:szCs w:val="3"/>
                <w:color w:val="auto"/>
              </w:rPr>
            </w:pPr>
          </w:p>
        </w:tc>
        <w:tc>
          <w:tcPr>
            <w:tcW w:w="340" w:type="dxa"/>
            <w:vAlign w:val="bottom"/>
            <w:vMerge w:val="restart"/>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520" w:type="dxa"/>
            <w:vAlign w:val="bottom"/>
            <w:vMerge w:val="restart"/>
          </w:tcPr>
          <w:p>
            <w:pPr>
              <w:ind w:left="20"/>
              <w:spacing w:after="0"/>
              <w:rPr>
                <w:sz w:val="20"/>
                <w:szCs w:val="20"/>
                <w:color w:val="auto"/>
              </w:rPr>
            </w:pPr>
            <w:r>
              <w:rPr>
                <w:rFonts w:ascii="Arial" w:cs="Arial" w:eastAsia="Arial" w:hAnsi="Arial"/>
                <w:sz w:val="11"/>
                <w:szCs w:val="11"/>
                <w:color w:val="auto"/>
                <w:w w:val="87"/>
              </w:rPr>
              <w:t>10/26/2020</w:t>
            </w:r>
          </w:p>
        </w:tc>
        <w:tc>
          <w:tcPr>
            <w:tcW w:w="1980" w:type="dxa"/>
            <w:vAlign w:val="bottom"/>
          </w:tcPr>
          <w:p>
            <w:pPr>
              <w:spacing w:after="0"/>
              <w:rPr>
                <w:sz w:val="7"/>
                <w:szCs w:val="7"/>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1"/>
                <w:szCs w:val="11"/>
                <w:color w:val="auto"/>
              </w:rPr>
              <w:t>12/4/2020</w:t>
            </w:r>
          </w:p>
        </w:tc>
        <w:tc>
          <w:tcPr>
            <w:tcW w:w="820" w:type="dxa"/>
            <w:vAlign w:val="bottom"/>
            <w:gridSpan w:val="2"/>
            <w:vMerge w:val="restart"/>
          </w:tcPr>
          <w:p>
            <w:pPr>
              <w:jc w:val="right"/>
              <w:spacing w:after="0"/>
              <w:rPr>
                <w:sz w:val="20"/>
                <w:szCs w:val="20"/>
                <w:color w:val="auto"/>
              </w:rPr>
            </w:pPr>
            <w:r>
              <w:rPr>
                <w:rFonts w:ascii="Arial" w:cs="Arial" w:eastAsia="Arial" w:hAnsi="Arial"/>
                <w:sz w:val="11"/>
                <w:szCs w:val="11"/>
                <w:color w:val="auto"/>
              </w:rPr>
              <w:t>12/18/2020</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0.30</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7,331</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7,331</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ind w:left="460"/>
              <w:spacing w:after="0"/>
              <w:rPr>
                <w:sz w:val="20"/>
                <w:szCs w:val="20"/>
                <w:color w:val="auto"/>
              </w:rPr>
            </w:pPr>
            <w:r>
              <w:rPr>
                <w:rFonts w:ascii="Arial" w:cs="Arial" w:eastAsia="Arial" w:hAnsi="Arial"/>
                <w:sz w:val="11"/>
                <w:szCs w:val="11"/>
                <w:color w:val="auto"/>
                <w:w w:val="90"/>
              </w:rPr>
              <w:t>—</w:t>
            </w:r>
          </w:p>
        </w:tc>
        <w:tc>
          <w:tcPr>
            <w:tcW w:w="360" w:type="dxa"/>
            <w:vAlign w:val="bottom"/>
            <w:vMerge w:val="continue"/>
          </w:tcPr>
          <w:p>
            <w:pPr>
              <w:spacing w:after="0"/>
              <w:rPr>
                <w:sz w:val="7"/>
                <w:szCs w:val="7"/>
                <w:color w:val="auto"/>
              </w:rPr>
            </w:pPr>
          </w:p>
        </w:tc>
        <w:tc>
          <w:tcPr>
            <w:tcW w:w="700" w:type="dxa"/>
            <w:vAlign w:val="bottom"/>
            <w:vMerge w:val="restart"/>
          </w:tcPr>
          <w:p>
            <w:pPr>
              <w:ind w:left="580"/>
              <w:spacing w:after="0"/>
              <w:rPr>
                <w:sz w:val="20"/>
                <w:szCs w:val="20"/>
                <w:color w:val="auto"/>
              </w:rPr>
            </w:pPr>
            <w:r>
              <w:rPr>
                <w:rFonts w:ascii="Arial" w:cs="Arial" w:eastAsia="Arial" w:hAnsi="Arial"/>
                <w:sz w:val="11"/>
                <w:szCs w:val="11"/>
                <w:color w:val="auto"/>
                <w:w w:val="90"/>
              </w:rPr>
              <w:t>—</w:t>
            </w:r>
          </w:p>
        </w:tc>
        <w:tc>
          <w:tcPr>
            <w:tcW w:w="340" w:type="dxa"/>
            <w:vAlign w:val="bottom"/>
            <w:vMerge w:val="continue"/>
          </w:tcPr>
          <w:p>
            <w:pPr>
              <w:spacing w:after="0"/>
              <w:rPr>
                <w:sz w:val="7"/>
                <w:szCs w:val="7"/>
                <w:color w:val="auto"/>
              </w:rPr>
            </w:pPr>
          </w:p>
        </w:tc>
        <w:tc>
          <w:tcPr>
            <w:tcW w:w="1040" w:type="dxa"/>
            <w:vAlign w:val="bottom"/>
            <w:vMerge w:val="restart"/>
          </w:tcPr>
          <w:p>
            <w:pPr>
              <w:ind w:left="9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520" w:type="dxa"/>
            <w:vAlign w:val="bottom"/>
            <w:vMerge w:val="continue"/>
          </w:tcPr>
          <w:p>
            <w:pPr>
              <w:spacing w:after="0"/>
              <w:rPr>
                <w:sz w:val="4"/>
                <w:szCs w:val="4"/>
                <w:color w:val="auto"/>
              </w:rPr>
            </w:pPr>
          </w:p>
        </w:tc>
        <w:tc>
          <w:tcPr>
            <w:tcW w:w="1980" w:type="dxa"/>
            <w:vAlign w:val="bottom"/>
            <w:vMerge w:val="restart"/>
          </w:tcPr>
          <w:p>
            <w:pPr>
              <w:jc w:val="right"/>
              <w:ind w:right="1844"/>
              <w:spacing w:after="0"/>
              <w:rPr>
                <w:sz w:val="20"/>
                <w:szCs w:val="20"/>
                <w:color w:val="auto"/>
              </w:rPr>
            </w:pPr>
            <w:r>
              <w:rPr>
                <w:rFonts w:ascii="Arial" w:cs="Arial" w:eastAsia="Arial" w:hAnsi="Arial"/>
                <w:sz w:val="7"/>
                <w:szCs w:val="7"/>
                <w:color w:val="auto"/>
                <w:w w:val="92"/>
              </w:rPr>
              <w:t>(2)</w:t>
            </w:r>
          </w:p>
        </w:tc>
        <w:tc>
          <w:tcPr>
            <w:tcW w:w="74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520" w:type="dxa"/>
            <w:vAlign w:val="bottom"/>
          </w:tcPr>
          <w:p>
            <w:pPr>
              <w:ind w:left="20"/>
              <w:spacing w:after="0" w:line="78" w:lineRule="exact"/>
              <w:rPr>
                <w:sz w:val="20"/>
                <w:szCs w:val="20"/>
                <w:color w:val="auto"/>
              </w:rPr>
            </w:pPr>
            <w:r>
              <w:rPr>
                <w:rFonts w:ascii="Arial" w:cs="Arial" w:eastAsia="Arial" w:hAnsi="Arial"/>
                <w:sz w:val="8"/>
                <w:szCs w:val="8"/>
                <w:color w:val="auto"/>
              </w:rPr>
              <w:t>10/26/2020</w:t>
            </w:r>
          </w:p>
        </w:tc>
        <w:tc>
          <w:tcPr>
            <w:tcW w:w="1980" w:type="dxa"/>
            <w:vAlign w:val="bottom"/>
            <w:vMerge w:val="continue"/>
          </w:tcPr>
          <w:p>
            <w:pPr>
              <w:spacing w:after="0"/>
              <w:rPr>
                <w:sz w:val="6"/>
                <w:szCs w:val="6"/>
                <w:color w:val="auto"/>
              </w:rPr>
            </w:pPr>
          </w:p>
        </w:tc>
        <w:tc>
          <w:tcPr>
            <w:tcW w:w="740" w:type="dxa"/>
            <w:vAlign w:val="bottom"/>
            <w:gridSpan w:val="2"/>
          </w:tcPr>
          <w:p>
            <w:pPr>
              <w:jc w:val="right"/>
              <w:spacing w:after="0" w:line="78" w:lineRule="exact"/>
              <w:rPr>
                <w:sz w:val="20"/>
                <w:szCs w:val="20"/>
                <w:color w:val="auto"/>
              </w:rPr>
            </w:pPr>
            <w:r>
              <w:rPr>
                <w:rFonts w:ascii="Arial" w:cs="Arial" w:eastAsia="Arial" w:hAnsi="Arial"/>
                <w:sz w:val="8"/>
                <w:szCs w:val="8"/>
                <w:color w:val="auto"/>
              </w:rPr>
              <w:t>12/4/2020</w:t>
            </w:r>
          </w:p>
        </w:tc>
        <w:tc>
          <w:tcPr>
            <w:tcW w:w="820" w:type="dxa"/>
            <w:vAlign w:val="bottom"/>
            <w:gridSpan w:val="2"/>
          </w:tcPr>
          <w:p>
            <w:pPr>
              <w:jc w:val="right"/>
              <w:spacing w:after="0" w:line="78" w:lineRule="exact"/>
              <w:rPr>
                <w:sz w:val="20"/>
                <w:szCs w:val="20"/>
                <w:color w:val="auto"/>
              </w:rPr>
            </w:pPr>
            <w:r>
              <w:rPr>
                <w:rFonts w:ascii="Arial" w:cs="Arial" w:eastAsia="Arial" w:hAnsi="Arial"/>
                <w:sz w:val="8"/>
                <w:szCs w:val="8"/>
                <w:color w:val="auto"/>
              </w:rPr>
              <w:t>12/18/2020</w:t>
            </w: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jc w:val="right"/>
              <w:spacing w:after="0" w:line="78" w:lineRule="exact"/>
              <w:rPr>
                <w:sz w:val="20"/>
                <w:szCs w:val="20"/>
                <w:color w:val="auto"/>
              </w:rPr>
            </w:pPr>
            <w:r>
              <w:rPr>
                <w:rFonts w:ascii="Arial" w:cs="Arial" w:eastAsia="Arial" w:hAnsi="Arial"/>
                <w:sz w:val="8"/>
                <w:szCs w:val="8"/>
                <w:color w:val="auto"/>
              </w:rPr>
              <w:t>0.04</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jc w:val="right"/>
              <w:spacing w:after="0" w:line="78" w:lineRule="exact"/>
              <w:rPr>
                <w:sz w:val="20"/>
                <w:szCs w:val="20"/>
                <w:color w:val="auto"/>
              </w:rPr>
            </w:pPr>
            <w:r>
              <w:rPr>
                <w:rFonts w:ascii="Arial" w:cs="Arial" w:eastAsia="Arial" w:hAnsi="Arial"/>
                <w:sz w:val="8"/>
                <w:szCs w:val="8"/>
                <w:color w:val="auto"/>
              </w:rPr>
              <w:t>978</w:t>
            </w: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jc w:val="right"/>
              <w:spacing w:after="0" w:line="78" w:lineRule="exact"/>
              <w:rPr>
                <w:sz w:val="20"/>
                <w:szCs w:val="20"/>
                <w:color w:val="auto"/>
              </w:rPr>
            </w:pPr>
            <w:r>
              <w:rPr>
                <w:rFonts w:ascii="Arial" w:cs="Arial" w:eastAsia="Arial" w:hAnsi="Arial"/>
                <w:sz w:val="8"/>
                <w:szCs w:val="8"/>
                <w:color w:val="auto"/>
              </w:rPr>
              <w:t>978</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ind w:left="460"/>
              <w:spacing w:after="0" w:line="78" w:lineRule="exact"/>
              <w:rPr>
                <w:sz w:val="20"/>
                <w:szCs w:val="20"/>
                <w:color w:val="auto"/>
              </w:rPr>
            </w:pPr>
            <w:r>
              <w:rPr>
                <w:rFonts w:ascii="Arial" w:cs="Arial" w:eastAsia="Arial" w:hAnsi="Arial"/>
                <w:sz w:val="8"/>
                <w:szCs w:val="8"/>
                <w:color w:val="auto"/>
              </w:rPr>
              <w:t>—</w:t>
            </w:r>
          </w:p>
        </w:tc>
        <w:tc>
          <w:tcPr>
            <w:tcW w:w="360" w:type="dxa"/>
            <w:vAlign w:val="bottom"/>
            <w:vMerge w:val="restart"/>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tcPr>
          <w:p>
            <w:pPr>
              <w:ind w:left="580"/>
              <w:spacing w:after="0" w:line="78" w:lineRule="exact"/>
              <w:rPr>
                <w:sz w:val="20"/>
                <w:szCs w:val="20"/>
                <w:color w:val="auto"/>
              </w:rPr>
            </w:pPr>
            <w:r>
              <w:rPr>
                <w:rFonts w:ascii="Arial" w:cs="Arial" w:eastAsia="Arial" w:hAnsi="Arial"/>
                <w:sz w:val="8"/>
                <w:szCs w:val="8"/>
                <w:color w:val="auto"/>
              </w:rPr>
              <w:t>—</w:t>
            </w:r>
          </w:p>
        </w:tc>
        <w:tc>
          <w:tcPr>
            <w:tcW w:w="340" w:type="dxa"/>
            <w:vAlign w:val="bottom"/>
            <w:vMerge w:val="restart"/>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tcPr>
          <w:p>
            <w:pPr>
              <w:ind w:left="920"/>
              <w:spacing w:after="0" w:line="78"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20" w:type="dxa"/>
            <w:vAlign w:val="bottom"/>
            <w:tcBorders>
              <w:bottom w:val="single" w:sz="8" w:color="CFF0FC"/>
            </w:tcBorders>
            <w:shd w:val="clear" w:color="auto" w:fill="CFF0FC"/>
          </w:tcPr>
          <w:p>
            <w:pPr>
              <w:spacing w:after="0"/>
              <w:rPr>
                <w:sz w:val="14"/>
                <w:szCs w:val="14"/>
                <w:color w:val="auto"/>
              </w:rPr>
            </w:pPr>
          </w:p>
        </w:tc>
        <w:tc>
          <w:tcPr>
            <w:tcW w:w="19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1.33</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32,508</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32,508</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ind w:left="460"/>
              <w:spacing w:after="0"/>
              <w:rPr>
                <w:sz w:val="20"/>
                <w:szCs w:val="20"/>
                <w:color w:val="auto"/>
              </w:rPr>
            </w:pPr>
            <w:r>
              <w:rPr>
                <w:rFonts w:ascii="Arial" w:cs="Arial" w:eastAsia="Arial" w:hAnsi="Arial"/>
                <w:sz w:val="11"/>
                <w:szCs w:val="11"/>
                <w:color w:val="auto"/>
                <w:w w:val="90"/>
              </w:rPr>
              <w:t>—</w:t>
            </w:r>
          </w:p>
        </w:tc>
        <w:tc>
          <w:tcPr>
            <w:tcW w:w="36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3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500" w:type="dxa"/>
            <w:vAlign w:val="bottom"/>
            <w:gridSpan w:val="2"/>
          </w:tcPr>
          <w:p>
            <w:pPr>
              <w:ind w:left="20"/>
              <w:spacing w:after="0" w:line="106" w:lineRule="exact"/>
              <w:rPr>
                <w:sz w:val="20"/>
                <w:szCs w:val="20"/>
                <w:color w:val="auto"/>
              </w:rPr>
            </w:pPr>
            <w:r>
              <w:rPr>
                <w:rFonts w:ascii="Arial" w:cs="Arial" w:eastAsia="Arial" w:hAnsi="Arial"/>
                <w:sz w:val="11"/>
                <w:szCs w:val="11"/>
                <w:b w:val="1"/>
                <w:bCs w:val="1"/>
                <w:color w:val="auto"/>
              </w:rPr>
              <w:t>Year Ended December 31, 2021:</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vMerge w:val="restart"/>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tcPr>
          <w:p>
            <w:pPr>
              <w:spacing w:after="0"/>
              <w:rPr>
                <w:sz w:val="9"/>
                <w:szCs w:val="9"/>
                <w:color w:val="auto"/>
              </w:rPr>
            </w:pPr>
          </w:p>
        </w:tc>
        <w:tc>
          <w:tcPr>
            <w:tcW w:w="340" w:type="dxa"/>
            <w:vAlign w:val="bottom"/>
            <w:vMerge w:val="restart"/>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520" w:type="dxa"/>
            <w:vAlign w:val="bottom"/>
            <w:vMerge w:val="restart"/>
          </w:tcPr>
          <w:p>
            <w:pPr>
              <w:ind w:left="20"/>
              <w:spacing w:after="0" w:line="115" w:lineRule="exact"/>
              <w:rPr>
                <w:sz w:val="20"/>
                <w:szCs w:val="20"/>
                <w:color w:val="auto"/>
              </w:rPr>
            </w:pPr>
            <w:r>
              <w:rPr>
                <w:rFonts w:ascii="Arial" w:cs="Arial" w:eastAsia="Arial" w:hAnsi="Arial"/>
                <w:sz w:val="11"/>
                <w:szCs w:val="11"/>
                <w:color w:val="auto"/>
                <w:w w:val="97"/>
              </w:rPr>
              <w:t>2/09/2021</w:t>
            </w:r>
          </w:p>
        </w:tc>
        <w:tc>
          <w:tcPr>
            <w:tcW w:w="1980" w:type="dxa"/>
            <w:vAlign w:val="bottom"/>
          </w:tcPr>
          <w:p>
            <w:pPr>
              <w:spacing w:after="0"/>
              <w:rPr>
                <w:sz w:val="7"/>
                <w:szCs w:val="7"/>
                <w:color w:val="auto"/>
              </w:rPr>
            </w:pPr>
          </w:p>
        </w:tc>
        <w:tc>
          <w:tcPr>
            <w:tcW w:w="740" w:type="dxa"/>
            <w:vAlign w:val="bottom"/>
            <w:gridSpan w:val="2"/>
            <w:vMerge w:val="restart"/>
          </w:tcPr>
          <w:p>
            <w:pPr>
              <w:jc w:val="right"/>
              <w:spacing w:after="0" w:line="115" w:lineRule="exact"/>
              <w:rPr>
                <w:sz w:val="20"/>
                <w:szCs w:val="20"/>
                <w:color w:val="auto"/>
              </w:rPr>
            </w:pPr>
            <w:r>
              <w:rPr>
                <w:rFonts w:ascii="Arial" w:cs="Arial" w:eastAsia="Arial" w:hAnsi="Arial"/>
                <w:sz w:val="11"/>
                <w:szCs w:val="11"/>
                <w:color w:val="auto"/>
              </w:rPr>
              <w:t>3/12/2021</w:t>
            </w:r>
          </w:p>
        </w:tc>
        <w:tc>
          <w:tcPr>
            <w:tcW w:w="820" w:type="dxa"/>
            <w:vAlign w:val="bottom"/>
            <w:gridSpan w:val="2"/>
            <w:vMerge w:val="restart"/>
          </w:tcPr>
          <w:p>
            <w:pPr>
              <w:jc w:val="right"/>
              <w:spacing w:after="0" w:line="115" w:lineRule="exact"/>
              <w:rPr>
                <w:sz w:val="20"/>
                <w:szCs w:val="20"/>
                <w:color w:val="auto"/>
              </w:rPr>
            </w:pPr>
            <w:r>
              <w:rPr>
                <w:rFonts w:ascii="Arial" w:cs="Arial" w:eastAsia="Arial" w:hAnsi="Arial"/>
                <w:sz w:val="11"/>
                <w:szCs w:val="11"/>
                <w:color w:val="auto"/>
              </w:rPr>
              <w:t>3/26/2021</w:t>
            </w:r>
          </w:p>
        </w:tc>
        <w:tc>
          <w:tcPr>
            <w:tcW w:w="380" w:type="dxa"/>
            <w:vAlign w:val="bottom"/>
            <w:gridSpan w:val="2"/>
            <w:vMerge w:val="restart"/>
          </w:tcPr>
          <w:p>
            <w:pPr>
              <w:jc w:val="right"/>
              <w:ind w:right="31"/>
              <w:spacing w:after="0" w:line="115" w:lineRule="exact"/>
              <w:rPr>
                <w:sz w:val="20"/>
                <w:szCs w:val="20"/>
                <w:color w:val="auto"/>
              </w:rPr>
            </w:pPr>
            <w:r>
              <w:rPr>
                <w:rFonts w:ascii="Arial" w:cs="Arial" w:eastAsia="Arial" w:hAnsi="Arial"/>
                <w:sz w:val="11"/>
                <w:szCs w:val="11"/>
                <w:color w:val="auto"/>
              </w:rPr>
              <w:t>$</w:t>
            </w:r>
          </w:p>
        </w:tc>
        <w:tc>
          <w:tcPr>
            <w:tcW w:w="740" w:type="dxa"/>
            <w:vAlign w:val="bottom"/>
            <w:vMerge w:val="restart"/>
          </w:tcPr>
          <w:p>
            <w:pPr>
              <w:jc w:val="right"/>
              <w:spacing w:after="0" w:line="115" w:lineRule="exact"/>
              <w:rPr>
                <w:sz w:val="20"/>
                <w:szCs w:val="20"/>
                <w:color w:val="auto"/>
              </w:rPr>
            </w:pPr>
            <w:r>
              <w:rPr>
                <w:rFonts w:ascii="Arial" w:cs="Arial" w:eastAsia="Arial" w:hAnsi="Arial"/>
                <w:sz w:val="11"/>
                <w:szCs w:val="11"/>
                <w:color w:val="auto"/>
              </w:rPr>
              <w:t>0.31</w:t>
            </w:r>
          </w:p>
        </w:tc>
        <w:tc>
          <w:tcPr>
            <w:tcW w:w="400" w:type="dxa"/>
            <w:vAlign w:val="bottom"/>
            <w:gridSpan w:val="2"/>
            <w:vMerge w:val="restart"/>
          </w:tcPr>
          <w:p>
            <w:pPr>
              <w:jc w:val="right"/>
              <w:ind w:right="46"/>
              <w:spacing w:after="0" w:line="115" w:lineRule="exact"/>
              <w:rPr>
                <w:sz w:val="20"/>
                <w:szCs w:val="20"/>
                <w:color w:val="auto"/>
              </w:rPr>
            </w:pPr>
            <w:r>
              <w:rPr>
                <w:rFonts w:ascii="Arial" w:cs="Arial" w:eastAsia="Arial" w:hAnsi="Arial"/>
                <w:sz w:val="11"/>
                <w:szCs w:val="11"/>
                <w:color w:val="auto"/>
              </w:rPr>
              <w:t>$</w:t>
            </w:r>
          </w:p>
        </w:tc>
        <w:tc>
          <w:tcPr>
            <w:tcW w:w="900" w:type="dxa"/>
            <w:vAlign w:val="bottom"/>
            <w:vMerge w:val="restart"/>
          </w:tcPr>
          <w:p>
            <w:pPr>
              <w:jc w:val="right"/>
              <w:spacing w:after="0" w:line="115" w:lineRule="exact"/>
              <w:rPr>
                <w:sz w:val="20"/>
                <w:szCs w:val="20"/>
                <w:color w:val="auto"/>
              </w:rPr>
            </w:pPr>
            <w:r>
              <w:rPr>
                <w:rFonts w:ascii="Arial" w:cs="Arial" w:eastAsia="Arial" w:hAnsi="Arial"/>
                <w:sz w:val="11"/>
                <w:szCs w:val="11"/>
                <w:color w:val="auto"/>
              </w:rPr>
              <w:t>7,575</w:t>
            </w:r>
          </w:p>
        </w:tc>
        <w:tc>
          <w:tcPr>
            <w:tcW w:w="400" w:type="dxa"/>
            <w:vAlign w:val="bottom"/>
            <w:gridSpan w:val="2"/>
            <w:vMerge w:val="restart"/>
          </w:tcPr>
          <w:p>
            <w:pPr>
              <w:jc w:val="right"/>
              <w:ind w:right="51"/>
              <w:spacing w:after="0" w:line="115" w:lineRule="exact"/>
              <w:rPr>
                <w:sz w:val="20"/>
                <w:szCs w:val="20"/>
                <w:color w:val="auto"/>
              </w:rPr>
            </w:pPr>
            <w:r>
              <w:rPr>
                <w:rFonts w:ascii="Arial" w:cs="Arial" w:eastAsia="Arial" w:hAnsi="Arial"/>
                <w:sz w:val="11"/>
                <w:szCs w:val="11"/>
                <w:color w:val="auto"/>
              </w:rPr>
              <w:t>$</w:t>
            </w:r>
          </w:p>
        </w:tc>
        <w:tc>
          <w:tcPr>
            <w:tcW w:w="900" w:type="dxa"/>
            <w:vAlign w:val="bottom"/>
            <w:vMerge w:val="restart"/>
          </w:tcPr>
          <w:p>
            <w:pPr>
              <w:jc w:val="right"/>
              <w:spacing w:after="0" w:line="115" w:lineRule="exact"/>
              <w:rPr>
                <w:sz w:val="20"/>
                <w:szCs w:val="20"/>
                <w:color w:val="auto"/>
              </w:rPr>
            </w:pPr>
            <w:r>
              <w:rPr>
                <w:rFonts w:ascii="Arial" w:cs="Arial" w:eastAsia="Arial" w:hAnsi="Arial"/>
                <w:sz w:val="11"/>
                <w:szCs w:val="11"/>
                <w:color w:val="auto"/>
              </w:rPr>
              <w:t>7,575</w:t>
            </w:r>
          </w:p>
        </w:tc>
        <w:tc>
          <w:tcPr>
            <w:tcW w:w="340" w:type="dxa"/>
            <w:vAlign w:val="bottom"/>
            <w:gridSpan w:val="2"/>
            <w:vMerge w:val="restart"/>
          </w:tcPr>
          <w:p>
            <w:pPr>
              <w:jc w:val="right"/>
              <w:ind w:right="31"/>
              <w:spacing w:after="0" w:line="115" w:lineRule="exact"/>
              <w:rPr>
                <w:sz w:val="20"/>
                <w:szCs w:val="20"/>
                <w:color w:val="auto"/>
              </w:rPr>
            </w:pPr>
            <w:r>
              <w:rPr>
                <w:rFonts w:ascii="Arial" w:cs="Arial" w:eastAsia="Arial" w:hAnsi="Arial"/>
                <w:sz w:val="11"/>
                <w:szCs w:val="11"/>
                <w:color w:val="auto"/>
              </w:rPr>
              <w:t>$</w:t>
            </w:r>
          </w:p>
        </w:tc>
        <w:tc>
          <w:tcPr>
            <w:tcW w:w="580" w:type="dxa"/>
            <w:vAlign w:val="bottom"/>
            <w:vMerge w:val="restart"/>
          </w:tcPr>
          <w:p>
            <w:pPr>
              <w:ind w:left="460"/>
              <w:spacing w:after="0" w:line="115" w:lineRule="exact"/>
              <w:rPr>
                <w:sz w:val="20"/>
                <w:szCs w:val="20"/>
                <w:color w:val="auto"/>
              </w:rPr>
            </w:pPr>
            <w:r>
              <w:rPr>
                <w:rFonts w:ascii="Arial" w:cs="Arial" w:eastAsia="Arial" w:hAnsi="Arial"/>
                <w:sz w:val="11"/>
                <w:szCs w:val="11"/>
                <w:color w:val="auto"/>
                <w:w w:val="90"/>
              </w:rPr>
              <w:t>—</w:t>
            </w:r>
          </w:p>
        </w:tc>
        <w:tc>
          <w:tcPr>
            <w:tcW w:w="360" w:type="dxa"/>
            <w:vAlign w:val="bottom"/>
            <w:vMerge w:val="continue"/>
          </w:tcPr>
          <w:p>
            <w:pPr>
              <w:spacing w:after="0"/>
              <w:rPr>
                <w:sz w:val="7"/>
                <w:szCs w:val="7"/>
                <w:color w:val="auto"/>
              </w:rPr>
            </w:pPr>
          </w:p>
        </w:tc>
        <w:tc>
          <w:tcPr>
            <w:tcW w:w="700" w:type="dxa"/>
            <w:vAlign w:val="bottom"/>
            <w:vMerge w:val="restart"/>
          </w:tcPr>
          <w:p>
            <w:pPr>
              <w:ind w:left="580"/>
              <w:spacing w:after="0" w:line="115" w:lineRule="exact"/>
              <w:rPr>
                <w:sz w:val="20"/>
                <w:szCs w:val="20"/>
                <w:color w:val="auto"/>
              </w:rPr>
            </w:pPr>
            <w:r>
              <w:rPr>
                <w:rFonts w:ascii="Arial" w:cs="Arial" w:eastAsia="Arial" w:hAnsi="Arial"/>
                <w:sz w:val="11"/>
                <w:szCs w:val="11"/>
                <w:color w:val="auto"/>
                <w:w w:val="90"/>
              </w:rPr>
              <w:t>—</w:t>
            </w:r>
          </w:p>
        </w:tc>
        <w:tc>
          <w:tcPr>
            <w:tcW w:w="340" w:type="dxa"/>
            <w:vAlign w:val="bottom"/>
            <w:vMerge w:val="continue"/>
          </w:tcPr>
          <w:p>
            <w:pPr>
              <w:spacing w:after="0"/>
              <w:rPr>
                <w:sz w:val="7"/>
                <w:szCs w:val="7"/>
                <w:color w:val="auto"/>
              </w:rPr>
            </w:pPr>
          </w:p>
        </w:tc>
        <w:tc>
          <w:tcPr>
            <w:tcW w:w="1040" w:type="dxa"/>
            <w:vAlign w:val="bottom"/>
            <w:vMerge w:val="restart"/>
          </w:tcPr>
          <w:p>
            <w:pPr>
              <w:ind w:left="920"/>
              <w:spacing w:after="0" w:line="115"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52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38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0" w:type="dxa"/>
            <w:vAlign w:val="bottom"/>
            <w:gridSpan w:val="2"/>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400" w:type="dxa"/>
            <w:vAlign w:val="bottom"/>
            <w:gridSpan w:val="2"/>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340" w:type="dxa"/>
            <w:vAlign w:val="bottom"/>
            <w:gridSpan w:val="2"/>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50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2/09/2021 </w:t>
            </w:r>
            <w:r>
              <w:rPr>
                <w:rFonts w:ascii="Arial" w:cs="Arial" w:eastAsia="Arial" w:hAnsi="Arial"/>
                <w:sz w:val="14"/>
                <w:szCs w:val="14"/>
                <w:color w:val="auto"/>
                <w:vertAlign w:val="superscript"/>
              </w:rPr>
              <w:t>(2)</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3/12/2021</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3/26/2021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0.07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1,711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1,711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360" w:type="dxa"/>
            <w:vAlign w:val="bottom"/>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340" w:type="dxa"/>
            <w:vAlign w:val="bottom"/>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tcPr>
          <w:p>
            <w:pPr>
              <w:ind w:left="9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20" w:type="dxa"/>
            <w:vAlign w:val="bottom"/>
            <w:vMerge w:val="restart"/>
          </w:tcPr>
          <w:p>
            <w:pPr>
              <w:ind w:left="20"/>
              <w:spacing w:after="0" w:line="122" w:lineRule="exact"/>
              <w:rPr>
                <w:sz w:val="20"/>
                <w:szCs w:val="20"/>
                <w:color w:val="auto"/>
              </w:rPr>
            </w:pPr>
            <w:r>
              <w:rPr>
                <w:rFonts w:ascii="Arial" w:cs="Arial" w:eastAsia="Arial" w:hAnsi="Arial"/>
                <w:sz w:val="11"/>
                <w:szCs w:val="11"/>
                <w:color w:val="auto"/>
                <w:w w:val="97"/>
              </w:rPr>
              <w:t>5/03/2021</w:t>
            </w:r>
          </w:p>
        </w:tc>
        <w:tc>
          <w:tcPr>
            <w:tcW w:w="1980" w:type="dxa"/>
            <w:vAlign w:val="bottom"/>
          </w:tcPr>
          <w:p>
            <w:pPr>
              <w:spacing w:after="0"/>
              <w:rPr>
                <w:sz w:val="7"/>
                <w:szCs w:val="7"/>
                <w:color w:val="auto"/>
              </w:rPr>
            </w:pPr>
          </w:p>
        </w:tc>
        <w:tc>
          <w:tcPr>
            <w:tcW w:w="740" w:type="dxa"/>
            <w:vAlign w:val="bottom"/>
            <w:gridSpan w:val="2"/>
            <w:vMerge w:val="restart"/>
          </w:tcPr>
          <w:p>
            <w:pPr>
              <w:jc w:val="right"/>
              <w:spacing w:after="0" w:line="122" w:lineRule="exact"/>
              <w:rPr>
                <w:sz w:val="20"/>
                <w:szCs w:val="20"/>
                <w:color w:val="auto"/>
              </w:rPr>
            </w:pPr>
            <w:r>
              <w:rPr>
                <w:rFonts w:ascii="Arial" w:cs="Arial" w:eastAsia="Arial" w:hAnsi="Arial"/>
                <w:sz w:val="11"/>
                <w:szCs w:val="11"/>
                <w:color w:val="auto"/>
              </w:rPr>
              <w:t>6/14/2021</w:t>
            </w:r>
          </w:p>
        </w:tc>
        <w:tc>
          <w:tcPr>
            <w:tcW w:w="820" w:type="dxa"/>
            <w:vAlign w:val="bottom"/>
            <w:gridSpan w:val="2"/>
            <w:vMerge w:val="restart"/>
          </w:tcPr>
          <w:p>
            <w:pPr>
              <w:jc w:val="right"/>
              <w:spacing w:after="0" w:line="122" w:lineRule="exact"/>
              <w:rPr>
                <w:sz w:val="20"/>
                <w:szCs w:val="20"/>
                <w:color w:val="auto"/>
              </w:rPr>
            </w:pPr>
            <w:r>
              <w:rPr>
                <w:rFonts w:ascii="Arial" w:cs="Arial" w:eastAsia="Arial" w:hAnsi="Arial"/>
                <w:sz w:val="11"/>
                <w:szCs w:val="11"/>
                <w:color w:val="auto"/>
              </w:rPr>
              <w:t>6/28/2021</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0.31</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7,576</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7,576</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ind w:left="460"/>
              <w:spacing w:after="0" w:line="122" w:lineRule="exact"/>
              <w:rPr>
                <w:sz w:val="20"/>
                <w:szCs w:val="20"/>
                <w:color w:val="auto"/>
              </w:rPr>
            </w:pPr>
            <w:r>
              <w:rPr>
                <w:rFonts w:ascii="Arial" w:cs="Arial" w:eastAsia="Arial" w:hAnsi="Arial"/>
                <w:sz w:val="11"/>
                <w:szCs w:val="11"/>
                <w:color w:val="auto"/>
                <w:w w:val="90"/>
              </w:rPr>
              <w:t>—</w:t>
            </w:r>
          </w:p>
        </w:tc>
        <w:tc>
          <w:tcPr>
            <w:tcW w:w="360" w:type="dxa"/>
            <w:vAlign w:val="bottom"/>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vMerge w:val="restart"/>
          </w:tcPr>
          <w:p>
            <w:pPr>
              <w:ind w:left="580"/>
              <w:spacing w:after="0" w:line="122" w:lineRule="exact"/>
              <w:rPr>
                <w:sz w:val="20"/>
                <w:szCs w:val="20"/>
                <w:color w:val="auto"/>
              </w:rPr>
            </w:pPr>
            <w:r>
              <w:rPr>
                <w:rFonts w:ascii="Arial" w:cs="Arial" w:eastAsia="Arial" w:hAnsi="Arial"/>
                <w:sz w:val="11"/>
                <w:szCs w:val="11"/>
                <w:color w:val="auto"/>
                <w:w w:val="90"/>
              </w:rPr>
              <w:t>—</w:t>
            </w:r>
          </w:p>
        </w:tc>
        <w:tc>
          <w:tcPr>
            <w:tcW w:w="340" w:type="dxa"/>
            <w:vAlign w:val="bottom"/>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vMerge w:val="restart"/>
          </w:tcPr>
          <w:p>
            <w:pPr>
              <w:ind w:left="920"/>
              <w:spacing w:after="0" w:line="122"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52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50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5/03/2021 </w:t>
            </w:r>
            <w:r>
              <w:rPr>
                <w:rFonts w:ascii="Arial" w:cs="Arial" w:eastAsia="Arial" w:hAnsi="Arial"/>
                <w:sz w:val="14"/>
                <w:szCs w:val="14"/>
                <w:color w:val="auto"/>
                <w:vertAlign w:val="superscript"/>
              </w:rPr>
              <w:t>(2)</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6/14/2021</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6/28/2021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0.08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1,955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1,955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360" w:type="dxa"/>
            <w:vAlign w:val="bottom"/>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340" w:type="dxa"/>
            <w:vAlign w:val="bottom"/>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tcPr>
          <w:p>
            <w:pPr>
              <w:ind w:left="9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20" w:type="dxa"/>
            <w:vAlign w:val="bottom"/>
            <w:vMerge w:val="restart"/>
          </w:tcPr>
          <w:p>
            <w:pPr>
              <w:ind w:left="20"/>
              <w:spacing w:after="0" w:line="122" w:lineRule="exact"/>
              <w:rPr>
                <w:sz w:val="20"/>
                <w:szCs w:val="20"/>
                <w:color w:val="auto"/>
              </w:rPr>
            </w:pPr>
            <w:r>
              <w:rPr>
                <w:rFonts w:ascii="Arial" w:cs="Arial" w:eastAsia="Arial" w:hAnsi="Arial"/>
                <w:sz w:val="11"/>
                <w:szCs w:val="11"/>
                <w:color w:val="auto"/>
                <w:w w:val="97"/>
              </w:rPr>
              <w:t>8/02/2021</w:t>
            </w:r>
          </w:p>
        </w:tc>
        <w:tc>
          <w:tcPr>
            <w:tcW w:w="1980" w:type="dxa"/>
            <w:vAlign w:val="bottom"/>
          </w:tcPr>
          <w:p>
            <w:pPr>
              <w:spacing w:after="0"/>
              <w:rPr>
                <w:sz w:val="7"/>
                <w:szCs w:val="7"/>
                <w:color w:val="auto"/>
              </w:rPr>
            </w:pPr>
          </w:p>
        </w:tc>
        <w:tc>
          <w:tcPr>
            <w:tcW w:w="740" w:type="dxa"/>
            <w:vAlign w:val="bottom"/>
            <w:gridSpan w:val="2"/>
            <w:vMerge w:val="restart"/>
          </w:tcPr>
          <w:p>
            <w:pPr>
              <w:jc w:val="right"/>
              <w:spacing w:after="0" w:line="122" w:lineRule="exact"/>
              <w:rPr>
                <w:sz w:val="20"/>
                <w:szCs w:val="20"/>
                <w:color w:val="auto"/>
              </w:rPr>
            </w:pPr>
            <w:r>
              <w:rPr>
                <w:rFonts w:ascii="Arial" w:cs="Arial" w:eastAsia="Arial" w:hAnsi="Arial"/>
                <w:sz w:val="11"/>
                <w:szCs w:val="11"/>
                <w:color w:val="auto"/>
              </w:rPr>
              <w:t>9/14/2021</w:t>
            </w:r>
          </w:p>
        </w:tc>
        <w:tc>
          <w:tcPr>
            <w:tcW w:w="820" w:type="dxa"/>
            <w:vAlign w:val="bottom"/>
            <w:gridSpan w:val="2"/>
            <w:vMerge w:val="restart"/>
          </w:tcPr>
          <w:p>
            <w:pPr>
              <w:jc w:val="right"/>
              <w:spacing w:after="0" w:line="122" w:lineRule="exact"/>
              <w:rPr>
                <w:sz w:val="20"/>
                <w:szCs w:val="20"/>
                <w:color w:val="auto"/>
              </w:rPr>
            </w:pPr>
            <w:r>
              <w:rPr>
                <w:rFonts w:ascii="Arial" w:cs="Arial" w:eastAsia="Arial" w:hAnsi="Arial"/>
                <w:sz w:val="11"/>
                <w:szCs w:val="11"/>
                <w:color w:val="auto"/>
              </w:rPr>
              <w:t>9/28/2021</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0.32</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7,820</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7,820</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ind w:left="460"/>
              <w:spacing w:after="0" w:line="122" w:lineRule="exact"/>
              <w:rPr>
                <w:sz w:val="20"/>
                <w:szCs w:val="20"/>
                <w:color w:val="auto"/>
              </w:rPr>
            </w:pPr>
            <w:r>
              <w:rPr>
                <w:rFonts w:ascii="Arial" w:cs="Arial" w:eastAsia="Arial" w:hAnsi="Arial"/>
                <w:sz w:val="11"/>
                <w:szCs w:val="11"/>
                <w:color w:val="auto"/>
                <w:w w:val="90"/>
              </w:rPr>
              <w:t>—</w:t>
            </w:r>
          </w:p>
        </w:tc>
        <w:tc>
          <w:tcPr>
            <w:tcW w:w="360" w:type="dxa"/>
            <w:vAlign w:val="bottom"/>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vMerge w:val="restart"/>
          </w:tcPr>
          <w:p>
            <w:pPr>
              <w:ind w:left="580"/>
              <w:spacing w:after="0" w:line="122" w:lineRule="exact"/>
              <w:rPr>
                <w:sz w:val="20"/>
                <w:szCs w:val="20"/>
                <w:color w:val="auto"/>
              </w:rPr>
            </w:pPr>
            <w:r>
              <w:rPr>
                <w:rFonts w:ascii="Arial" w:cs="Arial" w:eastAsia="Arial" w:hAnsi="Arial"/>
                <w:sz w:val="11"/>
                <w:szCs w:val="11"/>
                <w:color w:val="auto"/>
                <w:w w:val="90"/>
              </w:rPr>
              <w:t>—</w:t>
            </w:r>
          </w:p>
        </w:tc>
        <w:tc>
          <w:tcPr>
            <w:tcW w:w="340" w:type="dxa"/>
            <w:vAlign w:val="bottom"/>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vMerge w:val="restart"/>
          </w:tcPr>
          <w:p>
            <w:pPr>
              <w:ind w:left="920"/>
              <w:spacing w:after="0" w:line="122"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52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8/02/2021 </w:t>
            </w:r>
            <w:r>
              <w:rPr>
                <w:rFonts w:ascii="Arial" w:cs="Arial" w:eastAsia="Arial" w:hAnsi="Arial"/>
                <w:sz w:val="14"/>
                <w:szCs w:val="14"/>
                <w:color w:val="auto"/>
                <w:vertAlign w:val="superscript"/>
              </w:rPr>
              <w:t>(2)</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9/14/2021</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9/28/2021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0.06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1,466</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1,466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360" w:type="dxa"/>
            <w:vAlign w:val="bottom"/>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340" w:type="dxa"/>
            <w:vAlign w:val="bottom"/>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tcPr>
          <w:p>
            <w:pPr>
              <w:ind w:left="9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8/02/2021 </w:t>
            </w:r>
            <w:r>
              <w:rPr>
                <w:rFonts w:ascii="Arial" w:cs="Arial" w:eastAsia="Arial" w:hAnsi="Arial"/>
                <w:sz w:val="14"/>
                <w:szCs w:val="14"/>
                <w:color w:val="auto"/>
                <w:vertAlign w:val="superscript"/>
              </w:rPr>
              <w:t>(1)</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9/14/2021</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9/28/2021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0.04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977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977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360" w:type="dxa"/>
            <w:vAlign w:val="bottom"/>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340" w:type="dxa"/>
            <w:vAlign w:val="bottom"/>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tcPr>
          <w:p>
            <w:pPr>
              <w:ind w:left="9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20" w:type="dxa"/>
            <w:vAlign w:val="bottom"/>
            <w:vMerge w:val="restart"/>
          </w:tcPr>
          <w:p>
            <w:pPr>
              <w:ind w:left="20"/>
              <w:spacing w:after="0" w:line="122" w:lineRule="exact"/>
              <w:rPr>
                <w:sz w:val="20"/>
                <w:szCs w:val="20"/>
                <w:color w:val="auto"/>
              </w:rPr>
            </w:pPr>
            <w:r>
              <w:rPr>
                <w:rFonts w:ascii="Arial" w:cs="Arial" w:eastAsia="Arial" w:hAnsi="Arial"/>
                <w:sz w:val="11"/>
                <w:szCs w:val="11"/>
                <w:color w:val="auto"/>
                <w:w w:val="87"/>
              </w:rPr>
              <w:t>11/01/2021</w:t>
            </w:r>
          </w:p>
        </w:tc>
        <w:tc>
          <w:tcPr>
            <w:tcW w:w="1980" w:type="dxa"/>
            <w:vAlign w:val="bottom"/>
          </w:tcPr>
          <w:p>
            <w:pPr>
              <w:spacing w:after="0"/>
              <w:rPr>
                <w:sz w:val="7"/>
                <w:szCs w:val="7"/>
                <w:color w:val="auto"/>
              </w:rPr>
            </w:pPr>
          </w:p>
        </w:tc>
        <w:tc>
          <w:tcPr>
            <w:tcW w:w="740" w:type="dxa"/>
            <w:vAlign w:val="bottom"/>
            <w:gridSpan w:val="2"/>
            <w:vMerge w:val="restart"/>
          </w:tcPr>
          <w:p>
            <w:pPr>
              <w:jc w:val="right"/>
              <w:spacing w:after="0" w:line="122" w:lineRule="exact"/>
              <w:rPr>
                <w:sz w:val="20"/>
                <w:szCs w:val="20"/>
                <w:color w:val="auto"/>
              </w:rPr>
            </w:pPr>
            <w:r>
              <w:rPr>
                <w:rFonts w:ascii="Arial" w:cs="Arial" w:eastAsia="Arial" w:hAnsi="Arial"/>
                <w:sz w:val="11"/>
                <w:szCs w:val="11"/>
                <w:color w:val="auto"/>
              </w:rPr>
              <w:t>12/3/2021</w:t>
            </w:r>
          </w:p>
        </w:tc>
        <w:tc>
          <w:tcPr>
            <w:tcW w:w="820" w:type="dxa"/>
            <w:vAlign w:val="bottom"/>
            <w:gridSpan w:val="2"/>
            <w:vMerge w:val="restart"/>
          </w:tcPr>
          <w:p>
            <w:pPr>
              <w:jc w:val="right"/>
              <w:spacing w:after="0" w:line="122" w:lineRule="exact"/>
              <w:rPr>
                <w:sz w:val="20"/>
                <w:szCs w:val="20"/>
                <w:color w:val="auto"/>
              </w:rPr>
            </w:pPr>
            <w:r>
              <w:rPr>
                <w:rFonts w:ascii="Arial" w:cs="Arial" w:eastAsia="Arial" w:hAnsi="Arial"/>
                <w:sz w:val="11"/>
                <w:szCs w:val="11"/>
                <w:color w:val="auto"/>
              </w:rPr>
              <w:t>12/17/2021</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0.32</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7,820</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7,820</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ind w:left="460"/>
              <w:spacing w:after="0" w:line="122" w:lineRule="exact"/>
              <w:rPr>
                <w:sz w:val="20"/>
                <w:szCs w:val="20"/>
                <w:color w:val="auto"/>
              </w:rPr>
            </w:pPr>
            <w:r>
              <w:rPr>
                <w:rFonts w:ascii="Arial" w:cs="Arial" w:eastAsia="Arial" w:hAnsi="Arial"/>
                <w:sz w:val="11"/>
                <w:szCs w:val="11"/>
                <w:color w:val="auto"/>
                <w:w w:val="90"/>
              </w:rPr>
              <w:t>—</w:t>
            </w:r>
          </w:p>
        </w:tc>
        <w:tc>
          <w:tcPr>
            <w:tcW w:w="360" w:type="dxa"/>
            <w:vAlign w:val="bottom"/>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vMerge w:val="restart"/>
          </w:tcPr>
          <w:p>
            <w:pPr>
              <w:ind w:left="580"/>
              <w:spacing w:after="0" w:line="122" w:lineRule="exact"/>
              <w:rPr>
                <w:sz w:val="20"/>
                <w:szCs w:val="20"/>
                <w:color w:val="auto"/>
              </w:rPr>
            </w:pPr>
            <w:r>
              <w:rPr>
                <w:rFonts w:ascii="Arial" w:cs="Arial" w:eastAsia="Arial" w:hAnsi="Arial"/>
                <w:sz w:val="11"/>
                <w:szCs w:val="11"/>
                <w:color w:val="auto"/>
                <w:w w:val="90"/>
              </w:rPr>
              <w:t>—</w:t>
            </w:r>
          </w:p>
        </w:tc>
        <w:tc>
          <w:tcPr>
            <w:tcW w:w="340" w:type="dxa"/>
            <w:vAlign w:val="bottom"/>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vMerge w:val="restart"/>
          </w:tcPr>
          <w:p>
            <w:pPr>
              <w:ind w:left="920"/>
              <w:spacing w:after="0" w:line="122"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52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11/01/2021 </w:t>
            </w:r>
            <w:r>
              <w:rPr>
                <w:rFonts w:ascii="Arial" w:cs="Arial" w:eastAsia="Arial" w:hAnsi="Arial"/>
                <w:sz w:val="14"/>
                <w:szCs w:val="14"/>
                <w:color w:val="auto"/>
                <w:vertAlign w:val="superscript"/>
              </w:rPr>
              <w:t>(2)</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12/3/2021</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12/17/2021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0.04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978</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978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360" w:type="dxa"/>
            <w:vAlign w:val="bottom"/>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340" w:type="dxa"/>
            <w:vAlign w:val="bottom"/>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tcPr>
          <w:p>
            <w:pPr>
              <w:ind w:left="9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520" w:type="dxa"/>
            <w:vAlign w:val="bottom"/>
          </w:tcPr>
          <w:p>
            <w:pPr>
              <w:ind w:left="20"/>
              <w:spacing w:after="0" w:line="97" w:lineRule="exact"/>
              <w:rPr>
                <w:sz w:val="20"/>
                <w:szCs w:val="20"/>
                <w:color w:val="auto"/>
              </w:rPr>
            </w:pPr>
            <w:r>
              <w:rPr>
                <w:rFonts w:ascii="Arial" w:cs="Arial" w:eastAsia="Arial" w:hAnsi="Arial"/>
                <w:sz w:val="11"/>
                <w:szCs w:val="11"/>
                <w:color w:val="auto"/>
                <w:w w:val="87"/>
              </w:rPr>
              <w:t>11/01/2021</w:t>
            </w:r>
          </w:p>
        </w:tc>
        <w:tc>
          <w:tcPr>
            <w:tcW w:w="1980" w:type="dxa"/>
            <w:vAlign w:val="bottom"/>
          </w:tcPr>
          <w:p>
            <w:pPr>
              <w:jc w:val="right"/>
              <w:ind w:right="1844"/>
              <w:spacing w:after="0"/>
              <w:rPr>
                <w:sz w:val="20"/>
                <w:szCs w:val="20"/>
                <w:color w:val="auto"/>
              </w:rPr>
            </w:pPr>
            <w:r>
              <w:rPr>
                <w:rFonts w:ascii="Arial" w:cs="Arial" w:eastAsia="Arial" w:hAnsi="Arial"/>
                <w:sz w:val="7"/>
                <w:szCs w:val="7"/>
                <w:color w:val="auto"/>
                <w:w w:val="92"/>
              </w:rPr>
              <w:t>(1)</w:t>
            </w:r>
          </w:p>
        </w:tc>
        <w:tc>
          <w:tcPr>
            <w:tcW w:w="740" w:type="dxa"/>
            <w:vAlign w:val="bottom"/>
            <w:gridSpan w:val="2"/>
          </w:tcPr>
          <w:p>
            <w:pPr>
              <w:jc w:val="right"/>
              <w:spacing w:after="0" w:line="97" w:lineRule="exact"/>
              <w:rPr>
                <w:sz w:val="20"/>
                <w:szCs w:val="20"/>
                <w:color w:val="auto"/>
              </w:rPr>
            </w:pPr>
            <w:r>
              <w:rPr>
                <w:rFonts w:ascii="Arial" w:cs="Arial" w:eastAsia="Arial" w:hAnsi="Arial"/>
                <w:sz w:val="11"/>
                <w:szCs w:val="11"/>
                <w:color w:val="auto"/>
              </w:rPr>
              <w:t>12/3/2021</w:t>
            </w:r>
          </w:p>
        </w:tc>
        <w:tc>
          <w:tcPr>
            <w:tcW w:w="820" w:type="dxa"/>
            <w:vAlign w:val="bottom"/>
            <w:gridSpan w:val="2"/>
          </w:tcPr>
          <w:p>
            <w:pPr>
              <w:jc w:val="right"/>
              <w:spacing w:after="0" w:line="97" w:lineRule="exact"/>
              <w:rPr>
                <w:sz w:val="20"/>
                <w:szCs w:val="20"/>
                <w:color w:val="auto"/>
              </w:rPr>
            </w:pPr>
            <w:r>
              <w:rPr>
                <w:rFonts w:ascii="Arial" w:cs="Arial" w:eastAsia="Arial" w:hAnsi="Arial"/>
                <w:sz w:val="11"/>
                <w:szCs w:val="11"/>
                <w:color w:val="auto"/>
              </w:rPr>
              <w:t>12/17/2021</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jc w:val="right"/>
              <w:spacing w:after="0" w:line="97" w:lineRule="exact"/>
              <w:rPr>
                <w:sz w:val="20"/>
                <w:szCs w:val="20"/>
                <w:color w:val="auto"/>
              </w:rPr>
            </w:pPr>
            <w:r>
              <w:rPr>
                <w:rFonts w:ascii="Arial" w:cs="Arial" w:eastAsia="Arial" w:hAnsi="Arial"/>
                <w:sz w:val="11"/>
                <w:szCs w:val="11"/>
                <w:color w:val="auto"/>
              </w:rPr>
              <w:t>0.05</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right"/>
              <w:spacing w:after="0" w:line="97" w:lineRule="exact"/>
              <w:rPr>
                <w:sz w:val="20"/>
                <w:szCs w:val="20"/>
                <w:color w:val="auto"/>
              </w:rPr>
            </w:pPr>
            <w:r>
              <w:rPr>
                <w:rFonts w:ascii="Arial" w:cs="Arial" w:eastAsia="Arial" w:hAnsi="Arial"/>
                <w:sz w:val="11"/>
                <w:szCs w:val="11"/>
                <w:color w:val="auto"/>
              </w:rPr>
              <w:t>1222</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right"/>
              <w:spacing w:after="0" w:line="97" w:lineRule="exact"/>
              <w:rPr>
                <w:sz w:val="20"/>
                <w:szCs w:val="20"/>
                <w:color w:val="auto"/>
              </w:rPr>
            </w:pPr>
            <w:r>
              <w:rPr>
                <w:rFonts w:ascii="Arial" w:cs="Arial" w:eastAsia="Arial" w:hAnsi="Arial"/>
                <w:sz w:val="11"/>
                <w:szCs w:val="11"/>
                <w:color w:val="auto"/>
              </w:rPr>
              <w:t>1222</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ind w:left="460"/>
              <w:spacing w:after="0" w:line="97" w:lineRule="exact"/>
              <w:rPr>
                <w:sz w:val="20"/>
                <w:szCs w:val="20"/>
                <w:color w:val="auto"/>
              </w:rPr>
            </w:pPr>
            <w:r>
              <w:rPr>
                <w:rFonts w:ascii="Arial" w:cs="Arial" w:eastAsia="Arial" w:hAnsi="Arial"/>
                <w:sz w:val="11"/>
                <w:szCs w:val="11"/>
                <w:color w:val="auto"/>
                <w:w w:val="90"/>
              </w:rPr>
              <w:t>—</w:t>
            </w:r>
          </w:p>
        </w:tc>
        <w:tc>
          <w:tcPr>
            <w:tcW w:w="360" w:type="dxa"/>
            <w:vAlign w:val="bottom"/>
            <w:vMerge w:val="restart"/>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tcPr>
          <w:p>
            <w:pPr>
              <w:ind w:left="580"/>
              <w:spacing w:after="0" w:line="97" w:lineRule="exact"/>
              <w:rPr>
                <w:sz w:val="20"/>
                <w:szCs w:val="20"/>
                <w:color w:val="auto"/>
              </w:rPr>
            </w:pPr>
            <w:r>
              <w:rPr>
                <w:rFonts w:ascii="Arial" w:cs="Arial" w:eastAsia="Arial" w:hAnsi="Arial"/>
                <w:sz w:val="11"/>
                <w:szCs w:val="11"/>
                <w:color w:val="auto"/>
                <w:w w:val="90"/>
              </w:rPr>
              <w:t>—</w:t>
            </w:r>
          </w:p>
        </w:tc>
        <w:tc>
          <w:tcPr>
            <w:tcW w:w="340" w:type="dxa"/>
            <w:vAlign w:val="bottom"/>
            <w:vMerge w:val="restart"/>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tcPr>
          <w:p>
            <w:pPr>
              <w:ind w:left="920"/>
              <w:spacing w:after="0" w:line="97"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5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1.60</w:t>
            </w:r>
          </w:p>
        </w:tc>
        <w:tc>
          <w:tcPr>
            <w:tcW w:w="22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39,100</w:t>
            </w:r>
          </w:p>
        </w:tc>
        <w:tc>
          <w:tcPr>
            <w:tcW w:w="24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39,100</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1"/>
                <w:szCs w:val="11"/>
                <w:color w:val="auto"/>
                <w:w w:val="90"/>
              </w:rPr>
              <w:t>—</w:t>
            </w:r>
          </w:p>
        </w:tc>
        <w:tc>
          <w:tcPr>
            <w:tcW w:w="360" w:type="dxa"/>
            <w:vAlign w:val="bottom"/>
          </w:tcPr>
          <w:p>
            <w:pPr>
              <w:spacing w:after="0"/>
              <w:rPr>
                <w:sz w:val="11"/>
                <w:szCs w:val="11"/>
                <w:color w:val="auto"/>
              </w:rPr>
            </w:pPr>
          </w:p>
        </w:tc>
        <w:tc>
          <w:tcPr>
            <w:tcW w:w="7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1"/>
                <w:szCs w:val="11"/>
                <w:color w:val="auto"/>
                <w:w w:val="90"/>
              </w:rPr>
              <w:t>—</w:t>
            </w: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500" w:type="dxa"/>
            <w:vAlign w:val="bottom"/>
            <w:gridSpan w:val="2"/>
            <w:shd w:val="clear" w:color="auto" w:fill="CFF0FC"/>
          </w:tcPr>
          <w:p>
            <w:pPr>
              <w:ind w:left="20"/>
              <w:spacing w:after="0" w:line="116" w:lineRule="exact"/>
              <w:rPr>
                <w:sz w:val="20"/>
                <w:szCs w:val="20"/>
                <w:color w:val="auto"/>
              </w:rPr>
            </w:pPr>
            <w:r>
              <w:rPr>
                <w:rFonts w:ascii="Arial" w:cs="Arial" w:eastAsia="Arial" w:hAnsi="Arial"/>
                <w:sz w:val="11"/>
                <w:szCs w:val="11"/>
                <w:b w:val="1"/>
                <w:bCs w:val="1"/>
                <w:color w:val="auto"/>
              </w:rPr>
              <w:t>Six months ended June 30, 2022:</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20" w:type="dxa"/>
            <w:vAlign w:val="bottom"/>
          </w:tcPr>
          <w:p>
            <w:pPr>
              <w:ind w:left="20"/>
              <w:spacing w:after="0" w:line="105" w:lineRule="exact"/>
              <w:rPr>
                <w:sz w:val="20"/>
                <w:szCs w:val="20"/>
                <w:color w:val="auto"/>
              </w:rPr>
            </w:pPr>
            <w:r>
              <w:rPr>
                <w:rFonts w:ascii="Arial" w:cs="Arial" w:eastAsia="Arial" w:hAnsi="Arial"/>
                <w:sz w:val="11"/>
                <w:szCs w:val="11"/>
                <w:color w:val="auto"/>
                <w:w w:val="97"/>
              </w:rPr>
              <w:t>2/15/2022</w:t>
            </w:r>
          </w:p>
        </w:tc>
        <w:tc>
          <w:tcPr>
            <w:tcW w:w="1980" w:type="dxa"/>
            <w:vAlign w:val="bottom"/>
          </w:tcPr>
          <w:p>
            <w:pPr>
              <w:spacing w:after="0"/>
              <w:rPr>
                <w:sz w:val="9"/>
                <w:szCs w:val="9"/>
                <w:color w:val="auto"/>
              </w:rPr>
            </w:pPr>
          </w:p>
        </w:tc>
        <w:tc>
          <w:tcPr>
            <w:tcW w:w="7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3/11/2022</w:t>
            </w:r>
          </w:p>
        </w:tc>
        <w:tc>
          <w:tcPr>
            <w:tcW w:w="8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3/25/2022</w:t>
            </w:r>
          </w:p>
        </w:tc>
        <w:tc>
          <w:tcPr>
            <w:tcW w:w="380" w:type="dxa"/>
            <w:vAlign w:val="bottom"/>
            <w:gridSpan w:val="2"/>
          </w:tcPr>
          <w:p>
            <w:pPr>
              <w:jc w:val="right"/>
              <w:ind w:right="31"/>
              <w:spacing w:after="0" w:line="105"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05" w:lineRule="exact"/>
              <w:rPr>
                <w:sz w:val="20"/>
                <w:szCs w:val="20"/>
                <w:color w:val="auto"/>
              </w:rPr>
            </w:pPr>
            <w:r>
              <w:rPr>
                <w:rFonts w:ascii="Arial" w:cs="Arial" w:eastAsia="Arial" w:hAnsi="Arial"/>
                <w:sz w:val="11"/>
                <w:szCs w:val="11"/>
                <w:color w:val="auto"/>
              </w:rPr>
              <w:t>0.36</w:t>
            </w:r>
          </w:p>
        </w:tc>
        <w:tc>
          <w:tcPr>
            <w:tcW w:w="400" w:type="dxa"/>
            <w:vAlign w:val="bottom"/>
            <w:gridSpan w:val="2"/>
          </w:tcPr>
          <w:p>
            <w:pPr>
              <w:jc w:val="right"/>
              <w:ind w:right="46"/>
              <w:spacing w:after="0" w:line="105" w:lineRule="exact"/>
              <w:rPr>
                <w:sz w:val="20"/>
                <w:szCs w:val="20"/>
                <w:color w:val="auto"/>
              </w:rPr>
            </w:pPr>
            <w:r>
              <w:rPr>
                <w:rFonts w:ascii="Arial" w:cs="Arial" w:eastAsia="Arial" w:hAnsi="Arial"/>
                <w:sz w:val="11"/>
                <w:szCs w:val="11"/>
                <w:color w:val="auto"/>
              </w:rPr>
              <w:t>$</w:t>
            </w:r>
          </w:p>
        </w:tc>
        <w:tc>
          <w:tcPr>
            <w:tcW w:w="900" w:type="dxa"/>
            <w:vAlign w:val="bottom"/>
          </w:tcPr>
          <w:p>
            <w:pPr>
              <w:jc w:val="right"/>
              <w:spacing w:after="0" w:line="105" w:lineRule="exact"/>
              <w:rPr>
                <w:sz w:val="20"/>
                <w:szCs w:val="20"/>
                <w:color w:val="auto"/>
              </w:rPr>
            </w:pPr>
            <w:r>
              <w:rPr>
                <w:rFonts w:ascii="Arial" w:cs="Arial" w:eastAsia="Arial" w:hAnsi="Arial"/>
                <w:sz w:val="11"/>
                <w:szCs w:val="11"/>
                <w:color w:val="auto"/>
              </w:rPr>
              <w:t>8,797</w:t>
            </w:r>
          </w:p>
        </w:tc>
        <w:tc>
          <w:tcPr>
            <w:tcW w:w="400" w:type="dxa"/>
            <w:vAlign w:val="bottom"/>
            <w:gridSpan w:val="2"/>
          </w:tcPr>
          <w:p>
            <w:pPr>
              <w:jc w:val="right"/>
              <w:ind w:right="51"/>
              <w:spacing w:after="0" w:line="105" w:lineRule="exact"/>
              <w:rPr>
                <w:sz w:val="20"/>
                <w:szCs w:val="20"/>
                <w:color w:val="auto"/>
              </w:rPr>
            </w:pPr>
            <w:r>
              <w:rPr>
                <w:rFonts w:ascii="Arial" w:cs="Arial" w:eastAsia="Arial" w:hAnsi="Arial"/>
                <w:sz w:val="11"/>
                <w:szCs w:val="11"/>
                <w:color w:val="auto"/>
              </w:rPr>
              <w:t>$</w:t>
            </w:r>
          </w:p>
        </w:tc>
        <w:tc>
          <w:tcPr>
            <w:tcW w:w="900" w:type="dxa"/>
            <w:vAlign w:val="bottom"/>
          </w:tcPr>
          <w:p>
            <w:pPr>
              <w:jc w:val="right"/>
              <w:spacing w:after="0" w:line="105" w:lineRule="exact"/>
              <w:rPr>
                <w:sz w:val="20"/>
                <w:szCs w:val="20"/>
                <w:color w:val="auto"/>
              </w:rPr>
            </w:pPr>
            <w:r>
              <w:rPr>
                <w:rFonts w:ascii="Arial" w:cs="Arial" w:eastAsia="Arial" w:hAnsi="Arial"/>
                <w:sz w:val="11"/>
                <w:szCs w:val="11"/>
                <w:color w:val="auto"/>
              </w:rPr>
              <w:t>8,797</w:t>
            </w:r>
          </w:p>
        </w:tc>
        <w:tc>
          <w:tcPr>
            <w:tcW w:w="340" w:type="dxa"/>
            <w:vAlign w:val="bottom"/>
            <w:gridSpan w:val="2"/>
          </w:tcPr>
          <w:p>
            <w:pPr>
              <w:jc w:val="right"/>
              <w:ind w:right="31"/>
              <w:spacing w:after="0" w:line="105" w:lineRule="exact"/>
              <w:rPr>
                <w:sz w:val="20"/>
                <w:szCs w:val="20"/>
                <w:color w:val="auto"/>
              </w:rPr>
            </w:pPr>
            <w:r>
              <w:rPr>
                <w:rFonts w:ascii="Arial" w:cs="Arial" w:eastAsia="Arial" w:hAnsi="Arial"/>
                <w:sz w:val="11"/>
                <w:szCs w:val="11"/>
                <w:color w:val="auto"/>
              </w:rPr>
              <w:t>$</w:t>
            </w:r>
          </w:p>
        </w:tc>
        <w:tc>
          <w:tcPr>
            <w:tcW w:w="580" w:type="dxa"/>
            <w:vAlign w:val="bottom"/>
          </w:tcPr>
          <w:p>
            <w:pPr>
              <w:ind w:left="460"/>
              <w:spacing w:after="0" w:line="105" w:lineRule="exact"/>
              <w:rPr>
                <w:sz w:val="20"/>
                <w:szCs w:val="20"/>
                <w:color w:val="auto"/>
              </w:rPr>
            </w:pPr>
            <w:r>
              <w:rPr>
                <w:rFonts w:ascii="Arial" w:cs="Arial" w:eastAsia="Arial" w:hAnsi="Arial"/>
                <w:sz w:val="11"/>
                <w:szCs w:val="11"/>
                <w:color w:val="auto"/>
                <w:w w:val="90"/>
              </w:rPr>
              <w:t>—</w:t>
            </w:r>
          </w:p>
        </w:tc>
        <w:tc>
          <w:tcPr>
            <w:tcW w:w="360" w:type="dxa"/>
            <w:vAlign w:val="bottom"/>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tcPr>
          <w:p>
            <w:pPr>
              <w:ind w:left="580"/>
              <w:spacing w:after="0" w:line="105" w:lineRule="exact"/>
              <w:rPr>
                <w:sz w:val="20"/>
                <w:szCs w:val="20"/>
                <w:color w:val="auto"/>
              </w:rPr>
            </w:pPr>
            <w:r>
              <w:rPr>
                <w:rFonts w:ascii="Arial" w:cs="Arial" w:eastAsia="Arial" w:hAnsi="Arial"/>
                <w:sz w:val="11"/>
                <w:szCs w:val="11"/>
                <w:color w:val="auto"/>
                <w:w w:val="90"/>
              </w:rPr>
              <w:t>—</w:t>
            </w:r>
          </w:p>
        </w:tc>
        <w:tc>
          <w:tcPr>
            <w:tcW w:w="340" w:type="dxa"/>
            <w:vAlign w:val="bottom"/>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tcPr>
          <w:p>
            <w:pPr>
              <w:ind w:left="920"/>
              <w:spacing w:after="0" w:line="105"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50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2/15/2022 </w:t>
            </w:r>
            <w:r>
              <w:rPr>
                <w:rFonts w:ascii="Arial" w:cs="Arial" w:eastAsia="Arial" w:hAnsi="Arial"/>
                <w:sz w:val="14"/>
                <w:szCs w:val="14"/>
                <w:color w:val="auto"/>
                <w:vertAlign w:val="superscript"/>
              </w:rPr>
              <w:t>(2)</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3/11/2022</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3/25/2022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0.17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4,154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4,154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360" w:type="dxa"/>
            <w:vAlign w:val="bottom"/>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340" w:type="dxa"/>
            <w:vAlign w:val="bottom"/>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tcPr>
          <w:p>
            <w:pPr>
              <w:ind w:left="9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20" w:type="dxa"/>
            <w:vAlign w:val="bottom"/>
            <w:vMerge w:val="restart"/>
          </w:tcPr>
          <w:p>
            <w:pPr>
              <w:ind w:left="20"/>
              <w:spacing w:after="0" w:line="122" w:lineRule="exact"/>
              <w:rPr>
                <w:sz w:val="20"/>
                <w:szCs w:val="20"/>
                <w:color w:val="auto"/>
              </w:rPr>
            </w:pPr>
            <w:r>
              <w:rPr>
                <w:rFonts w:ascii="Arial" w:cs="Arial" w:eastAsia="Arial" w:hAnsi="Arial"/>
                <w:sz w:val="11"/>
                <w:szCs w:val="11"/>
                <w:color w:val="auto"/>
                <w:w w:val="97"/>
              </w:rPr>
              <w:t>5/02/2022</w:t>
            </w:r>
          </w:p>
        </w:tc>
        <w:tc>
          <w:tcPr>
            <w:tcW w:w="1980" w:type="dxa"/>
            <w:vAlign w:val="bottom"/>
          </w:tcPr>
          <w:p>
            <w:pPr>
              <w:spacing w:after="0"/>
              <w:rPr>
                <w:sz w:val="7"/>
                <w:szCs w:val="7"/>
                <w:color w:val="auto"/>
              </w:rPr>
            </w:pPr>
          </w:p>
        </w:tc>
        <w:tc>
          <w:tcPr>
            <w:tcW w:w="740" w:type="dxa"/>
            <w:vAlign w:val="bottom"/>
            <w:gridSpan w:val="2"/>
            <w:vMerge w:val="restart"/>
          </w:tcPr>
          <w:p>
            <w:pPr>
              <w:jc w:val="right"/>
              <w:spacing w:after="0" w:line="122" w:lineRule="exact"/>
              <w:rPr>
                <w:sz w:val="20"/>
                <w:szCs w:val="20"/>
                <w:color w:val="auto"/>
              </w:rPr>
            </w:pPr>
            <w:r>
              <w:rPr>
                <w:rFonts w:ascii="Arial" w:cs="Arial" w:eastAsia="Arial" w:hAnsi="Arial"/>
                <w:sz w:val="11"/>
                <w:szCs w:val="11"/>
                <w:color w:val="auto"/>
              </w:rPr>
              <w:t>6/10/2022</w:t>
            </w:r>
          </w:p>
        </w:tc>
        <w:tc>
          <w:tcPr>
            <w:tcW w:w="820" w:type="dxa"/>
            <w:vAlign w:val="bottom"/>
            <w:gridSpan w:val="2"/>
            <w:vMerge w:val="restart"/>
          </w:tcPr>
          <w:p>
            <w:pPr>
              <w:jc w:val="right"/>
              <w:spacing w:after="0" w:line="122" w:lineRule="exact"/>
              <w:rPr>
                <w:sz w:val="20"/>
                <w:szCs w:val="20"/>
                <w:color w:val="auto"/>
              </w:rPr>
            </w:pPr>
            <w:r>
              <w:rPr>
                <w:rFonts w:ascii="Arial" w:cs="Arial" w:eastAsia="Arial" w:hAnsi="Arial"/>
                <w:sz w:val="11"/>
                <w:szCs w:val="11"/>
                <w:color w:val="auto"/>
              </w:rPr>
              <w:t>6/24/2022</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0.36</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8,797</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8,797</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ind w:left="460"/>
              <w:spacing w:after="0" w:line="122" w:lineRule="exact"/>
              <w:rPr>
                <w:sz w:val="20"/>
                <w:szCs w:val="20"/>
                <w:color w:val="auto"/>
              </w:rPr>
            </w:pPr>
            <w:r>
              <w:rPr>
                <w:rFonts w:ascii="Arial" w:cs="Arial" w:eastAsia="Arial" w:hAnsi="Arial"/>
                <w:sz w:val="11"/>
                <w:szCs w:val="11"/>
                <w:color w:val="auto"/>
                <w:w w:val="90"/>
              </w:rPr>
              <w:t>—</w:t>
            </w:r>
          </w:p>
        </w:tc>
        <w:tc>
          <w:tcPr>
            <w:tcW w:w="360" w:type="dxa"/>
            <w:vAlign w:val="bottom"/>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vMerge w:val="restart"/>
          </w:tcPr>
          <w:p>
            <w:pPr>
              <w:ind w:left="580"/>
              <w:spacing w:after="0" w:line="122" w:lineRule="exact"/>
              <w:rPr>
                <w:sz w:val="20"/>
                <w:szCs w:val="20"/>
                <w:color w:val="auto"/>
              </w:rPr>
            </w:pPr>
            <w:r>
              <w:rPr>
                <w:rFonts w:ascii="Arial" w:cs="Arial" w:eastAsia="Arial" w:hAnsi="Arial"/>
                <w:sz w:val="11"/>
                <w:szCs w:val="11"/>
                <w:color w:val="auto"/>
                <w:w w:val="90"/>
              </w:rPr>
              <w:t>—</w:t>
            </w:r>
          </w:p>
        </w:tc>
        <w:tc>
          <w:tcPr>
            <w:tcW w:w="340" w:type="dxa"/>
            <w:vAlign w:val="bottom"/>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vMerge w:val="restart"/>
          </w:tcPr>
          <w:p>
            <w:pPr>
              <w:ind w:left="920"/>
              <w:spacing w:after="0" w:line="122"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52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500" w:type="dxa"/>
            <w:vAlign w:val="bottom"/>
            <w:gridSpan w:val="2"/>
          </w:tcPr>
          <w:p>
            <w:pPr>
              <w:ind w:left="20"/>
              <w:spacing w:after="0"/>
              <w:rPr>
                <w:sz w:val="20"/>
                <w:szCs w:val="20"/>
                <w:color w:val="auto"/>
              </w:rPr>
            </w:pPr>
            <w:r>
              <w:rPr>
                <w:rFonts w:ascii="Arial" w:cs="Arial" w:eastAsia="Arial" w:hAnsi="Arial"/>
                <w:sz w:val="11"/>
                <w:szCs w:val="11"/>
                <w:color w:val="auto"/>
              </w:rPr>
              <w:t xml:space="preserve">5/02/2022 </w:t>
            </w:r>
            <w:r>
              <w:rPr>
                <w:rFonts w:ascii="Arial" w:cs="Arial" w:eastAsia="Arial" w:hAnsi="Arial"/>
                <w:sz w:val="14"/>
                <w:szCs w:val="14"/>
                <w:color w:val="auto"/>
                <w:vertAlign w:val="superscript"/>
              </w:rPr>
              <w:t>(2)</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6/10/2022</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6/24/2022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0.07</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60"/>
              <w:spacing w:after="0"/>
              <w:rPr>
                <w:sz w:val="20"/>
                <w:szCs w:val="20"/>
                <w:color w:val="auto"/>
              </w:rPr>
            </w:pPr>
            <w:r>
              <w:rPr>
                <w:rFonts w:ascii="Arial" w:cs="Arial" w:eastAsia="Arial" w:hAnsi="Arial"/>
                <w:sz w:val="11"/>
                <w:szCs w:val="11"/>
                <w:color w:val="auto"/>
                <w:w w:val="90"/>
              </w:rPr>
              <w:t>—</w:t>
            </w:r>
          </w:p>
        </w:tc>
        <w:tc>
          <w:tcPr>
            <w:tcW w:w="360" w:type="dxa"/>
            <w:vAlign w:val="bottom"/>
          </w:tcPr>
          <w:p>
            <w:pPr>
              <w:jc w:val="right"/>
              <w:ind w:right="124"/>
              <w:spacing w:after="0"/>
              <w:rPr>
                <w:sz w:val="20"/>
                <w:szCs w:val="20"/>
                <w:color w:val="auto"/>
              </w:rPr>
            </w:pPr>
            <w:r>
              <w:rPr>
                <w:rFonts w:ascii="Arial" w:cs="Arial" w:eastAsia="Arial" w:hAnsi="Arial"/>
                <w:sz w:val="7"/>
                <w:szCs w:val="7"/>
                <w:color w:val="auto"/>
              </w:rPr>
              <w:t>(3)</w:t>
            </w: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11"/>
                <w:szCs w:val="11"/>
                <w:color w:val="auto"/>
                <w:w w:val="90"/>
              </w:rPr>
              <w:t>—</w:t>
            </w:r>
          </w:p>
        </w:tc>
        <w:tc>
          <w:tcPr>
            <w:tcW w:w="340" w:type="dxa"/>
            <w:vAlign w:val="bottom"/>
          </w:tcPr>
          <w:p>
            <w:pPr>
              <w:jc w:val="right"/>
              <w:ind w:right="104"/>
              <w:spacing w:after="0"/>
              <w:rPr>
                <w:sz w:val="20"/>
                <w:szCs w:val="20"/>
                <w:color w:val="auto"/>
              </w:rPr>
            </w:pPr>
            <w:r>
              <w:rPr>
                <w:rFonts w:ascii="Arial" w:cs="Arial" w:eastAsia="Arial" w:hAnsi="Arial"/>
                <w:sz w:val="7"/>
                <w:szCs w:val="7"/>
                <w:color w:val="auto"/>
              </w:rPr>
              <w:t>(3)</w:t>
            </w:r>
          </w:p>
        </w:tc>
        <w:tc>
          <w:tcPr>
            <w:tcW w:w="1040" w:type="dxa"/>
            <w:vAlign w:val="bottom"/>
          </w:tcPr>
          <w:p>
            <w:pPr>
              <w:ind w:left="9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0.96</w:t>
            </w:r>
          </w:p>
        </w:tc>
        <w:tc>
          <w:tcPr>
            <w:tcW w:w="220" w:type="dxa"/>
            <w:vAlign w:val="bottom"/>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23,460</w:t>
            </w:r>
          </w:p>
        </w:tc>
        <w:tc>
          <w:tcPr>
            <w:tcW w:w="240" w:type="dxa"/>
            <w:vAlign w:val="bottom"/>
          </w:tcPr>
          <w:p>
            <w:pPr>
              <w:spacing w:after="0"/>
              <w:rPr>
                <w:sz w:val="11"/>
                <w:szCs w:val="11"/>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23,460</w:t>
            </w:r>
          </w:p>
        </w:tc>
        <w:tc>
          <w:tcPr>
            <w:tcW w:w="20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ind w:left="460"/>
              <w:spacing w:after="0"/>
              <w:rPr>
                <w:sz w:val="20"/>
                <w:szCs w:val="20"/>
                <w:color w:val="auto"/>
              </w:rPr>
            </w:pPr>
            <w:r>
              <w:rPr>
                <w:rFonts w:ascii="Arial" w:cs="Arial" w:eastAsia="Arial" w:hAnsi="Arial"/>
                <w:sz w:val="11"/>
                <w:szCs w:val="11"/>
                <w:color w:val="auto"/>
                <w:w w:val="90"/>
              </w:rPr>
              <w:t>—</w:t>
            </w:r>
          </w:p>
        </w:tc>
        <w:tc>
          <w:tcPr>
            <w:tcW w:w="360" w:type="dxa"/>
            <w:vAlign w:val="bottom"/>
          </w:tcPr>
          <w:p>
            <w:pPr>
              <w:spacing w:after="0"/>
              <w:rPr>
                <w:sz w:val="11"/>
                <w:szCs w:val="11"/>
                <w:color w:val="auto"/>
              </w:rPr>
            </w:pP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11"/>
                <w:szCs w:val="11"/>
                <w:color w:val="auto"/>
                <w:w w:val="90"/>
              </w:rPr>
              <w:t>—</w:t>
            </w: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857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-1636395</wp:posOffset>
            </wp:positionV>
            <wp:extent cx="774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-1619885</wp:posOffset>
            </wp:positionV>
            <wp:extent cx="7747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-1636395</wp:posOffset>
            </wp:positionV>
            <wp:extent cx="774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-1619885</wp:posOffset>
            </wp:positionV>
            <wp:extent cx="774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-1636395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-1619885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-1636395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-1619885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-1636395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-1619885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8572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8572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8572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8572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857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857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572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4" w:lineRule="exact"/>
        <w:rPr>
          <w:sz w:val="20"/>
          <w:szCs w:val="20"/>
          <w:color w:val="auto"/>
        </w:rPr>
      </w:pPr>
    </w:p>
    <w:p>
      <w:pPr>
        <w:ind w:left="360" w:hanging="339"/>
        <w:spacing w:after="0"/>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Special dividend</w:t>
      </w:r>
    </w:p>
    <w:p>
      <w:pPr>
        <w:spacing w:after="0" w:line="13" w:lineRule="exact"/>
        <w:rPr>
          <w:rFonts w:ascii="Arial" w:cs="Arial" w:eastAsia="Arial" w:hAnsi="Arial"/>
          <w:sz w:val="14"/>
          <w:szCs w:val="14"/>
          <w:color w:val="auto"/>
        </w:rPr>
      </w:pPr>
    </w:p>
    <w:p>
      <w:pPr>
        <w:ind w:left="360" w:hanging="339"/>
        <w:spacing w:after="0"/>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Supplemental dividend</w:t>
      </w:r>
    </w:p>
    <w:p>
      <w:pPr>
        <w:spacing w:after="0" w:line="1" w:lineRule="exact"/>
        <w:rPr>
          <w:rFonts w:ascii="Arial" w:cs="Arial" w:eastAsia="Arial" w:hAnsi="Arial"/>
          <w:sz w:val="14"/>
          <w:szCs w:val="14"/>
          <w:color w:val="auto"/>
        </w:rPr>
      </w:pPr>
    </w:p>
    <w:p>
      <w:pPr>
        <w:ind w:left="360" w:right="120" w:hanging="339"/>
        <w:spacing w:after="0" w:line="232" w:lineRule="auto"/>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During the six months ended June 30, 2022 and the years ended December 31, 2021 and 2020,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3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ind w:left="12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3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Purchased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Price Paid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r>
      <w:tr>
        <w:trPr>
          <w:trHeight w:val="185"/>
        </w:trPr>
        <w:tc>
          <w:tcPr>
            <w:tcW w:w="3540" w:type="dxa"/>
            <w:vAlign w:val="bottom"/>
          </w:tcPr>
          <w:p>
            <w:pPr>
              <w:spacing w:after="0"/>
              <w:rPr>
                <w:sz w:val="20"/>
                <w:szCs w:val="20"/>
                <w:color w:val="auto"/>
              </w:rPr>
            </w:pPr>
            <w:r>
              <w:rPr>
                <w:rFonts w:ascii="Arial" w:cs="Arial" w:eastAsia="Arial" w:hAnsi="Arial"/>
                <w:sz w:val="14"/>
                <w:szCs w:val="14"/>
                <w:b w:val="1"/>
                <w:bCs w:val="1"/>
                <w:color w:val="auto"/>
              </w:rPr>
              <w:t>Fiscal Year Ended December 31, 2020:</w:t>
            </w: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and Reissued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Per Share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Amount Paid</w:t>
            </w:r>
          </w:p>
        </w:tc>
        <w:tc>
          <w:tcPr>
            <w:tcW w:w="80" w:type="dxa"/>
            <w:vAlign w:val="bottom"/>
          </w:tcPr>
          <w:p>
            <w:pPr>
              <w:spacing w:after="0"/>
              <w:rPr>
                <w:sz w:val="16"/>
                <w:szCs w:val="16"/>
                <w:color w:val="auto"/>
              </w:rPr>
            </w:pPr>
          </w:p>
        </w:tc>
      </w:tr>
      <w:tr>
        <w:trPr>
          <w:trHeight w:val="169"/>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January 1, 2020 through March 31, 2020</w:t>
            </w:r>
          </w:p>
        </w:tc>
        <w:tc>
          <w:tcPr>
            <w:tcW w:w="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31,586</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80" w:type="dxa"/>
            <w:vAlign w:val="bottom"/>
            <w:shd w:val="clear" w:color="auto" w:fill="CCEEFF"/>
          </w:tcPr>
          <w:p>
            <w:pPr>
              <w:spacing w:after="0"/>
              <w:rPr>
                <w:sz w:val="14"/>
                <w:szCs w:val="14"/>
                <w:color w:val="auto"/>
              </w:rPr>
            </w:pPr>
          </w:p>
        </w:tc>
      </w:tr>
      <w:tr>
        <w:trPr>
          <w:trHeight w:val="176"/>
        </w:trPr>
        <w:tc>
          <w:tcPr>
            <w:tcW w:w="3540" w:type="dxa"/>
            <w:vAlign w:val="bottom"/>
          </w:tcPr>
          <w:p>
            <w:pPr>
              <w:spacing w:after="0"/>
              <w:rPr>
                <w:sz w:val="20"/>
                <w:szCs w:val="20"/>
                <w:color w:val="auto"/>
              </w:rPr>
            </w:pPr>
            <w:r>
              <w:rPr>
                <w:rFonts w:ascii="Arial" w:cs="Arial" w:eastAsia="Arial" w:hAnsi="Arial"/>
                <w:sz w:val="14"/>
                <w:szCs w:val="14"/>
                <w:color w:val="auto"/>
              </w:rPr>
              <w:t>April 1, 2020 through June 30, 2020</w:t>
            </w:r>
          </w:p>
        </w:tc>
        <w:tc>
          <w:tcPr>
            <w:tcW w:w="2500" w:type="dxa"/>
            <w:vAlign w:val="bottom"/>
            <w:gridSpan w:val="4"/>
          </w:tcPr>
          <w:p>
            <w:pPr>
              <w:jc w:val="right"/>
              <w:spacing w:after="0"/>
              <w:rPr>
                <w:sz w:val="20"/>
                <w:szCs w:val="20"/>
                <w:color w:val="auto"/>
              </w:rPr>
            </w:pPr>
            <w:r>
              <w:rPr>
                <w:rFonts w:ascii="Arial" w:cs="Arial" w:eastAsia="Arial" w:hAnsi="Arial"/>
                <w:sz w:val="14"/>
                <w:szCs w:val="14"/>
                <w:color w:val="auto"/>
              </w:rPr>
              <w:t>21,904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9.04</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198</w:t>
            </w:r>
          </w:p>
        </w:tc>
        <w:tc>
          <w:tcPr>
            <w:tcW w:w="80" w:type="dxa"/>
            <w:vAlign w:val="bottom"/>
          </w:tcPr>
          <w:p>
            <w:pPr>
              <w:spacing w:after="0"/>
              <w:rPr>
                <w:sz w:val="15"/>
                <w:szCs w:val="15"/>
                <w:color w:val="auto"/>
              </w:rPr>
            </w:pPr>
          </w:p>
        </w:tc>
      </w:tr>
      <w:tr>
        <w:trPr>
          <w:trHeight w:val="175"/>
        </w:trPr>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July 1, 2020 through September 30, 2020</w:t>
            </w:r>
          </w:p>
        </w:tc>
        <w:tc>
          <w:tcPr>
            <w:tcW w:w="25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28,871</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80" w:type="dxa"/>
            <w:vAlign w:val="bottom"/>
            <w:shd w:val="clear" w:color="auto" w:fill="CCEEFF"/>
          </w:tcPr>
          <w:p>
            <w:pPr>
              <w:spacing w:after="0"/>
              <w:rPr>
                <w:sz w:val="15"/>
                <w:szCs w:val="15"/>
                <w:color w:val="auto"/>
              </w:rPr>
            </w:pPr>
          </w:p>
        </w:tc>
      </w:tr>
      <w:tr>
        <w:trPr>
          <w:trHeight w:val="175"/>
        </w:trPr>
        <w:tc>
          <w:tcPr>
            <w:tcW w:w="3540" w:type="dxa"/>
            <w:vAlign w:val="bottom"/>
          </w:tcPr>
          <w:p>
            <w:pPr>
              <w:spacing w:after="0"/>
              <w:rPr>
                <w:sz w:val="20"/>
                <w:szCs w:val="20"/>
                <w:color w:val="auto"/>
              </w:rPr>
            </w:pPr>
            <w:r>
              <w:rPr>
                <w:rFonts w:ascii="Arial" w:cs="Arial" w:eastAsia="Arial" w:hAnsi="Arial"/>
                <w:sz w:val="14"/>
                <w:szCs w:val="14"/>
                <w:color w:val="auto"/>
              </w:rPr>
              <w:t>October 1, 2020 through December 31, 2020</w:t>
            </w:r>
          </w:p>
        </w:tc>
        <w:tc>
          <w:tcPr>
            <w:tcW w:w="2500" w:type="dxa"/>
            <w:vAlign w:val="bottom"/>
            <w:gridSpan w:val="4"/>
          </w:tcPr>
          <w:p>
            <w:pPr>
              <w:jc w:val="right"/>
              <w:spacing w:after="0"/>
              <w:rPr>
                <w:sz w:val="20"/>
                <w:szCs w:val="20"/>
                <w:color w:val="auto"/>
              </w:rPr>
            </w:pPr>
            <w:r>
              <w:rPr>
                <w:rFonts w:ascii="Arial" w:cs="Arial" w:eastAsia="Arial" w:hAnsi="Arial"/>
                <w:sz w:val="14"/>
                <w:szCs w:val="14"/>
                <w:color w:val="auto"/>
              </w:rPr>
              <w:t>20,222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12.91</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5"/>
                <w:szCs w:val="15"/>
                <w:color w:val="auto"/>
              </w:rPr>
            </w:pPr>
          </w:p>
        </w:tc>
      </w:tr>
      <w:tr>
        <w:trPr>
          <w:trHeight w:val="209"/>
        </w:trPr>
        <w:tc>
          <w:tcPr>
            <w:tcW w:w="35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102,583</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9.67</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992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349"/>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3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Purchased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Price Paid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r>
      <w:tr>
        <w:trPr>
          <w:trHeight w:val="185"/>
        </w:trPr>
        <w:tc>
          <w:tcPr>
            <w:tcW w:w="3540" w:type="dxa"/>
            <w:vAlign w:val="bottom"/>
          </w:tcPr>
          <w:p>
            <w:pPr>
              <w:spacing w:after="0"/>
              <w:rPr>
                <w:sz w:val="20"/>
                <w:szCs w:val="20"/>
                <w:color w:val="auto"/>
              </w:rPr>
            </w:pPr>
            <w:r>
              <w:rPr>
                <w:rFonts w:ascii="Arial" w:cs="Arial" w:eastAsia="Arial" w:hAnsi="Arial"/>
                <w:sz w:val="14"/>
                <w:szCs w:val="14"/>
                <w:b w:val="1"/>
                <w:bCs w:val="1"/>
                <w:color w:val="auto"/>
              </w:rPr>
              <w:t>Year Ended December 31, 2021:</w:t>
            </w: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and Reissued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ind w:left="120"/>
              <w:spacing w:after="0"/>
              <w:rPr>
                <w:sz w:val="20"/>
                <w:szCs w:val="20"/>
                <w:color w:val="auto"/>
              </w:rPr>
            </w:pPr>
            <w:r>
              <w:rPr>
                <w:rFonts w:ascii="Arial" w:cs="Arial" w:eastAsia="Arial" w:hAnsi="Arial"/>
                <w:sz w:val="14"/>
                <w:szCs w:val="14"/>
                <w:b w:val="1"/>
                <w:bCs w:val="1"/>
                <w:color w:val="auto"/>
              </w:rPr>
              <w:t>Per Share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w w:val="97"/>
              </w:rPr>
              <w:t>Amount Paid</w:t>
            </w:r>
          </w:p>
        </w:tc>
        <w:tc>
          <w:tcPr>
            <w:tcW w:w="80" w:type="dxa"/>
            <w:vAlign w:val="bottom"/>
          </w:tcPr>
          <w:p>
            <w:pPr>
              <w:spacing w:after="0"/>
              <w:rPr>
                <w:sz w:val="16"/>
                <w:szCs w:val="16"/>
                <w:color w:val="auto"/>
              </w:rPr>
            </w:pPr>
          </w:p>
        </w:tc>
      </w:tr>
      <w:tr>
        <w:trPr>
          <w:trHeight w:val="169"/>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January 1, 2021 through March 31, 2021</w:t>
            </w:r>
          </w:p>
        </w:tc>
        <w:tc>
          <w:tcPr>
            <w:tcW w:w="20" w:type="dxa"/>
            <w:vAlign w:val="bottom"/>
            <w:tcBorders>
              <w:top w:val="single" w:sz="8" w:color="auto"/>
            </w:tcBorders>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11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15,562</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15.62</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80" w:type="dxa"/>
            <w:vAlign w:val="bottom"/>
            <w:shd w:val="clear" w:color="auto" w:fill="CCEEFF"/>
          </w:tcPr>
          <w:p>
            <w:pPr>
              <w:spacing w:after="0"/>
              <w:rPr>
                <w:sz w:val="14"/>
                <w:szCs w:val="14"/>
                <w:color w:val="auto"/>
              </w:rPr>
            </w:pPr>
          </w:p>
        </w:tc>
      </w:tr>
      <w:tr>
        <w:trPr>
          <w:trHeight w:val="175"/>
        </w:trPr>
        <w:tc>
          <w:tcPr>
            <w:tcW w:w="3540" w:type="dxa"/>
            <w:vAlign w:val="bottom"/>
          </w:tcPr>
          <w:p>
            <w:pPr>
              <w:spacing w:after="0"/>
              <w:rPr>
                <w:sz w:val="20"/>
                <w:szCs w:val="20"/>
                <w:color w:val="auto"/>
              </w:rPr>
            </w:pPr>
            <w:r>
              <w:rPr>
                <w:rFonts w:ascii="Arial" w:cs="Arial" w:eastAsia="Arial" w:hAnsi="Arial"/>
                <w:sz w:val="14"/>
                <w:szCs w:val="14"/>
                <w:color w:val="auto"/>
              </w:rPr>
              <w:t>April 1, 2021 through June 30, 2021</w:t>
            </w:r>
          </w:p>
        </w:tc>
        <w:tc>
          <w:tcPr>
            <w:tcW w:w="2560" w:type="dxa"/>
            <w:vAlign w:val="bottom"/>
            <w:gridSpan w:val="5"/>
          </w:tcPr>
          <w:p>
            <w:pPr>
              <w:jc w:val="right"/>
              <w:ind w:right="20"/>
              <w:spacing w:after="0"/>
              <w:rPr>
                <w:sz w:val="20"/>
                <w:szCs w:val="20"/>
                <w:color w:val="auto"/>
              </w:rPr>
            </w:pPr>
            <w:r>
              <w:rPr>
                <w:rFonts w:ascii="Arial" w:cs="Arial" w:eastAsia="Arial" w:hAnsi="Arial"/>
                <w:sz w:val="14"/>
                <w:szCs w:val="14"/>
                <w:color w:val="auto"/>
              </w:rPr>
              <w:t>17,042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17.20</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5"/>
                <w:szCs w:val="15"/>
                <w:color w:val="auto"/>
              </w:rPr>
            </w:pPr>
          </w:p>
        </w:tc>
      </w:tr>
      <w:tr>
        <w:trPr>
          <w:trHeight w:val="175"/>
        </w:trPr>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July 1, 2021 through September 30, 2021</w:t>
            </w:r>
          </w:p>
        </w:tc>
        <w:tc>
          <w:tcPr>
            <w:tcW w:w="256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18,201</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17.82</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80" w:type="dxa"/>
            <w:vAlign w:val="bottom"/>
            <w:shd w:val="clear" w:color="auto" w:fill="CCEEFF"/>
          </w:tcPr>
          <w:p>
            <w:pPr>
              <w:spacing w:after="0"/>
              <w:rPr>
                <w:sz w:val="15"/>
                <w:szCs w:val="15"/>
                <w:color w:val="auto"/>
              </w:rPr>
            </w:pPr>
          </w:p>
        </w:tc>
      </w:tr>
      <w:tr>
        <w:trPr>
          <w:trHeight w:val="176"/>
        </w:trPr>
        <w:tc>
          <w:tcPr>
            <w:tcW w:w="3540" w:type="dxa"/>
            <w:vAlign w:val="bottom"/>
          </w:tcPr>
          <w:p>
            <w:pPr>
              <w:spacing w:after="0"/>
              <w:rPr>
                <w:sz w:val="20"/>
                <w:szCs w:val="20"/>
                <w:color w:val="auto"/>
              </w:rPr>
            </w:pPr>
            <w:r>
              <w:rPr>
                <w:rFonts w:ascii="Arial" w:cs="Arial" w:eastAsia="Arial" w:hAnsi="Arial"/>
                <w:sz w:val="14"/>
                <w:szCs w:val="14"/>
                <w:color w:val="auto"/>
              </w:rPr>
              <w:t>October 1, 2021 through December 31, 2021</w:t>
            </w:r>
          </w:p>
        </w:tc>
        <w:tc>
          <w:tcPr>
            <w:tcW w:w="2560" w:type="dxa"/>
            <w:vAlign w:val="bottom"/>
            <w:gridSpan w:val="5"/>
          </w:tcPr>
          <w:p>
            <w:pPr>
              <w:jc w:val="right"/>
              <w:ind w:right="20"/>
              <w:spacing w:after="0"/>
              <w:rPr>
                <w:sz w:val="20"/>
                <w:szCs w:val="20"/>
                <w:color w:val="auto"/>
              </w:rPr>
            </w:pPr>
            <w:r>
              <w:rPr>
                <w:rFonts w:ascii="Arial" w:cs="Arial" w:eastAsia="Arial" w:hAnsi="Arial"/>
                <w:sz w:val="14"/>
                <w:szCs w:val="14"/>
                <w:color w:val="auto"/>
              </w:rPr>
              <w:t>18,283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17.42</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318</w:t>
            </w:r>
          </w:p>
        </w:tc>
        <w:tc>
          <w:tcPr>
            <w:tcW w:w="80" w:type="dxa"/>
            <w:vAlign w:val="bottom"/>
          </w:tcPr>
          <w:p>
            <w:pPr>
              <w:spacing w:after="0"/>
              <w:rPr>
                <w:sz w:val="15"/>
                <w:szCs w:val="15"/>
                <w:color w:val="auto"/>
              </w:rPr>
            </w:pPr>
          </w:p>
        </w:tc>
      </w:tr>
      <w:tr>
        <w:trPr>
          <w:trHeight w:val="209"/>
        </w:trPr>
        <w:tc>
          <w:tcPr>
            <w:tcW w:w="35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w:t>
            </w:r>
          </w:p>
        </w:tc>
        <w:tc>
          <w:tcPr>
            <w:tcW w:w="1380" w:type="dxa"/>
            <w:vAlign w:val="bottom"/>
            <w:tcBorders>
              <w:bottom w:val="single" w:sz="8" w:color="CCEEFF"/>
            </w:tcBorders>
            <w:gridSpan w:val="3"/>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69,088</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17.05</w:t>
            </w: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1,178</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-1199515</wp:posOffset>
            </wp:positionV>
            <wp:extent cx="6032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-1182370</wp:posOffset>
            </wp:positionV>
            <wp:extent cx="6032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-1199515</wp:posOffset>
            </wp:positionV>
            <wp:extent cx="6032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-1182370</wp:posOffset>
            </wp:positionV>
            <wp:extent cx="6032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-1199515</wp:posOffset>
            </wp:positionV>
            <wp:extent cx="514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-1182370</wp:posOffset>
            </wp:positionV>
            <wp:extent cx="5143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032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6032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514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514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ind w:right="60"/>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ind w:right="60"/>
        <w:spacing w:after="0"/>
        <w:rPr>
          <w:sz w:val="20"/>
          <w:szCs w:val="20"/>
          <w:color w:val="auto"/>
        </w:rPr>
      </w:pPr>
      <w:r>
        <w:rPr>
          <w:rFonts w:ascii="Arial" w:cs="Arial" w:eastAsia="Arial" w:hAnsi="Arial"/>
          <w:sz w:val="18"/>
          <w:szCs w:val="18"/>
          <w:b w:val="1"/>
          <w:bCs w:val="1"/>
          <w:color w:val="auto"/>
        </w:rPr>
        <w:t>(in thousands, except shares and per share data)</w:t>
      </w:r>
    </w:p>
    <w:tbl>
      <w:tblPr>
        <w:tblLayout w:type="fixed"/>
        <w:tblInd w:w="1140" w:type="dxa"/>
        <w:tblCellMar>
          <w:top w:w="0" w:type="dxa"/>
          <w:left w:w="0" w:type="dxa"/>
          <w:bottom w:w="0" w:type="dxa"/>
          <w:right w:w="0" w:type="dxa"/>
        </w:tblCellMar>
      </w:tblPr>
      <w:tr>
        <w:trPr>
          <w:trHeight w:val="160"/>
        </w:trPr>
        <w:tc>
          <w:tcPr>
            <w:tcW w:w="3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5"/>
        </w:trPr>
        <w:tc>
          <w:tcPr>
            <w:tcW w:w="3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28"/>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28"/>
              <w:spacing w:after="0"/>
              <w:rPr>
                <w:sz w:val="20"/>
                <w:szCs w:val="20"/>
                <w:color w:val="auto"/>
              </w:rPr>
            </w:pPr>
            <w:r>
              <w:rPr>
                <w:rFonts w:ascii="Arial" w:cs="Arial" w:eastAsia="Arial" w:hAnsi="Arial"/>
                <w:sz w:val="14"/>
                <w:szCs w:val="14"/>
                <w:b w:val="1"/>
                <w:bCs w:val="1"/>
                <w:color w:val="auto"/>
                <w:w w:val="91"/>
              </w:rPr>
              <w:t>Price Paid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54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r>
      <w:tr>
        <w:trPr>
          <w:trHeight w:val="185"/>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Six months ended June 30, 2022:</w:t>
            </w:r>
          </w:p>
        </w:tc>
        <w:tc>
          <w:tcPr>
            <w:tcW w:w="11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and Reissued</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4"/>
              </w:rPr>
              <w:t>Per Share</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 Paid</w:t>
            </w:r>
          </w:p>
        </w:tc>
        <w:tc>
          <w:tcPr>
            <w:tcW w:w="80" w:type="dxa"/>
            <w:vAlign w:val="bottom"/>
          </w:tcPr>
          <w:p>
            <w:pPr>
              <w:spacing w:after="0"/>
              <w:rPr>
                <w:sz w:val="16"/>
                <w:szCs w:val="16"/>
                <w:color w:val="auto"/>
              </w:rPr>
            </w:pPr>
          </w:p>
        </w:tc>
      </w:tr>
      <w:tr>
        <w:trPr>
          <w:trHeight w:val="169"/>
        </w:trPr>
        <w:tc>
          <w:tcPr>
            <w:tcW w:w="3480" w:type="dxa"/>
            <w:vAlign w:val="bottom"/>
            <w:shd w:val="clear" w:color="auto" w:fill="CFF0FC"/>
          </w:tcPr>
          <w:p>
            <w:pPr>
              <w:spacing w:after="0"/>
              <w:rPr>
                <w:sz w:val="20"/>
                <w:szCs w:val="20"/>
                <w:color w:val="auto"/>
              </w:rPr>
            </w:pPr>
            <w:r>
              <w:rPr>
                <w:rFonts w:ascii="Arial" w:cs="Arial" w:eastAsia="Arial" w:hAnsi="Arial"/>
                <w:sz w:val="14"/>
                <w:szCs w:val="14"/>
                <w:color w:val="auto"/>
              </w:rPr>
              <w:t>January 1, 2022 through March 31, 2022</w:t>
            </w:r>
          </w:p>
        </w:tc>
        <w:tc>
          <w:tcPr>
            <w:tcW w:w="11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20,380</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20.51</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418</w:t>
            </w:r>
          </w:p>
        </w:tc>
        <w:tc>
          <w:tcPr>
            <w:tcW w:w="80" w:type="dxa"/>
            <w:vAlign w:val="bottom"/>
            <w:shd w:val="clear" w:color="auto" w:fill="CFF0FC"/>
          </w:tcPr>
          <w:p>
            <w:pPr>
              <w:spacing w:after="0"/>
              <w:rPr>
                <w:sz w:val="14"/>
                <w:szCs w:val="14"/>
                <w:color w:val="auto"/>
              </w:rPr>
            </w:pPr>
          </w:p>
        </w:tc>
      </w:tr>
      <w:tr>
        <w:trPr>
          <w:trHeight w:val="176"/>
        </w:trPr>
        <w:tc>
          <w:tcPr>
            <w:tcW w:w="3480" w:type="dxa"/>
            <w:vAlign w:val="bottom"/>
          </w:tcPr>
          <w:p>
            <w:pPr>
              <w:spacing w:after="0"/>
              <w:rPr>
                <w:sz w:val="20"/>
                <w:szCs w:val="20"/>
                <w:color w:val="auto"/>
              </w:rPr>
            </w:pPr>
            <w:r>
              <w:rPr>
                <w:rFonts w:ascii="Arial" w:cs="Arial" w:eastAsia="Arial" w:hAnsi="Arial"/>
                <w:sz w:val="14"/>
                <w:szCs w:val="14"/>
                <w:color w:val="auto"/>
              </w:rPr>
              <w:t>April 1, 2022 through June 30, 2022</w:t>
            </w:r>
          </w:p>
        </w:tc>
        <w:tc>
          <w:tcPr>
            <w:tcW w:w="2320" w:type="dxa"/>
            <w:vAlign w:val="bottom"/>
            <w:gridSpan w:val="2"/>
          </w:tcPr>
          <w:p>
            <w:pPr>
              <w:jc w:val="right"/>
              <w:spacing w:after="0"/>
              <w:rPr>
                <w:sz w:val="20"/>
                <w:szCs w:val="20"/>
                <w:color w:val="auto"/>
              </w:rPr>
            </w:pPr>
            <w:r>
              <w:rPr>
                <w:rFonts w:ascii="Arial" w:cs="Arial" w:eastAsia="Arial" w:hAnsi="Arial"/>
                <w:sz w:val="14"/>
                <w:szCs w:val="14"/>
                <w:color w:val="auto"/>
              </w:rPr>
              <w:t>20,233</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17.89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362</w:t>
            </w:r>
          </w:p>
        </w:tc>
        <w:tc>
          <w:tcPr>
            <w:tcW w:w="80" w:type="dxa"/>
            <w:vAlign w:val="bottom"/>
          </w:tcPr>
          <w:p>
            <w:pPr>
              <w:spacing w:after="0"/>
              <w:rPr>
                <w:sz w:val="15"/>
                <w:szCs w:val="15"/>
                <w:color w:val="auto"/>
              </w:rPr>
            </w:pPr>
          </w:p>
        </w:tc>
      </w:tr>
      <w:tr>
        <w:trPr>
          <w:trHeight w:val="209"/>
        </w:trPr>
        <w:tc>
          <w:tcPr>
            <w:tcW w:w="34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18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40,613</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19.21</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603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03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-144780</wp:posOffset>
            </wp:positionV>
            <wp:extent cx="603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514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514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-144780</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-144780</wp:posOffset>
            </wp:positionV>
            <wp:extent cx="514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Highlights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schedule of financial highlights for the six months ended June 30,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40" w:type="dxa"/>
            <w:vAlign w:val="bottom"/>
            <w:gridSpan w:val="7"/>
          </w:tcPr>
          <w:p>
            <w:pPr>
              <w:jc w:val="right"/>
              <w:ind w:right="11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0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50"/>
              <w:spacing w:after="0" w:line="202"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line="20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Per share data:</w:t>
            </w:r>
          </w:p>
        </w:tc>
        <w:tc>
          <w:tcPr>
            <w:tcW w:w="4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Net asset value at beginning of period</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19.96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16.81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Net investment income </w:t>
            </w:r>
            <w:r>
              <w:rPr>
                <w:rFonts w:ascii="Arial" w:cs="Arial" w:eastAsia="Arial" w:hAnsi="Arial"/>
                <w:sz w:val="23"/>
                <w:szCs w:val="23"/>
                <w:color w:val="auto"/>
                <w:vertAlign w:val="superscript"/>
              </w:rPr>
              <w:t>(1)</w:t>
            </w:r>
          </w:p>
        </w:tc>
        <w:tc>
          <w:tcPr>
            <w:tcW w:w="4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0.87</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0.72</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Net realized gain (loss) on investments, net of tax (provision) </w:t>
            </w:r>
            <w:r>
              <w:rPr>
                <w:rFonts w:ascii="Arial" w:cs="Arial" w:eastAsia="Arial" w:hAnsi="Arial"/>
                <w:sz w:val="23"/>
                <w:szCs w:val="23"/>
                <w:color w:val="auto"/>
                <w:vertAlign w:val="superscript"/>
              </w:rPr>
              <w:t>(1)</w:t>
            </w:r>
          </w:p>
        </w:tc>
        <w:tc>
          <w:tcPr>
            <w:tcW w:w="4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0.22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Net unrealized appreciation (depreciation) on investments </w:t>
            </w:r>
            <w:r>
              <w:rPr>
                <w:rFonts w:ascii="Arial" w:cs="Arial" w:eastAsia="Arial" w:hAnsi="Arial"/>
                <w:sz w:val="23"/>
                <w:szCs w:val="23"/>
                <w:color w:val="auto"/>
                <w:vertAlign w:val="superscript"/>
              </w:rPr>
              <w:t>(1)</w:t>
            </w:r>
          </w:p>
        </w:tc>
        <w:tc>
          <w:tcPr>
            <w:tcW w:w="4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(1.09 )</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0.68</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Realized losses on extinguishment of debt </w:t>
            </w:r>
            <w:r>
              <w:rPr>
                <w:rFonts w:ascii="Arial" w:cs="Arial" w:eastAsia="Arial" w:hAnsi="Arial"/>
                <w:sz w:val="23"/>
                <w:szCs w:val="23"/>
                <w:color w:val="auto"/>
                <w:vertAlign w:val="superscript"/>
              </w:rPr>
              <w:t>(1)</w:t>
            </w:r>
          </w:p>
        </w:tc>
        <w:tc>
          <w:tcPr>
            <w:tcW w:w="420" w:type="dxa"/>
            <w:vAlign w:val="bottom"/>
          </w:tcPr>
          <w:p>
            <w:pPr>
              <w:spacing w:after="0"/>
              <w:rPr>
                <w:sz w:val="17"/>
                <w:szCs w:val="17"/>
                <w:color w:val="auto"/>
              </w:rPr>
            </w:pP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(0.01 )</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(0.09 )</w:t>
            </w:r>
          </w:p>
        </w:tc>
        <w:tc>
          <w:tcPr>
            <w:tcW w:w="60" w:type="dxa"/>
            <w:vAlign w:val="bottom"/>
          </w:tcPr>
          <w:p>
            <w:pPr>
              <w:spacing w:after="0"/>
              <w:rPr>
                <w:sz w:val="17"/>
                <w:szCs w:val="17"/>
                <w:color w:val="auto"/>
              </w:rPr>
            </w:pPr>
          </w:p>
        </w:tc>
      </w:tr>
      <w:tr>
        <w:trPr>
          <w:trHeight w:val="196"/>
        </w:trPr>
        <w:tc>
          <w:tcPr>
            <w:tcW w:w="704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 xml:space="preserve">Total increase from investment operations </w:t>
            </w:r>
            <w:r>
              <w:rPr>
                <w:rFonts w:ascii="Arial" w:cs="Arial" w:eastAsia="Arial" w:hAnsi="Arial"/>
                <w:sz w:val="22"/>
                <w:szCs w:val="22"/>
                <w:color w:val="auto"/>
                <w:vertAlign w:val="superscript"/>
              </w:rPr>
              <w:t>(1)</w:t>
            </w:r>
          </w:p>
        </w:tc>
        <w:tc>
          <w:tcPr>
            <w:tcW w:w="42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0.80</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Accretive (dilutive) effect of share issuances and repurchases</w:t>
            </w:r>
          </w:p>
        </w:tc>
        <w:tc>
          <w:tcPr>
            <w:tcW w:w="4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Dividends to stockholders</w:t>
            </w:r>
          </w:p>
        </w:tc>
        <w:tc>
          <w:tcPr>
            <w:tcW w:w="4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(0.96 )</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(0.77 )</w:t>
            </w:r>
          </w:p>
        </w:tc>
        <w:tc>
          <w:tcPr>
            <w:tcW w:w="60" w:type="dxa"/>
            <w:vAlign w:val="bottom"/>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Distributions from capital gains</w:t>
            </w:r>
          </w:p>
        </w:tc>
        <w:tc>
          <w:tcPr>
            <w:tcW w:w="4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Taxes paid on deemed distributions</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3"/>
                <w:szCs w:val="23"/>
                <w:color w:val="auto"/>
                <w:vertAlign w:val="superscript"/>
              </w:rPr>
              <w:t>(11)</w:t>
            </w: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70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asset value at end of period</w:t>
            </w: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19.80</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17.57</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183"/>
        </w:trPr>
        <w:tc>
          <w:tcPr>
            <w:tcW w:w="7040" w:type="dxa"/>
            <w:vAlign w:val="bottom"/>
          </w:tcPr>
          <w:p>
            <w:pPr>
              <w:ind w:left="20"/>
              <w:spacing w:after="0" w:line="183" w:lineRule="exact"/>
              <w:rPr>
                <w:sz w:val="20"/>
                <w:szCs w:val="20"/>
                <w:color w:val="auto"/>
              </w:rPr>
            </w:pPr>
            <w:r>
              <w:rPr>
                <w:rFonts w:ascii="Arial" w:cs="Arial" w:eastAsia="Arial" w:hAnsi="Arial"/>
                <w:sz w:val="18"/>
                <w:szCs w:val="18"/>
                <w:color w:val="auto"/>
              </w:rPr>
              <w:t>Market value at end of period</w:t>
            </w:r>
          </w:p>
        </w:tc>
        <w:tc>
          <w:tcPr>
            <w:tcW w:w="420" w:type="dxa"/>
            <w:vAlign w:val="bottom"/>
            <w:tcBorders>
              <w:bottom w:val="single" w:sz="8" w:color="auto"/>
            </w:tcBorders>
          </w:tcPr>
          <w:p>
            <w:pPr>
              <w:jc w:val="right"/>
              <w:ind w:right="230"/>
              <w:spacing w:after="0" w:line="183"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17.45</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30"/>
              <w:spacing w:after="0" w:line="183"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17.00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7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70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Shares outstanding at end of period</w:t>
            </w:r>
          </w:p>
        </w:tc>
        <w:tc>
          <w:tcPr>
            <w:tcW w:w="4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24,437,400</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24,437,400</w:t>
            </w: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shares outstanding during the period</w:t>
            </w:r>
          </w:p>
        </w:tc>
        <w:tc>
          <w:tcPr>
            <w:tcW w:w="4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24,437,400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24,437,400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assets at end of period</w:t>
            </w: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483,975</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429,367</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Average net assets </w:t>
            </w:r>
            <w:r>
              <w:rPr>
                <w:rFonts w:ascii="Arial" w:cs="Arial" w:eastAsia="Arial" w:hAnsi="Arial"/>
                <w:sz w:val="23"/>
                <w:szCs w:val="23"/>
                <w:color w:val="auto"/>
                <w:vertAlign w:val="superscript"/>
              </w:rPr>
              <w:t>(6)</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486,080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417,713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Ratios to average net assets:</w:t>
            </w:r>
          </w:p>
        </w:tc>
        <w:tc>
          <w:tcPr>
            <w:tcW w:w="4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166"/>
        </w:trPr>
        <w:tc>
          <w:tcPr>
            <w:tcW w:w="7040" w:type="dxa"/>
            <w:vAlign w:val="bottom"/>
          </w:tcPr>
          <w:p>
            <w:pPr>
              <w:ind w:left="20"/>
              <w:spacing w:after="0" w:line="166" w:lineRule="exact"/>
              <w:rPr>
                <w:sz w:val="20"/>
                <w:szCs w:val="20"/>
                <w:color w:val="auto"/>
              </w:rPr>
            </w:pPr>
            <w:r>
              <w:rPr>
                <w:rFonts w:ascii="Arial" w:cs="Arial" w:eastAsia="Arial" w:hAnsi="Arial"/>
                <w:sz w:val="15"/>
                <w:szCs w:val="15"/>
                <w:color w:val="auto"/>
              </w:rPr>
              <w:t xml:space="preserve">Total expenses </w:t>
            </w:r>
            <w:r>
              <w:rPr>
                <w:rFonts w:ascii="Arial" w:cs="Arial" w:eastAsia="Arial" w:hAnsi="Arial"/>
                <w:sz w:val="19"/>
                <w:szCs w:val="19"/>
                <w:color w:val="auto"/>
                <w:vertAlign w:val="superscript"/>
              </w:rPr>
              <w:t>(2)(4)(10)</w:t>
            </w:r>
          </w:p>
        </w:tc>
        <w:tc>
          <w:tcPr>
            <w:tcW w:w="420" w:type="dxa"/>
            <w:vAlign w:val="bottom"/>
          </w:tcPr>
          <w:p>
            <w:pPr>
              <w:spacing w:after="0"/>
              <w:rPr>
                <w:sz w:val="14"/>
                <w:szCs w:val="14"/>
                <w:color w:val="auto"/>
              </w:rPr>
            </w:pPr>
          </w:p>
        </w:tc>
        <w:tc>
          <w:tcPr>
            <w:tcW w:w="1760" w:type="dxa"/>
            <w:vAlign w:val="bottom"/>
            <w:gridSpan w:val="3"/>
          </w:tcPr>
          <w:p>
            <w:pPr>
              <w:jc w:val="right"/>
              <w:ind w:right="160"/>
              <w:spacing w:after="0" w:line="166" w:lineRule="exact"/>
              <w:rPr>
                <w:sz w:val="20"/>
                <w:szCs w:val="20"/>
                <w:color w:val="auto"/>
              </w:rPr>
            </w:pPr>
            <w:r>
              <w:rPr>
                <w:rFonts w:ascii="Arial" w:cs="Arial" w:eastAsia="Arial" w:hAnsi="Arial"/>
                <w:sz w:val="18"/>
                <w:szCs w:val="18"/>
                <w:color w:val="auto"/>
              </w:rPr>
              <w:t>8.4 %</w:t>
            </w:r>
          </w:p>
        </w:tc>
        <w:tc>
          <w:tcPr>
            <w:tcW w:w="440" w:type="dxa"/>
            <w:vAlign w:val="bottom"/>
          </w:tcPr>
          <w:p>
            <w:pPr>
              <w:spacing w:after="0"/>
              <w:rPr>
                <w:sz w:val="14"/>
                <w:szCs w:val="14"/>
                <w:color w:val="auto"/>
              </w:rPr>
            </w:pPr>
          </w:p>
        </w:tc>
        <w:tc>
          <w:tcPr>
            <w:tcW w:w="1640" w:type="dxa"/>
            <w:vAlign w:val="bottom"/>
            <w:gridSpan w:val="3"/>
          </w:tcPr>
          <w:p>
            <w:pPr>
              <w:jc w:val="right"/>
              <w:spacing w:after="0" w:line="166" w:lineRule="exact"/>
              <w:rPr>
                <w:sz w:val="20"/>
                <w:szCs w:val="20"/>
                <w:color w:val="auto"/>
              </w:rPr>
            </w:pPr>
            <w:r>
              <w:rPr>
                <w:rFonts w:ascii="Arial" w:cs="Arial" w:eastAsia="Arial" w:hAnsi="Arial"/>
                <w:sz w:val="18"/>
                <w:szCs w:val="18"/>
                <w:color w:val="auto"/>
              </w:rPr>
              <w:t>13.2 %</w:t>
            </w: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Net investment income </w:t>
            </w:r>
            <w:r>
              <w:rPr>
                <w:rFonts w:ascii="Arial" w:cs="Arial" w:eastAsia="Arial" w:hAnsi="Arial"/>
                <w:sz w:val="23"/>
                <w:szCs w:val="23"/>
                <w:color w:val="auto"/>
                <w:vertAlign w:val="superscript"/>
              </w:rPr>
              <w:t>(5)</w:t>
            </w:r>
          </w:p>
        </w:tc>
        <w:tc>
          <w:tcPr>
            <w:tcW w:w="420" w:type="dxa"/>
            <w:vAlign w:val="bottom"/>
          </w:tcPr>
          <w:p>
            <w:pPr>
              <w:spacing w:after="0"/>
              <w:rPr>
                <w:sz w:val="17"/>
                <w:szCs w:val="17"/>
                <w:color w:val="auto"/>
              </w:rPr>
            </w:pPr>
          </w:p>
        </w:tc>
        <w:tc>
          <w:tcPr>
            <w:tcW w:w="17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8.8 %</w:t>
            </w:r>
          </w:p>
        </w:tc>
        <w:tc>
          <w:tcPr>
            <w:tcW w:w="440" w:type="dxa"/>
            <w:vAlign w:val="bottom"/>
          </w:tcPr>
          <w:p>
            <w:pPr>
              <w:spacing w:after="0"/>
              <w:rPr>
                <w:sz w:val="17"/>
                <w:szCs w:val="17"/>
                <w:color w:val="auto"/>
              </w:rPr>
            </w:pPr>
          </w:p>
        </w:tc>
        <w:tc>
          <w:tcPr>
            <w:tcW w:w="1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8.4 %</w:t>
            </w: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Total return based on market value </w:t>
            </w:r>
            <w:r>
              <w:rPr>
                <w:rFonts w:ascii="Arial" w:cs="Arial" w:eastAsia="Arial" w:hAnsi="Arial"/>
                <w:sz w:val="23"/>
                <w:szCs w:val="23"/>
                <w:color w:val="auto"/>
                <w:vertAlign w:val="superscript"/>
              </w:rPr>
              <w:t>(3)</w:t>
            </w:r>
          </w:p>
        </w:tc>
        <w:tc>
          <w:tcPr>
            <w:tcW w:w="420" w:type="dxa"/>
            <w:vAlign w:val="bottom"/>
          </w:tcPr>
          <w:p>
            <w:pPr>
              <w:spacing w:after="0"/>
              <w:rPr>
                <w:sz w:val="17"/>
                <w:szCs w:val="17"/>
                <w:color w:val="auto"/>
              </w:rPr>
            </w:pPr>
          </w:p>
        </w:tc>
        <w:tc>
          <w:tcPr>
            <w:tcW w:w="17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2.3 %</w:t>
            </w:r>
          </w:p>
        </w:tc>
        <w:tc>
          <w:tcPr>
            <w:tcW w:w="440" w:type="dxa"/>
            <w:vAlign w:val="bottom"/>
          </w:tcPr>
          <w:p>
            <w:pPr>
              <w:spacing w:after="0"/>
              <w:rPr>
                <w:sz w:val="17"/>
                <w:szCs w:val="17"/>
                <w:color w:val="auto"/>
              </w:rPr>
            </w:pPr>
          </w:p>
        </w:tc>
        <w:tc>
          <w:tcPr>
            <w:tcW w:w="1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39.3 %</w:t>
            </w: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Total return based on net asset value </w:t>
            </w:r>
            <w:r>
              <w:rPr>
                <w:rFonts w:ascii="Arial" w:cs="Arial" w:eastAsia="Arial" w:hAnsi="Arial"/>
                <w:sz w:val="23"/>
                <w:szCs w:val="23"/>
                <w:color w:val="auto"/>
                <w:vertAlign w:val="superscript"/>
              </w:rPr>
              <w:t>(8)</w:t>
            </w:r>
          </w:p>
        </w:tc>
        <w:tc>
          <w:tcPr>
            <w:tcW w:w="420" w:type="dxa"/>
            <w:vAlign w:val="bottom"/>
          </w:tcPr>
          <w:p>
            <w:pPr>
              <w:spacing w:after="0"/>
              <w:rPr>
                <w:sz w:val="17"/>
                <w:szCs w:val="17"/>
                <w:color w:val="auto"/>
              </w:rPr>
            </w:pPr>
          </w:p>
        </w:tc>
        <w:tc>
          <w:tcPr>
            <w:tcW w:w="17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4.0 %</w:t>
            </w:r>
          </w:p>
        </w:tc>
        <w:tc>
          <w:tcPr>
            <w:tcW w:w="440" w:type="dxa"/>
            <w:vAlign w:val="bottom"/>
          </w:tcPr>
          <w:p>
            <w:pPr>
              <w:spacing w:after="0"/>
              <w:rPr>
                <w:sz w:val="17"/>
                <w:szCs w:val="17"/>
                <w:color w:val="auto"/>
              </w:rPr>
            </w:pPr>
          </w:p>
        </w:tc>
        <w:tc>
          <w:tcPr>
            <w:tcW w:w="1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9.1 %</w:t>
            </w:r>
          </w:p>
        </w:tc>
      </w:tr>
      <w:tr>
        <w:trPr>
          <w:trHeight w:val="239"/>
        </w:trPr>
        <w:tc>
          <w:tcPr>
            <w:tcW w:w="7040" w:type="dxa"/>
            <w:vAlign w:val="bottom"/>
          </w:tcPr>
          <w:p>
            <w:pPr>
              <w:ind w:left="20"/>
              <w:spacing w:after="0" w:line="239" w:lineRule="exact"/>
              <w:rPr>
                <w:sz w:val="20"/>
                <w:szCs w:val="20"/>
                <w:color w:val="auto"/>
              </w:rPr>
            </w:pPr>
            <w:r>
              <w:rPr>
                <w:rFonts w:ascii="Arial" w:cs="Arial" w:eastAsia="Arial" w:hAnsi="Arial"/>
                <w:sz w:val="18"/>
                <w:szCs w:val="18"/>
                <w:color w:val="auto"/>
              </w:rPr>
              <w:t xml:space="preserve">Portfolio turnover ratio </w:t>
            </w:r>
            <w:r>
              <w:rPr>
                <w:rFonts w:ascii="Arial" w:cs="Arial" w:eastAsia="Arial" w:hAnsi="Arial"/>
                <w:sz w:val="24"/>
                <w:szCs w:val="24"/>
                <w:color w:val="auto"/>
                <w:vertAlign w:val="superscript"/>
              </w:rPr>
              <w:t>(9)</w:t>
            </w:r>
          </w:p>
        </w:tc>
        <w:tc>
          <w:tcPr>
            <w:tcW w:w="420" w:type="dxa"/>
            <w:vAlign w:val="bottom"/>
          </w:tcPr>
          <w:p>
            <w:pPr>
              <w:spacing w:after="0"/>
              <w:rPr>
                <w:sz w:val="20"/>
                <w:szCs w:val="20"/>
                <w:color w:val="auto"/>
              </w:rPr>
            </w:pPr>
          </w:p>
        </w:tc>
        <w:tc>
          <w:tcPr>
            <w:tcW w:w="1760" w:type="dxa"/>
            <w:vAlign w:val="bottom"/>
            <w:gridSpan w:val="3"/>
          </w:tcPr>
          <w:p>
            <w:pPr>
              <w:jc w:val="right"/>
              <w:ind w:right="160"/>
              <w:spacing w:after="0"/>
              <w:rPr>
                <w:sz w:val="20"/>
                <w:szCs w:val="20"/>
                <w:color w:val="auto"/>
              </w:rPr>
            </w:pPr>
            <w:r>
              <w:rPr>
                <w:rFonts w:ascii="Arial" w:cs="Arial" w:eastAsia="Arial" w:hAnsi="Arial"/>
                <w:sz w:val="18"/>
                <w:szCs w:val="18"/>
                <w:color w:val="auto"/>
              </w:rPr>
              <w:t>17.4 %</w:t>
            </w:r>
          </w:p>
        </w:tc>
        <w:tc>
          <w:tcPr>
            <w:tcW w:w="44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45.6 %</w:t>
            </w: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Supplemental Data:</w:t>
            </w:r>
          </w:p>
        </w:tc>
        <w:tc>
          <w:tcPr>
            <w:tcW w:w="4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Average debt outstanding </w:t>
            </w:r>
            <w:r>
              <w:rPr>
                <w:rFonts w:ascii="Arial" w:cs="Arial" w:eastAsia="Arial" w:hAnsi="Arial"/>
                <w:sz w:val="23"/>
                <w:szCs w:val="23"/>
                <w:color w:val="auto"/>
                <w:vertAlign w:val="superscript"/>
              </w:rPr>
              <w:t>(7)</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388,781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390,117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Average debt per share </w:t>
            </w:r>
            <w:r>
              <w:rPr>
                <w:rFonts w:ascii="Arial" w:cs="Arial" w:eastAsia="Arial" w:hAnsi="Arial"/>
                <w:sz w:val="23"/>
                <w:szCs w:val="23"/>
                <w:color w:val="auto"/>
                <w:vertAlign w:val="superscript"/>
              </w:rPr>
              <w:t>(1)</w:t>
            </w: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15.91</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15.96</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-1851025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-1833880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-899160</wp:posOffset>
            </wp:positionV>
            <wp:extent cx="7132320" cy="1289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289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7" w:lineRule="exact"/>
        <w:rPr>
          <w:sz w:val="20"/>
          <w:szCs w:val="20"/>
          <w:color w:val="auto"/>
        </w:rPr>
      </w:pPr>
    </w:p>
    <w:p>
      <w:pPr>
        <w:ind w:left="520" w:hanging="499"/>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Weighted average per share data.</w:t>
      </w:r>
    </w:p>
    <w:p>
      <w:pPr>
        <w:spacing w:after="0" w:line="21" w:lineRule="exact"/>
        <w:rPr>
          <w:rFonts w:ascii="Arial" w:cs="Arial" w:eastAsia="Arial" w:hAnsi="Arial"/>
          <w:sz w:val="14"/>
          <w:szCs w:val="14"/>
          <w:color w:val="auto"/>
        </w:rPr>
      </w:pPr>
    </w:p>
    <w:p>
      <w:pPr>
        <w:ind w:left="520" w:hanging="499"/>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Annualized with the exception of income tax (provision) benefit from realized gains on investments.</w:t>
      </w:r>
    </w:p>
    <w:p>
      <w:pPr>
        <w:spacing w:after="0" w:line="14" w:lineRule="exact"/>
        <w:rPr>
          <w:rFonts w:ascii="Arial" w:cs="Arial" w:eastAsia="Arial" w:hAnsi="Arial"/>
          <w:sz w:val="14"/>
          <w:szCs w:val="14"/>
          <w:color w:val="auto"/>
        </w:rPr>
      </w:pPr>
    </w:p>
    <w:p>
      <w:pPr>
        <w:jc w:val="both"/>
        <w:ind w:left="520" w:right="100" w:hanging="499"/>
        <w:spacing w:after="0" w:line="234"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spacing w:after="0" w:line="8" w:lineRule="exact"/>
        <w:rPr>
          <w:rFonts w:ascii="Arial" w:cs="Arial" w:eastAsia="Arial" w:hAnsi="Arial"/>
          <w:sz w:val="14"/>
          <w:szCs w:val="14"/>
          <w:color w:val="auto"/>
        </w:rPr>
      </w:pPr>
    </w:p>
    <w:p>
      <w:pPr>
        <w:ind w:left="520" w:right="80" w:hanging="499"/>
        <w:spacing w:after="0" w:line="246"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expenses to average net assets ratio is calculated using (i) the “total expenses, net of base management waiver”, (ii) the “income tax provision (benefit)”, and (iii) the “income tax (provision) benefit from realized gains on investments” captions, as presented on the consolidated statements of operations.</w:t>
      </w:r>
    </w:p>
    <w:p>
      <w:pPr>
        <w:ind w:left="520" w:right="100" w:hanging="499"/>
        <w:spacing w:after="0" w:line="241"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net investment income to average net assets ratio is calculated using the net investment income caption as presented on the consolidated statements of operations, which includes incentive fee.</w:t>
      </w:r>
    </w:p>
    <w:p>
      <w:pPr>
        <w:ind w:left="520" w:hanging="499"/>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Average net assets is calculated as the average of the net asset balances as of each quarter end during the fiscal year and the prior year end.</w:t>
      </w:r>
    </w:p>
    <w:p>
      <w:pPr>
        <w:spacing w:after="0" w:line="14" w:lineRule="exact"/>
        <w:rPr>
          <w:rFonts w:ascii="Arial" w:cs="Arial" w:eastAsia="Arial" w:hAnsi="Arial"/>
          <w:sz w:val="14"/>
          <w:szCs w:val="14"/>
          <w:color w:val="auto"/>
        </w:rPr>
      </w:pPr>
    </w:p>
    <w:p>
      <w:pPr>
        <w:ind w:left="520" w:hanging="499"/>
        <w:spacing w:after="0"/>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Average debt outstanding is calculated as the average of the outstanding debt balances, including secured borrowings, as of each quarter end during the fiscal year and the prior year end.</w:t>
      </w:r>
    </w:p>
    <w:p>
      <w:pPr>
        <w:spacing w:after="0" w:line="127" w:lineRule="exact"/>
        <w:rPr>
          <w:rFonts w:ascii="Arial" w:cs="Arial" w:eastAsia="Arial" w:hAnsi="Arial"/>
          <w:sz w:val="13"/>
          <w:szCs w:val="13"/>
          <w:color w:val="auto"/>
        </w:rPr>
      </w:pPr>
    </w:p>
    <w:p>
      <w:pPr>
        <w:jc w:val="both"/>
        <w:ind w:left="520" w:right="80" w:hanging="499"/>
        <w:spacing w:after="0" w:line="238"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182" w:lineRule="exact"/>
        <w:rPr>
          <w:rFonts w:ascii="Arial" w:cs="Arial" w:eastAsia="Arial" w:hAnsi="Arial"/>
          <w:sz w:val="14"/>
          <w:szCs w:val="14"/>
          <w:color w:val="auto"/>
        </w:rPr>
      </w:pPr>
    </w:p>
    <w:p>
      <w:pPr>
        <w:ind w:left="520" w:hanging="499"/>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Annualized.</w:t>
      </w:r>
    </w:p>
    <w:p>
      <w:pPr>
        <w:spacing w:after="0" w:line="21" w:lineRule="exact"/>
        <w:rPr>
          <w:rFonts w:ascii="Arial" w:cs="Arial" w:eastAsia="Arial" w:hAnsi="Arial"/>
          <w:sz w:val="14"/>
          <w:szCs w:val="14"/>
          <w:color w:val="auto"/>
        </w:rPr>
      </w:pPr>
    </w:p>
    <w:p>
      <w:pPr>
        <w:ind w:left="520" w:hanging="499"/>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following are schedules of supplemental expense ratios to average net assets:</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35" w:name="page36"/>
    <w:bookmarkEnd w:id="35"/>
    <w:p>
      <w:pPr>
        <w:jc w:val="center"/>
        <w:ind w:right="60"/>
        <w:spacing w:after="0"/>
        <w:rPr>
          <w:sz w:val="20"/>
          <w:szCs w:val="20"/>
          <w:color w:val="auto"/>
        </w:rPr>
      </w:pPr>
      <w:r>
        <w:rPr>
          <w:rFonts w:ascii="Arial" w:cs="Arial" w:eastAsia="Arial" w:hAnsi="Arial"/>
          <w:sz w:val="18"/>
          <w:szCs w:val="18"/>
          <w:b w:val="1"/>
          <w:bCs w:val="1"/>
          <w:color w:val="auto"/>
        </w:rPr>
        <w:t>FIDUS INVESTMENT CORPORATION</w:t>
      </w:r>
    </w:p>
    <w:p>
      <w:pPr>
        <w:spacing w:after="0" w:line="1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 (unaudited)</w:t>
      </w:r>
    </w:p>
    <w:p>
      <w:pPr>
        <w:jc w:val="center"/>
        <w:ind w:right="60"/>
        <w:spacing w:after="0" w:line="234" w:lineRule="auto"/>
        <w:rPr>
          <w:sz w:val="20"/>
          <w:szCs w:val="20"/>
          <w:color w:val="auto"/>
        </w:rPr>
      </w:pPr>
      <w:r>
        <w:rPr>
          <w:rFonts w:ascii="Arial" w:cs="Arial" w:eastAsia="Arial" w:hAnsi="Arial"/>
          <w:sz w:val="18"/>
          <w:szCs w:val="18"/>
          <w:b w:val="1"/>
          <w:bCs w:val="1"/>
          <w:color w:val="auto"/>
        </w:rPr>
        <w:t>(in thousands, except shares and per share data)</w:t>
      </w:r>
    </w:p>
    <w:tbl>
      <w:tblPr>
        <w:tblLayout w:type="fixed"/>
        <w:tblInd w:w="0" w:type="dxa"/>
        <w:tblCellMar>
          <w:top w:w="0" w:type="dxa"/>
          <w:left w:w="0" w:type="dxa"/>
          <w:bottom w:w="0" w:type="dxa"/>
          <w:right w:w="0" w:type="dxa"/>
        </w:tblCellMar>
      </w:tblPr>
      <w:tr>
        <w:trPr>
          <w:trHeight w:val="222"/>
        </w:trPr>
        <w:tc>
          <w:tcPr>
            <w:tcW w:w="6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gridSpan w:val="4"/>
          </w:tcPr>
          <w:p>
            <w:pPr>
              <w:jc w:val="right"/>
              <w:ind w:right="1110"/>
              <w:spacing w:after="0" w:line="201" w:lineRule="exact"/>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696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Ratio to average net assets:</w:t>
            </w:r>
          </w:p>
        </w:tc>
        <w:tc>
          <w:tcPr>
            <w:tcW w:w="1940" w:type="dxa"/>
            <w:vAlign w:val="bottom"/>
            <w:tcBorders>
              <w:top w:val="single" w:sz="8" w:color="auto"/>
            </w:tcBorders>
          </w:tcPr>
          <w:p>
            <w:pPr>
              <w:jc w:val="right"/>
              <w:ind w:right="690"/>
              <w:spacing w:after="0" w:line="202" w:lineRule="exact"/>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right"/>
              <w:ind w:right="690"/>
              <w:spacing w:after="0" w:line="202" w:lineRule="exact"/>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740" w:type="dxa"/>
            <w:vAlign w:val="bottom"/>
            <w:tcBorders>
              <w:top w:val="single" w:sz="8" w:color="auto"/>
            </w:tcBorders>
          </w:tcPr>
          <w:p>
            <w:pPr>
              <w:ind w:left="20"/>
              <w:spacing w:after="0" w:line="166" w:lineRule="exact"/>
              <w:rPr>
                <w:sz w:val="20"/>
                <w:szCs w:val="20"/>
                <w:color w:val="auto"/>
              </w:rPr>
            </w:pPr>
            <w:r>
              <w:rPr>
                <w:rFonts w:ascii="Arial" w:cs="Arial" w:eastAsia="Arial" w:hAnsi="Arial"/>
                <w:sz w:val="15"/>
                <w:szCs w:val="15"/>
                <w:color w:val="auto"/>
              </w:rPr>
              <w:t xml:space="preserve">Expenses other than incentive fee </w:t>
            </w:r>
            <w:r>
              <w:rPr>
                <w:rFonts w:ascii="Arial" w:cs="Arial" w:eastAsia="Arial" w:hAnsi="Arial"/>
                <w:sz w:val="19"/>
                <w:szCs w:val="19"/>
                <w:color w:val="auto"/>
                <w:vertAlign w:val="superscript"/>
              </w:rPr>
              <w:t>(2)</w:t>
            </w:r>
          </w:p>
        </w:tc>
        <w:tc>
          <w:tcPr>
            <w:tcW w:w="220" w:type="dxa"/>
            <w:vAlign w:val="bottom"/>
          </w:tcPr>
          <w:p>
            <w:pPr>
              <w:spacing w:after="0"/>
              <w:rPr>
                <w:sz w:val="14"/>
                <w:szCs w:val="14"/>
                <w:color w:val="auto"/>
              </w:rPr>
            </w:pPr>
          </w:p>
        </w:tc>
        <w:tc>
          <w:tcPr>
            <w:tcW w:w="194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8"/>
                <w:szCs w:val="18"/>
                <w:color w:val="auto"/>
              </w:rPr>
              <w:t>7.6</w:t>
            </w:r>
          </w:p>
        </w:tc>
        <w:tc>
          <w:tcPr>
            <w:tcW w:w="320" w:type="dxa"/>
            <w:vAlign w:val="bottom"/>
          </w:tcPr>
          <w:p>
            <w:pPr>
              <w:jc w:val="right"/>
              <w:ind w:right="70"/>
              <w:spacing w:after="0" w:line="166" w:lineRule="exact"/>
              <w:rPr>
                <w:sz w:val="20"/>
                <w:szCs w:val="20"/>
                <w:color w:val="auto"/>
              </w:rPr>
            </w:pPr>
            <w:r>
              <w:rPr>
                <w:rFonts w:ascii="Arial" w:cs="Arial" w:eastAsia="Arial" w:hAnsi="Arial"/>
                <w:sz w:val="18"/>
                <w:szCs w:val="18"/>
                <w:color w:val="auto"/>
                <w:w w:val="87"/>
              </w:rPr>
              <w:t>%</w:t>
            </w:r>
          </w:p>
        </w:tc>
        <w:tc>
          <w:tcPr>
            <w:tcW w:w="19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8"/>
                <w:szCs w:val="18"/>
                <w:color w:val="auto"/>
              </w:rPr>
              <w:t>8.8</w:t>
            </w:r>
          </w:p>
        </w:tc>
        <w:tc>
          <w:tcPr>
            <w:tcW w:w="160" w:type="dxa"/>
            <w:vAlign w:val="bottom"/>
          </w:tcPr>
          <w:p>
            <w:pPr>
              <w:jc w:val="right"/>
              <w:spacing w:after="0" w:line="16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96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 xml:space="preserve">Incentive fee </w:t>
            </w:r>
            <w:r>
              <w:rPr>
                <w:rFonts w:ascii="Arial" w:cs="Arial" w:eastAsia="Arial" w:hAnsi="Arial"/>
                <w:sz w:val="24"/>
                <w:szCs w:val="24"/>
                <w:color w:val="auto"/>
                <w:vertAlign w:val="superscript"/>
              </w:rPr>
              <w:t>(9)</w:t>
            </w:r>
          </w:p>
        </w:tc>
        <w:tc>
          <w:tcPr>
            <w:tcW w:w="2260" w:type="dxa"/>
            <w:vAlign w:val="bottom"/>
            <w:gridSpan w:val="2"/>
          </w:tcPr>
          <w:p>
            <w:pPr>
              <w:jc w:val="right"/>
              <w:ind w:right="70"/>
              <w:spacing w:after="0"/>
              <w:rPr>
                <w:sz w:val="20"/>
                <w:szCs w:val="20"/>
                <w:color w:val="auto"/>
              </w:rPr>
            </w:pPr>
            <w:r>
              <w:rPr>
                <w:rFonts w:ascii="Arial" w:cs="Arial" w:eastAsia="Arial" w:hAnsi="Arial"/>
                <w:sz w:val="18"/>
                <w:szCs w:val="18"/>
                <w:color w:val="auto"/>
              </w:rPr>
              <w:t>0.8 %</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
        </w:trPr>
        <w:tc>
          <w:tcPr>
            <w:tcW w:w="6960" w:type="dxa"/>
            <w:vAlign w:val="bottom"/>
            <w:gridSpan w:val="2"/>
            <w:vMerge w:val="restart"/>
          </w:tcPr>
          <w:p>
            <w:pPr>
              <w:ind w:left="20"/>
              <w:spacing w:after="0" w:line="239" w:lineRule="exact"/>
              <w:rPr>
                <w:sz w:val="20"/>
                <w:szCs w:val="20"/>
                <w:color w:val="auto"/>
              </w:rPr>
            </w:pPr>
            <w:r>
              <w:rPr>
                <w:rFonts w:ascii="Arial" w:cs="Arial" w:eastAsia="Arial" w:hAnsi="Arial"/>
                <w:sz w:val="18"/>
                <w:szCs w:val="18"/>
                <w:color w:val="auto"/>
              </w:rPr>
              <w:t xml:space="preserve">Total expenses </w:t>
            </w:r>
            <w:r>
              <w:rPr>
                <w:rFonts w:ascii="Arial" w:cs="Arial" w:eastAsia="Arial" w:hAnsi="Arial"/>
                <w:sz w:val="24"/>
                <w:szCs w:val="24"/>
                <w:color w:val="auto"/>
                <w:vertAlign w:val="superscript"/>
              </w:rPr>
              <w:t>(2)(4)</w:t>
            </w: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960" w:type="dxa"/>
            <w:vAlign w:val="bottom"/>
            <w:gridSpan w:val="2"/>
            <w:vMerge w:val="continue"/>
          </w:tcPr>
          <w:p>
            <w:pPr>
              <w:spacing w:after="0"/>
              <w:rPr>
                <w:sz w:val="17"/>
                <w:szCs w:val="17"/>
                <w:color w:val="auto"/>
              </w:rPr>
            </w:pPr>
          </w:p>
        </w:tc>
        <w:tc>
          <w:tcPr>
            <w:tcW w:w="22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color w:val="auto"/>
                <w:highlight w:val="white"/>
              </w:rPr>
              <w:t>%</w:t>
            </w:r>
          </w:p>
        </w:tc>
        <w:tc>
          <w:tcPr>
            <w:tcW w:w="2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gridSpan w:val="4"/>
          </w:tcPr>
          <w:p>
            <w:pPr>
              <w:jc w:val="right"/>
              <w:ind w:right="11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Ratio to average net assets:</w:t>
            </w:r>
          </w:p>
        </w:tc>
        <w:tc>
          <w:tcPr>
            <w:tcW w:w="2100" w:type="dxa"/>
            <w:vAlign w:val="bottom"/>
            <w:tcBorders>
              <w:top w:val="single" w:sz="8" w:color="auto"/>
            </w:tcBorders>
          </w:tcPr>
          <w:p>
            <w:pPr>
              <w:jc w:val="right"/>
              <w:ind w:right="790"/>
              <w:spacing w:after="0" w:line="202"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jc w:val="right"/>
              <w:ind w:right="730"/>
              <w:spacing w:after="0" w:line="202" w:lineRule="exact"/>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680" w:type="dxa"/>
            <w:vAlign w:val="bottom"/>
            <w:tcBorders>
              <w:top w:val="single" w:sz="8" w:color="auto"/>
            </w:tcBorders>
          </w:tcPr>
          <w:p>
            <w:pPr>
              <w:ind w:left="20"/>
              <w:spacing w:after="0" w:line="166" w:lineRule="exact"/>
              <w:rPr>
                <w:sz w:val="20"/>
                <w:szCs w:val="20"/>
                <w:color w:val="auto"/>
              </w:rPr>
            </w:pPr>
            <w:r>
              <w:rPr>
                <w:rFonts w:ascii="Arial" w:cs="Arial" w:eastAsia="Arial" w:hAnsi="Arial"/>
                <w:sz w:val="15"/>
                <w:szCs w:val="15"/>
                <w:color w:val="auto"/>
              </w:rPr>
              <w:t xml:space="preserve">Total expenses, before base management fee waiver </w:t>
            </w:r>
            <w:r>
              <w:rPr>
                <w:rFonts w:ascii="Arial" w:cs="Arial" w:eastAsia="Arial" w:hAnsi="Arial"/>
                <w:sz w:val="19"/>
                <w:szCs w:val="19"/>
                <w:color w:val="auto"/>
                <w:vertAlign w:val="superscript"/>
              </w:rPr>
              <w:t>(2)</w:t>
            </w:r>
          </w:p>
        </w:tc>
        <w:tc>
          <w:tcPr>
            <w:tcW w:w="140" w:type="dxa"/>
            <w:vAlign w:val="bottom"/>
          </w:tcPr>
          <w:p>
            <w:pPr>
              <w:spacing w:after="0"/>
              <w:rPr>
                <w:sz w:val="14"/>
                <w:szCs w:val="14"/>
                <w:color w:val="auto"/>
              </w:rPr>
            </w:pPr>
          </w:p>
        </w:tc>
        <w:tc>
          <w:tcPr>
            <w:tcW w:w="210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8"/>
                <w:szCs w:val="18"/>
                <w:color w:val="auto"/>
              </w:rPr>
              <w:t>8.5</w:t>
            </w:r>
          </w:p>
        </w:tc>
        <w:tc>
          <w:tcPr>
            <w:tcW w:w="220" w:type="dxa"/>
            <w:vAlign w:val="bottom"/>
          </w:tcPr>
          <w:p>
            <w:pPr>
              <w:jc w:val="right"/>
              <w:spacing w:after="0" w:line="166" w:lineRule="exact"/>
              <w:rPr>
                <w:sz w:val="20"/>
                <w:szCs w:val="20"/>
                <w:color w:val="auto"/>
              </w:rPr>
            </w:pPr>
            <w:r>
              <w:rPr>
                <w:rFonts w:ascii="Arial" w:cs="Arial" w:eastAsia="Arial" w:hAnsi="Arial"/>
                <w:sz w:val="18"/>
                <w:szCs w:val="18"/>
                <w:color w:val="auto"/>
                <w:w w:val="87"/>
              </w:rPr>
              <w:t>%</w:t>
            </w:r>
          </w:p>
        </w:tc>
        <w:tc>
          <w:tcPr>
            <w:tcW w:w="200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8"/>
                <w:szCs w:val="18"/>
                <w:color w:val="auto"/>
              </w:rPr>
              <w:t>13.2</w:t>
            </w:r>
          </w:p>
        </w:tc>
        <w:tc>
          <w:tcPr>
            <w:tcW w:w="160" w:type="dxa"/>
            <w:vAlign w:val="bottom"/>
          </w:tcPr>
          <w:p>
            <w:pPr>
              <w:jc w:val="right"/>
              <w:spacing w:after="0" w:line="16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 xml:space="preserve">Base management fee waiver </w:t>
            </w:r>
            <w:r>
              <w:rPr>
                <w:rFonts w:ascii="Arial" w:cs="Arial" w:eastAsia="Arial" w:hAnsi="Arial"/>
                <w:sz w:val="24"/>
                <w:szCs w:val="24"/>
                <w:color w:val="auto"/>
                <w:vertAlign w:val="superscript"/>
              </w:rPr>
              <w:t>(9)</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3"/>
        </w:trPr>
        <w:tc>
          <w:tcPr>
            <w:tcW w:w="6820" w:type="dxa"/>
            <w:vAlign w:val="bottom"/>
            <w:gridSpan w:val="2"/>
            <w:vMerge w:val="restart"/>
          </w:tcPr>
          <w:p>
            <w:pPr>
              <w:ind w:left="20"/>
              <w:spacing w:after="0" w:line="239" w:lineRule="exact"/>
              <w:rPr>
                <w:sz w:val="20"/>
                <w:szCs w:val="20"/>
                <w:color w:val="auto"/>
              </w:rPr>
            </w:pPr>
            <w:r>
              <w:rPr>
                <w:rFonts w:ascii="Arial" w:cs="Arial" w:eastAsia="Arial" w:hAnsi="Arial"/>
                <w:sz w:val="18"/>
                <w:szCs w:val="18"/>
                <w:color w:val="auto"/>
              </w:rPr>
              <w:t xml:space="preserve">Total expenses </w:t>
            </w:r>
            <w:r>
              <w:rPr>
                <w:rFonts w:ascii="Arial" w:cs="Arial" w:eastAsia="Arial" w:hAnsi="Arial"/>
                <w:sz w:val="24"/>
                <w:szCs w:val="24"/>
                <w:color w:val="auto"/>
                <w:vertAlign w:val="superscript"/>
              </w:rPr>
              <w:t>(2)(4)</w:t>
            </w: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820" w:type="dxa"/>
            <w:vAlign w:val="bottom"/>
            <w:gridSpan w:val="2"/>
            <w:vMerge w:val="continue"/>
          </w:tcPr>
          <w:p>
            <w:pPr>
              <w:spacing w:after="0"/>
              <w:rPr>
                <w:sz w:val="17"/>
                <w:szCs w:val="17"/>
                <w:color w:val="auto"/>
              </w:rPr>
            </w:pPr>
          </w:p>
        </w:tc>
        <w:tc>
          <w:tcPr>
            <w:tcW w:w="2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color w:val="auto"/>
                <w:highlight w:val="white"/>
              </w:rPr>
              <w:t>%</w:t>
            </w:r>
          </w:p>
        </w:tc>
        <w:tc>
          <w:tcPr>
            <w:tcW w:w="2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ind w:left="480" w:right="260" w:hanging="459"/>
        <w:spacing w:after="0" w:line="253" w:lineRule="auto"/>
        <w:tabs>
          <w:tab w:leader="none" w:pos="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162" w:lineRule="exact"/>
        <w:rPr>
          <w:sz w:val="20"/>
          <w:szCs w:val="20"/>
          <w:color w:val="auto"/>
        </w:rPr>
      </w:pPr>
    </w:p>
    <w:p>
      <w:pPr>
        <w:ind w:right="60" w:firstLine="469"/>
        <w:spacing w:after="0" w:line="261" w:lineRule="auto"/>
        <w:rPr>
          <w:sz w:val="20"/>
          <w:szCs w:val="20"/>
          <w:color w:val="auto"/>
        </w:rPr>
      </w:pPr>
      <w:r>
        <w:rPr>
          <w:rFonts w:ascii="Arial" w:cs="Arial" w:eastAsia="Arial" w:hAnsi="Arial"/>
          <w:sz w:val="18"/>
          <w:szCs w:val="18"/>
          <w:color w:val="auto"/>
        </w:rPr>
        <w:t>On July 6, 2022, the Company issued an additional $7,500 in SBA debentures, which will pool in September 2022. Until the pooling date, the debentures bear interest at a fixed interim interest rate of 2.766%.</w:t>
      </w:r>
    </w:p>
    <w:p>
      <w:pPr>
        <w:spacing w:after="0" w:line="117" w:lineRule="exact"/>
        <w:rPr>
          <w:sz w:val="20"/>
          <w:szCs w:val="20"/>
          <w:color w:val="auto"/>
        </w:rPr>
      </w:pPr>
    </w:p>
    <w:p>
      <w:pPr>
        <w:ind w:right="60" w:firstLine="469"/>
        <w:spacing w:after="0" w:line="291" w:lineRule="auto"/>
        <w:rPr>
          <w:sz w:val="20"/>
          <w:szCs w:val="20"/>
          <w:color w:val="auto"/>
        </w:rPr>
      </w:pPr>
      <w:r>
        <w:rPr>
          <w:rFonts w:ascii="Arial" w:cs="Arial" w:eastAsia="Arial" w:hAnsi="Arial"/>
          <w:sz w:val="17"/>
          <w:szCs w:val="17"/>
          <w:color w:val="auto"/>
        </w:rPr>
        <w:t>On July 8, 2022, the Company invested $7,750 in first lien debt, $2,000 in subordinated debt, and $1,000 in common equity of AmeriWater, LLC, a leading provider of water purification systems and aftermarket parts &amp; consumables for healthcare and industrial applications.</w:t>
      </w:r>
    </w:p>
    <w:p>
      <w:pPr>
        <w:spacing w:after="0" w:line="93" w:lineRule="exact"/>
        <w:rPr>
          <w:sz w:val="20"/>
          <w:szCs w:val="20"/>
          <w:color w:val="auto"/>
        </w:rPr>
      </w:pPr>
    </w:p>
    <w:p>
      <w:pPr>
        <w:ind w:right="60" w:firstLine="469"/>
        <w:spacing w:after="0" w:line="261" w:lineRule="auto"/>
        <w:rPr>
          <w:sz w:val="20"/>
          <w:szCs w:val="20"/>
          <w:color w:val="auto"/>
        </w:rPr>
      </w:pPr>
      <w:r>
        <w:rPr>
          <w:rFonts w:ascii="Arial" w:cs="Arial" w:eastAsia="Arial" w:hAnsi="Arial"/>
          <w:sz w:val="18"/>
          <w:szCs w:val="18"/>
          <w:color w:val="auto"/>
        </w:rPr>
        <w:t>On July 12, 2022, the Company exited its equity investment in Palisade Company, LLC. The Company received a distribution on its common equity investment for a realized gain of approximately $1,936.</w:t>
      </w:r>
    </w:p>
    <w:p>
      <w:pPr>
        <w:spacing w:after="0" w:line="117" w:lineRule="exact"/>
        <w:rPr>
          <w:sz w:val="20"/>
          <w:szCs w:val="20"/>
          <w:color w:val="auto"/>
        </w:rPr>
      </w:pPr>
    </w:p>
    <w:p>
      <w:pPr>
        <w:ind w:right="60" w:firstLine="469"/>
        <w:spacing w:after="0" w:line="261" w:lineRule="auto"/>
        <w:rPr>
          <w:sz w:val="20"/>
          <w:szCs w:val="20"/>
          <w:color w:val="auto"/>
        </w:rPr>
      </w:pPr>
      <w:r>
        <w:rPr>
          <w:rFonts w:ascii="Arial" w:cs="Arial" w:eastAsia="Arial" w:hAnsi="Arial"/>
          <w:sz w:val="18"/>
          <w:szCs w:val="18"/>
          <w:color w:val="auto"/>
        </w:rPr>
        <w:t>On July 18, 2022, the Company made a commitment of $4,932 in second lien debt of Magenta Buyer, LLC (dba Trellix), a leading global cybersecurity company.</w:t>
      </w:r>
    </w:p>
    <w:p>
      <w:pPr>
        <w:spacing w:after="0" w:line="117" w:lineRule="exact"/>
        <w:rPr>
          <w:sz w:val="20"/>
          <w:szCs w:val="20"/>
          <w:color w:val="auto"/>
        </w:rPr>
      </w:pPr>
    </w:p>
    <w:p>
      <w:pPr>
        <w:ind w:right="60" w:firstLine="469"/>
        <w:spacing w:after="0" w:line="261" w:lineRule="auto"/>
        <w:rPr>
          <w:sz w:val="20"/>
          <w:szCs w:val="20"/>
          <w:color w:val="auto"/>
        </w:rPr>
      </w:pPr>
      <w:r>
        <w:rPr>
          <w:rFonts w:ascii="Arial" w:cs="Arial" w:eastAsia="Arial" w:hAnsi="Arial"/>
          <w:sz w:val="18"/>
          <w:szCs w:val="18"/>
          <w:color w:val="auto"/>
        </w:rPr>
        <w:t>On July 27, 2022, the Company exited its equity investment in Bandon Fitness (Texas) Inc. The Company received a distribution on its common equity investment for a realized gain of approximately $3,176.</w:t>
      </w:r>
    </w:p>
    <w:p>
      <w:pPr>
        <w:spacing w:after="0" w:line="117" w:lineRule="exact"/>
        <w:rPr>
          <w:sz w:val="20"/>
          <w:szCs w:val="20"/>
          <w:color w:val="auto"/>
        </w:rPr>
      </w:pPr>
    </w:p>
    <w:p>
      <w:pPr>
        <w:ind w:right="60" w:firstLine="469"/>
        <w:spacing w:after="0" w:line="261" w:lineRule="auto"/>
        <w:rPr>
          <w:sz w:val="20"/>
          <w:szCs w:val="20"/>
          <w:color w:val="auto"/>
        </w:rPr>
      </w:pPr>
      <w:r>
        <w:rPr>
          <w:rFonts w:ascii="Arial" w:cs="Arial" w:eastAsia="Arial" w:hAnsi="Arial"/>
          <w:sz w:val="18"/>
          <w:szCs w:val="18"/>
          <w:color w:val="auto"/>
        </w:rPr>
        <w:t>On July 29, 2022, the Company exited its debt investment in Bedford Precision Parts LLC. The Company received payment in full of $4,472 on its first lien debt.</w:t>
      </w:r>
    </w:p>
    <w:p>
      <w:pPr>
        <w:spacing w:after="0" w:line="117" w:lineRule="exact"/>
        <w:rPr>
          <w:sz w:val="20"/>
          <w:szCs w:val="20"/>
          <w:color w:val="auto"/>
        </w:rPr>
      </w:pPr>
    </w:p>
    <w:p>
      <w:pPr>
        <w:ind w:right="60" w:firstLine="469"/>
        <w:spacing w:after="0" w:line="261" w:lineRule="auto"/>
        <w:rPr>
          <w:sz w:val="20"/>
          <w:szCs w:val="20"/>
          <w:color w:val="auto"/>
        </w:rPr>
      </w:pPr>
      <w:r>
        <w:rPr>
          <w:rFonts w:ascii="Arial" w:cs="Arial" w:eastAsia="Arial" w:hAnsi="Arial"/>
          <w:sz w:val="18"/>
          <w:szCs w:val="18"/>
          <w:color w:val="auto"/>
        </w:rPr>
        <w:t>On August 1, 2022, the Company received a distribution on its common equity investment in SES Investors, LLC (dba SES Foam), resulting in a realized gain of approximately $8,988.</w:t>
      </w:r>
    </w:p>
    <w:p>
      <w:pPr>
        <w:spacing w:after="0" w:line="117" w:lineRule="exact"/>
        <w:rPr>
          <w:sz w:val="20"/>
          <w:szCs w:val="20"/>
          <w:color w:val="auto"/>
        </w:rPr>
      </w:pPr>
    </w:p>
    <w:p>
      <w:pPr>
        <w:ind w:right="60" w:firstLine="469"/>
        <w:spacing w:after="0" w:line="261" w:lineRule="auto"/>
        <w:rPr>
          <w:sz w:val="20"/>
          <w:szCs w:val="20"/>
          <w:color w:val="auto"/>
        </w:rPr>
      </w:pPr>
      <w:r>
        <w:rPr>
          <w:rFonts w:ascii="Arial" w:cs="Arial" w:eastAsia="Arial" w:hAnsi="Arial"/>
          <w:sz w:val="18"/>
          <w:szCs w:val="18"/>
          <w:color w:val="auto"/>
        </w:rPr>
        <w:t>On August 1, 2022, the Company exited its debt investment in Healthfuse, LLC. The Company received payment in full of $5,319 on its first lien debt, which includes a prepayment fee.</w:t>
      </w:r>
    </w:p>
    <w:p>
      <w:pPr>
        <w:spacing w:after="0" w:line="117" w:lineRule="exact"/>
        <w:rPr>
          <w:sz w:val="20"/>
          <w:szCs w:val="20"/>
          <w:color w:val="auto"/>
        </w:rPr>
      </w:pPr>
    </w:p>
    <w:p>
      <w:pPr>
        <w:ind w:right="60" w:firstLine="469"/>
        <w:spacing w:after="0" w:line="261" w:lineRule="auto"/>
        <w:rPr>
          <w:sz w:val="20"/>
          <w:szCs w:val="20"/>
          <w:color w:val="auto"/>
        </w:rPr>
      </w:pPr>
      <w:r>
        <w:rPr>
          <w:rFonts w:ascii="Arial" w:cs="Arial" w:eastAsia="Arial" w:hAnsi="Arial"/>
          <w:sz w:val="18"/>
          <w:szCs w:val="18"/>
          <w:color w:val="auto"/>
        </w:rPr>
        <w:t>On August 1, 2022, the Board declared a regular quarterly dividend of $0.36 per share and a supplemental dividend of $0.07 per share payable on September 23, 2022, to stockholders of record as of September 9, 2022.</w:t>
      </w:r>
    </w:p>
    <w:p>
      <w:pPr>
        <w:spacing w:after="0" w:line="117" w:lineRule="exact"/>
        <w:rPr>
          <w:sz w:val="20"/>
          <w:szCs w:val="20"/>
          <w:color w:val="auto"/>
        </w:rPr>
      </w:pPr>
    </w:p>
    <w:p>
      <w:pPr>
        <w:ind w:right="60" w:firstLine="469"/>
        <w:spacing w:after="0" w:line="261" w:lineRule="auto"/>
        <w:rPr>
          <w:sz w:val="20"/>
          <w:szCs w:val="20"/>
          <w:color w:val="auto"/>
        </w:rPr>
      </w:pPr>
      <w:r>
        <w:rPr>
          <w:rFonts w:ascii="Arial" w:cs="Arial" w:eastAsia="Arial" w:hAnsi="Arial"/>
          <w:sz w:val="18"/>
          <w:szCs w:val="18"/>
          <w:color w:val="auto"/>
        </w:rPr>
        <w:t>On August 1, 2022, the Board declared a regular quarterly dividend of $0.36 per share and a supplemental dividend of $0.07 per share payable on December 16, 2022, to stockholders of record as of December 2, 2022.</w:t>
      </w:r>
    </w:p>
    <w:p>
      <w:pPr>
        <w:spacing w:after="0" w:line="117" w:lineRule="exact"/>
        <w:rPr>
          <w:sz w:val="20"/>
          <w:szCs w:val="20"/>
          <w:color w:val="auto"/>
        </w:rPr>
      </w:pPr>
    </w:p>
    <w:p>
      <w:pPr>
        <w:ind w:right="60" w:firstLine="469"/>
        <w:spacing w:after="0" w:line="261" w:lineRule="auto"/>
        <w:rPr>
          <w:sz w:val="20"/>
          <w:szCs w:val="20"/>
          <w:color w:val="auto"/>
        </w:rPr>
      </w:pPr>
      <w:r>
        <w:rPr>
          <w:rFonts w:ascii="Arial" w:cs="Arial" w:eastAsia="Arial" w:hAnsi="Arial"/>
          <w:sz w:val="18"/>
          <w:szCs w:val="18"/>
          <w:color w:val="auto"/>
        </w:rPr>
        <w:t>On August 2, 2022, the Company sold a portion of its equity investment in Pfanstiehl, Inc. and realized a gain of approximately $24,330. In conjunction with the transaction, the Company invested $10,000 in subordinated debt.</w:t>
      </w:r>
    </w:p>
    <w:p>
      <w:pPr>
        <w:spacing w:after="0" w:line="117" w:lineRule="exact"/>
        <w:rPr>
          <w:sz w:val="20"/>
          <w:szCs w:val="20"/>
          <w:color w:val="auto"/>
        </w:rPr>
      </w:pPr>
    </w:p>
    <w:p>
      <w:pPr>
        <w:ind w:right="60" w:firstLine="469"/>
        <w:spacing w:after="0" w:line="244" w:lineRule="auto"/>
        <w:rPr>
          <w:sz w:val="20"/>
          <w:szCs w:val="20"/>
          <w:color w:val="auto"/>
        </w:rPr>
      </w:pPr>
      <w:r>
        <w:rPr>
          <w:rFonts w:ascii="Arial" w:cs="Arial" w:eastAsia="Arial" w:hAnsi="Arial"/>
          <w:sz w:val="18"/>
          <w:szCs w:val="18"/>
          <w:color w:val="auto"/>
        </w:rPr>
        <w:t>On August 3, 2022, the Company made a commitment of $20,000 in first lien debt of BP Thrift Buyer LLC (dba Unique and Eco Thrift), an owner and operator of retail thrift stores.</w:t>
      </w:r>
    </w:p>
    <w:p>
      <w:pPr>
        <w:jc w:val="center"/>
        <w:ind w:right="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300"/>
        <w:spacing w:after="0" w:line="24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Fidus Investment Corporation’s consolidated financial statements and related notes appearing in our annual report on Form 10-K for the year ended December 31, 2021, filed with the SEC on March 3, 2022. The information contained in this section should also be read in conjunction with our unaudited consolidated financial statements and related notes thereto appearing elsewhere in this Quarterly Report on Form 10-Q.</w:t>
      </w:r>
    </w:p>
    <w:p>
      <w:pPr>
        <w:spacing w:after="0" w:line="174" w:lineRule="exact"/>
        <w:rPr>
          <w:sz w:val="20"/>
          <w:szCs w:val="20"/>
          <w:color w:val="auto"/>
        </w:rPr>
      </w:pPr>
    </w:p>
    <w:p>
      <w:pPr>
        <w:jc w:val="both"/>
        <w:ind w:firstLine="281"/>
        <w:spacing w:after="0" w:line="261" w:lineRule="auto"/>
        <w:rPr>
          <w:sz w:val="20"/>
          <w:szCs w:val="20"/>
          <w:color w:val="auto"/>
        </w:rPr>
      </w:pPr>
      <w:r>
        <w:rPr>
          <w:rFonts w:ascii="Arial" w:cs="Arial" w:eastAsia="Arial" w:hAnsi="Arial"/>
          <w:sz w:val="18"/>
          <w:szCs w:val="18"/>
          <w:i w:val="1"/>
          <w:iCs w:val="1"/>
          <w:color w:val="auto"/>
        </w:rPr>
        <w:t>Except as otherwise specified, references to “we,” “us,” “our,” “Fidus” and “FIC” refer to Fidus Investment Corporation and its consolidated subsidiaries.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spacing w:after="0" w:line="135"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operating results and the uncertainties associated with the continued impact of the COVID-19 pandemic thereon;</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financial and lending markets;</w:t>
      </w:r>
    </w:p>
    <w:p>
      <w:pPr>
        <w:ind w:left="1020" w:right="16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 including our and their ability to achieve our respective objectives as a result of the current COVID-19 pandemic;</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ind w:left="102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ind w:left="1020" w:right="54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 and the impact of the COVID-19 pandemic thereon;</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ind w:left="102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expected financing and investments;</w:t>
      </w:r>
    </w:p>
    <w:p>
      <w:pPr>
        <w:ind w:left="102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of cash flows, if any, from the operations of our portfolio companies and the impact of the COVID-19 pandemic thereon;</w:t>
      </w:r>
    </w:p>
    <w:p>
      <w:pPr>
        <w:spacing w:after="0" w:line="7" w:lineRule="exact"/>
        <w:rPr>
          <w:rFonts w:ascii="Arial" w:cs="Arial" w:eastAsia="Arial" w:hAnsi="Arial"/>
          <w:sz w:val="17"/>
          <w:szCs w:val="17"/>
          <w:color w:val="auto"/>
        </w:rPr>
      </w:pPr>
    </w:p>
    <w:p>
      <w:pPr>
        <w:ind w:left="1020" w:right="16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the Investment Advisor to locate suitable investments for us and to monitor and administer our investments and the impacts of the COVID-19 pandemic thereon;</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investment advisor to attract and retain highly talented professionals;</w:t>
      </w:r>
    </w:p>
    <w:p>
      <w:pPr>
        <w:ind w:left="102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ind w:left="102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operate as a BDC and a RIC and each of the Funds to operate as an SBIC;</w:t>
      </w:r>
    </w:p>
    <w:p>
      <w:pPr>
        <w:ind w:left="102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ind w:left="1020" w:right="12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interest rate volatility, including the decommissioning of LIBOR and rising interest rates, and the elevated level of inflation on our business and portfolio companies;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valuation of any investments in portfolio companies, particularly those having no liquid trading market; and</w:t>
      </w: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14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68" w:lineRule="exact"/>
        <w:rPr>
          <w:sz w:val="20"/>
          <w:szCs w:val="20"/>
          <w:color w:val="auto"/>
        </w:rPr>
      </w:pPr>
    </w:p>
    <w:p>
      <w:pPr>
        <w:ind w:left="1020" w:right="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economic downturn, including as a result of the current COVID-19 pandemic, and significant disruptions to our portfolio companies, including supply chain disruptions and labor shortages, could impair our portfolio companies’ ability to continue to operate, which could lead to the loss of some or all of our investments in such portfolio companies;</w:t>
      </w:r>
    </w:p>
    <w:p>
      <w:pPr>
        <w:spacing w:after="0" w:line="2" w:lineRule="exact"/>
        <w:rPr>
          <w:rFonts w:ascii="Arial" w:cs="Arial" w:eastAsia="Arial" w:hAnsi="Arial"/>
          <w:sz w:val="18"/>
          <w:szCs w:val="18"/>
          <w:color w:val="auto"/>
        </w:rPr>
      </w:pPr>
    </w:p>
    <w:p>
      <w:pPr>
        <w:ind w:left="1020" w:right="420" w:hanging="503"/>
        <w:spacing w:after="0" w:line="234"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including as a result of the COVID-19 pandemic, could impair our lending and investment activities;</w:t>
      </w:r>
    </w:p>
    <w:p>
      <w:pPr>
        <w:spacing w:after="0" w:line="1" w:lineRule="exact"/>
        <w:rPr>
          <w:rFonts w:ascii="Arial" w:cs="Arial" w:eastAsia="Arial" w:hAnsi="Arial"/>
          <w:sz w:val="18"/>
          <w:szCs w:val="18"/>
          <w:color w:val="auto"/>
        </w:rPr>
      </w:pPr>
    </w:p>
    <w:p>
      <w:pPr>
        <w:ind w:left="1020" w:right="440" w:hanging="503"/>
        <w:spacing w:after="0" w:line="234"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rate vo</w:t>
      </w:r>
      <w:r>
        <w:rPr>
          <w:rFonts w:ascii="Arial" w:cs="Arial" w:eastAsia="Arial" w:hAnsi="Arial"/>
          <w:sz w:val="18"/>
          <w:szCs w:val="18"/>
          <w:u w:val="single" w:color="auto"/>
          <w:color w:val="auto"/>
        </w:rPr>
        <w:t>l</w:t>
      </w:r>
      <w:r>
        <w:rPr>
          <w:rFonts w:ascii="Arial" w:cs="Arial" w:eastAsia="Arial" w:hAnsi="Arial"/>
          <w:sz w:val="18"/>
          <w:szCs w:val="18"/>
          <w:color w:val="auto"/>
        </w:rPr>
        <w:t>atility, including the decommissioning of LIBOR and rising interest rates, could adversely affect our results, particularly because we use leverage as part of our investment strategy;</w:t>
      </w:r>
    </w:p>
    <w:p>
      <w:pPr>
        <w:spacing w:after="0" w:line="1" w:lineRule="exact"/>
        <w:rPr>
          <w:rFonts w:ascii="Arial" w:cs="Arial" w:eastAsia="Arial" w:hAnsi="Arial"/>
          <w:sz w:val="18"/>
          <w:szCs w:val="18"/>
          <w:color w:val="auto"/>
        </w:rPr>
      </w:pPr>
    </w:p>
    <w:p>
      <w:pPr>
        <w:ind w:left="1020" w:right="260" w:hanging="503"/>
        <w:spacing w:after="0" w:line="234"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elevated level of inflation could adversely affect our business, results of operations and financial condition of our portfolio companies, which may, in turn, impact the valuation of such portfolio companies;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7" w:name="page38"/>
    <w:bookmarkEnd w:id="37"/>
    <w:p>
      <w:pPr>
        <w:ind w:left="1020" w:right="260" w:hanging="503"/>
        <w:spacing w:after="0" w:line="291"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Item 1A. – Risk Factors contained in our Annual Report on Form 10-K for the year ended December 31, 2021, elsewhere in this Quarterly Report on Form 10-Q and in our other filings with the SEC.</w:t>
      </w:r>
    </w:p>
    <w:p>
      <w:pPr>
        <w:spacing w:after="0" w:line="93" w:lineRule="exact"/>
        <w:rPr>
          <w:sz w:val="20"/>
          <w:szCs w:val="20"/>
          <w:color w:val="auto"/>
        </w:rPr>
      </w:pPr>
    </w:p>
    <w:p>
      <w:pPr>
        <w:jc w:val="both"/>
        <w:ind w:firstLine="829"/>
        <w:spacing w:after="0" w:line="274" w:lineRule="auto"/>
        <w:rPr>
          <w:sz w:val="20"/>
          <w:szCs w:val="20"/>
          <w:color w:val="auto"/>
        </w:rPr>
      </w:pPr>
      <w:r>
        <w:rPr>
          <w:rFonts w:ascii="Arial" w:cs="Arial" w:eastAsia="Arial" w:hAnsi="Arial"/>
          <w:sz w:val="16"/>
          <w:szCs w:val="16"/>
          <w:color w:val="auto"/>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Arial" w:cs="Arial" w:eastAsia="Arial" w:hAnsi="Arial"/>
          <w:sz w:val="16"/>
          <w:szCs w:val="16"/>
          <w:i w:val="1"/>
          <w:iCs w:val="1"/>
          <w:color w:val="auto"/>
        </w:rPr>
        <w:t>Item 1.A – Risk Factors</w:t>
      </w:r>
      <w:r>
        <w:rPr>
          <w:rFonts w:ascii="Arial" w:cs="Arial" w:eastAsia="Arial" w:hAnsi="Arial"/>
          <w:sz w:val="16"/>
          <w:szCs w:val="16"/>
          <w:color w:val="auto"/>
        </w:rPr>
        <w:t xml:space="preserve"> contained in our Annual Report on Form 10-K for the year ended December 31, 2021, filed with the SEC on March 3, 2022. You should not place undue reliance on these forward-looking statements, which apply only as of the date of this Quarterly Report on Form 10-Q.</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Corporate Structure</w:t>
      </w:r>
    </w:p>
    <w:p>
      <w:pPr>
        <w:spacing w:after="0" w:line="158"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21"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6"/>
          <w:szCs w:val="16"/>
          <w:color w:val="auto"/>
        </w:rPr>
        <w:t>FIC was formed as a Maryland corporation on February 14, 2011. We completed our initial public offering, or IPO, in June 2011. 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w:t>
      </w:r>
    </w:p>
    <w:p>
      <w:pPr>
        <w:spacing w:after="0" w:line="108"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color w:val="auto"/>
        </w:rPr>
        <w:t>Fund II and Fund III received their SBIC licenses on May 28, 2013, and March 21, 2019, respectively. We plan to continue to operate the Funds as SBICs, subject to SBA approval, and to utilize the proceeds of the sale of SBA-guaranteed debentures to enhance returns to our stockholders. As of September 9, 2019, Fund I completed a wind-down plan, relinquished its SBIC license, and can no longer issue additional SBA debentures. We have also made, and continue to make, investments directly through FIC. We believe that utilizing FIC and the Funds as investment vehicles provides us with access to a broader array of investment opportunities</w:t>
      </w:r>
    </w:p>
    <w:p>
      <w:pPr>
        <w:spacing w:after="0" w:line="135"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color w:val="auto"/>
        </w:rPr>
        <w:t>We have certain wholly-owned taxable subsidiaries (the “Taxable Subsidiaries”), each of which generally holds one or more of our portfolio investments listed on the consolidated schedules of investments.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COVID-19 Update</w:t>
      </w:r>
    </w:p>
    <w:p>
      <w:pPr>
        <w:spacing w:after="0" w:line="104"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On March 11, 2020, the World Health Organization declared the novel coronavirus, or COVID-19, as a pandemic, and on March 13, 2020 the United States declared a national emergency with respect to COVID-19. The outbreak of COVID-19 has severely impacted global economic activity and caused significant volatility and negative pressure in financial markets. We have been closely monitoring, and will continue to monitor, the impact of the COVID-19 pandemic, including the Delta and Omicron and new variants, and its impact on all aspects of our business, including how it will impact our portfolio companies, employees, due diligence and underwriting processes, and financial markets. Given the fluidity of the pandemic, we cannot estimate the long-term impact of COVID-19 on our business, future results of operations, financial position or cash flows at this time. Further, the operational and financial performance of the portfolio companies in which we make investments may be significantly impacted by COVID-19, which may in turn impact the valuation of our investments. We believe our portfolio companies have taken, and continue to take, immediate actions to effectively and efficiently respond to the challenges posed by COVID-19 and related orders imposed by state and local governments and private businesses, including developing liquidity plans supported by internal cash reserves, and shareholder support. The COVID-19 pandemic and preventative measures taken to contain or mitigate its spread have caused, and are continuing to cause, business shutdowns and cancellations of events, restrictions on travel, significant reduction in demand for certain goods and services, reductions in business activity and financial transactions, supply chain disruptions, labor difficulties and shortages, commodity inflation and elements of economic and financial market instability in the United States and globally. Such effects will likely continue for the duration of the pandemic, which is uncertain, and for some period thereafter.</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Investments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9" w:name="page40"/>
    <w:bookmarkEnd w:id="39"/>
    <w:p>
      <w:pPr>
        <w:jc w:val="both"/>
        <w:ind w:firstLine="656"/>
        <w:spacing w:after="0" w:line="259" w:lineRule="auto"/>
        <w:rPr>
          <w:sz w:val="20"/>
          <w:szCs w:val="20"/>
          <w:color w:val="auto"/>
        </w:rPr>
      </w:pPr>
      <w:r>
        <w:rPr>
          <w:rFonts w:ascii="Arial" w:cs="Arial" w:eastAsia="Arial" w:hAnsi="Arial"/>
          <w:sz w:val="17"/>
          <w:szCs w:val="17"/>
          <w:color w:val="auto"/>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20" w:lineRule="exact"/>
        <w:rPr>
          <w:sz w:val="20"/>
          <w:szCs w:val="20"/>
          <w:color w:val="auto"/>
        </w:rPr>
      </w:pPr>
    </w:p>
    <w:p>
      <w:pPr>
        <w:jc w:val="both"/>
        <w:ind w:firstLine="656"/>
        <w:spacing w:after="0" w:line="269" w:lineRule="auto"/>
        <w:rPr>
          <w:sz w:val="20"/>
          <w:szCs w:val="20"/>
          <w:color w:val="auto"/>
        </w:rPr>
      </w:pPr>
      <w:r>
        <w:rPr>
          <w:rFonts w:ascii="Arial" w:cs="Arial" w:eastAsia="Arial" w:hAnsi="Arial"/>
          <w:sz w:val="16"/>
          <w:szCs w:val="16"/>
          <w:i w:val="1"/>
          <w:iCs w:val="1"/>
          <w:color w:val="auto"/>
        </w:rPr>
        <w:t>First Lien Debt</w:t>
      </w:r>
      <w:r>
        <w:rPr>
          <w:rFonts w:ascii="Arial" w:cs="Arial" w:eastAsia="Arial" w:hAnsi="Arial"/>
          <w:sz w:val="16"/>
          <w:szCs w:val="16"/>
          <w:color w:val="auto"/>
        </w:rPr>
        <w:t>. We structure some of our investments as senior secured or first lien debt investments. First lien debt investments are secured by a</w:t>
      </w:r>
      <w:r>
        <w:rPr>
          <w:rFonts w:ascii="Arial" w:cs="Arial" w:eastAsia="Arial" w:hAnsi="Arial"/>
          <w:sz w:val="16"/>
          <w:szCs w:val="16"/>
          <w:i w:val="1"/>
          <w:iCs w:val="1"/>
          <w:color w:val="auto"/>
        </w:rPr>
        <w:t xml:space="preserve"> </w:t>
      </w:r>
      <w:r>
        <w:rPr>
          <w:rFonts w:ascii="Arial" w:cs="Arial" w:eastAsia="Arial" w:hAnsi="Arial"/>
          <w:sz w:val="16"/>
          <w:szCs w:val="16"/>
          <w:color w:val="auto"/>
        </w:rPr>
        <w:t>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58" w:lineRule="exact"/>
        <w:rPr>
          <w:sz w:val="20"/>
          <w:szCs w:val="20"/>
          <w:color w:val="auto"/>
        </w:rPr>
      </w:pPr>
    </w:p>
    <w:p>
      <w:pPr>
        <w:jc w:val="both"/>
        <w:ind w:firstLine="656"/>
        <w:spacing w:after="0" w:line="270" w:lineRule="auto"/>
        <w:rPr>
          <w:sz w:val="20"/>
          <w:szCs w:val="20"/>
          <w:color w:val="auto"/>
        </w:rPr>
      </w:pPr>
      <w:r>
        <w:rPr>
          <w:rFonts w:ascii="Arial" w:cs="Arial" w:eastAsia="Arial" w:hAnsi="Arial"/>
          <w:sz w:val="17"/>
          <w:szCs w:val="17"/>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LIBOR floor.</w:t>
      </w:r>
    </w:p>
    <w:p>
      <w:pPr>
        <w:spacing w:after="0" w:line="110" w:lineRule="exact"/>
        <w:rPr>
          <w:sz w:val="20"/>
          <w:szCs w:val="20"/>
          <w:color w:val="auto"/>
        </w:rPr>
      </w:pPr>
    </w:p>
    <w:p>
      <w:pPr>
        <w:jc w:val="both"/>
        <w:ind w:firstLine="656"/>
        <w:spacing w:after="0" w:line="274" w:lineRule="auto"/>
        <w:rPr>
          <w:sz w:val="20"/>
          <w:szCs w:val="20"/>
          <w:color w:val="auto"/>
        </w:rPr>
      </w:pPr>
      <w:r>
        <w:rPr>
          <w:rFonts w:ascii="Arial" w:cs="Arial" w:eastAsia="Arial" w:hAnsi="Arial"/>
          <w:sz w:val="16"/>
          <w:szCs w:val="16"/>
          <w:i w:val="1"/>
          <w:iCs w:val="1"/>
          <w:color w:val="auto"/>
        </w:rPr>
        <w:t xml:space="preserve">Second Lien Debt. </w:t>
      </w:r>
      <w:r>
        <w:rPr>
          <w:rFonts w:ascii="Arial" w:cs="Arial" w:eastAsia="Arial" w:hAnsi="Arial"/>
          <w:sz w:val="16"/>
          <w:szCs w:val="16"/>
          <w:color w:val="auto"/>
        </w:rPr>
        <w:t>Some of our debt investments take the form of second lien debt, which includes senior subordinated notes. Second lien debt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09" w:lineRule="exact"/>
        <w:rPr>
          <w:sz w:val="20"/>
          <w:szCs w:val="20"/>
          <w:color w:val="auto"/>
        </w:rPr>
      </w:pPr>
    </w:p>
    <w:p>
      <w:pPr>
        <w:jc w:val="both"/>
        <w:ind w:firstLine="656"/>
        <w:spacing w:after="0" w:line="272" w:lineRule="auto"/>
        <w:rPr>
          <w:sz w:val="20"/>
          <w:szCs w:val="20"/>
          <w:color w:val="auto"/>
        </w:rPr>
      </w:pPr>
      <w:r>
        <w:rPr>
          <w:rFonts w:ascii="Arial" w:cs="Arial" w:eastAsia="Arial" w:hAnsi="Arial"/>
          <w:sz w:val="16"/>
          <w:szCs w:val="16"/>
          <w:i w:val="1"/>
          <w:iCs w:val="1"/>
          <w:color w:val="auto"/>
        </w:rPr>
        <w:t xml:space="preserve">Subordinated Debt. </w:t>
      </w:r>
      <w:r>
        <w:rPr>
          <w:rFonts w:ascii="Arial" w:cs="Arial" w:eastAsia="Arial" w:hAnsi="Arial"/>
          <w:sz w:val="16"/>
          <w:szCs w:val="16"/>
          <w:color w:val="auto"/>
        </w:rPr>
        <w:t>These investments are typically structured as unsecured, subordinated notes. Structurally, subordinated debt usually ranks</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68" w:lineRule="exact"/>
        <w:rPr>
          <w:sz w:val="20"/>
          <w:szCs w:val="20"/>
          <w:color w:val="auto"/>
        </w:rPr>
      </w:pPr>
    </w:p>
    <w:p>
      <w:pPr>
        <w:jc w:val="both"/>
        <w:ind w:firstLine="656"/>
        <w:spacing w:after="0" w:line="253" w:lineRule="auto"/>
        <w:rPr>
          <w:sz w:val="20"/>
          <w:szCs w:val="20"/>
          <w:color w:val="auto"/>
        </w:rPr>
      </w:pPr>
      <w:r>
        <w:rPr>
          <w:rFonts w:ascii="Arial" w:cs="Arial" w:eastAsia="Arial" w:hAnsi="Arial"/>
          <w:sz w:val="17"/>
          <w:szCs w:val="17"/>
          <w:i w:val="1"/>
          <w:iCs w:val="1"/>
          <w:color w:val="auto"/>
        </w:rPr>
        <w:t>Equity Securities</w:t>
      </w:r>
      <w:r>
        <w:rPr>
          <w:rFonts w:ascii="Arial" w:cs="Arial" w:eastAsia="Arial" w:hAnsi="Arial"/>
          <w:sz w:val="17"/>
          <w:szCs w:val="17"/>
          <w:color w:val="auto"/>
        </w:rPr>
        <w:t>. Our equity securities typically consist of either a direct minority equity investment in common or preferred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0" w:name="page41"/>
    <w:bookmarkEnd w:id="40"/>
    <w:p>
      <w:pPr>
        <w:jc w:val="both"/>
        <w:ind w:firstLine="478"/>
        <w:spacing w:after="0" w:line="267"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We generate revenue in the form of interest and fee income on debt investments and dividends, if any, on equity investments. Our debt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323"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34"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All investment professionals of the Investment Advisor and/or its affiliates, when and to the extent engaged in providing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including, without limitation, those relating to:</w:t>
      </w:r>
    </w:p>
    <w:p>
      <w:pPr>
        <w:spacing w:after="0" w:line="211"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ind w:left="1020" w:right="18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2"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ind w:left="102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ind w:left="102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 advisory fees and management fees;</w:t>
      </w:r>
    </w:p>
    <w:p>
      <w:pPr>
        <w:ind w:left="1020" w:right="10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2"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agent, dividend agent and custodial fees and expenses;</w:t>
      </w:r>
    </w:p>
    <w:p>
      <w:pPr>
        <w:ind w:left="102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ind w:left="102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costs of registration and listing our shares on any securities exchange;</w:t>
      </w:r>
    </w:p>
    <w:p>
      <w:pPr>
        <w:ind w:left="102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ind w:left="102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ind w:left="102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or other regulators including printing costs;</w:t>
      </w:r>
    </w:p>
    <w:p>
      <w:pPr>
        <w:ind w:left="102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and mailing costs;</w:t>
      </w:r>
    </w:p>
    <w:p>
      <w:pPr>
        <w:ind w:left="1020" w:hanging="503"/>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allocable portion of any fidelity bond, directors and officers/errors and omissions liability insurance, and any other insurance premiums;</w:t>
      </w:r>
    </w:p>
    <w:p>
      <w:pPr>
        <w:spacing w:after="0" w:line="18" w:lineRule="exact"/>
        <w:rPr>
          <w:rFonts w:ascii="Arial" w:cs="Arial" w:eastAsia="Arial" w:hAnsi="Arial"/>
          <w:sz w:val="16"/>
          <w:szCs w:val="16"/>
          <w:color w:val="auto"/>
        </w:rPr>
      </w:pPr>
    </w:p>
    <w:p>
      <w:pPr>
        <w:ind w:left="1020" w:right="680" w:hanging="503"/>
        <w:spacing w:after="0" w:line="23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1" w:name="page42"/>
    <w:bookmarkEnd w:id="41"/>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proxy voting expenses; and</w:t>
      </w:r>
    </w:p>
    <w:p>
      <w:pPr>
        <w:spacing w:after="0" w:line="11"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other expenses reasonably incurred by us or the Investment Advisor in connection with administering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Investment Activity and Yield</w:t>
      </w:r>
    </w:p>
    <w:p>
      <w:pPr>
        <w:spacing w:after="0" w:line="162" w:lineRule="exact"/>
        <w:rPr>
          <w:sz w:val="20"/>
          <w:szCs w:val="20"/>
          <w:color w:val="auto"/>
        </w:rPr>
      </w:pPr>
    </w:p>
    <w:p>
      <w:pPr>
        <w:jc w:val="both"/>
        <w:ind w:firstLine="479"/>
        <w:spacing w:after="0" w:line="239" w:lineRule="auto"/>
        <w:rPr>
          <w:sz w:val="20"/>
          <w:szCs w:val="20"/>
          <w:color w:val="auto"/>
        </w:rPr>
      </w:pPr>
      <w:r>
        <w:rPr>
          <w:rFonts w:ascii="Arial" w:cs="Arial" w:eastAsia="Arial" w:hAnsi="Arial"/>
          <w:sz w:val="18"/>
          <w:szCs w:val="18"/>
          <w:color w:val="auto"/>
        </w:rPr>
        <w:t>During the six months ended June 30, 2022 and 2021, we invested $160.1 million and $167.3 million, respectively, in debt and equity investments including nine and ten new portfolio companies, respectively. During the six months ended June 30, 2022 and 2021, we received proceeds from sales or repayments, including principal, return of capital dividends and net realized gains (losses), of $68.0 million and $191.6 million, respectively, including exits of two and four portfolio companies, respectively. The following table summarizes investment purchases and sales and repayments of investments by type for the six months ended June 30, 2022 and 2021 (dollars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Purchases of Investments</w:t>
            </w:r>
          </w:p>
        </w:tc>
        <w:tc>
          <w:tcPr>
            <w:tcW w:w="7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8"/>
              </w:rPr>
              <w:t>Sales and Repayments of Investments</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69"/>
        </w:trPr>
        <w:tc>
          <w:tcPr>
            <w:tcW w:w="1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Six</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Months</w:t>
            </w: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Ended June 30,</w:t>
            </w:r>
          </w:p>
        </w:tc>
        <w:tc>
          <w:tcPr>
            <w:tcW w:w="1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69"/>
        </w:trPr>
        <w:tc>
          <w:tcPr>
            <w:tcW w:w="1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b w:val="1"/>
                <w:bCs w:val="1"/>
                <w:color w:val="auto"/>
                <w:w w:val="96"/>
              </w:rPr>
              <w:t>2022</w:t>
            </w:r>
          </w:p>
        </w:tc>
        <w:tc>
          <w:tcPr>
            <w:tcW w:w="4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69"/>
        </w:trPr>
        <w:tc>
          <w:tcPr>
            <w:tcW w:w="1540" w:type="dxa"/>
            <w:vAlign w:val="bottom"/>
            <w:shd w:val="clear" w:color="auto" w:fill="CCEEFF"/>
          </w:tcPr>
          <w:p>
            <w:pPr>
              <w:ind w:left="20"/>
              <w:spacing w:after="0" w:line="169" w:lineRule="exact"/>
              <w:rPr>
                <w:sz w:val="20"/>
                <w:szCs w:val="20"/>
                <w:color w:val="auto"/>
              </w:rPr>
            </w:pPr>
            <w:r>
              <w:rPr>
                <w:rFonts w:ascii="Arial" w:cs="Arial" w:eastAsia="Arial" w:hAnsi="Arial"/>
                <w:sz w:val="14"/>
                <w:szCs w:val="14"/>
                <w:color w:val="auto"/>
              </w:rPr>
              <w:t>First Lien Debt</w:t>
            </w:r>
            <w:r>
              <w:rPr>
                <w:rFonts w:ascii="Arial" w:cs="Arial" w:eastAsia="Arial" w:hAnsi="Arial"/>
                <w:sz w:val="19"/>
                <w:szCs w:val="19"/>
                <w:color w:val="auto"/>
                <w:vertAlign w:val="superscript"/>
              </w:rPr>
              <w:t>(1)</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4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96"/>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4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96"/>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4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96"/>
              </w:rPr>
              <w:t>%</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6"/>
              </w:rPr>
              <w:t>%</w:t>
            </w:r>
          </w:p>
        </w:tc>
      </w:tr>
      <w:tr>
        <w:trPr>
          <w:trHeight w:val="176"/>
        </w:trPr>
        <w:tc>
          <w:tcPr>
            <w:tcW w:w="154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32.0</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20.0</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11.5</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18.7</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27.5</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135.0</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70.5</w:t>
            </w:r>
          </w:p>
        </w:tc>
        <w:tc>
          <w:tcPr>
            <w:tcW w:w="280" w:type="dxa"/>
            <w:vAlign w:val="bottom"/>
          </w:tcPr>
          <w:p>
            <w:pPr>
              <w:spacing w:after="0"/>
              <w:rPr>
                <w:sz w:val="15"/>
                <w:szCs w:val="15"/>
                <w:color w:val="auto"/>
              </w:rPr>
            </w:pPr>
          </w:p>
        </w:tc>
      </w:tr>
      <w:tr>
        <w:trPr>
          <w:trHeight w:val="175"/>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Subordinated Debt</w:t>
            </w: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280" w:type="dxa"/>
            <w:vAlign w:val="bottom"/>
            <w:shd w:val="clear" w:color="auto" w:fill="CCEEFF"/>
          </w:tcPr>
          <w:p>
            <w:pPr>
              <w:spacing w:after="0"/>
              <w:rPr>
                <w:sz w:val="15"/>
                <w:szCs w:val="15"/>
                <w:color w:val="auto"/>
              </w:rPr>
            </w:pPr>
          </w:p>
        </w:tc>
      </w:tr>
      <w:tr>
        <w:trPr>
          <w:trHeight w:val="176"/>
        </w:trPr>
        <w:tc>
          <w:tcPr>
            <w:tcW w:w="1540" w:type="dxa"/>
            <w:vAlign w:val="bottom"/>
          </w:tcPr>
          <w:p>
            <w:pPr>
              <w:ind w:left="20"/>
              <w:spacing w:after="0"/>
              <w:rPr>
                <w:sz w:val="20"/>
                <w:szCs w:val="20"/>
                <w:color w:val="auto"/>
              </w:rPr>
            </w:pPr>
            <w:r>
              <w:rPr>
                <w:rFonts w:ascii="Arial" w:cs="Arial" w:eastAsia="Arial" w:hAnsi="Arial"/>
                <w:sz w:val="14"/>
                <w:szCs w:val="14"/>
                <w:color w:val="auto"/>
              </w:rPr>
              <w:t>Equity</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4.4</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6.9</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35.0</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51.5</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r>
      <w:tr>
        <w:trPr>
          <w:trHeight w:val="175"/>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2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r>
      <w:tr>
        <w:trPr>
          <w:trHeight w:val="169"/>
        </w:trPr>
        <w:tc>
          <w:tcPr>
            <w:tcW w:w="1540" w:type="dxa"/>
            <w:vAlign w:val="bottom"/>
          </w:tcPr>
          <w:p>
            <w:pPr>
              <w:ind w:left="20"/>
              <w:spacing w:after="0" w:line="155" w:lineRule="exact"/>
              <w:rPr>
                <w:sz w:val="20"/>
                <w:szCs w:val="20"/>
                <w:color w:val="auto"/>
              </w:rPr>
            </w:pPr>
            <w:r>
              <w:rPr>
                <w:rFonts w:ascii="Arial" w:cs="Arial" w:eastAsia="Arial" w:hAnsi="Arial"/>
                <w:sz w:val="14"/>
                <w:szCs w:val="14"/>
                <w:color w:val="auto"/>
              </w:rPr>
              <w:t>Total</w:t>
            </w:r>
          </w:p>
        </w:tc>
        <w:tc>
          <w:tcPr>
            <w:tcW w:w="28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160.1</w:t>
            </w:r>
          </w:p>
        </w:tc>
        <w:tc>
          <w:tcPr>
            <w:tcW w:w="280" w:type="dxa"/>
            <w:vAlign w:val="bottom"/>
          </w:tcPr>
          <w:p>
            <w:pPr>
              <w:spacing w:after="0"/>
              <w:rPr>
                <w:sz w:val="14"/>
                <w:szCs w:val="14"/>
                <w:color w:val="auto"/>
              </w:rPr>
            </w:pPr>
          </w:p>
        </w:tc>
        <w:tc>
          <w:tcPr>
            <w:tcW w:w="1180" w:type="dxa"/>
            <w:vAlign w:val="bottom"/>
            <w:gridSpan w:val="2"/>
          </w:tcPr>
          <w:p>
            <w:pPr>
              <w:jc w:val="right"/>
              <w:ind w:right="248"/>
              <w:spacing w:after="0" w:line="155" w:lineRule="exact"/>
              <w:rPr>
                <w:sz w:val="20"/>
                <w:szCs w:val="20"/>
                <w:color w:val="auto"/>
              </w:rPr>
            </w:pPr>
            <w:r>
              <w:rPr>
                <w:rFonts w:ascii="Arial" w:cs="Arial" w:eastAsia="Arial" w:hAnsi="Arial"/>
                <w:sz w:val="14"/>
                <w:szCs w:val="14"/>
                <w:color w:val="auto"/>
              </w:rPr>
              <w:t>100.0 %</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167.3</w:t>
            </w:r>
          </w:p>
        </w:tc>
        <w:tc>
          <w:tcPr>
            <w:tcW w:w="280" w:type="dxa"/>
            <w:vAlign w:val="bottom"/>
          </w:tcPr>
          <w:p>
            <w:pPr>
              <w:spacing w:after="0"/>
              <w:rPr>
                <w:sz w:val="14"/>
                <w:szCs w:val="14"/>
                <w:color w:val="auto"/>
              </w:rPr>
            </w:pPr>
          </w:p>
        </w:tc>
        <w:tc>
          <w:tcPr>
            <w:tcW w:w="1200" w:type="dxa"/>
            <w:vAlign w:val="bottom"/>
            <w:gridSpan w:val="2"/>
          </w:tcPr>
          <w:p>
            <w:pPr>
              <w:jc w:val="right"/>
              <w:ind w:right="228"/>
              <w:spacing w:after="0" w:line="155" w:lineRule="exact"/>
              <w:rPr>
                <w:sz w:val="20"/>
                <w:szCs w:val="20"/>
                <w:color w:val="auto"/>
              </w:rPr>
            </w:pPr>
            <w:r>
              <w:rPr>
                <w:rFonts w:ascii="Arial" w:cs="Arial" w:eastAsia="Arial" w:hAnsi="Arial"/>
                <w:sz w:val="14"/>
                <w:szCs w:val="14"/>
                <w:color w:val="auto"/>
              </w:rPr>
              <w:t>100.0 %</w:t>
            </w:r>
          </w:p>
        </w:tc>
        <w:tc>
          <w:tcPr>
            <w:tcW w:w="30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68.0</w:t>
            </w:r>
          </w:p>
        </w:tc>
        <w:tc>
          <w:tcPr>
            <w:tcW w:w="240" w:type="dxa"/>
            <w:vAlign w:val="bottom"/>
          </w:tcPr>
          <w:p>
            <w:pPr>
              <w:spacing w:after="0"/>
              <w:rPr>
                <w:sz w:val="14"/>
                <w:szCs w:val="14"/>
                <w:color w:val="auto"/>
              </w:rPr>
            </w:pPr>
          </w:p>
        </w:tc>
        <w:tc>
          <w:tcPr>
            <w:tcW w:w="1820" w:type="dxa"/>
            <w:vAlign w:val="bottom"/>
            <w:gridSpan w:val="2"/>
          </w:tcPr>
          <w:p>
            <w:pPr>
              <w:jc w:val="right"/>
              <w:ind w:right="208"/>
              <w:spacing w:after="0" w:line="155" w:lineRule="exact"/>
              <w:rPr>
                <w:sz w:val="20"/>
                <w:szCs w:val="20"/>
                <w:color w:val="auto"/>
              </w:rPr>
            </w:pPr>
            <w:r>
              <w:rPr>
                <w:rFonts w:ascii="Arial" w:cs="Arial" w:eastAsia="Arial" w:hAnsi="Arial"/>
                <w:sz w:val="14"/>
                <w:szCs w:val="14"/>
                <w:color w:val="auto"/>
              </w:rPr>
              <w:t>100.0 %</w:t>
            </w:r>
          </w:p>
        </w:tc>
        <w:tc>
          <w:tcPr>
            <w:tcW w:w="380" w:type="dxa"/>
            <w:vAlign w:val="bottom"/>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191.6</w:t>
            </w:r>
          </w:p>
        </w:tc>
        <w:tc>
          <w:tcPr>
            <w:tcW w:w="240" w:type="dxa"/>
            <w:vAlign w:val="bottom"/>
          </w:tcPr>
          <w:p>
            <w:pPr>
              <w:spacing w:after="0"/>
              <w:rPr>
                <w:sz w:val="14"/>
                <w:szCs w:val="14"/>
                <w:color w:val="auto"/>
              </w:rPr>
            </w:pPr>
          </w:p>
        </w:tc>
        <w:tc>
          <w:tcPr>
            <w:tcW w:w="104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100.0 %</w:t>
            </w:r>
          </w:p>
        </w:tc>
      </w:tr>
      <w:tr>
        <w:trPr>
          <w:trHeight w:val="20"/>
        </w:trPr>
        <w:tc>
          <w:tcPr>
            <w:tcW w:w="1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-125095</wp:posOffset>
            </wp:positionV>
            <wp:extent cx="76835"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-125095</wp:posOffset>
            </wp:positionV>
            <wp:extent cx="76835"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-125095</wp:posOffset>
            </wp:positionV>
            <wp:extent cx="6858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-125095</wp:posOffset>
            </wp:positionV>
            <wp:extent cx="6858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-125095</wp:posOffset>
            </wp:positionV>
            <wp:extent cx="76835" cy="1428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835" cy="14287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-125095</wp:posOffset>
            </wp:positionV>
            <wp:extent cx="76835" cy="1428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835" cy="14287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-125095</wp:posOffset>
            </wp:positionV>
            <wp:extent cx="68580" cy="1428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14287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-125095</wp:posOffset>
            </wp:positionV>
            <wp:extent cx="68580" cy="1428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142875"/>
                    </a:xfrm>
                    <a:prstGeom prst="rect">
                      <a:avLst/>
                    </a:prstGeom>
                    <a:noFill/>
                  </pic:spPr>
                </pic:pic>
              </a:graphicData>
            </a:graphic>
          </wp:anchor>
        </w:drawing>
      </w:r>
    </w:p>
    <w:p>
      <w:pPr>
        <w:ind w:firstLine="8"/>
        <w:spacing w:after="0" w:line="273" w:lineRule="auto"/>
        <w:tabs>
          <w:tab w:leader="none" w:pos="2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the six months ended June 30, 2022 and 2021, includes unitranche securities, which account for 37.4% and 73.8% of purchases, respectively. For the six months ended June 30, 2022 and 2021, includes unitranche securities, which account for 17.4% and 11.7% of repayments,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-228600</wp:posOffset>
            </wp:positionV>
            <wp:extent cx="598360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104" w:lineRule="exact"/>
        <w:rPr>
          <w:sz w:val="20"/>
          <w:szCs w:val="20"/>
          <w:color w:val="auto"/>
        </w:rPr>
      </w:pPr>
    </w:p>
    <w:p>
      <w:pPr>
        <w:jc w:val="both"/>
        <w:ind w:firstLine="478"/>
        <w:spacing w:after="0"/>
        <w:rPr>
          <w:sz w:val="20"/>
          <w:szCs w:val="20"/>
          <w:color w:val="auto"/>
        </w:rPr>
      </w:pPr>
      <w:r>
        <w:rPr>
          <w:rFonts w:ascii="Arial" w:cs="Arial" w:eastAsia="Arial" w:hAnsi="Arial"/>
          <w:sz w:val="18"/>
          <w:szCs w:val="18"/>
          <w:color w:val="auto"/>
        </w:rPr>
        <w:t>As of June 30, 2022, the fair value of our investment portfolio totaled $810.5 million and consisted of 73 active portfolio companies and twelve portfolio companies that have sold their underlying operations. As of June 30, 2022, 39 portfolio companies’ debt investments bore interest at a variable rate, which represented $467.2 million, or 69.8%, of our debt investment portfolio on a fair value basis, and the remainder of our debt investment portfolio was comprised of fixed rate investments. Overall, the portfolio had net unrealized appreciation of $70.8 million as of June 30, 2022. As of June 30, 2022, our average active portfolio company investment at amortized cost was $10.1 million, which excludes investments in the twelve portfolio companies that have sold their underlying operations.</w:t>
      </w:r>
    </w:p>
    <w:p>
      <w:pPr>
        <w:spacing w:after="0" w:line="135" w:lineRule="exact"/>
        <w:rPr>
          <w:sz w:val="20"/>
          <w:szCs w:val="20"/>
          <w:color w:val="auto"/>
        </w:rPr>
      </w:pPr>
    </w:p>
    <w:p>
      <w:pPr>
        <w:jc w:val="both"/>
        <w:ind w:firstLine="478"/>
        <w:spacing w:after="0"/>
        <w:rPr>
          <w:sz w:val="20"/>
          <w:szCs w:val="20"/>
          <w:color w:val="auto"/>
        </w:rPr>
      </w:pPr>
      <w:r>
        <w:rPr>
          <w:rFonts w:ascii="Arial" w:cs="Arial" w:eastAsia="Arial" w:hAnsi="Arial"/>
          <w:sz w:val="18"/>
          <w:szCs w:val="18"/>
          <w:color w:val="auto"/>
        </w:rPr>
        <w:t>As of December 31, 2021, the fair value of our investment portfolio totaled $719.1 million and consisted of 70 active portfolio companies and eight portfolio companies that have sold their underlying operations. As of December 31, 2021, 32 portfolio companies’ debt investments bore interest at a variable rate, which represented $376.0 million, or 68.4%, of our debt investment portfolio on a fair value basis, and the remainder of our debt investment portfolio was comprised of fixed rate investments. Overall, the portfolio had net unrealized appreciation of $97.3 million as of December 31, 2021. As of December 31, 2021, our average active portfolio company investment at amortized cost was $8.8 million, which excludes investments in the eight portfolio companies that have sold their underlying operations.</w:t>
      </w:r>
    </w:p>
    <w:p>
      <w:pPr>
        <w:spacing w:after="0" w:line="135" w:lineRule="exact"/>
        <w:rPr>
          <w:sz w:val="20"/>
          <w:szCs w:val="20"/>
          <w:color w:val="auto"/>
        </w:rPr>
      </w:pPr>
    </w:p>
    <w:p>
      <w:pPr>
        <w:jc w:val="both"/>
        <w:ind w:firstLine="538"/>
        <w:spacing w:after="0" w:line="241" w:lineRule="auto"/>
        <w:rPr>
          <w:sz w:val="20"/>
          <w:szCs w:val="20"/>
          <w:color w:val="auto"/>
        </w:rPr>
      </w:pPr>
      <w:r>
        <w:rPr>
          <w:rFonts w:ascii="Arial" w:cs="Arial" w:eastAsia="Arial" w:hAnsi="Arial"/>
          <w:sz w:val="18"/>
          <w:szCs w:val="18"/>
          <w:color w:val="auto"/>
        </w:rPr>
        <w:t>The weighted average yield on debt investments as of June 30, 2022 and December 31, 2021 was 11.9% and 12.3%,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including the accretion of OID and debt investment origination fees, but excluding investments on non-accrual status, if any.</w:t>
      </w:r>
    </w:p>
    <w:p>
      <w:pPr>
        <w:spacing w:after="0" w:line="135" w:lineRule="exact"/>
        <w:rPr>
          <w:sz w:val="20"/>
          <w:szCs w:val="20"/>
          <w:color w:val="auto"/>
        </w:rPr>
      </w:pPr>
    </w:p>
    <w:p>
      <w:pPr>
        <w:jc w:val="both"/>
        <w:ind w:firstLine="479"/>
        <w:spacing w:after="0" w:line="247" w:lineRule="auto"/>
        <w:rPr>
          <w:sz w:val="20"/>
          <w:szCs w:val="20"/>
          <w:color w:val="auto"/>
        </w:rPr>
      </w:pPr>
      <w:r>
        <w:rPr>
          <w:rFonts w:ascii="Arial" w:cs="Arial" w:eastAsia="Arial" w:hAnsi="Arial"/>
          <w:sz w:val="18"/>
          <w:szCs w:val="18"/>
          <w:color w:val="auto"/>
        </w:rPr>
        <w:t>The following table shows the portfolio composition by investment type at fair value and cost and as a percentage of total investments (dollars in millions):</w:t>
      </w:r>
    </w:p>
    <w:tbl>
      <w:tblPr>
        <w:tblLayout w:type="fixed"/>
        <w:tblInd w:w="0" w:type="dxa"/>
        <w:tblCellMar>
          <w:top w:w="0" w:type="dxa"/>
          <w:left w:w="0" w:type="dxa"/>
          <w:bottom w:w="0" w:type="dxa"/>
          <w:right w:w="0" w:type="dxa"/>
        </w:tblCellMar>
      </w:tblPr>
      <w:tr>
        <w:trPr>
          <w:trHeight w:val="169"/>
        </w:trPr>
        <w:tc>
          <w:tcPr>
            <w:tcW w:w="16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Fair Value</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160"/>
        </w:trPr>
        <w:tc>
          <w:tcPr>
            <w:tcW w:w="1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3"/>
          </w:tcPr>
          <w:p>
            <w:pPr>
              <w:jc w:val="center"/>
              <w:ind w:left="128"/>
              <w:spacing w:after="0" w:line="160" w:lineRule="exact"/>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3"/>
          </w:tcPr>
          <w:p>
            <w:pPr>
              <w:jc w:val="center"/>
              <w:ind w:left="6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gridSpan w:val="2"/>
          </w:tcPr>
          <w:p>
            <w:pPr>
              <w:jc w:val="center"/>
              <w:ind w:left="188"/>
              <w:spacing w:after="0" w:line="160" w:lineRule="exact"/>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3"/>
          </w:tcPr>
          <w:p>
            <w:pPr>
              <w:jc w:val="center"/>
              <w:ind w:left="4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85"/>
        </w:trPr>
        <w:tc>
          <w:tcPr>
            <w:tcW w:w="1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69"/>
        </w:trPr>
        <w:tc>
          <w:tcPr>
            <w:tcW w:w="1680" w:type="dxa"/>
            <w:vAlign w:val="bottom"/>
            <w:shd w:val="clear" w:color="auto" w:fill="CFF0FC"/>
          </w:tcPr>
          <w:p>
            <w:pPr>
              <w:ind w:left="20"/>
              <w:spacing w:after="0" w:line="169" w:lineRule="exact"/>
              <w:rPr>
                <w:sz w:val="20"/>
                <w:szCs w:val="20"/>
                <w:color w:val="auto"/>
              </w:rPr>
            </w:pPr>
            <w:r>
              <w:rPr>
                <w:rFonts w:ascii="Arial" w:cs="Arial" w:eastAsia="Arial" w:hAnsi="Arial"/>
                <w:sz w:val="14"/>
                <w:szCs w:val="14"/>
                <w:color w:val="auto"/>
              </w:rPr>
              <w:t>First Lien Debt</w:t>
            </w:r>
            <w:r>
              <w:rPr>
                <w:rFonts w:ascii="Arial" w:cs="Arial" w:eastAsia="Arial" w:hAnsi="Arial"/>
                <w:sz w:val="19"/>
                <w:szCs w:val="19"/>
                <w:color w:val="auto"/>
                <w:vertAlign w:val="superscript"/>
              </w:rPr>
              <w:t>(1)</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432.6</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w:t>
            </w:r>
          </w:p>
        </w:tc>
        <w:tc>
          <w:tcPr>
            <w:tcW w:w="52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96"/>
              </w:rPr>
              <w:t>%</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354.9</w:t>
            </w: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49.4</w:t>
            </w:r>
          </w:p>
        </w:tc>
        <w:tc>
          <w:tcPr>
            <w:tcW w:w="540" w:type="dxa"/>
            <w:vAlign w:val="bottom"/>
            <w:shd w:val="clear" w:color="auto" w:fill="CFF0FC"/>
          </w:tcPr>
          <w:p>
            <w:pPr>
              <w:jc w:val="right"/>
              <w:ind w:right="328"/>
              <w:spacing w:after="0"/>
              <w:rPr>
                <w:sz w:val="20"/>
                <w:szCs w:val="20"/>
                <w:color w:val="auto"/>
              </w:rPr>
            </w:pPr>
            <w:r>
              <w:rPr>
                <w:rFonts w:ascii="Arial" w:cs="Arial" w:eastAsia="Arial" w:hAnsi="Arial"/>
                <w:sz w:val="14"/>
                <w:szCs w:val="14"/>
                <w:color w:val="auto"/>
                <w:w w:val="96"/>
              </w:rPr>
              <w:t>%</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430.5</w:t>
            </w:r>
          </w:p>
        </w:tc>
        <w:tc>
          <w:tcPr>
            <w:tcW w:w="2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w:t>
            </w:r>
          </w:p>
        </w:tc>
        <w:tc>
          <w:tcPr>
            <w:tcW w:w="50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96"/>
              </w:rPr>
              <w:t>%</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353.3</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w:t>
            </w:r>
          </w:p>
        </w:tc>
        <w:tc>
          <w:tcPr>
            <w:tcW w:w="3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96"/>
              </w:rPr>
              <w:t>%</w:t>
            </w:r>
          </w:p>
        </w:tc>
      </w:tr>
      <w:tr>
        <w:trPr>
          <w:trHeight w:val="175"/>
        </w:trPr>
        <w:tc>
          <w:tcPr>
            <w:tcW w:w="168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168.5</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20.8</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158.8</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22.1</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182.2</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24.6</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168.6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27.1</w:t>
            </w:r>
          </w:p>
        </w:tc>
        <w:tc>
          <w:tcPr>
            <w:tcW w:w="340" w:type="dxa"/>
            <w:vAlign w:val="bottom"/>
          </w:tcPr>
          <w:p>
            <w:pPr>
              <w:spacing w:after="0"/>
              <w:rPr>
                <w:sz w:val="15"/>
                <w:szCs w:val="15"/>
                <w:color w:val="auto"/>
              </w:rPr>
            </w:pPr>
          </w:p>
        </w:tc>
      </w:tr>
      <w:tr>
        <w:trPr>
          <w:trHeight w:val="175"/>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5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w:t>
            </w: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5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340" w:type="dxa"/>
            <w:vAlign w:val="bottom"/>
            <w:shd w:val="clear" w:color="auto" w:fill="CFF0FC"/>
          </w:tcPr>
          <w:p>
            <w:pPr>
              <w:spacing w:after="0"/>
              <w:rPr>
                <w:sz w:val="15"/>
                <w:szCs w:val="15"/>
                <w:color w:val="auto"/>
              </w:rPr>
            </w:pPr>
          </w:p>
        </w:tc>
      </w:tr>
      <w:tr>
        <w:trPr>
          <w:trHeight w:val="175"/>
        </w:trPr>
        <w:tc>
          <w:tcPr>
            <w:tcW w:w="1680" w:type="dxa"/>
            <w:vAlign w:val="bottom"/>
          </w:tcPr>
          <w:p>
            <w:pPr>
              <w:ind w:left="20"/>
              <w:spacing w:after="0"/>
              <w:rPr>
                <w:sz w:val="20"/>
                <w:szCs w:val="20"/>
                <w:color w:val="auto"/>
              </w:rPr>
            </w:pPr>
            <w:r>
              <w:rPr>
                <w:rFonts w:ascii="Arial" w:cs="Arial" w:eastAsia="Arial" w:hAnsi="Arial"/>
                <w:sz w:val="14"/>
                <w:szCs w:val="14"/>
                <w:color w:val="auto"/>
              </w:rPr>
              <w:t>Equity</w:t>
            </w: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137.7</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17.0</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166.1</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23.1</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55.3</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9.8</w:t>
            </w:r>
          </w:p>
        </w:tc>
        <w:tc>
          <w:tcPr>
            <w:tcW w:w="340" w:type="dxa"/>
            <w:vAlign w:val="bottom"/>
          </w:tcPr>
          <w:p>
            <w:pPr>
              <w:spacing w:after="0"/>
              <w:rPr>
                <w:sz w:val="15"/>
                <w:szCs w:val="15"/>
                <w:color w:val="auto"/>
              </w:rPr>
            </w:pPr>
          </w:p>
        </w:tc>
      </w:tr>
      <w:tr>
        <w:trPr>
          <w:trHeight w:val="175"/>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Warrants</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5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5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2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5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340" w:type="dxa"/>
            <w:vAlign w:val="bottom"/>
            <w:tcBorders>
              <w:bottom w:val="single" w:sz="8" w:color="CFF0FC"/>
            </w:tcBorders>
            <w:shd w:val="clear" w:color="auto" w:fill="CFF0FC"/>
          </w:tcPr>
          <w:p>
            <w:pPr>
              <w:spacing w:after="0"/>
              <w:rPr>
                <w:sz w:val="15"/>
                <w:szCs w:val="15"/>
                <w:color w:val="auto"/>
              </w:rPr>
            </w:pPr>
          </w:p>
        </w:tc>
      </w:tr>
      <w:tr>
        <w:trPr>
          <w:trHeight w:val="169"/>
        </w:trPr>
        <w:tc>
          <w:tcPr>
            <w:tcW w:w="1680" w:type="dxa"/>
            <w:vAlign w:val="bottom"/>
          </w:tcPr>
          <w:p>
            <w:pPr>
              <w:ind w:left="20"/>
              <w:spacing w:after="0" w:line="155" w:lineRule="exact"/>
              <w:rPr>
                <w:sz w:val="20"/>
                <w:szCs w:val="20"/>
                <w:color w:val="auto"/>
              </w:rPr>
            </w:pPr>
            <w:r>
              <w:rPr>
                <w:rFonts w:ascii="Arial" w:cs="Arial" w:eastAsia="Arial" w:hAnsi="Arial"/>
                <w:sz w:val="14"/>
                <w:szCs w:val="14"/>
                <w:color w:val="auto"/>
              </w:rPr>
              <w:t>Total</w:t>
            </w: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810.5</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308"/>
              <w:spacing w:after="0" w:line="155" w:lineRule="exact"/>
              <w:rPr>
                <w:sz w:val="20"/>
                <w:szCs w:val="20"/>
                <w:color w:val="auto"/>
              </w:rPr>
            </w:pPr>
            <w:r>
              <w:rPr>
                <w:rFonts w:ascii="Arial" w:cs="Arial" w:eastAsia="Arial" w:hAnsi="Arial"/>
                <w:sz w:val="14"/>
                <w:szCs w:val="14"/>
                <w:color w:val="auto"/>
              </w:rPr>
              <w:t>100.0 %</w:t>
            </w:r>
          </w:p>
        </w:tc>
        <w:tc>
          <w:tcPr>
            <w:tcW w:w="34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719.1</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right"/>
              <w:ind w:right="328"/>
              <w:spacing w:after="0" w:line="155" w:lineRule="exact"/>
              <w:rPr>
                <w:sz w:val="20"/>
                <w:szCs w:val="20"/>
                <w:color w:val="auto"/>
              </w:rPr>
            </w:pPr>
            <w:r>
              <w:rPr>
                <w:rFonts w:ascii="Arial" w:cs="Arial" w:eastAsia="Arial" w:hAnsi="Arial"/>
                <w:sz w:val="14"/>
                <w:szCs w:val="14"/>
                <w:color w:val="auto"/>
              </w:rPr>
              <w:t>100.0 %</w:t>
            </w:r>
          </w:p>
        </w:tc>
        <w:tc>
          <w:tcPr>
            <w:tcW w:w="320" w:type="dxa"/>
            <w:vAlign w:val="bottom"/>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739.7</w:t>
            </w:r>
          </w:p>
        </w:tc>
        <w:tc>
          <w:tcPr>
            <w:tcW w:w="260" w:type="dxa"/>
            <w:vAlign w:val="bottom"/>
          </w:tcPr>
          <w:p>
            <w:pPr>
              <w:spacing w:after="0"/>
              <w:rPr>
                <w:sz w:val="14"/>
                <w:szCs w:val="14"/>
                <w:color w:val="auto"/>
              </w:rPr>
            </w:pPr>
          </w:p>
        </w:tc>
        <w:tc>
          <w:tcPr>
            <w:tcW w:w="1080" w:type="dxa"/>
            <w:vAlign w:val="bottom"/>
            <w:gridSpan w:val="2"/>
          </w:tcPr>
          <w:p>
            <w:pPr>
              <w:jc w:val="right"/>
              <w:ind w:right="288"/>
              <w:spacing w:after="0" w:line="155" w:lineRule="exact"/>
              <w:rPr>
                <w:sz w:val="20"/>
                <w:szCs w:val="20"/>
                <w:color w:val="auto"/>
              </w:rPr>
            </w:pPr>
            <w:r>
              <w:rPr>
                <w:rFonts w:ascii="Arial" w:cs="Arial" w:eastAsia="Arial" w:hAnsi="Arial"/>
                <w:sz w:val="14"/>
                <w:szCs w:val="14"/>
                <w:color w:val="auto"/>
              </w:rPr>
              <w:t>100.0 %</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621.8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100.0 %</w:t>
            </w:r>
          </w:p>
        </w:tc>
      </w:tr>
      <w:tr>
        <w:trPr>
          <w:trHeight w:val="20"/>
        </w:trPr>
        <w:tc>
          <w:tcPr>
            <w:tcW w:w="1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-142240</wp:posOffset>
            </wp:positionV>
            <wp:extent cx="76835"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-142240</wp:posOffset>
            </wp:positionV>
            <wp:extent cx="76835"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-142240</wp:posOffset>
            </wp:positionV>
            <wp:extent cx="7747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-142240</wp:posOffset>
            </wp:positionV>
            <wp:extent cx="7747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-142240</wp:posOffset>
            </wp:positionV>
            <wp:extent cx="6858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-142240</wp:posOffset>
            </wp:positionV>
            <wp:extent cx="6858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-142240</wp:posOffset>
            </wp:positionV>
            <wp:extent cx="6858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-142240</wp:posOffset>
            </wp:positionV>
            <wp:extent cx="6858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4" w:lineRule="exact"/>
        <w:rPr>
          <w:sz w:val="20"/>
          <w:szCs w:val="20"/>
          <w:color w:val="auto"/>
        </w:rPr>
      </w:pPr>
    </w:p>
    <w:p>
      <w:pPr>
        <w:ind w:firstLine="8"/>
        <w:spacing w:after="0" w:line="273" w:lineRule="auto"/>
        <w:tabs>
          <w:tab w:leader="none" w:pos="208"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unitranche investments, which account for 41.7% and 45.5% of our portfolio on a fair value and cost basis as of June 30, 2022, respectively. Includes unitranche investments, which account for 40.2% and 46.3% of our portfolio on a fair value and cost basis as of December 31, 2021, respectively.</w:t>
      </w:r>
    </w:p>
    <w:p>
      <w:pPr>
        <w:spacing w:after="0" w:line="124"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All investments made by us as of June 30, 2022 and December 31, 2021 were made in portfolio companies headquartered in the United States. 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60"/>
        </w:trPr>
        <w:tc>
          <w:tcPr>
            <w:tcW w:w="1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3"/>
          </w:tcPr>
          <w:p>
            <w:pPr>
              <w:jc w:val="center"/>
              <w:ind w:left="148"/>
              <w:spacing w:after="0" w:line="160" w:lineRule="exact"/>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3"/>
          </w:tcPr>
          <w:p>
            <w:pPr>
              <w:jc w:val="center"/>
              <w:ind w:left="8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2"/>
          </w:tcPr>
          <w:p>
            <w:pPr>
              <w:jc w:val="center"/>
              <w:ind w:left="168"/>
              <w:spacing w:after="0" w:line="160" w:lineRule="exact"/>
              <w:rPr>
                <w:sz w:val="20"/>
                <w:szCs w:val="20"/>
                <w:color w:val="auto"/>
              </w:rPr>
            </w:pPr>
            <w:r>
              <w:rPr>
                <w:rFonts w:ascii="Arial" w:cs="Arial" w:eastAsia="Arial" w:hAnsi="Arial"/>
                <w:sz w:val="14"/>
                <w:szCs w:val="14"/>
                <w:b w:val="1"/>
                <w:bCs w:val="1"/>
                <w:color w:val="auto"/>
                <w:w w:val="92"/>
              </w:rPr>
              <w:t>June 30,</w:t>
            </w: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3"/>
          </w:tcPr>
          <w:p>
            <w:pPr>
              <w:jc w:val="center"/>
              <w:ind w:left="4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85"/>
        </w:trPr>
        <w:tc>
          <w:tcPr>
            <w:tcW w:w="1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69"/>
        </w:trPr>
        <w:tc>
          <w:tcPr>
            <w:tcW w:w="1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Midwest</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189.9</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540" w:type="dxa"/>
            <w:vAlign w:val="bottom"/>
            <w:shd w:val="clear" w:color="auto" w:fill="CFF0FC"/>
          </w:tcPr>
          <w:p>
            <w:pPr>
              <w:jc w:val="right"/>
              <w:ind w:right="328"/>
              <w:spacing w:after="0"/>
              <w:rPr>
                <w:sz w:val="20"/>
                <w:szCs w:val="20"/>
                <w:color w:val="auto"/>
              </w:rPr>
            </w:pPr>
            <w:r>
              <w:rPr>
                <w:rFonts w:ascii="Arial" w:cs="Arial" w:eastAsia="Arial" w:hAnsi="Arial"/>
                <w:sz w:val="14"/>
                <w:szCs w:val="14"/>
                <w:color w:val="auto"/>
                <w:w w:val="96"/>
              </w:rPr>
              <w:t>%</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157.2</w:t>
            </w: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w:t>
            </w:r>
          </w:p>
        </w:tc>
        <w:tc>
          <w:tcPr>
            <w:tcW w:w="520" w:type="dxa"/>
            <w:vAlign w:val="bottom"/>
            <w:shd w:val="clear" w:color="auto" w:fill="CFF0FC"/>
          </w:tcPr>
          <w:p>
            <w:pPr>
              <w:jc w:val="right"/>
              <w:ind w:right="328"/>
              <w:spacing w:after="0"/>
              <w:rPr>
                <w:sz w:val="20"/>
                <w:szCs w:val="20"/>
                <w:color w:val="auto"/>
              </w:rPr>
            </w:pPr>
            <w:r>
              <w:rPr>
                <w:rFonts w:ascii="Arial" w:cs="Arial" w:eastAsia="Arial" w:hAnsi="Arial"/>
                <w:sz w:val="14"/>
                <w:szCs w:val="14"/>
                <w:color w:val="auto"/>
                <w:w w:val="79"/>
              </w:rPr>
              <w:t>%</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124.4</w:t>
            </w:r>
          </w:p>
        </w:tc>
        <w:tc>
          <w:tcPr>
            <w:tcW w:w="2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w:t>
            </w:r>
          </w:p>
        </w:tc>
        <w:tc>
          <w:tcPr>
            <w:tcW w:w="50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96"/>
              </w:rPr>
              <w:t>%</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w:t>
            </w:r>
          </w:p>
        </w:tc>
        <w:tc>
          <w:tcPr>
            <w:tcW w:w="3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96"/>
              </w:rPr>
              <w:t>%</w:t>
            </w:r>
          </w:p>
        </w:tc>
      </w:tr>
      <w:tr>
        <w:trPr>
          <w:trHeight w:val="176"/>
        </w:trPr>
        <w:tc>
          <w:tcPr>
            <w:tcW w:w="1660" w:type="dxa"/>
            <w:vAlign w:val="bottom"/>
          </w:tcPr>
          <w:p>
            <w:pPr>
              <w:ind w:left="20"/>
              <w:spacing w:after="0"/>
              <w:rPr>
                <w:sz w:val="20"/>
                <w:szCs w:val="20"/>
                <w:color w:val="auto"/>
              </w:rPr>
            </w:pPr>
            <w:r>
              <w:rPr>
                <w:rFonts w:ascii="Arial" w:cs="Arial" w:eastAsia="Arial" w:hAnsi="Arial"/>
                <w:sz w:val="14"/>
                <w:szCs w:val="14"/>
                <w:color w:val="auto"/>
              </w:rPr>
              <w:t>Southeast</w:t>
            </w: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237.3</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29.3</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220.0</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30.6</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238.5</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32.2</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197.4</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31.7</w:t>
            </w:r>
          </w:p>
        </w:tc>
        <w:tc>
          <w:tcPr>
            <w:tcW w:w="340" w:type="dxa"/>
            <w:vAlign w:val="bottom"/>
          </w:tcPr>
          <w:p>
            <w:pPr>
              <w:spacing w:after="0"/>
              <w:rPr>
                <w:sz w:val="15"/>
                <w:szCs w:val="15"/>
                <w:color w:val="auto"/>
              </w:rPr>
            </w:pPr>
          </w:p>
        </w:tc>
      </w:tr>
      <w:tr>
        <w:trPr>
          <w:trHeight w:val="175"/>
        </w:trPr>
        <w:tc>
          <w:tcPr>
            <w:tcW w:w="1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Northeast</w:t>
            </w: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133.5</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w:t>
            </w:r>
          </w:p>
        </w:tc>
        <w:tc>
          <w:tcPr>
            <w:tcW w:w="5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126.6</w:t>
            </w: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5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133.1</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127.8</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w:t>
            </w:r>
          </w:p>
        </w:tc>
        <w:tc>
          <w:tcPr>
            <w:tcW w:w="340" w:type="dxa"/>
            <w:vAlign w:val="bottom"/>
            <w:shd w:val="clear" w:color="auto" w:fill="CFF0FC"/>
          </w:tcPr>
          <w:p>
            <w:pPr>
              <w:spacing w:after="0"/>
              <w:rPr>
                <w:sz w:val="15"/>
                <w:szCs w:val="15"/>
                <w:color w:val="auto"/>
              </w:rPr>
            </w:pPr>
          </w:p>
        </w:tc>
      </w:tr>
      <w:tr>
        <w:trPr>
          <w:trHeight w:val="176"/>
        </w:trPr>
        <w:tc>
          <w:tcPr>
            <w:tcW w:w="1660" w:type="dxa"/>
            <w:vAlign w:val="bottom"/>
          </w:tcPr>
          <w:p>
            <w:pPr>
              <w:ind w:left="20"/>
              <w:spacing w:after="0"/>
              <w:rPr>
                <w:sz w:val="20"/>
                <w:szCs w:val="20"/>
                <w:color w:val="auto"/>
              </w:rPr>
            </w:pPr>
            <w:r>
              <w:rPr>
                <w:rFonts w:ascii="Arial" w:cs="Arial" w:eastAsia="Arial" w:hAnsi="Arial"/>
                <w:sz w:val="14"/>
                <w:szCs w:val="14"/>
                <w:color w:val="auto"/>
              </w:rPr>
              <w:t>West</w:t>
            </w: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119.8</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14.8</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105.9</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14.7</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121.9</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16.5</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16.1</w:t>
            </w:r>
          </w:p>
        </w:tc>
        <w:tc>
          <w:tcPr>
            <w:tcW w:w="340" w:type="dxa"/>
            <w:vAlign w:val="bottom"/>
          </w:tcPr>
          <w:p>
            <w:pPr>
              <w:spacing w:after="0"/>
              <w:rPr>
                <w:sz w:val="15"/>
                <w:szCs w:val="15"/>
                <w:color w:val="auto"/>
              </w:rPr>
            </w:pPr>
          </w:p>
        </w:tc>
      </w:tr>
      <w:tr>
        <w:trPr>
          <w:trHeight w:val="175"/>
        </w:trPr>
        <w:tc>
          <w:tcPr>
            <w:tcW w:w="1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Southwest</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130.0</w:t>
            </w:r>
          </w:p>
        </w:tc>
        <w:tc>
          <w:tcPr>
            <w:tcW w:w="2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5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109.4</w:t>
            </w:r>
          </w:p>
        </w:tc>
        <w:tc>
          <w:tcPr>
            <w:tcW w:w="2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5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121.8</w:t>
            </w:r>
          </w:p>
        </w:tc>
        <w:tc>
          <w:tcPr>
            <w:tcW w:w="2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w:t>
            </w:r>
          </w:p>
        </w:tc>
        <w:tc>
          <w:tcPr>
            <w:tcW w:w="5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106.6</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w:t>
            </w:r>
          </w:p>
        </w:tc>
        <w:tc>
          <w:tcPr>
            <w:tcW w:w="340" w:type="dxa"/>
            <w:vAlign w:val="bottom"/>
            <w:tcBorders>
              <w:bottom w:val="single" w:sz="8" w:color="CFF0FC"/>
            </w:tcBorders>
            <w:shd w:val="clear" w:color="auto" w:fill="CFF0FC"/>
          </w:tcPr>
          <w:p>
            <w:pPr>
              <w:spacing w:after="0"/>
              <w:rPr>
                <w:sz w:val="15"/>
                <w:szCs w:val="15"/>
                <w:color w:val="auto"/>
              </w:rPr>
            </w:pPr>
          </w:p>
        </w:tc>
      </w:tr>
      <w:tr>
        <w:trPr>
          <w:trHeight w:val="169"/>
        </w:trPr>
        <w:tc>
          <w:tcPr>
            <w:tcW w:w="1660" w:type="dxa"/>
            <w:vAlign w:val="bottom"/>
          </w:tcPr>
          <w:p>
            <w:pPr>
              <w:ind w:left="20"/>
              <w:spacing w:after="0" w:line="155" w:lineRule="exact"/>
              <w:rPr>
                <w:sz w:val="20"/>
                <w:szCs w:val="20"/>
                <w:color w:val="auto"/>
              </w:rPr>
            </w:pPr>
            <w:r>
              <w:rPr>
                <w:rFonts w:ascii="Arial" w:cs="Arial" w:eastAsia="Arial" w:hAnsi="Arial"/>
                <w:sz w:val="14"/>
                <w:szCs w:val="14"/>
                <w:color w:val="auto"/>
              </w:rPr>
              <w:t>Total</w:t>
            </w:r>
          </w:p>
        </w:tc>
        <w:tc>
          <w:tcPr>
            <w:tcW w:w="34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810.5</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328"/>
              <w:spacing w:after="0" w:line="155" w:lineRule="exact"/>
              <w:rPr>
                <w:sz w:val="20"/>
                <w:szCs w:val="20"/>
                <w:color w:val="auto"/>
              </w:rPr>
            </w:pPr>
            <w:r>
              <w:rPr>
                <w:rFonts w:ascii="Arial" w:cs="Arial" w:eastAsia="Arial" w:hAnsi="Arial"/>
                <w:sz w:val="14"/>
                <w:szCs w:val="14"/>
                <w:color w:val="auto"/>
              </w:rPr>
              <w:t>100.0 %</w:t>
            </w:r>
          </w:p>
        </w:tc>
        <w:tc>
          <w:tcPr>
            <w:tcW w:w="320" w:type="dxa"/>
            <w:vAlign w:val="bottom"/>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719.1</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jc w:val="right"/>
              <w:ind w:right="328"/>
              <w:spacing w:after="0" w:line="155" w:lineRule="exact"/>
              <w:rPr>
                <w:sz w:val="20"/>
                <w:szCs w:val="20"/>
                <w:color w:val="auto"/>
              </w:rPr>
            </w:pPr>
            <w:r>
              <w:rPr>
                <w:rFonts w:ascii="Arial" w:cs="Arial" w:eastAsia="Arial" w:hAnsi="Arial"/>
                <w:sz w:val="14"/>
                <w:szCs w:val="14"/>
                <w:color w:val="auto"/>
              </w:rPr>
              <w:t>100.0 %</w:t>
            </w: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739.7</w:t>
            </w:r>
          </w:p>
        </w:tc>
        <w:tc>
          <w:tcPr>
            <w:tcW w:w="260" w:type="dxa"/>
            <w:vAlign w:val="bottom"/>
          </w:tcPr>
          <w:p>
            <w:pPr>
              <w:spacing w:after="0"/>
              <w:rPr>
                <w:sz w:val="14"/>
                <w:szCs w:val="14"/>
                <w:color w:val="auto"/>
              </w:rPr>
            </w:pPr>
          </w:p>
        </w:tc>
        <w:tc>
          <w:tcPr>
            <w:tcW w:w="1080" w:type="dxa"/>
            <w:vAlign w:val="bottom"/>
            <w:gridSpan w:val="2"/>
          </w:tcPr>
          <w:p>
            <w:pPr>
              <w:jc w:val="right"/>
              <w:ind w:right="288"/>
              <w:spacing w:after="0" w:line="155" w:lineRule="exact"/>
              <w:rPr>
                <w:sz w:val="20"/>
                <w:szCs w:val="20"/>
                <w:color w:val="auto"/>
              </w:rPr>
            </w:pPr>
            <w:r>
              <w:rPr>
                <w:rFonts w:ascii="Arial" w:cs="Arial" w:eastAsia="Arial" w:hAnsi="Arial"/>
                <w:sz w:val="14"/>
                <w:szCs w:val="14"/>
                <w:color w:val="auto"/>
              </w:rPr>
              <w:t>100.0 %</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621.8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100.0 %</w:t>
            </w:r>
          </w:p>
        </w:tc>
      </w:tr>
      <w:tr>
        <w:trPr>
          <w:trHeight w:val="20"/>
        </w:trPr>
        <w:tc>
          <w:tcPr>
            <w:tcW w:w="1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-142240</wp:posOffset>
            </wp:positionV>
            <wp:extent cx="76835"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-142240</wp:posOffset>
            </wp:positionV>
            <wp:extent cx="76835"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-142240</wp:posOffset>
            </wp:positionV>
            <wp:extent cx="76835"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-142240</wp:posOffset>
            </wp:positionV>
            <wp:extent cx="76835"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-142240</wp:posOffset>
            </wp:positionV>
            <wp:extent cx="68580"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-142240</wp:posOffset>
            </wp:positionV>
            <wp:extent cx="6858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-142240</wp:posOffset>
            </wp:positionV>
            <wp:extent cx="6858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-142240</wp:posOffset>
            </wp:positionV>
            <wp:extent cx="6858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shows the detailed industry composition of our portfolio at fair value and cost as a percentage of total investments: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2140" w:type="dxa"/>
            <w:vAlign w:val="bottom"/>
            <w:tcBorders>
              <w:bottom w:val="single" w:sz="8" w:color="auto"/>
            </w:tcBorders>
            <w:gridSpan w:val="4"/>
          </w:tcPr>
          <w:p>
            <w:pPr>
              <w:ind w:left="1400"/>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13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1620" w:type="dxa"/>
            <w:vAlign w:val="bottom"/>
            <w:gridSpan w:val="2"/>
          </w:tcPr>
          <w:p>
            <w:pPr>
              <w:jc w:val="right"/>
              <w:ind w:right="548"/>
              <w:spacing w:after="0" w:line="160"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308"/>
              <w:spacing w:after="0" w:line="160" w:lineRule="exact"/>
              <w:rPr>
                <w:sz w:val="20"/>
                <w:szCs w:val="20"/>
                <w:color w:val="auto"/>
              </w:rPr>
            </w:pPr>
            <w:r>
              <w:rPr>
                <w:rFonts w:ascii="Arial" w:cs="Arial" w:eastAsia="Arial" w:hAnsi="Arial"/>
                <w:sz w:val="14"/>
                <w:szCs w:val="14"/>
                <w:b w:val="1"/>
                <w:bCs w:val="1"/>
                <w:color w:val="auto"/>
                <w:w w:val="98"/>
              </w:rPr>
              <w:t>December 31,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3"/>
          </w:tcPr>
          <w:p>
            <w:pPr>
              <w:ind w:left="480"/>
              <w:spacing w:after="0" w:line="160" w:lineRule="exact"/>
              <w:rPr>
                <w:sz w:val="20"/>
                <w:szCs w:val="20"/>
                <w:color w:val="auto"/>
              </w:rPr>
            </w:pPr>
            <w:r>
              <w:rPr>
                <w:rFonts w:ascii="Arial" w:cs="Arial" w:eastAsia="Arial" w:hAnsi="Arial"/>
                <w:sz w:val="14"/>
                <w:szCs w:val="14"/>
                <w:b w:val="1"/>
                <w:bCs w:val="1"/>
                <w:color w:val="auto"/>
              </w:rPr>
              <w:t>June 30,</w:t>
            </w:r>
          </w:p>
        </w:tc>
        <w:tc>
          <w:tcPr>
            <w:tcW w:w="1380" w:type="dxa"/>
            <w:vAlign w:val="bottom"/>
          </w:tcPr>
          <w:p>
            <w:pPr>
              <w:jc w:val="right"/>
              <w:ind w:right="308"/>
              <w:spacing w:after="0" w:line="160"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5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Information Technology Services</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9"/>
              </w:rPr>
              <w:t>%</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3740" w:type="dxa"/>
            <w:vAlign w:val="bottom"/>
          </w:tcPr>
          <w:p>
            <w:pPr>
              <w:ind w:left="20"/>
              <w:spacing w:after="0"/>
              <w:rPr>
                <w:sz w:val="20"/>
                <w:szCs w:val="20"/>
                <w:color w:val="auto"/>
              </w:rPr>
            </w:pPr>
            <w:r>
              <w:rPr>
                <w:rFonts w:ascii="Arial" w:cs="Arial" w:eastAsia="Arial" w:hAnsi="Arial"/>
                <w:sz w:val="14"/>
                <w:szCs w:val="14"/>
                <w:color w:val="auto"/>
              </w:rPr>
              <w:t>Healthcare Products</w:t>
            </w:r>
          </w:p>
        </w:tc>
        <w:tc>
          <w:tcPr>
            <w:tcW w:w="150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5.7</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Business Services</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rPr>
                <w:sz w:val="20"/>
                <w:szCs w:val="20"/>
                <w:color w:val="auto"/>
              </w:rPr>
            </w:pPr>
            <w:r>
              <w:rPr>
                <w:rFonts w:ascii="Arial" w:cs="Arial" w:eastAsia="Arial" w:hAnsi="Arial"/>
                <w:sz w:val="14"/>
                <w:szCs w:val="14"/>
                <w:color w:val="auto"/>
              </w:rPr>
              <w:t>Component Manufacturing</w:t>
            </w:r>
          </w:p>
        </w:tc>
        <w:tc>
          <w:tcPr>
            <w:tcW w:w="150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9.0</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Specialty Distribution</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rPr>
                <w:sz w:val="20"/>
                <w:szCs w:val="20"/>
                <w:color w:val="auto"/>
              </w:rPr>
            </w:pPr>
            <w:r>
              <w:rPr>
                <w:rFonts w:ascii="Arial" w:cs="Arial" w:eastAsia="Arial" w:hAnsi="Arial"/>
                <w:sz w:val="14"/>
                <w:szCs w:val="14"/>
                <w:color w:val="auto"/>
              </w:rPr>
              <w:t>Aerospace &amp; Defense Manufacturing</w:t>
            </w:r>
          </w:p>
        </w:tc>
        <w:tc>
          <w:tcPr>
            <w:tcW w:w="150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6.1</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 Products Manufacturing</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rPr>
                <w:sz w:val="20"/>
                <w:szCs w:val="20"/>
                <w:color w:val="auto"/>
              </w:rPr>
            </w:pPr>
            <w:r>
              <w:rPr>
                <w:rFonts w:ascii="Arial" w:cs="Arial" w:eastAsia="Arial" w:hAnsi="Arial"/>
                <w:sz w:val="14"/>
                <w:szCs w:val="14"/>
                <w:color w:val="auto"/>
              </w:rPr>
              <w:t>Healthcare Services</w:t>
            </w:r>
          </w:p>
        </w:tc>
        <w:tc>
          <w:tcPr>
            <w:tcW w:w="150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3.5</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Promotional Products</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20"/>
              <w:spacing w:after="0"/>
              <w:rPr>
                <w:sz w:val="20"/>
                <w:szCs w:val="20"/>
                <w:color w:val="auto"/>
              </w:rPr>
            </w:pPr>
            <w:r>
              <w:rPr>
                <w:rFonts w:ascii="Arial" w:cs="Arial" w:eastAsia="Arial" w:hAnsi="Arial"/>
                <w:sz w:val="14"/>
                <w:szCs w:val="14"/>
                <w:color w:val="auto"/>
              </w:rPr>
              <w:t>Transportation Services</w:t>
            </w:r>
          </w:p>
        </w:tc>
        <w:tc>
          <w:tcPr>
            <w:tcW w:w="150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Environmental Industries</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20"/>
              <w:spacing w:after="0"/>
              <w:rPr>
                <w:sz w:val="20"/>
                <w:szCs w:val="20"/>
                <w:color w:val="auto"/>
              </w:rPr>
            </w:pPr>
            <w:r>
              <w:rPr>
                <w:rFonts w:ascii="Arial" w:cs="Arial" w:eastAsia="Arial" w:hAnsi="Arial"/>
                <w:sz w:val="14"/>
                <w:szCs w:val="14"/>
                <w:color w:val="auto"/>
              </w:rPr>
              <w:t>Consumer Products</w:t>
            </w:r>
          </w:p>
        </w:tc>
        <w:tc>
          <w:tcPr>
            <w:tcW w:w="15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Oil &amp; Gas Services</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20"/>
              <w:spacing w:after="0"/>
              <w:rPr>
                <w:sz w:val="20"/>
                <w:szCs w:val="20"/>
                <w:color w:val="auto"/>
              </w:rPr>
            </w:pPr>
            <w:r>
              <w:rPr>
                <w:rFonts w:ascii="Arial" w:cs="Arial" w:eastAsia="Arial" w:hAnsi="Arial"/>
                <w:sz w:val="14"/>
                <w:szCs w:val="14"/>
                <w:color w:val="auto"/>
              </w:rPr>
              <w:t>Utilities: Services</w:t>
            </w:r>
          </w:p>
        </w:tc>
        <w:tc>
          <w:tcPr>
            <w:tcW w:w="15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Industrial Cleaning &amp; Coatings</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rPr>
                <w:sz w:val="20"/>
                <w:szCs w:val="20"/>
                <w:color w:val="auto"/>
              </w:rPr>
            </w:pPr>
            <w:r>
              <w:rPr>
                <w:rFonts w:ascii="Arial" w:cs="Arial" w:eastAsia="Arial" w:hAnsi="Arial"/>
                <w:sz w:val="14"/>
                <w:szCs w:val="14"/>
                <w:color w:val="auto"/>
              </w:rPr>
              <w:t>Retail</w:t>
            </w:r>
          </w:p>
        </w:tc>
        <w:tc>
          <w:tcPr>
            <w:tcW w:w="15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Restaurants</w:t>
            </w:r>
          </w:p>
        </w:tc>
        <w:tc>
          <w:tcPr>
            <w:tcW w:w="150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0.0</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81"/>
              </w:rPr>
              <w:t>(1)</w:t>
            </w:r>
          </w:p>
        </w:tc>
        <w:tc>
          <w:tcPr>
            <w:tcW w:w="3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0.0</w:t>
            </w:r>
          </w:p>
        </w:tc>
        <w:tc>
          <w:tcPr>
            <w:tcW w:w="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81"/>
              </w:rPr>
              <w:t>(1)</w:t>
            </w:r>
          </w:p>
        </w:tc>
        <w:tc>
          <w:tcPr>
            <w:tcW w:w="148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0.1</w:t>
            </w:r>
          </w:p>
        </w:tc>
        <w:tc>
          <w:tcPr>
            <w:tcW w:w="3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0.1</w:t>
            </w:r>
          </w:p>
        </w:tc>
        <w:tc>
          <w:tcPr>
            <w:tcW w:w="3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rPr>
                <w:sz w:val="20"/>
                <w:szCs w:val="20"/>
                <w:color w:val="auto"/>
              </w:rPr>
            </w:pPr>
            <w:r>
              <w:rPr>
                <w:rFonts w:ascii="Arial" w:cs="Arial" w:eastAsia="Arial" w:hAnsi="Arial"/>
                <w:sz w:val="14"/>
                <w:szCs w:val="14"/>
                <w:color w:val="auto"/>
              </w:rPr>
              <w:t>Specialty Chemicals</w:t>
            </w:r>
          </w:p>
        </w:tc>
        <w:tc>
          <w:tcPr>
            <w:tcW w:w="150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5"/>
                <w:szCs w:val="15"/>
                <w:color w:val="auto"/>
              </w:rPr>
            </w:pPr>
          </w:p>
        </w:tc>
        <w:tc>
          <w:tcPr>
            <w:tcW w:w="220" w:type="dxa"/>
            <w:vAlign w:val="bottom"/>
          </w:tcPr>
          <w:p>
            <w:pPr>
              <w:jc w:val="right"/>
              <w:ind w:right="52"/>
              <w:spacing w:after="0"/>
              <w:rPr>
                <w:sz w:val="20"/>
                <w:szCs w:val="20"/>
                <w:color w:val="auto"/>
              </w:rPr>
            </w:pPr>
            <w:r>
              <w:rPr>
                <w:rFonts w:ascii="Arial" w:cs="Arial" w:eastAsia="Arial" w:hAnsi="Arial"/>
                <w:sz w:val="10"/>
                <w:szCs w:val="10"/>
                <w:color w:val="auto"/>
                <w:w w:val="81"/>
              </w:rPr>
              <w:t>(1)</w:t>
            </w:r>
          </w:p>
        </w:tc>
        <w:tc>
          <w:tcPr>
            <w:tcW w:w="300" w:type="dxa"/>
            <w:vAlign w:val="bottom"/>
          </w:tcPr>
          <w:p>
            <w:pPr>
              <w:spacing w:after="0"/>
              <w:rPr>
                <w:sz w:val="15"/>
                <w:szCs w:val="15"/>
                <w:color w:val="auto"/>
              </w:rPr>
            </w:pPr>
          </w:p>
        </w:tc>
        <w:tc>
          <w:tcPr>
            <w:tcW w:w="1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0.0</w:t>
            </w:r>
          </w:p>
        </w:tc>
        <w:tc>
          <w:tcPr>
            <w:tcW w:w="320" w:type="dxa"/>
            <w:vAlign w:val="bottom"/>
          </w:tcPr>
          <w:p>
            <w:pPr>
              <w:jc w:val="right"/>
              <w:ind w:right="36"/>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Utility Equipment Manufacturing</w:t>
            </w:r>
          </w:p>
        </w:tc>
        <w:tc>
          <w:tcPr>
            <w:tcW w:w="16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Vending Equipment Manufacturing</w:t>
            </w: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0"/>
                <w:szCs w:val="10"/>
                <w:color w:val="auto"/>
              </w:rPr>
            </w:pPr>
          </w:p>
        </w:tc>
        <w:tc>
          <w:tcPr>
            <w:tcW w:w="220" w:type="dxa"/>
            <w:vAlign w:val="bottom"/>
          </w:tcPr>
          <w:p>
            <w:pPr>
              <w:jc w:val="right"/>
              <w:ind w:right="52"/>
              <w:spacing w:after="0"/>
              <w:rPr>
                <w:sz w:val="20"/>
                <w:szCs w:val="20"/>
                <w:color w:val="auto"/>
              </w:rPr>
            </w:pPr>
            <w:r>
              <w:rPr>
                <w:rFonts w:ascii="Arial" w:cs="Arial" w:eastAsia="Arial" w:hAnsi="Arial"/>
                <w:sz w:val="10"/>
                <w:szCs w:val="10"/>
                <w:color w:val="auto"/>
                <w:w w:val="81"/>
              </w:rPr>
              <w:t>(1)</w:t>
            </w:r>
          </w:p>
        </w:tc>
        <w:tc>
          <w:tcPr>
            <w:tcW w:w="30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0" w:type="dxa"/>
            <w:vAlign w:val="bottom"/>
            <w:gridSpan w:val="3"/>
            <w:vMerge w:val="restart"/>
          </w:tcPr>
          <w:p>
            <w:pPr>
              <w:jc w:val="right"/>
              <w:ind w:right="540"/>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7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0" w:type="dxa"/>
            <w:vAlign w:val="bottom"/>
            <w:gridSpan w:val="3"/>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w:t>
            </w:r>
          </w:p>
        </w:tc>
        <w:tc>
          <w:tcPr>
            <w:tcW w:w="1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320" w:type="dxa"/>
            <w:vAlign w:val="bottom"/>
            <w:tcBorders>
              <w:bottom w:val="single" w:sz="8" w:color="CCEEFF"/>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w w:val="79"/>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320" w:type="dxa"/>
            <w:vAlign w:val="bottom"/>
            <w:tcBorders>
              <w:bottom w:val="single" w:sz="8" w:color="CCEEFF"/>
            </w:tcBorders>
            <w:shd w:val="clear" w:color="auto" w:fill="CCEEFF"/>
          </w:tcPr>
          <w:p>
            <w:pPr>
              <w:jc w:val="right"/>
              <w:ind w:right="136"/>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3"/>
        </w:trPr>
        <w:tc>
          <w:tcPr>
            <w:tcW w:w="3740" w:type="dxa"/>
            <w:vAlign w:val="bottom"/>
          </w:tcPr>
          <w:p>
            <w:pPr>
              <w:spacing w:after="0"/>
              <w:rPr>
                <w:sz w:val="20"/>
                <w:szCs w:val="20"/>
                <w:color w:val="auto"/>
              </w:rPr>
            </w:pPr>
            <w:r>
              <w:rPr>
                <w:rFonts w:ascii="Arial" w:cs="Arial" w:eastAsia="Arial" w:hAnsi="Arial"/>
                <w:sz w:val="14"/>
                <w:szCs w:val="14"/>
                <w:color w:val="auto"/>
              </w:rPr>
              <w:t>(1) Percentage is less than 0.1% of respective total.</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-140970</wp:posOffset>
            </wp:positionV>
            <wp:extent cx="7747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-123825</wp:posOffset>
            </wp:positionV>
            <wp:extent cx="7747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-140970</wp:posOffset>
            </wp:positionV>
            <wp:extent cx="7683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-123825</wp:posOffset>
            </wp:positionV>
            <wp:extent cx="768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-140970</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-123825</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-140970</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-123825</wp:posOffset>
            </wp:positionV>
            <wp:extent cx="685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Asset Quality</w:t>
      </w:r>
    </w:p>
    <w:p>
      <w:pPr>
        <w:spacing w:after="0" w:line="162"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128" w:lineRule="exact"/>
        <w:rPr>
          <w:sz w:val="20"/>
          <w:szCs w:val="20"/>
          <w:color w:val="auto"/>
        </w:rPr>
      </w:pPr>
    </w:p>
    <w:p>
      <w:pPr>
        <w:ind w:left="1020" w:right="4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2" w:lineRule="exact"/>
        <w:rPr>
          <w:rFonts w:ascii="Arial" w:cs="Arial" w:eastAsia="Arial" w:hAnsi="Arial"/>
          <w:sz w:val="18"/>
          <w:szCs w:val="18"/>
          <w:color w:val="auto"/>
        </w:rPr>
      </w:pPr>
    </w:p>
    <w:p>
      <w:pPr>
        <w:ind w:left="1020" w:right="60" w:hanging="503"/>
        <w:spacing w:after="0" w:line="234"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2" w:lineRule="exact"/>
        <w:rPr>
          <w:rFonts w:ascii="Arial" w:cs="Arial" w:eastAsia="Arial" w:hAnsi="Arial"/>
          <w:sz w:val="18"/>
          <w:szCs w:val="18"/>
          <w:color w:val="auto"/>
        </w:rPr>
      </w:pPr>
    </w:p>
    <w:p>
      <w:pPr>
        <w:ind w:left="1020" w:right="60" w:hanging="503"/>
        <w:spacing w:after="0" w:line="234"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2" w:lineRule="exact"/>
        <w:rPr>
          <w:rFonts w:ascii="Arial" w:cs="Arial" w:eastAsia="Arial" w:hAnsi="Arial"/>
          <w:sz w:val="18"/>
          <w:szCs w:val="18"/>
          <w:color w:val="auto"/>
        </w:rPr>
      </w:pPr>
    </w:p>
    <w:p>
      <w:pPr>
        <w:ind w:left="1020" w:right="40" w:hanging="503"/>
        <w:spacing w:after="0" w:line="234"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spacing w:after="0" w:line="1" w:lineRule="exact"/>
        <w:rPr>
          <w:rFonts w:ascii="Arial" w:cs="Arial" w:eastAsia="Arial" w:hAnsi="Arial"/>
          <w:sz w:val="18"/>
          <w:szCs w:val="18"/>
          <w:color w:val="auto"/>
        </w:rPr>
      </w:pPr>
    </w:p>
    <w:p>
      <w:pPr>
        <w:ind w:left="1020" w:right="100" w:hanging="503"/>
        <w:spacing w:after="0" w:line="24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32" w:lineRule="exact"/>
        <w:rPr>
          <w:sz w:val="20"/>
          <w:szCs w:val="20"/>
          <w:color w:val="auto"/>
        </w:rPr>
      </w:pPr>
    </w:p>
    <w:p>
      <w:pPr>
        <w:jc w:val="both"/>
        <w:ind w:firstLine="479"/>
        <w:spacing w:after="0" w:line="248" w:lineRule="auto"/>
        <w:rPr>
          <w:sz w:val="20"/>
          <w:szCs w:val="20"/>
          <w:color w:val="auto"/>
        </w:rPr>
      </w:pPr>
      <w:r>
        <w:rPr>
          <w:rFonts w:ascii="Arial" w:cs="Arial" w:eastAsia="Arial" w:hAnsi="Arial"/>
          <w:sz w:val="18"/>
          <w:szCs w:val="18"/>
          <w:color w:val="auto"/>
        </w:rPr>
        <w:t>As the COVID-19 pandemic continues to evolve, we are maintaining close communications with our portfolio companies to proactively assess and manage risks across our investment portfolio. We have also increased oversight and analysis of credits in vulnerable industries in an attempt to improve performance and reduce credit risk.</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shows the distribution of our investments on the 1 to 5 investment rating scale at fair value and cost as of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(dollars in millions):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5"/>
        </w:trPr>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Fair Value</w:t>
            </w: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w w:val="89"/>
              </w:rPr>
              <w:t>Cost</w:t>
            </w: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60"/>
        </w:trPr>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3"/>
          </w:tcPr>
          <w:p>
            <w:pPr>
              <w:jc w:val="center"/>
              <w:ind w:left="148"/>
              <w:spacing w:after="0" w:line="160" w:lineRule="exact"/>
              <w:rPr>
                <w:sz w:val="20"/>
                <w:szCs w:val="20"/>
                <w:color w:val="auto"/>
              </w:rPr>
            </w:pPr>
            <w:r>
              <w:rPr>
                <w:rFonts w:ascii="Arial" w:cs="Arial" w:eastAsia="Arial" w:hAnsi="Arial"/>
                <w:sz w:val="14"/>
                <w:szCs w:val="14"/>
                <w:b w:val="1"/>
                <w:bCs w:val="1"/>
                <w:color w:val="auto"/>
                <w:w w:val="89"/>
              </w:rPr>
              <w:t>June 30,</w:t>
            </w: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3"/>
          </w:tcPr>
          <w:p>
            <w:pPr>
              <w:jc w:val="center"/>
              <w:ind w:left="4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2"/>
          </w:tcPr>
          <w:p>
            <w:pPr>
              <w:jc w:val="center"/>
              <w:ind w:left="188"/>
              <w:spacing w:after="0" w:line="160" w:lineRule="exact"/>
              <w:rPr>
                <w:sz w:val="20"/>
                <w:szCs w:val="20"/>
                <w:color w:val="auto"/>
              </w:rPr>
            </w:pPr>
            <w:r>
              <w:rPr>
                <w:rFonts w:ascii="Arial" w:cs="Arial" w:eastAsia="Arial" w:hAnsi="Arial"/>
                <w:sz w:val="14"/>
                <w:szCs w:val="14"/>
                <w:b w:val="1"/>
                <w:bCs w:val="1"/>
                <w:color w:val="auto"/>
                <w:w w:val="92"/>
              </w:rPr>
              <w:t>June 30,</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3"/>
          </w:tcPr>
          <w:p>
            <w:pPr>
              <w:jc w:val="center"/>
              <w:ind w:left="48"/>
              <w:spacing w:after="0" w:line="160" w:lineRule="exact"/>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85"/>
        </w:trPr>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Rating</w:t>
            </w:r>
          </w:p>
        </w:tc>
        <w:tc>
          <w:tcPr>
            <w:tcW w:w="34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69"/>
        </w:trPr>
        <w:tc>
          <w:tcPr>
            <w:tcW w:w="1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123.5</w:t>
            </w:r>
          </w:p>
        </w:tc>
        <w:tc>
          <w:tcPr>
            <w:tcW w:w="28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520" w:type="dxa"/>
            <w:vAlign w:val="bottom"/>
            <w:shd w:val="clear" w:color="auto" w:fill="CFF0FC"/>
          </w:tcPr>
          <w:p>
            <w:pPr>
              <w:jc w:val="right"/>
              <w:ind w:right="328"/>
              <w:spacing w:after="0"/>
              <w:rPr>
                <w:sz w:val="20"/>
                <w:szCs w:val="20"/>
                <w:color w:val="auto"/>
              </w:rPr>
            </w:pPr>
            <w:r>
              <w:rPr>
                <w:rFonts w:ascii="Arial" w:cs="Arial" w:eastAsia="Arial" w:hAnsi="Arial"/>
                <w:sz w:val="14"/>
                <w:szCs w:val="14"/>
                <w:color w:val="auto"/>
                <w:w w:val="79"/>
              </w:rPr>
              <w:t>%</w:t>
            </w: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119.8</w:t>
            </w:r>
          </w:p>
        </w:tc>
        <w:tc>
          <w:tcPr>
            <w:tcW w:w="28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520" w:type="dxa"/>
            <w:vAlign w:val="bottom"/>
            <w:shd w:val="clear" w:color="auto" w:fill="CFF0FC"/>
          </w:tcPr>
          <w:p>
            <w:pPr>
              <w:jc w:val="right"/>
              <w:ind w:right="328"/>
              <w:spacing w:after="0"/>
              <w:rPr>
                <w:sz w:val="20"/>
                <w:szCs w:val="20"/>
                <w:color w:val="auto"/>
              </w:rPr>
            </w:pPr>
            <w:r>
              <w:rPr>
                <w:rFonts w:ascii="Arial" w:cs="Arial" w:eastAsia="Arial" w:hAnsi="Arial"/>
                <w:sz w:val="14"/>
                <w:szCs w:val="14"/>
                <w:color w:val="auto"/>
                <w:w w:val="79"/>
              </w:rPr>
              <w:t>%</w:t>
            </w: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35.2</w:t>
            </w:r>
          </w:p>
        </w:tc>
        <w:tc>
          <w:tcPr>
            <w:tcW w:w="26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w:t>
            </w:r>
          </w:p>
        </w:tc>
        <w:tc>
          <w:tcPr>
            <w:tcW w:w="36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19.1</w:t>
            </w:r>
          </w:p>
        </w:tc>
        <w:tc>
          <w:tcPr>
            <w:tcW w:w="2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3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96"/>
              </w:rPr>
              <w:t>%</w:t>
            </w:r>
          </w:p>
        </w:tc>
      </w:tr>
      <w:tr>
        <w:trPr>
          <w:trHeight w:val="176"/>
        </w:trPr>
        <w:tc>
          <w:tcPr>
            <w:tcW w:w="1520" w:type="dxa"/>
            <w:vAlign w:val="bottom"/>
          </w:tcPr>
          <w:p>
            <w:pPr>
              <w:ind w:left="20"/>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638.7</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78.8</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566.7</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78.8</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631.5</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556.1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89.4</w:t>
            </w:r>
          </w:p>
        </w:tc>
        <w:tc>
          <w:tcPr>
            <w:tcW w:w="340" w:type="dxa"/>
            <w:vAlign w:val="bottom"/>
          </w:tcPr>
          <w:p>
            <w:pPr>
              <w:spacing w:after="0"/>
              <w:rPr>
                <w:sz w:val="15"/>
                <w:szCs w:val="15"/>
                <w:color w:val="auto"/>
              </w:rPr>
            </w:pPr>
          </w:p>
        </w:tc>
      </w:tr>
      <w:tr>
        <w:trPr>
          <w:trHeight w:val="175"/>
        </w:trPr>
        <w:tc>
          <w:tcPr>
            <w:tcW w:w="1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3</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45.7</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5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w:t>
            </w:r>
          </w:p>
        </w:tc>
        <w:tc>
          <w:tcPr>
            <w:tcW w:w="2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340" w:type="dxa"/>
            <w:vAlign w:val="bottom"/>
            <w:shd w:val="clear" w:color="auto" w:fill="CFF0FC"/>
          </w:tcPr>
          <w:p>
            <w:pPr>
              <w:spacing w:after="0"/>
              <w:rPr>
                <w:sz w:val="15"/>
                <w:szCs w:val="15"/>
                <w:color w:val="auto"/>
              </w:rPr>
            </w:pPr>
          </w:p>
        </w:tc>
      </w:tr>
      <w:tr>
        <w:trPr>
          <w:trHeight w:val="176"/>
        </w:trPr>
        <w:tc>
          <w:tcPr>
            <w:tcW w:w="1520" w:type="dxa"/>
            <w:vAlign w:val="bottom"/>
          </w:tcPr>
          <w:p>
            <w:pPr>
              <w:ind w:left="20"/>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0.2</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0.9</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0.5</w:t>
            </w:r>
          </w:p>
        </w:tc>
        <w:tc>
          <w:tcPr>
            <w:tcW w:w="340" w:type="dxa"/>
            <w:vAlign w:val="bottom"/>
          </w:tcPr>
          <w:p>
            <w:pPr>
              <w:spacing w:after="0"/>
              <w:rPr>
                <w:sz w:val="15"/>
                <w:szCs w:val="15"/>
                <w:color w:val="auto"/>
              </w:rPr>
            </w:pPr>
          </w:p>
        </w:tc>
      </w:tr>
      <w:tr>
        <w:trPr>
          <w:trHeight w:val="176"/>
        </w:trPr>
        <w:tc>
          <w:tcPr>
            <w:tcW w:w="1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5</w:t>
            </w:r>
          </w:p>
        </w:tc>
        <w:tc>
          <w:tcPr>
            <w:tcW w:w="1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5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2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340" w:type="dxa"/>
            <w:vAlign w:val="bottom"/>
            <w:tcBorders>
              <w:bottom w:val="single" w:sz="8" w:color="CFF0FC"/>
            </w:tcBorders>
            <w:shd w:val="clear" w:color="auto" w:fill="CFF0FC"/>
          </w:tcPr>
          <w:p>
            <w:pPr>
              <w:spacing w:after="0"/>
              <w:rPr>
                <w:sz w:val="15"/>
                <w:szCs w:val="15"/>
                <w:color w:val="auto"/>
              </w:rPr>
            </w:pPr>
          </w:p>
        </w:tc>
      </w:tr>
      <w:tr>
        <w:trPr>
          <w:trHeight w:val="169"/>
        </w:trPr>
        <w:tc>
          <w:tcPr>
            <w:tcW w:w="16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w:t>
            </w: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810.5</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328"/>
              <w:spacing w:after="0" w:line="155" w:lineRule="exact"/>
              <w:rPr>
                <w:sz w:val="20"/>
                <w:szCs w:val="20"/>
                <w:color w:val="auto"/>
              </w:rPr>
            </w:pPr>
            <w:r>
              <w:rPr>
                <w:rFonts w:ascii="Arial" w:cs="Arial" w:eastAsia="Arial" w:hAnsi="Arial"/>
                <w:sz w:val="14"/>
                <w:szCs w:val="14"/>
                <w:color w:val="auto"/>
              </w:rPr>
              <w:t>100.0 %</w:t>
            </w: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719.1</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right"/>
              <w:ind w:right="328"/>
              <w:spacing w:after="0" w:line="155" w:lineRule="exact"/>
              <w:rPr>
                <w:sz w:val="20"/>
                <w:szCs w:val="20"/>
                <w:color w:val="auto"/>
              </w:rPr>
            </w:pPr>
            <w:r>
              <w:rPr>
                <w:rFonts w:ascii="Arial" w:cs="Arial" w:eastAsia="Arial" w:hAnsi="Arial"/>
                <w:sz w:val="14"/>
                <w:szCs w:val="14"/>
                <w:color w:val="auto"/>
              </w:rPr>
              <w:t>100.0 %</w:t>
            </w:r>
          </w:p>
        </w:tc>
        <w:tc>
          <w:tcPr>
            <w:tcW w:w="320" w:type="dxa"/>
            <w:vAlign w:val="bottom"/>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739.7</w:t>
            </w:r>
          </w:p>
        </w:tc>
        <w:tc>
          <w:tcPr>
            <w:tcW w:w="260" w:type="dxa"/>
            <w:vAlign w:val="bottom"/>
          </w:tcPr>
          <w:p>
            <w:pPr>
              <w:spacing w:after="0"/>
              <w:rPr>
                <w:sz w:val="14"/>
                <w:szCs w:val="14"/>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100.0 %</w:t>
            </w:r>
          </w:p>
        </w:tc>
        <w:tc>
          <w:tcPr>
            <w:tcW w:w="64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621.8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100.0 %</w:t>
            </w:r>
          </w:p>
        </w:tc>
      </w:tr>
      <w:tr>
        <w:trPr>
          <w:trHeight w:val="20"/>
        </w:trPr>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-142240</wp:posOffset>
            </wp:positionV>
            <wp:extent cx="76835"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-142240</wp:posOffset>
            </wp:positionV>
            <wp:extent cx="76835"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-142240</wp:posOffset>
            </wp:positionV>
            <wp:extent cx="7747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-142240</wp:posOffset>
            </wp:positionV>
            <wp:extent cx="7747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-142240</wp:posOffset>
            </wp:positionV>
            <wp:extent cx="6858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-142240</wp:posOffset>
            </wp:positionV>
            <wp:extent cx="68580"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-142240</wp:posOffset>
            </wp:positionV>
            <wp:extent cx="68580"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-142240</wp:posOffset>
            </wp:positionV>
            <wp:extent cx="68580"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28" w:lineRule="exact"/>
        <w:rPr>
          <w:sz w:val="20"/>
          <w:szCs w:val="20"/>
          <w:color w:val="auto"/>
        </w:rPr>
      </w:pPr>
    </w:p>
    <w:p>
      <w:pPr>
        <w:jc w:val="both"/>
        <w:ind w:right="80" w:firstLine="478"/>
        <w:spacing w:after="0" w:line="261" w:lineRule="auto"/>
        <w:rPr>
          <w:sz w:val="20"/>
          <w:szCs w:val="20"/>
          <w:color w:val="auto"/>
        </w:rPr>
      </w:pPr>
      <w:r>
        <w:rPr>
          <w:rFonts w:ascii="Arial" w:cs="Arial" w:eastAsia="Arial" w:hAnsi="Arial"/>
          <w:sz w:val="18"/>
          <w:szCs w:val="18"/>
          <w:color w:val="auto"/>
        </w:rPr>
        <w:t>Based on our investment rating system, the weighted average rating of our portfolio as of June 30, 2022 and December 31, 2021 was 1.9 and 1.9, respectively, on a fair value basis and 2.1 and 2.1, respectively, on a cost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w:t>
      </w:r>
    </w:p>
    <w:p>
      <w:pPr>
        <w:spacing w:after="0" w:line="158" w:lineRule="exact"/>
        <w:rPr>
          <w:sz w:val="20"/>
          <w:szCs w:val="20"/>
          <w:color w:val="auto"/>
        </w:rPr>
      </w:pPr>
    </w:p>
    <w:p>
      <w:pPr>
        <w:jc w:val="both"/>
        <w:ind w:right="80" w:firstLine="509"/>
        <w:spacing w:after="0" w:line="247" w:lineRule="auto"/>
        <w:rPr>
          <w:sz w:val="20"/>
          <w:szCs w:val="20"/>
          <w:color w:val="auto"/>
        </w:rPr>
      </w:pPr>
      <w:r>
        <w:rPr>
          <w:rFonts w:ascii="Arial" w:cs="Arial" w:eastAsia="Arial" w:hAnsi="Arial"/>
          <w:sz w:val="18"/>
          <w:szCs w:val="18"/>
          <w:color w:val="auto"/>
        </w:rPr>
        <w:t>As of June 30, 2022, we had debt investments in three portfolio companies on non-accrual status. As of December 31, 2021, we had a debt investment in one portfolio company on non-accrual status (dollars in millions).</w:t>
      </w:r>
    </w:p>
    <w:tbl>
      <w:tblPr>
        <w:tblLayout w:type="fixed"/>
        <w:tblInd w:w="0" w:type="dxa"/>
        <w:tblCellMar>
          <w:top w:w="0" w:type="dxa"/>
          <w:left w:w="0" w:type="dxa"/>
          <w:bottom w:w="0" w:type="dxa"/>
          <w:right w:w="0" w:type="dxa"/>
        </w:tblCellMar>
      </w:tblPr>
      <w:tr>
        <w:trPr>
          <w:trHeight w:val="169"/>
        </w:trPr>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center"/>
              <w:ind w:right="168"/>
              <w:spacing w:after="0"/>
              <w:rPr>
                <w:sz w:val="20"/>
                <w:szCs w:val="20"/>
                <w:color w:val="auto"/>
              </w:rPr>
            </w:pPr>
            <w:r>
              <w:rPr>
                <w:rFonts w:ascii="Arial" w:cs="Arial" w:eastAsia="Arial" w:hAnsi="Arial"/>
                <w:sz w:val="14"/>
                <w:szCs w:val="14"/>
                <w:b w:val="1"/>
                <w:bCs w:val="1"/>
                <w:color w:val="auto"/>
                <w:w w:val="91"/>
              </w:rPr>
              <w:t>December 31, 2021</w:t>
            </w:r>
          </w:p>
        </w:tc>
        <w:tc>
          <w:tcPr>
            <w:tcW w:w="300" w:type="dxa"/>
            <w:vAlign w:val="bottom"/>
          </w:tcPr>
          <w:p>
            <w:pPr>
              <w:spacing w:after="0"/>
              <w:rPr>
                <w:sz w:val="14"/>
                <w:szCs w:val="14"/>
                <w:color w:val="auto"/>
              </w:rPr>
            </w:pPr>
          </w:p>
        </w:tc>
      </w:tr>
      <w:tr>
        <w:trPr>
          <w:trHeight w:val="160"/>
        </w:trPr>
        <w:tc>
          <w:tcPr>
            <w:tcW w:w="5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348"/>
              <w:spacing w:after="0" w:line="160"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ind w:left="180"/>
              <w:spacing w:after="0" w:line="160"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85"/>
        </w:trPr>
        <w:tc>
          <w:tcPr>
            <w:tcW w:w="568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Portfolio Company</w:t>
            </w:r>
          </w:p>
        </w:tc>
        <w:tc>
          <w:tcPr>
            <w:tcW w:w="220" w:type="dxa"/>
            <w:vAlign w:val="bottom"/>
          </w:tcPr>
          <w:p>
            <w:pPr>
              <w:spacing w:after="0"/>
              <w:rPr>
                <w:sz w:val="16"/>
                <w:szCs w:val="16"/>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6"/>
                <w:szCs w:val="16"/>
                <w:color w:val="auto"/>
              </w:rPr>
            </w:pPr>
          </w:p>
        </w:tc>
      </w:tr>
      <w:tr>
        <w:trPr>
          <w:trHeight w:val="169"/>
        </w:trPr>
        <w:tc>
          <w:tcPr>
            <w:tcW w:w="5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EBL, LLC (EbLens)</w:t>
            </w:r>
          </w:p>
        </w:tc>
        <w:tc>
          <w:tcPr>
            <w:tcW w:w="18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8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26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w w:val="99"/>
              </w:rPr>
              <w:t>—</w:t>
            </w:r>
          </w:p>
        </w:tc>
        <w:tc>
          <w:tcPr>
            <w:tcW w:w="300" w:type="dxa"/>
            <w:vAlign w:val="bottom"/>
            <w:shd w:val="clear" w:color="auto" w:fill="CCEEFF"/>
          </w:tcPr>
          <w:p>
            <w:pPr>
              <w:jc w:val="center"/>
              <w:ind w:left="12"/>
              <w:spacing w:after="0"/>
              <w:rPr>
                <w:sz w:val="20"/>
                <w:szCs w:val="20"/>
                <w:color w:val="auto"/>
              </w:rPr>
            </w:pPr>
            <w:r>
              <w:rPr>
                <w:rFonts w:ascii="Arial" w:cs="Arial" w:eastAsia="Arial" w:hAnsi="Arial"/>
                <w:sz w:val="10"/>
                <w:szCs w:val="10"/>
                <w:color w:val="auto"/>
                <w:w w:val="97"/>
              </w:rPr>
              <w:t>(1)</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w:t>
            </w:r>
          </w:p>
        </w:tc>
      </w:tr>
      <w:tr>
        <w:trPr>
          <w:trHeight w:val="175"/>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US GreenFiber, LLC</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300" w:type="dxa"/>
            <w:vAlign w:val="bottom"/>
          </w:tcPr>
          <w:p>
            <w:pPr>
              <w:jc w:val="center"/>
              <w:ind w:left="12"/>
              <w:spacing w:after="0"/>
              <w:rPr>
                <w:sz w:val="20"/>
                <w:szCs w:val="20"/>
                <w:color w:val="auto"/>
              </w:rPr>
            </w:pPr>
            <w:r>
              <w:rPr>
                <w:rFonts w:ascii="Arial" w:cs="Arial" w:eastAsia="Arial" w:hAnsi="Arial"/>
                <w:sz w:val="10"/>
                <w:szCs w:val="10"/>
                <w:color w:val="auto"/>
                <w:w w:val="97"/>
              </w:rPr>
              <w:t>(2)</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w:t>
            </w:r>
          </w:p>
        </w:tc>
        <w:tc>
          <w:tcPr>
            <w:tcW w:w="300" w:type="dxa"/>
            <w:vAlign w:val="bottom"/>
          </w:tcPr>
          <w:p>
            <w:pPr>
              <w:jc w:val="right"/>
              <w:ind w:right="12"/>
              <w:spacing w:after="0"/>
              <w:rPr>
                <w:sz w:val="20"/>
                <w:szCs w:val="20"/>
                <w:color w:val="auto"/>
              </w:rPr>
            </w:pPr>
            <w:r>
              <w:rPr>
                <w:rFonts w:ascii="Arial" w:cs="Arial" w:eastAsia="Arial" w:hAnsi="Arial"/>
                <w:sz w:val="10"/>
                <w:szCs w:val="10"/>
                <w:color w:val="auto"/>
              </w:rPr>
              <w:t>(2)</w:t>
            </w:r>
          </w:p>
        </w:tc>
      </w:tr>
      <w:tr>
        <w:trPr>
          <w:trHeight w:val="176"/>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K2 Merger Agreement Agent, LLC (fka K2 Industrial Services, Inc.)</w:t>
            </w: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w w:val="99"/>
              </w:rPr>
              <w:t>—</w:t>
            </w:r>
          </w:p>
        </w:tc>
        <w:tc>
          <w:tcPr>
            <w:tcW w:w="30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0"/>
                <w:szCs w:val="10"/>
                <w:color w:val="auto"/>
                <w:w w:val="97"/>
              </w:rPr>
              <w:t>(1)</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(1)</w:t>
            </w:r>
          </w:p>
        </w:tc>
      </w:tr>
      <w:tr>
        <w:trPr>
          <w:trHeight w:val="169"/>
        </w:trPr>
        <w:tc>
          <w:tcPr>
            <w:tcW w:w="56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w:t>
            </w: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7.8</w:t>
            </w:r>
          </w:p>
        </w:tc>
        <w:tc>
          <w:tcPr>
            <w:tcW w:w="620" w:type="dxa"/>
            <w:vAlign w:val="bottom"/>
            <w:gridSpan w:val="2"/>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16.9</w:t>
            </w:r>
          </w:p>
        </w:tc>
        <w:tc>
          <w:tcPr>
            <w:tcW w:w="48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ind w:left="700"/>
              <w:spacing w:after="0" w:line="155" w:lineRule="exact"/>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4"/>
                <w:szCs w:val="14"/>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5.2</w:t>
            </w:r>
          </w:p>
        </w:tc>
        <w:tc>
          <w:tcPr>
            <w:tcW w:w="300" w:type="dxa"/>
            <w:vAlign w:val="bottom"/>
          </w:tcPr>
          <w:p>
            <w:pPr>
              <w:spacing w:after="0"/>
              <w:rPr>
                <w:sz w:val="14"/>
                <w:szCs w:val="14"/>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-142240</wp:posOffset>
            </wp:positionV>
            <wp:extent cx="77470" cy="1428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470" cy="14287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-142240</wp:posOffset>
            </wp:positionV>
            <wp:extent cx="68580" cy="1428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14287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-142240</wp:posOffset>
            </wp:positionV>
            <wp:extent cx="68580" cy="1428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14287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-142240</wp:posOffset>
            </wp:positionV>
            <wp:extent cx="68580" cy="14287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142875"/>
                    </a:xfrm>
                    <a:prstGeom prst="rect">
                      <a:avLst/>
                    </a:prstGeom>
                    <a:noFill/>
                  </pic:spPr>
                </pic:pic>
              </a:graphicData>
            </a:graphic>
          </wp:anchor>
        </w:drawing>
      </w:r>
    </w:p>
    <w:p>
      <w:pPr>
        <w:spacing w:after="0" w:line="272"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Portfolio company debt investment was not on non-accrual status at December 31, 2021.</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Portfolio company was on PIK-only non-accrual status at December 31, 2021, meaning we ceased recognizing PIK interest income on the investment.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Results of Operations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Comparison of three and six months ended June 30, 2022 and 2021</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Investment Income</w:t>
      </w:r>
    </w:p>
    <w:p>
      <w:pPr>
        <w:spacing w:after="0" w:line="158" w:lineRule="exact"/>
        <w:rPr>
          <w:sz w:val="20"/>
          <w:szCs w:val="20"/>
          <w:color w:val="auto"/>
        </w:rPr>
      </w:pPr>
    </w:p>
    <w:p>
      <w:pPr>
        <w:ind w:right="80" w:firstLine="374"/>
        <w:spacing w:after="0" w:line="261" w:lineRule="auto"/>
        <w:rPr>
          <w:sz w:val="20"/>
          <w:szCs w:val="20"/>
          <w:color w:val="auto"/>
        </w:rPr>
      </w:pPr>
      <w:r>
        <w:rPr>
          <w:rFonts w:ascii="Arial" w:cs="Arial" w:eastAsia="Arial" w:hAnsi="Arial"/>
          <w:sz w:val="18"/>
          <w:szCs w:val="18"/>
          <w:color w:val="auto"/>
        </w:rPr>
        <w:t>Below is a summary of the changes in total investment income for the three months ended June 30, 2022 as compared to the same period in 2021 (dollars in millions, percent change calculated based on underlying dollar 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9"/>
                <w:szCs w:val="19"/>
                <w:b w:val="1"/>
                <w:bCs w:val="1"/>
                <w:color w:val="auto"/>
                <w:vertAlign w:val="superscript"/>
              </w:rPr>
              <w:t>(1)(2)</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1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800" w:type="dxa"/>
            <w:vAlign w:val="bottom"/>
            <w:tcBorders>
              <w:top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26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Arial" w:cs="Arial" w:eastAsia="Arial" w:hAnsi="Arial"/>
                <w:sz w:val="14"/>
                <w:szCs w:val="14"/>
                <w:color w:val="auto"/>
              </w:rPr>
              <w:t>Payment-in-kind interest income</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0.4</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(0.7 )</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(66.8 %)</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Arial" w:cs="Arial" w:eastAsia="Arial" w:hAnsi="Arial"/>
                <w:sz w:val="14"/>
                <w:szCs w:val="14"/>
                <w:color w:val="auto"/>
              </w:rPr>
              <w:t>Dividend income</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0.8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(0.7 )</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(90.8 %)</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rPr>
                <w:sz w:val="20"/>
                <w:szCs w:val="20"/>
                <w:color w:val="auto"/>
              </w:rPr>
            </w:pPr>
            <w:r>
              <w:rPr>
                <w:rFonts w:ascii="Arial" w:cs="Arial" w:eastAsia="Arial" w:hAnsi="Arial"/>
                <w:sz w:val="14"/>
                <w:szCs w:val="14"/>
                <w:color w:val="auto"/>
              </w:rPr>
              <w:t>Fee income</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(0.8 )</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(36.5 %)</w:t>
            </w:r>
          </w:p>
        </w:tc>
        <w:tc>
          <w:tcPr>
            <w:tcW w:w="0" w:type="dxa"/>
            <w:vAlign w:val="bottom"/>
          </w:tcPr>
          <w:p>
            <w:pPr>
              <w:spacing w:after="0"/>
              <w:rPr>
                <w:sz w:val="1"/>
                <w:szCs w:val="1"/>
                <w:color w:val="auto"/>
              </w:rPr>
            </w:pPr>
          </w:p>
        </w:tc>
      </w:tr>
      <w:tr>
        <w:trPr>
          <w:trHeight w:val="17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on idle funds and other income</w:t>
            </w:r>
          </w:p>
        </w:tc>
        <w:tc>
          <w:tcPr>
            <w:tcW w:w="8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color w:val="auto"/>
              </w:rPr>
              <w:t>Total investment income</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21.2</w:t>
            </w:r>
          </w:p>
        </w:tc>
        <w:tc>
          <w:tcPr>
            <w:tcW w:w="1140" w:type="dxa"/>
            <w:vAlign w:val="bottom"/>
            <w:gridSpan w:val="2"/>
          </w:tcPr>
          <w:p>
            <w:pPr>
              <w:jc w:val="right"/>
              <w:ind w:right="70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21.8</w:t>
            </w: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(0.6 )</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color w:val="auto"/>
                <w:highlight w:val="white"/>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1112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-142240</wp:posOffset>
            </wp:positionV>
            <wp:extent cx="76835" cy="14287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6835" cy="14287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-142240</wp:posOffset>
            </wp:positionV>
            <wp:extent cx="68580" cy="1428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14287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-142240</wp:posOffset>
            </wp:positionV>
            <wp:extent cx="68580" cy="1428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142875"/>
                    </a:xfrm>
                    <a:prstGeom prst="rect">
                      <a:avLst/>
                    </a:prstGeom>
                    <a:noFill/>
                  </pic:spPr>
                </pic:pic>
              </a:graphicData>
            </a:graphic>
          </wp:anchor>
        </w:drawing>
      </w:r>
    </w:p>
    <w:p>
      <w:pPr>
        <w:spacing w:after="0" w:line="164"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Percent change calculated based on underlying dollar amounts in thousands as presented on the consolidated statements of operations.</w:t>
      </w:r>
    </w:p>
    <w:p>
      <w:pPr>
        <w:spacing w:after="0" w:line="167" w:lineRule="exact"/>
        <w:rPr>
          <w:sz w:val="20"/>
          <w:szCs w:val="20"/>
          <w:color w:val="auto"/>
        </w:rPr>
      </w:pPr>
    </w:p>
    <w:p>
      <w:pPr>
        <w:ind w:right="100" w:firstLine="374"/>
        <w:spacing w:after="0" w:line="324" w:lineRule="auto"/>
        <w:rPr>
          <w:sz w:val="20"/>
          <w:szCs w:val="20"/>
          <w:color w:val="auto"/>
        </w:rPr>
      </w:pPr>
      <w:r>
        <w:rPr>
          <w:rFonts w:ascii="Arial" w:cs="Arial" w:eastAsia="Arial" w:hAnsi="Arial"/>
          <w:sz w:val="16"/>
          <w:szCs w:val="16"/>
          <w:color w:val="auto"/>
        </w:rPr>
        <w:t>For the three months ended June 30, 2022, total investment income was $21.2 million, a decrease of $0.6 million or (3.1%), from the $21.8 million of total investment income for the three months ended June 30, 2021. As reflected in the table above, the decrease is primarily attributable to the following:</w:t>
      </w:r>
    </w:p>
    <w:p>
      <w:pPr>
        <w:spacing w:after="0" w:line="70" w:lineRule="exact"/>
        <w:rPr>
          <w:sz w:val="20"/>
          <w:szCs w:val="20"/>
          <w:color w:val="auto"/>
        </w:rPr>
      </w:pPr>
    </w:p>
    <w:p>
      <w:pPr>
        <w:jc w:val="both"/>
        <w:ind w:left="1140" w:right="80" w:hanging="383"/>
        <w:spacing w:after="0" w:line="248"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$0.9 million increase in total interest income (which includes payment-in-kind interest income) resulting from an increase in average debt investment balances, partially offset by a lower weighted average yield on debt investment balances outstanding, during 2022 as compared to 2021.</w:t>
      </w:r>
    </w:p>
    <w:p>
      <w:pPr>
        <w:spacing w:after="0" w:line="127"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$0.7 million decrease in dividend income due to a decrease in distributions received from equity investments.</w:t>
      </w:r>
    </w:p>
    <w:p>
      <w:pPr>
        <w:spacing w:after="0" w:line="157" w:lineRule="exact"/>
        <w:rPr>
          <w:rFonts w:ascii="Arial" w:cs="Arial" w:eastAsia="Arial" w:hAnsi="Arial"/>
          <w:sz w:val="18"/>
          <w:szCs w:val="18"/>
          <w:color w:val="auto"/>
        </w:rPr>
      </w:pPr>
    </w:p>
    <w:p>
      <w:pPr>
        <w:ind w:left="1140" w:right="100" w:hanging="383"/>
        <w:spacing w:after="0" w:line="26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$0.8 million decrease in fee income resulting from a decrease in amendment and origination fees, partially offset by an increase in prepayment fees, during 2022 as compared to 2021.</w:t>
      </w:r>
    </w:p>
    <w:p>
      <w:pPr>
        <w:spacing w:after="0" w:line="117" w:lineRule="exact"/>
        <w:rPr>
          <w:sz w:val="20"/>
          <w:szCs w:val="20"/>
          <w:color w:val="auto"/>
        </w:rPr>
      </w:pPr>
    </w:p>
    <w:p>
      <w:pPr>
        <w:ind w:right="100" w:firstLine="478"/>
        <w:spacing w:after="0" w:line="244" w:lineRule="auto"/>
        <w:rPr>
          <w:sz w:val="20"/>
          <w:szCs w:val="20"/>
          <w:color w:val="auto"/>
        </w:rPr>
      </w:pPr>
      <w:r>
        <w:rPr>
          <w:rFonts w:ascii="Arial" w:cs="Arial" w:eastAsia="Arial" w:hAnsi="Arial"/>
          <w:sz w:val="18"/>
          <w:szCs w:val="18"/>
          <w:color w:val="auto"/>
        </w:rPr>
        <w:t>Below is a summary of the changes in total investment income for the six months ended June 30, 2022 as compared to the same period in 2021 (dollars in millions):</w:t>
      </w:r>
    </w:p>
    <w:p>
      <w:pPr>
        <w:jc w:val="center"/>
        <w:ind w:right="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33" w:right="2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3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Six Months Ended June 30,</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9"/>
                <w:szCs w:val="19"/>
                <w:b w:val="1"/>
                <w:bCs w:val="1"/>
                <w:color w:val="auto"/>
                <w:vertAlign w:val="superscript"/>
              </w:rPr>
              <w:t>(1)(2)</w:t>
            </w: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 Change</w:t>
            </w:r>
          </w:p>
        </w:tc>
        <w:tc>
          <w:tcPr>
            <w:tcW w:w="1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80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260" w:type="dxa"/>
            <w:vAlign w:val="bottom"/>
          </w:tcPr>
          <w:p>
            <w:pPr>
              <w:spacing w:after="0"/>
              <w:rPr>
                <w:sz w:val="14"/>
                <w:szCs w:val="14"/>
                <w:color w:val="auto"/>
              </w:rPr>
            </w:pPr>
          </w:p>
        </w:tc>
        <w:tc>
          <w:tcPr>
            <w:tcW w:w="880" w:type="dxa"/>
            <w:vAlign w:val="bottom"/>
            <w:tcBorders>
              <w:top w:val="single" w:sz="8" w:color="auto"/>
            </w:tcBorders>
          </w:tcPr>
          <w:p>
            <w:pPr>
              <w:jc w:val="right"/>
              <w:ind w:right="72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36.9</w:t>
            </w:r>
          </w:p>
        </w:tc>
        <w:tc>
          <w:tcPr>
            <w:tcW w:w="240" w:type="dxa"/>
            <w:vAlign w:val="bottom"/>
          </w:tcPr>
          <w:p>
            <w:pPr>
              <w:spacing w:after="0"/>
              <w:rPr>
                <w:sz w:val="14"/>
                <w:szCs w:val="14"/>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240" w:type="dxa"/>
            <w:vAlign w:val="bottom"/>
          </w:tcPr>
          <w:p>
            <w:pPr>
              <w:jc w:val="right"/>
              <w:ind w:right="108"/>
              <w:spacing w:after="0"/>
              <w:rPr>
                <w:sz w:val="20"/>
                <w:szCs w:val="20"/>
                <w:color w:val="auto"/>
              </w:rPr>
            </w:pPr>
            <w:r>
              <w:rPr>
                <w:rFonts w:ascii="Arial" w:cs="Arial" w:eastAsia="Arial" w:hAnsi="Arial"/>
                <w:sz w:val="14"/>
                <w:szCs w:val="14"/>
                <w:color w:val="auto"/>
                <w:w w:val="84"/>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r>
        <w:trPr>
          <w:trHeight w:val="175"/>
        </w:trPr>
        <w:tc>
          <w:tcPr>
            <w:tcW w:w="4980" w:type="dxa"/>
            <w:vAlign w:val="bottom"/>
          </w:tcPr>
          <w:p>
            <w:pPr>
              <w:ind w:left="20"/>
              <w:spacing w:after="0"/>
              <w:rPr>
                <w:sz w:val="20"/>
                <w:szCs w:val="20"/>
                <w:color w:val="auto"/>
              </w:rPr>
            </w:pPr>
            <w:r>
              <w:rPr>
                <w:rFonts w:ascii="Arial" w:cs="Arial" w:eastAsia="Arial" w:hAnsi="Arial"/>
                <w:sz w:val="14"/>
                <w:szCs w:val="14"/>
                <w:color w:val="auto"/>
              </w:rPr>
              <w:t>Payment-in-kind interest income</w:t>
            </w:r>
          </w:p>
        </w:tc>
        <w:tc>
          <w:tcPr>
            <w:tcW w:w="8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0.9</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auto"/>
              </w:rPr>
              <w:t>(1.2 )</w:t>
            </w: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(55.9 %)</w:t>
            </w:r>
          </w:p>
        </w:tc>
        <w:tc>
          <w:tcPr>
            <w:tcW w:w="0" w:type="dxa"/>
            <w:vAlign w:val="bottom"/>
          </w:tcPr>
          <w:p>
            <w:pPr>
              <w:spacing w:after="0"/>
              <w:rPr>
                <w:sz w:val="1"/>
                <w:szCs w:val="1"/>
                <w:color w:val="auto"/>
              </w:rPr>
            </w:pPr>
          </w:p>
        </w:tc>
      </w:tr>
      <w:tr>
        <w:trPr>
          <w:trHeight w:val="176"/>
        </w:trPr>
        <w:tc>
          <w:tcPr>
            <w:tcW w:w="4980" w:type="dxa"/>
            <w:vAlign w:val="bottom"/>
          </w:tcPr>
          <w:p>
            <w:pPr>
              <w:ind w:left="20"/>
              <w:spacing w:after="0"/>
              <w:rPr>
                <w:sz w:val="20"/>
                <w:szCs w:val="20"/>
                <w:color w:val="auto"/>
              </w:rPr>
            </w:pPr>
            <w:r>
              <w:rPr>
                <w:rFonts w:ascii="Arial" w:cs="Arial" w:eastAsia="Arial" w:hAnsi="Arial"/>
                <w:sz w:val="14"/>
                <w:szCs w:val="14"/>
                <w:color w:val="auto"/>
              </w:rPr>
              <w:t>Dividend income</w:t>
            </w:r>
          </w:p>
        </w:tc>
        <w:tc>
          <w:tcPr>
            <w:tcW w:w="8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0.8</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auto"/>
              </w:rPr>
              <w:t>(0.1 )</w:t>
            </w: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r>
        <w:trPr>
          <w:trHeight w:val="175"/>
        </w:trPr>
        <w:tc>
          <w:tcPr>
            <w:tcW w:w="4980" w:type="dxa"/>
            <w:vAlign w:val="bottom"/>
          </w:tcPr>
          <w:p>
            <w:pPr>
              <w:ind w:left="20"/>
              <w:spacing w:after="0"/>
              <w:rPr>
                <w:sz w:val="20"/>
                <w:szCs w:val="20"/>
                <w:color w:val="auto"/>
              </w:rPr>
            </w:pPr>
            <w:r>
              <w:rPr>
                <w:rFonts w:ascii="Arial" w:cs="Arial" w:eastAsia="Arial" w:hAnsi="Arial"/>
                <w:sz w:val="14"/>
                <w:szCs w:val="14"/>
                <w:color w:val="auto"/>
              </w:rPr>
              <w:t>Fee income</w:t>
            </w:r>
          </w:p>
        </w:tc>
        <w:tc>
          <w:tcPr>
            <w:tcW w:w="8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auto"/>
              </w:rPr>
              <w:t>(1.7 )</w:t>
            </w: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(32.0 %)</w:t>
            </w:r>
          </w:p>
        </w:tc>
        <w:tc>
          <w:tcPr>
            <w:tcW w:w="0" w:type="dxa"/>
            <w:vAlign w:val="bottom"/>
          </w:tcPr>
          <w:p>
            <w:pPr>
              <w:spacing w:after="0"/>
              <w:rPr>
                <w:sz w:val="1"/>
                <w:szCs w:val="1"/>
                <w:color w:val="auto"/>
              </w:rPr>
            </w:pPr>
          </w:p>
        </w:tc>
      </w:tr>
      <w:tr>
        <w:trPr>
          <w:trHeight w:val="176"/>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Interest on idle funds and other income</w:t>
            </w:r>
          </w:p>
        </w:tc>
        <w:tc>
          <w:tcPr>
            <w:tcW w:w="80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80" w:type="dxa"/>
            <w:vAlign w:val="bottom"/>
          </w:tcPr>
          <w:p>
            <w:pPr>
              <w:ind w:left="20"/>
              <w:spacing w:after="0"/>
              <w:rPr>
                <w:sz w:val="20"/>
                <w:szCs w:val="20"/>
                <w:color w:val="auto"/>
              </w:rPr>
            </w:pPr>
            <w:r>
              <w:rPr>
                <w:rFonts w:ascii="Arial" w:cs="Arial" w:eastAsia="Arial" w:hAnsi="Arial"/>
                <w:sz w:val="14"/>
                <w:szCs w:val="14"/>
                <w:color w:val="auto"/>
              </w:rPr>
              <w:t>Total investment income</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41.7</w:t>
            </w:r>
          </w:p>
        </w:tc>
        <w:tc>
          <w:tcPr>
            <w:tcW w:w="260" w:type="dxa"/>
            <w:vAlign w:val="bottom"/>
          </w:tcPr>
          <w:p>
            <w:pPr>
              <w:spacing w:after="0"/>
              <w:rPr>
                <w:sz w:val="14"/>
                <w:szCs w:val="14"/>
                <w:color w:val="auto"/>
              </w:rPr>
            </w:pP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45.1</w:t>
            </w:r>
          </w:p>
        </w:tc>
        <w:tc>
          <w:tcPr>
            <w:tcW w:w="2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auto"/>
              </w:rPr>
              <w:t>(3.4 )</w:t>
            </w: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117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1176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-125095</wp:posOffset>
            </wp:positionV>
            <wp:extent cx="76835"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-125095</wp:posOffset>
            </wp:positionV>
            <wp:extent cx="68580"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-125095</wp:posOffset>
            </wp:positionV>
            <wp:extent cx="68580"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wp:posOffset>
            </wp:positionV>
            <wp:extent cx="6858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Percent change calculated based on underlying dollar amounts in thousands as presented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-226695</wp:posOffset>
            </wp:positionV>
            <wp:extent cx="39090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47" w:lineRule="exact"/>
        <w:rPr>
          <w:sz w:val="20"/>
          <w:szCs w:val="20"/>
          <w:color w:val="auto"/>
        </w:rPr>
      </w:pPr>
    </w:p>
    <w:p>
      <w:pPr>
        <w:ind w:right="100" w:firstLine="374"/>
        <w:spacing w:after="0" w:line="324" w:lineRule="auto"/>
        <w:rPr>
          <w:sz w:val="20"/>
          <w:szCs w:val="20"/>
          <w:color w:val="auto"/>
        </w:rPr>
      </w:pPr>
      <w:r>
        <w:rPr>
          <w:rFonts w:ascii="Arial" w:cs="Arial" w:eastAsia="Arial" w:hAnsi="Arial"/>
          <w:sz w:val="16"/>
          <w:szCs w:val="16"/>
          <w:color w:val="auto"/>
        </w:rPr>
        <w:t>For the six months ended June 30, 2022, total investment income was $41.7 million, a decrease of $3.4 million or (7.6%), from the $45.1 million of total investment income for the six months ended June 30, 2021. As reflected in the table above, the decrease is primarily attributable to the following:</w:t>
      </w:r>
    </w:p>
    <w:p>
      <w:pPr>
        <w:spacing w:after="0" w:line="70" w:lineRule="exact"/>
        <w:rPr>
          <w:sz w:val="20"/>
          <w:szCs w:val="20"/>
          <w:color w:val="auto"/>
        </w:rPr>
      </w:pPr>
    </w:p>
    <w:p>
      <w:pPr>
        <w:jc w:val="both"/>
        <w:ind w:left="1140" w:right="80" w:hanging="383"/>
        <w:spacing w:after="0" w:line="243"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$1.6 million decrease in total interest income (which includes a $1.2 million decrease in payment-in-kind interest ("PIK") income) resulting from a decrease in weighted average yield on debt investment balances outstanding, repayments of PIK debt investments, and an increase in PIK investments on non-accrual, partially offset by an increase in average debt investment balances outstanding, during 2022 as compared to 2021.</w:t>
      </w:r>
    </w:p>
    <w:p>
      <w:pPr>
        <w:spacing w:after="0" w:line="133"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$0.1 million decrease in dividend income due to a decrease in distributions received from equity investments.</w:t>
      </w:r>
    </w:p>
    <w:p>
      <w:pPr>
        <w:spacing w:after="0" w:line="157" w:lineRule="exact"/>
        <w:rPr>
          <w:rFonts w:ascii="Arial" w:cs="Arial" w:eastAsia="Arial" w:hAnsi="Arial"/>
          <w:sz w:val="18"/>
          <w:szCs w:val="18"/>
          <w:color w:val="auto"/>
        </w:rPr>
      </w:pPr>
    </w:p>
    <w:p>
      <w:pPr>
        <w:ind w:left="1140" w:right="80" w:hanging="383"/>
        <w:spacing w:after="0" w:line="261"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$1.7 million decrease in fee income resulting from a decrease in prepayment, amendment, and origination fees during 2022 as compared to 2021.</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Expenses</w:t>
      </w:r>
    </w:p>
    <w:p>
      <w:pPr>
        <w:spacing w:after="0" w:line="158" w:lineRule="exact"/>
        <w:rPr>
          <w:sz w:val="20"/>
          <w:szCs w:val="20"/>
          <w:color w:val="auto"/>
        </w:rPr>
      </w:pPr>
    </w:p>
    <w:p>
      <w:pPr>
        <w:ind w:right="80" w:firstLine="478"/>
        <w:spacing w:after="0" w:line="247" w:lineRule="auto"/>
        <w:rPr>
          <w:sz w:val="20"/>
          <w:szCs w:val="20"/>
          <w:color w:val="auto"/>
        </w:rPr>
      </w:pPr>
      <w:r>
        <w:rPr>
          <w:rFonts w:ascii="Arial" w:cs="Arial" w:eastAsia="Arial" w:hAnsi="Arial"/>
          <w:sz w:val="18"/>
          <w:szCs w:val="18"/>
          <w:color w:val="auto"/>
        </w:rPr>
        <w:t>Below is a summary of the changes in total expenses, including income tax provision, for the three months ended June 30, 2022 as compared to the same period in 2021 (dollars in millions, percent change calculated based on underlying dollar amounts in thousands):</w:t>
      </w:r>
    </w:p>
    <w:tbl>
      <w:tblPr>
        <w:tblLayout w:type="fixed"/>
        <w:tblInd w:w="0" w:type="dxa"/>
        <w:tblCellMar>
          <w:top w:w="0" w:type="dxa"/>
          <w:left w:w="0" w:type="dxa"/>
          <w:bottom w:w="0" w:type="dxa"/>
          <w:right w:w="0" w:type="dxa"/>
        </w:tblCellMar>
      </w:tblPr>
      <w:tr>
        <w:trPr>
          <w:trHeight w:val="169"/>
        </w:trPr>
        <w:tc>
          <w:tcPr>
            <w:tcW w:w="5180" w:type="dxa"/>
            <w:vAlign w:val="bottom"/>
          </w:tcPr>
          <w:p>
            <w:pPr>
              <w:spacing w:after="0"/>
              <w:rPr>
                <w:sz w:val="14"/>
                <w:szCs w:val="1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9"/>
                <w:szCs w:val="19"/>
                <w:b w:val="1"/>
                <w:bCs w:val="1"/>
                <w:color w:val="auto"/>
                <w:vertAlign w:val="superscript"/>
              </w:rPr>
              <w:t>(1)(2)</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1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financing expenses</w:t>
            </w:r>
          </w:p>
        </w:tc>
        <w:tc>
          <w:tcPr>
            <w:tcW w:w="800" w:type="dxa"/>
            <w:vAlign w:val="bottom"/>
            <w:tcBorders>
              <w:top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26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Arial" w:cs="Arial" w:eastAsia="Arial" w:hAnsi="Arial"/>
                <w:sz w:val="14"/>
                <w:szCs w:val="14"/>
                <w:color w:val="auto"/>
              </w:rPr>
              <w:t>Base management fee</w:t>
            </w:r>
          </w:p>
        </w:tc>
        <w:tc>
          <w:tcPr>
            <w:tcW w:w="8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3.6</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12.5 %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rPr>
                <w:sz w:val="20"/>
                <w:szCs w:val="20"/>
                <w:color w:val="auto"/>
              </w:rPr>
            </w:pPr>
            <w:r>
              <w:rPr>
                <w:rFonts w:ascii="Arial" w:cs="Arial" w:eastAsia="Arial" w:hAnsi="Arial"/>
                <w:sz w:val="14"/>
                <w:szCs w:val="14"/>
                <w:color w:val="auto"/>
              </w:rPr>
              <w:t>Incentive fee - income</w:t>
            </w:r>
          </w:p>
        </w:tc>
        <w:tc>
          <w:tcPr>
            <w:tcW w:w="8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(1.3 )</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(53.6 %)</w:t>
            </w: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rPr>
                <w:sz w:val="20"/>
                <w:szCs w:val="20"/>
                <w:color w:val="auto"/>
              </w:rPr>
            </w:pPr>
            <w:r>
              <w:rPr>
                <w:rFonts w:ascii="Arial" w:cs="Arial" w:eastAsia="Arial" w:hAnsi="Arial"/>
                <w:sz w:val="14"/>
                <w:szCs w:val="14"/>
                <w:color w:val="auto"/>
              </w:rPr>
              <w:t>Incentive fee (reversal) - capital gains</w:t>
            </w:r>
          </w:p>
        </w:tc>
        <w:tc>
          <w:tcPr>
            <w:tcW w:w="8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(0.6 )</w:t>
            </w:r>
          </w:p>
        </w:tc>
        <w:tc>
          <w:tcPr>
            <w:tcW w:w="8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(4.4 )</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(115.6 %)</w:t>
            </w: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Administrative service expenses</w:t>
            </w: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NM</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8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0.3</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58"/>
              <w:spacing w:after="0"/>
              <w:rPr>
                <w:sz w:val="20"/>
                <w:szCs w:val="20"/>
                <w:color w:val="auto"/>
              </w:rPr>
            </w:pPr>
            <w:r>
              <w:rPr>
                <w:rFonts w:ascii="Arial" w:cs="Arial" w:eastAsia="Arial" w:hAnsi="Arial"/>
                <w:sz w:val="14"/>
                <w:szCs w:val="14"/>
                <w:color w:val="auto"/>
              </w:rPr>
              <w:t>NM</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general and administrative expenses</w:t>
            </w: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34.1 %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80" w:type="dxa"/>
            <w:vAlign w:val="bottom"/>
          </w:tcPr>
          <w:p>
            <w:pPr>
              <w:ind w:left="20"/>
              <w:spacing w:after="0"/>
              <w:rPr>
                <w:sz w:val="20"/>
                <w:szCs w:val="20"/>
                <w:color w:val="auto"/>
              </w:rPr>
            </w:pPr>
            <w:r>
              <w:rPr>
                <w:rFonts w:ascii="Arial" w:cs="Arial" w:eastAsia="Arial" w:hAnsi="Arial"/>
                <w:sz w:val="14"/>
                <w:szCs w:val="14"/>
                <w:color w:val="auto"/>
              </w:rPr>
              <w:t>Total expenses, before base management and income incentive fee waivers</w:t>
            </w:r>
          </w:p>
        </w:tc>
        <w:tc>
          <w:tcPr>
            <w:tcW w:w="8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10.2</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15.3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(5.1 )</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 xml:space="preserve">(33.8 </w:t>
            </w:r>
            <w:r>
              <w:rPr>
                <w:rFonts w:ascii="Arial" w:cs="Arial" w:eastAsia="Arial" w:hAnsi="Arial"/>
                <w:sz w:val="14"/>
                <w:szCs w:val="14"/>
                <w:color w:val="auto"/>
                <w:highlight w:val="white"/>
              </w:rPr>
              <w:t>%)</w:t>
            </w: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Base management and income incentive fee waivers</w:t>
            </w:r>
          </w:p>
        </w:tc>
        <w:tc>
          <w:tcPr>
            <w:tcW w:w="8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(0.1 )</w:t>
            </w: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(0.1 )</w:t>
            </w:r>
          </w:p>
        </w:tc>
        <w:tc>
          <w:tcPr>
            <w:tcW w:w="174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NM</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80" w:type="dxa"/>
            <w:vAlign w:val="bottom"/>
          </w:tcPr>
          <w:p>
            <w:pPr>
              <w:ind w:left="20"/>
              <w:spacing w:after="0"/>
              <w:rPr>
                <w:sz w:val="20"/>
                <w:szCs w:val="20"/>
                <w:color w:val="auto"/>
              </w:rPr>
            </w:pPr>
            <w:r>
              <w:rPr>
                <w:rFonts w:ascii="Arial" w:cs="Arial" w:eastAsia="Arial" w:hAnsi="Arial"/>
                <w:sz w:val="14"/>
                <w:szCs w:val="14"/>
                <w:color w:val="auto"/>
              </w:rPr>
              <w:t>Total expenses, before income tax provision</w:t>
            </w:r>
          </w:p>
        </w:tc>
        <w:tc>
          <w:tcPr>
            <w:tcW w:w="8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15.3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(5.2 )</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 xml:space="preserve">(34.1 </w:t>
            </w:r>
            <w:r>
              <w:rPr>
                <w:rFonts w:ascii="Arial" w:cs="Arial" w:eastAsia="Arial" w:hAnsi="Arial"/>
                <w:sz w:val="14"/>
                <w:szCs w:val="14"/>
                <w:color w:val="auto"/>
                <w:highlight w:val="white"/>
              </w:rPr>
              <w:t>%)</w:t>
            </w:r>
          </w:p>
        </w:tc>
        <w:tc>
          <w:tcPr>
            <w:tcW w:w="0" w:type="dxa"/>
            <w:vAlign w:val="bottom"/>
          </w:tcPr>
          <w:p>
            <w:pPr>
              <w:spacing w:after="0"/>
              <w:rPr>
                <w:sz w:val="1"/>
                <w:szCs w:val="1"/>
                <w:color w:val="auto"/>
              </w:rPr>
            </w:pPr>
          </w:p>
        </w:tc>
      </w:tr>
      <w:tr>
        <w:trPr>
          <w:trHeight w:val="17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provision (benefit)</w:t>
            </w:r>
          </w:p>
        </w:tc>
        <w:tc>
          <w:tcPr>
            <w:tcW w:w="8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80" w:type="dxa"/>
            <w:vAlign w:val="bottom"/>
          </w:tcPr>
          <w:p>
            <w:pPr>
              <w:ind w:left="20"/>
              <w:spacing w:after="0" w:line="155" w:lineRule="exact"/>
              <w:rPr>
                <w:sz w:val="20"/>
                <w:szCs w:val="20"/>
                <w:color w:val="auto"/>
              </w:rPr>
            </w:pPr>
            <w:r>
              <w:rPr>
                <w:rFonts w:ascii="Arial" w:cs="Arial" w:eastAsia="Arial" w:hAnsi="Arial"/>
                <w:sz w:val="14"/>
                <w:szCs w:val="14"/>
                <w:color w:val="auto"/>
              </w:rPr>
              <w:t>Total expenses, including income tax provision</w:t>
            </w:r>
          </w:p>
        </w:tc>
        <w:tc>
          <w:tcPr>
            <w:tcW w:w="800" w:type="dxa"/>
            <w:vAlign w:val="bottom"/>
          </w:tcPr>
          <w:p>
            <w:pPr>
              <w:jc w:val="right"/>
              <w:ind w:right="648"/>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10.1</w:t>
            </w:r>
          </w:p>
        </w:tc>
        <w:tc>
          <w:tcPr>
            <w:tcW w:w="260" w:type="dxa"/>
            <w:vAlign w:val="bottom"/>
          </w:tcPr>
          <w:p>
            <w:pPr>
              <w:spacing w:after="0"/>
              <w:rPr>
                <w:sz w:val="14"/>
                <w:szCs w:val="14"/>
                <w:color w:val="auto"/>
              </w:rPr>
            </w:pPr>
          </w:p>
        </w:tc>
        <w:tc>
          <w:tcPr>
            <w:tcW w:w="880" w:type="dxa"/>
            <w:vAlign w:val="bottom"/>
          </w:tcPr>
          <w:p>
            <w:pPr>
              <w:jc w:val="right"/>
              <w:ind w:right="708"/>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15.3</w:t>
            </w:r>
          </w:p>
        </w:tc>
        <w:tc>
          <w:tcPr>
            <w:tcW w:w="240" w:type="dxa"/>
            <w:vAlign w:val="bottom"/>
          </w:tcPr>
          <w:p>
            <w:pPr>
              <w:spacing w:after="0"/>
              <w:rPr>
                <w:sz w:val="14"/>
                <w:szCs w:val="14"/>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(5.2 )</w:t>
            </w:r>
          </w:p>
        </w:tc>
        <w:tc>
          <w:tcPr>
            <w:tcW w:w="18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 xml:space="preserve">(33.9 </w:t>
            </w:r>
            <w:r>
              <w:rPr>
                <w:rFonts w:ascii="Arial" w:cs="Arial" w:eastAsia="Arial" w:hAnsi="Arial"/>
                <w:sz w:val="14"/>
                <w:szCs w:val="14"/>
                <w:color w:val="auto"/>
                <w:highlight w:val="white"/>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1112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-588010</wp:posOffset>
            </wp:positionV>
            <wp:extent cx="76835" cy="1168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6835" cy="11684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-588010</wp:posOffset>
            </wp:positionV>
            <wp:extent cx="68580" cy="1168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11684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-588010</wp:posOffset>
            </wp:positionV>
            <wp:extent cx="68580" cy="1168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11684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-356235</wp:posOffset>
            </wp:positionV>
            <wp:extent cx="76835" cy="1168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6835" cy="11684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-356235</wp:posOffset>
            </wp:positionV>
            <wp:extent cx="68580" cy="1168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11684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-356235</wp:posOffset>
            </wp:positionV>
            <wp:extent cx="68580" cy="1168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11684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-125095</wp:posOffset>
            </wp:positionV>
            <wp:extent cx="76835" cy="1428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6835" cy="14287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-125095</wp:posOffset>
            </wp:positionV>
            <wp:extent cx="68580" cy="1428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14287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-125095</wp:posOffset>
            </wp:positionV>
            <wp:extent cx="68580" cy="1428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142875"/>
                    </a:xfrm>
                    <a:prstGeom prst="rect">
                      <a:avLst/>
                    </a:prstGeom>
                    <a:noFill/>
                  </pic:spPr>
                </pic:pic>
              </a:graphicData>
            </a:graphic>
          </wp:anchor>
        </w:drawing>
      </w:r>
    </w:p>
    <w:p>
      <w:pPr>
        <w:ind w:left="220" w:hanging="212"/>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Percent change calculated based on underlying dollar amounts in thousands as presented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-226695</wp:posOffset>
            </wp:positionV>
            <wp:extent cx="37801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147" w:lineRule="exact"/>
        <w:rPr>
          <w:sz w:val="20"/>
          <w:szCs w:val="20"/>
          <w:color w:val="auto"/>
        </w:rPr>
      </w:pPr>
    </w:p>
    <w:p>
      <w:pPr>
        <w:jc w:val="both"/>
        <w:ind w:right="80" w:firstLine="478"/>
        <w:spacing w:after="0" w:line="248" w:lineRule="auto"/>
        <w:rPr>
          <w:sz w:val="20"/>
          <w:szCs w:val="20"/>
          <w:color w:val="auto"/>
        </w:rPr>
      </w:pPr>
      <w:r>
        <w:rPr>
          <w:rFonts w:ascii="Arial" w:cs="Arial" w:eastAsia="Arial" w:hAnsi="Arial"/>
          <w:sz w:val="18"/>
          <w:szCs w:val="18"/>
          <w:color w:val="auto"/>
        </w:rPr>
        <w:t>For the three months ended June 30, 2022, total expenses, including income tax provision, were $10.1 million, a decrease of $5.2 million or (33.9%), from the $15.3 million of total expenses for the three months ended June 30, 2021. As reflected in the table above, changes across periods were primarily attributable to the following:</w:t>
      </w:r>
    </w:p>
    <w:p>
      <w:pPr>
        <w:spacing w:after="0" w:line="128" w:lineRule="exact"/>
        <w:rPr>
          <w:sz w:val="20"/>
          <w:szCs w:val="20"/>
          <w:color w:val="auto"/>
        </w:rPr>
      </w:pPr>
    </w:p>
    <w:p>
      <w:pPr>
        <w:ind w:left="1220" w:right="80" w:hanging="381"/>
        <w:spacing w:after="0" w:line="261" w:lineRule="auto"/>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$0.1 million increase in interest and financing expenses due to an increase in average borrowings outstanding, partially offset by a decrease in the weighted average interest rate during 2022 as compared to 2021.</w:t>
      </w:r>
    </w:p>
    <w:p>
      <w:pPr>
        <w:spacing w:after="0" w:line="116" w:lineRule="exact"/>
        <w:rPr>
          <w:rFonts w:ascii="Arial" w:cs="Arial" w:eastAsia="Arial" w:hAnsi="Arial"/>
          <w:sz w:val="18"/>
          <w:szCs w:val="18"/>
          <w:color w:val="auto"/>
        </w:rPr>
      </w:pPr>
    </w:p>
    <w:p>
      <w:pPr>
        <w:ind w:left="1220" w:right="80" w:hanging="381"/>
        <w:spacing w:after="0" w:line="261" w:lineRule="auto"/>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$0.3 million net increase in base management fee, including the base management fee waiver, due to higher average total assets during 2022 as compared to 2021.</w:t>
      </w:r>
    </w:p>
    <w:p>
      <w:pPr>
        <w:spacing w:after="0" w:line="116" w:lineRule="exact"/>
        <w:rPr>
          <w:rFonts w:ascii="Arial" w:cs="Arial" w:eastAsia="Arial" w:hAnsi="Arial"/>
          <w:sz w:val="18"/>
          <w:szCs w:val="18"/>
          <w:color w:val="auto"/>
        </w:rPr>
      </w:pPr>
    </w:p>
    <w:p>
      <w:pPr>
        <w:ind w:left="1220" w:right="100" w:hanging="381"/>
        <w:spacing w:after="0" w:line="261" w:lineRule="auto"/>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$1.3 million net decrease in the income incentive fee due to a decrease in pre-incentive fee net investment income during 2022 as compared to 2021.</w:t>
      </w:r>
    </w:p>
    <w:p>
      <w:pPr>
        <w:spacing w:after="0" w:line="116" w:lineRule="exact"/>
        <w:rPr>
          <w:rFonts w:ascii="Arial" w:cs="Arial" w:eastAsia="Arial" w:hAnsi="Arial"/>
          <w:sz w:val="18"/>
          <w:szCs w:val="18"/>
          <w:color w:val="auto"/>
        </w:rPr>
      </w:pPr>
    </w:p>
    <w:p>
      <w:pPr>
        <w:jc w:val="both"/>
        <w:ind w:left="1220" w:right="80" w:hanging="381"/>
        <w:spacing w:after="0" w:line="248" w:lineRule="auto"/>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$4.4 million decrease in the accrued capital gains incentive fee due to a $22.4 million decrease in net gain on investments (net realized gains (losses), plus net change in unrealized appreciation (depreciation) on investments) plus realized losses on extinguishment of debt, during 2022 as compared to the same period in 2021.</w:t>
      </w:r>
    </w:p>
    <w:p>
      <w:pPr>
        <w:spacing w:after="0" w:line="128" w:lineRule="exact"/>
        <w:rPr>
          <w:sz w:val="20"/>
          <w:szCs w:val="20"/>
          <w:color w:val="auto"/>
        </w:rPr>
      </w:pPr>
    </w:p>
    <w:p>
      <w:pPr>
        <w:ind w:right="80" w:firstLine="478"/>
        <w:spacing w:after="0" w:line="244" w:lineRule="auto"/>
        <w:rPr>
          <w:sz w:val="20"/>
          <w:szCs w:val="20"/>
          <w:color w:val="auto"/>
        </w:rPr>
      </w:pPr>
      <w:r>
        <w:rPr>
          <w:rFonts w:ascii="Arial" w:cs="Arial" w:eastAsia="Arial" w:hAnsi="Arial"/>
          <w:sz w:val="18"/>
          <w:szCs w:val="18"/>
          <w:color w:val="auto"/>
        </w:rPr>
        <w:t>Below is a summary of the changes in total expenses, including income tax provision, for the six months ended June 30, 2022 as compared to the same period in 2021 (dollars in millions):</w:t>
      </w:r>
    </w:p>
    <w:p>
      <w:pPr>
        <w:jc w:val="center"/>
        <w:ind w:right="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33" w:right="2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Six Months Ended June 30,</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9"/>
                <w:szCs w:val="19"/>
                <w:b w:val="1"/>
                <w:bCs w:val="1"/>
                <w:color w:val="auto"/>
                <w:vertAlign w:val="superscript"/>
              </w:rPr>
              <w:t>(1)(2)</w:t>
            </w: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 Change</w:t>
            </w:r>
          </w:p>
        </w:tc>
        <w:tc>
          <w:tcPr>
            <w:tcW w:w="1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rPr>
                <w:sz w:val="20"/>
                <w:szCs w:val="20"/>
                <w:color w:val="auto"/>
              </w:rPr>
            </w:pPr>
            <w:r>
              <w:rPr>
                <w:rFonts w:ascii="Arial" w:cs="Arial" w:eastAsia="Arial" w:hAnsi="Arial"/>
                <w:sz w:val="14"/>
                <w:szCs w:val="14"/>
                <w:color w:val="auto"/>
              </w:rPr>
              <w:t>Interest and financing expenses</w:t>
            </w:r>
          </w:p>
        </w:tc>
        <w:tc>
          <w:tcPr>
            <w:tcW w:w="84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260" w:type="dxa"/>
            <w:vAlign w:val="bottom"/>
          </w:tcPr>
          <w:p>
            <w:pPr>
              <w:spacing w:after="0"/>
              <w:rPr>
                <w:sz w:val="14"/>
                <w:szCs w:val="14"/>
                <w:color w:val="auto"/>
              </w:rPr>
            </w:pPr>
          </w:p>
        </w:tc>
        <w:tc>
          <w:tcPr>
            <w:tcW w:w="880" w:type="dxa"/>
            <w:vAlign w:val="bottom"/>
            <w:tcBorders>
              <w:top w:val="single" w:sz="8" w:color="auto"/>
            </w:tcBorders>
          </w:tcPr>
          <w:p>
            <w:pPr>
              <w:jc w:val="right"/>
              <w:ind w:right="72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240" w:type="dxa"/>
            <w:vAlign w:val="bottom"/>
          </w:tcPr>
          <w:p>
            <w:pPr>
              <w:spacing w:after="0"/>
              <w:rPr>
                <w:sz w:val="14"/>
                <w:szCs w:val="14"/>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r>
        <w:trPr>
          <w:trHeight w:val="175"/>
        </w:trPr>
        <w:tc>
          <w:tcPr>
            <w:tcW w:w="4960" w:type="dxa"/>
            <w:vAlign w:val="bottom"/>
          </w:tcPr>
          <w:p>
            <w:pPr>
              <w:ind w:left="20"/>
              <w:spacing w:after="0"/>
              <w:rPr>
                <w:sz w:val="20"/>
                <w:szCs w:val="20"/>
                <w:color w:val="auto"/>
              </w:rPr>
            </w:pPr>
            <w:r>
              <w:rPr>
                <w:rFonts w:ascii="Arial" w:cs="Arial" w:eastAsia="Arial" w:hAnsi="Arial"/>
                <w:sz w:val="14"/>
                <w:szCs w:val="14"/>
                <w:color w:val="auto"/>
              </w:rPr>
              <w:t>Base management fee</w:t>
            </w:r>
          </w:p>
        </w:tc>
        <w:tc>
          <w:tcPr>
            <w:tcW w:w="8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7.0</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0.7</w:t>
            </w:r>
          </w:p>
        </w:tc>
        <w:tc>
          <w:tcPr>
            <w:tcW w:w="240" w:type="dxa"/>
            <w:vAlign w:val="bottom"/>
          </w:tcPr>
          <w:p>
            <w:pPr>
              <w:spacing w:after="0"/>
              <w:rPr>
                <w:sz w:val="15"/>
                <w:szCs w:val="15"/>
                <w:color w:val="auto"/>
              </w:rPr>
            </w:pPr>
          </w:p>
        </w:tc>
        <w:tc>
          <w:tcPr>
            <w:tcW w:w="1860" w:type="dxa"/>
            <w:vAlign w:val="bottom"/>
            <w:gridSpan w:val="3"/>
          </w:tcPr>
          <w:p>
            <w:pPr>
              <w:jc w:val="right"/>
              <w:ind w:right="60"/>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176"/>
        </w:trPr>
        <w:tc>
          <w:tcPr>
            <w:tcW w:w="4960" w:type="dxa"/>
            <w:vAlign w:val="bottom"/>
          </w:tcPr>
          <w:p>
            <w:pPr>
              <w:ind w:left="20"/>
              <w:spacing w:after="0"/>
              <w:rPr>
                <w:sz w:val="20"/>
                <w:szCs w:val="20"/>
                <w:color w:val="auto"/>
              </w:rPr>
            </w:pPr>
            <w:r>
              <w:rPr>
                <w:rFonts w:ascii="Arial" w:cs="Arial" w:eastAsia="Arial" w:hAnsi="Arial"/>
                <w:sz w:val="14"/>
                <w:szCs w:val="14"/>
                <w:color w:val="auto"/>
              </w:rPr>
              <w:t>Incentive fee - income</w:t>
            </w:r>
          </w:p>
        </w:tc>
        <w:tc>
          <w:tcPr>
            <w:tcW w:w="8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2.2</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88"/>
              <w:spacing w:after="0"/>
              <w:rPr>
                <w:sz w:val="20"/>
                <w:szCs w:val="20"/>
                <w:color w:val="auto"/>
              </w:rPr>
            </w:pPr>
            <w:r>
              <w:rPr>
                <w:rFonts w:ascii="Arial" w:cs="Arial" w:eastAsia="Arial" w:hAnsi="Arial"/>
                <w:sz w:val="14"/>
                <w:szCs w:val="14"/>
                <w:color w:val="auto"/>
              </w:rPr>
              <w:t>(3.1 )</w:t>
            </w: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(57.2 %)</w:t>
            </w:r>
          </w:p>
        </w:tc>
        <w:tc>
          <w:tcPr>
            <w:tcW w:w="0" w:type="dxa"/>
            <w:vAlign w:val="bottom"/>
          </w:tcPr>
          <w:p>
            <w:pPr>
              <w:spacing w:after="0"/>
              <w:rPr>
                <w:sz w:val="1"/>
                <w:szCs w:val="1"/>
                <w:color w:val="auto"/>
              </w:rPr>
            </w:pPr>
          </w:p>
        </w:tc>
      </w:tr>
      <w:tr>
        <w:trPr>
          <w:trHeight w:val="175"/>
        </w:trPr>
        <w:tc>
          <w:tcPr>
            <w:tcW w:w="4960" w:type="dxa"/>
            <w:vAlign w:val="bottom"/>
          </w:tcPr>
          <w:p>
            <w:pPr>
              <w:ind w:left="20"/>
              <w:spacing w:after="0"/>
              <w:rPr>
                <w:sz w:val="20"/>
                <w:szCs w:val="20"/>
                <w:color w:val="auto"/>
              </w:rPr>
            </w:pPr>
            <w:r>
              <w:rPr>
                <w:rFonts w:ascii="Arial" w:cs="Arial" w:eastAsia="Arial" w:hAnsi="Arial"/>
                <w:sz w:val="14"/>
                <w:szCs w:val="14"/>
                <w:color w:val="auto"/>
              </w:rPr>
              <w:t>Incentive fee - capital gains</w:t>
            </w:r>
          </w:p>
        </w:tc>
        <w:tc>
          <w:tcPr>
            <w:tcW w:w="84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(0.3 )</w:t>
            </w:r>
          </w:p>
        </w:tc>
        <w:tc>
          <w:tcPr>
            <w:tcW w:w="8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88"/>
              <w:spacing w:after="0"/>
              <w:rPr>
                <w:sz w:val="20"/>
                <w:szCs w:val="20"/>
                <w:color w:val="auto"/>
              </w:rPr>
            </w:pPr>
            <w:r>
              <w:rPr>
                <w:rFonts w:ascii="Arial" w:cs="Arial" w:eastAsia="Arial" w:hAnsi="Arial"/>
                <w:sz w:val="14"/>
                <w:szCs w:val="14"/>
                <w:color w:val="auto"/>
              </w:rPr>
              <w:t>(4.3 )</w:t>
            </w: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(108.4 %)</w:t>
            </w:r>
          </w:p>
        </w:tc>
        <w:tc>
          <w:tcPr>
            <w:tcW w:w="0" w:type="dxa"/>
            <w:vAlign w:val="bottom"/>
          </w:tcPr>
          <w:p>
            <w:pPr>
              <w:spacing w:after="0"/>
              <w:rPr>
                <w:sz w:val="1"/>
                <w:szCs w:val="1"/>
                <w:color w:val="auto"/>
              </w:rPr>
            </w:pPr>
          </w:p>
        </w:tc>
      </w:tr>
      <w:tr>
        <w:trPr>
          <w:trHeight w:val="176"/>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Administrative service expenses</w:t>
            </w: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8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0.8</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26.8 %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general and administrative expenses</w:t>
            </w: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60" w:type="dxa"/>
            <w:vAlign w:val="bottom"/>
          </w:tcPr>
          <w:p>
            <w:pPr>
              <w:ind w:left="20"/>
              <w:spacing w:after="0"/>
              <w:rPr>
                <w:sz w:val="20"/>
                <w:szCs w:val="20"/>
                <w:color w:val="auto"/>
              </w:rPr>
            </w:pPr>
            <w:r>
              <w:rPr>
                <w:rFonts w:ascii="Arial" w:cs="Arial" w:eastAsia="Arial" w:hAnsi="Arial"/>
                <w:sz w:val="14"/>
                <w:szCs w:val="14"/>
                <w:color w:val="auto"/>
              </w:rPr>
              <w:t>Total expenses, before base management and income incentive fee waivers</w:t>
            </w:r>
          </w:p>
        </w:tc>
        <w:tc>
          <w:tcPr>
            <w:tcW w:w="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20.5</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27.5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88"/>
              <w:spacing w:after="0"/>
              <w:rPr>
                <w:sz w:val="20"/>
                <w:szCs w:val="20"/>
                <w:color w:val="auto"/>
              </w:rPr>
            </w:pPr>
            <w:r>
              <w:rPr>
                <w:rFonts w:ascii="Arial" w:cs="Arial" w:eastAsia="Arial" w:hAnsi="Arial"/>
                <w:sz w:val="14"/>
                <w:szCs w:val="14"/>
                <w:color w:val="auto"/>
              </w:rPr>
              <w:t>(7.0 )</w:t>
            </w: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 xml:space="preserve">(25.7 </w:t>
            </w:r>
            <w:r>
              <w:rPr>
                <w:rFonts w:ascii="Arial" w:cs="Arial" w:eastAsia="Arial" w:hAnsi="Arial"/>
                <w:sz w:val="14"/>
                <w:szCs w:val="14"/>
                <w:color w:val="auto"/>
                <w:highlight w:val="white"/>
              </w:rPr>
              <w:t>%)</w:t>
            </w:r>
          </w:p>
        </w:tc>
        <w:tc>
          <w:tcPr>
            <w:tcW w:w="0" w:type="dxa"/>
            <w:vAlign w:val="bottom"/>
          </w:tcPr>
          <w:p>
            <w:pPr>
              <w:spacing w:after="0"/>
              <w:rPr>
                <w:sz w:val="1"/>
                <w:szCs w:val="1"/>
                <w:color w:val="auto"/>
              </w:rPr>
            </w:pPr>
          </w:p>
        </w:tc>
      </w:tr>
      <w:tr>
        <w:trPr>
          <w:trHeight w:val="176"/>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Base management and income incentive fee waivers</w:t>
            </w:r>
          </w:p>
        </w:tc>
        <w:tc>
          <w:tcPr>
            <w:tcW w:w="8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(0.2 )</w:t>
            </w: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(0.2 )</w:t>
            </w:r>
          </w:p>
        </w:tc>
        <w:tc>
          <w:tcPr>
            <w:tcW w:w="1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NM</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60" w:type="dxa"/>
            <w:vAlign w:val="bottom"/>
          </w:tcPr>
          <w:p>
            <w:pPr>
              <w:ind w:left="20"/>
              <w:spacing w:after="0"/>
              <w:rPr>
                <w:sz w:val="20"/>
                <w:szCs w:val="20"/>
                <w:color w:val="auto"/>
              </w:rPr>
            </w:pPr>
            <w:r>
              <w:rPr>
                <w:rFonts w:ascii="Arial" w:cs="Arial" w:eastAsia="Arial" w:hAnsi="Arial"/>
                <w:sz w:val="14"/>
                <w:szCs w:val="14"/>
                <w:color w:val="auto"/>
              </w:rPr>
              <w:t>Total expenses, before income tax provision</w:t>
            </w:r>
          </w:p>
        </w:tc>
        <w:tc>
          <w:tcPr>
            <w:tcW w:w="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20.3</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27.5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88"/>
              <w:spacing w:after="0"/>
              <w:rPr>
                <w:sz w:val="20"/>
                <w:szCs w:val="20"/>
                <w:color w:val="auto"/>
              </w:rPr>
            </w:pPr>
            <w:r>
              <w:rPr>
                <w:rFonts w:ascii="Arial" w:cs="Arial" w:eastAsia="Arial" w:hAnsi="Arial"/>
                <w:sz w:val="14"/>
                <w:szCs w:val="14"/>
                <w:color w:val="auto"/>
              </w:rPr>
              <w:t>(7.2 )</w:t>
            </w: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 xml:space="preserve">(26.2 </w:t>
            </w:r>
            <w:r>
              <w:rPr>
                <w:rFonts w:ascii="Arial" w:cs="Arial" w:eastAsia="Arial" w:hAnsi="Arial"/>
                <w:sz w:val="14"/>
                <w:szCs w:val="14"/>
                <w:color w:val="auto"/>
                <w:highlight w:val="white"/>
              </w:rPr>
              <w:t>%)</w:t>
            </w:r>
          </w:p>
        </w:tc>
        <w:tc>
          <w:tcPr>
            <w:tcW w:w="0" w:type="dxa"/>
            <w:vAlign w:val="bottom"/>
          </w:tcPr>
          <w:p>
            <w:pPr>
              <w:spacing w:after="0"/>
              <w:rPr>
                <w:sz w:val="1"/>
                <w:szCs w:val="1"/>
                <w:color w:val="auto"/>
              </w:rPr>
            </w:pPr>
          </w:p>
        </w:tc>
      </w:tr>
      <w:tr>
        <w:trPr>
          <w:trHeight w:val="17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provision (benefit)</w:t>
            </w:r>
          </w:p>
        </w:tc>
        <w:tc>
          <w:tcPr>
            <w:tcW w:w="8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line="155" w:lineRule="exact"/>
              <w:rPr>
                <w:sz w:val="20"/>
                <w:szCs w:val="20"/>
                <w:color w:val="auto"/>
              </w:rPr>
            </w:pPr>
            <w:r>
              <w:rPr>
                <w:rFonts w:ascii="Arial" w:cs="Arial" w:eastAsia="Arial" w:hAnsi="Arial"/>
                <w:sz w:val="14"/>
                <w:szCs w:val="14"/>
                <w:color w:val="auto"/>
              </w:rPr>
              <w:t>Total expenses, including income tax provision</w:t>
            </w:r>
          </w:p>
        </w:tc>
        <w:tc>
          <w:tcPr>
            <w:tcW w:w="840" w:type="dxa"/>
            <w:vAlign w:val="bottom"/>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20.3</w:t>
            </w:r>
          </w:p>
        </w:tc>
        <w:tc>
          <w:tcPr>
            <w:tcW w:w="260" w:type="dxa"/>
            <w:vAlign w:val="bottom"/>
          </w:tcPr>
          <w:p>
            <w:pPr>
              <w:spacing w:after="0"/>
              <w:rPr>
                <w:sz w:val="14"/>
                <w:szCs w:val="14"/>
                <w:color w:val="auto"/>
              </w:rPr>
            </w:pPr>
          </w:p>
        </w:tc>
        <w:tc>
          <w:tcPr>
            <w:tcW w:w="880" w:type="dxa"/>
            <w:vAlign w:val="bottom"/>
          </w:tcPr>
          <w:p>
            <w:pPr>
              <w:jc w:val="right"/>
              <w:ind w:right="72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27.5</w:t>
            </w:r>
          </w:p>
        </w:tc>
        <w:tc>
          <w:tcPr>
            <w:tcW w:w="240" w:type="dxa"/>
            <w:vAlign w:val="bottom"/>
          </w:tcPr>
          <w:p>
            <w:pPr>
              <w:spacing w:after="0"/>
              <w:rPr>
                <w:sz w:val="14"/>
                <w:szCs w:val="14"/>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(7.2 )</w:t>
            </w:r>
          </w:p>
        </w:tc>
        <w:tc>
          <w:tcPr>
            <w:tcW w:w="18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 xml:space="preserve">(26.3 </w:t>
            </w:r>
            <w:r>
              <w:rPr>
                <w:rFonts w:ascii="Arial" w:cs="Arial" w:eastAsia="Arial" w:hAnsi="Arial"/>
                <w:sz w:val="14"/>
                <w:szCs w:val="14"/>
                <w:color w:val="auto"/>
                <w:highlight w:val="white"/>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1117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1176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-588010</wp:posOffset>
            </wp:positionV>
            <wp:extent cx="77470" cy="1168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7470" cy="11684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-588010</wp:posOffset>
            </wp:positionV>
            <wp:extent cx="77470" cy="1168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7470" cy="11684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-588010</wp:posOffset>
            </wp:positionV>
            <wp:extent cx="68580" cy="1168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11684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-356235</wp:posOffset>
            </wp:positionV>
            <wp:extent cx="77470" cy="1168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7470" cy="11684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-356235</wp:posOffset>
            </wp:positionV>
            <wp:extent cx="77470" cy="1168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7470" cy="11684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-356235</wp:posOffset>
            </wp:positionV>
            <wp:extent cx="68580" cy="1168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11684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-125095</wp:posOffset>
            </wp:positionV>
            <wp:extent cx="77470" cy="1428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7470" cy="14287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-125095</wp:posOffset>
            </wp:positionV>
            <wp:extent cx="77470" cy="14287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7470" cy="14287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-125095</wp:posOffset>
            </wp:positionV>
            <wp:extent cx="68580" cy="14287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142875"/>
                    </a:xfrm>
                    <a:prstGeom prst="rect">
                      <a:avLst/>
                    </a:prstGeom>
                    <a:noFill/>
                  </pic:spPr>
                </pic:pic>
              </a:graphicData>
            </a:graphic>
          </wp:anchor>
        </w:drawing>
      </w: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Percent change calculated based on underlying dollar amounts in thousands as presented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-226695</wp:posOffset>
            </wp:positionV>
            <wp:extent cx="391731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147" w:lineRule="exact"/>
        <w:rPr>
          <w:sz w:val="20"/>
          <w:szCs w:val="20"/>
          <w:color w:val="auto"/>
        </w:rPr>
      </w:pPr>
    </w:p>
    <w:p>
      <w:pPr>
        <w:jc w:val="both"/>
        <w:ind w:right="80" w:firstLine="478"/>
        <w:spacing w:after="0" w:line="248" w:lineRule="auto"/>
        <w:rPr>
          <w:sz w:val="20"/>
          <w:szCs w:val="20"/>
          <w:color w:val="auto"/>
        </w:rPr>
      </w:pPr>
      <w:r>
        <w:rPr>
          <w:rFonts w:ascii="Arial" w:cs="Arial" w:eastAsia="Arial" w:hAnsi="Arial"/>
          <w:sz w:val="18"/>
          <w:szCs w:val="18"/>
          <w:color w:val="auto"/>
        </w:rPr>
        <w:t>For the six months ended June 30, 2022, total expenses, including income tax provision, were $20.3 million, a decrease of $7.2 million or (26.3%), from the $27.5 million of total expenses for the six months ended June 30, 2021. As reflected in the table above, changes across periods were primarily attributable to the following:</w:t>
      </w:r>
    </w:p>
    <w:p>
      <w:pPr>
        <w:spacing w:after="0" w:line="128" w:lineRule="exact"/>
        <w:rPr>
          <w:sz w:val="20"/>
          <w:szCs w:val="20"/>
          <w:color w:val="auto"/>
        </w:rPr>
      </w:pPr>
    </w:p>
    <w:p>
      <w:pPr>
        <w:ind w:left="1220" w:right="80" w:hanging="381"/>
        <w:spacing w:after="0" w:line="261"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$0.6 million decrease in interest and financing expenses due to a decrease in weighted average interest rate and a decrease in average borrowings outstanding during 2022 as compared to 2021.</w:t>
      </w:r>
    </w:p>
    <w:p>
      <w:pPr>
        <w:spacing w:after="0" w:line="116" w:lineRule="exact"/>
        <w:rPr>
          <w:rFonts w:ascii="Arial" w:cs="Arial" w:eastAsia="Arial" w:hAnsi="Arial"/>
          <w:sz w:val="18"/>
          <w:szCs w:val="18"/>
          <w:color w:val="auto"/>
        </w:rPr>
      </w:pPr>
    </w:p>
    <w:p>
      <w:pPr>
        <w:ind w:left="1220" w:right="80" w:hanging="381"/>
        <w:spacing w:after="0" w:line="261"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$0.5 million net increase in base management fee, including the base management fee waiver, due to higher average total assets during 2022 as compared to 2021.</w:t>
      </w:r>
    </w:p>
    <w:p>
      <w:pPr>
        <w:spacing w:after="0" w:line="116" w:lineRule="exact"/>
        <w:rPr>
          <w:rFonts w:ascii="Arial" w:cs="Arial" w:eastAsia="Arial" w:hAnsi="Arial"/>
          <w:sz w:val="18"/>
          <w:szCs w:val="18"/>
          <w:color w:val="auto"/>
        </w:rPr>
      </w:pPr>
    </w:p>
    <w:p>
      <w:pPr>
        <w:ind w:left="1200" w:right="80" w:hanging="369"/>
        <w:spacing w:after="0" w:line="261"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$3.1 million net decrease in the income incentive fee due to a decrease in pre-incentive fee net investment income during 2022 as compared to the same period in 2021.</w:t>
      </w:r>
    </w:p>
    <w:p>
      <w:pPr>
        <w:spacing w:after="0" w:line="116" w:lineRule="exact"/>
        <w:rPr>
          <w:rFonts w:ascii="Arial" w:cs="Arial" w:eastAsia="Arial" w:hAnsi="Arial"/>
          <w:sz w:val="18"/>
          <w:szCs w:val="18"/>
          <w:color w:val="auto"/>
        </w:rPr>
      </w:pPr>
    </w:p>
    <w:p>
      <w:pPr>
        <w:jc w:val="both"/>
        <w:ind w:left="1220" w:right="80" w:hanging="381"/>
        <w:spacing w:after="0" w:line="248"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$4.3 million decrease in the accrued capital gains incentive fee due to a $21.6 million decrease in net gain on investments (net realized gains (losses), plus net change in unrealized appreciation (depreciation) on investments), plus realized losses on extinguishment of debt during 2022 as compared to the same period in 2021.</w:t>
      </w:r>
    </w:p>
    <w:p>
      <w:pPr>
        <w:spacing w:after="0" w:line="127" w:lineRule="exact"/>
        <w:rPr>
          <w:rFonts w:ascii="Arial" w:cs="Arial" w:eastAsia="Arial" w:hAnsi="Arial"/>
          <w:sz w:val="18"/>
          <w:szCs w:val="18"/>
          <w:color w:val="auto"/>
        </w:rPr>
      </w:pPr>
    </w:p>
    <w:p>
      <w:pPr>
        <w:ind w:left="1220" w:hanging="381"/>
        <w:spacing w:after="0"/>
        <w:tabs>
          <w:tab w:leader="none" w:pos="1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$0.1 million increase in professional fees due to increased legal, audit and tax compliance costs during 2022 as compared to 2021.</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Net Investment Income</w:t>
      </w:r>
    </w:p>
    <w:p>
      <w:pPr>
        <w:spacing w:after="0" w:line="158" w:lineRule="exact"/>
        <w:rPr>
          <w:sz w:val="20"/>
          <w:szCs w:val="20"/>
          <w:color w:val="auto"/>
        </w:rPr>
      </w:pPr>
    </w:p>
    <w:p>
      <w:pPr>
        <w:jc w:val="both"/>
        <w:ind w:right="80" w:firstLine="478"/>
        <w:spacing w:after="0" w:line="248" w:lineRule="auto"/>
        <w:rPr>
          <w:sz w:val="20"/>
          <w:szCs w:val="20"/>
          <w:color w:val="auto"/>
        </w:rPr>
      </w:pPr>
      <w:r>
        <w:rPr>
          <w:rFonts w:ascii="Arial" w:cs="Arial" w:eastAsia="Arial" w:hAnsi="Arial"/>
          <w:sz w:val="18"/>
          <w:szCs w:val="18"/>
          <w:color w:val="auto"/>
        </w:rPr>
        <w:t>Net investment income increased by $4.5 million, or 70.1%, to $11.0 million during the three months ended June 30, 2022 as compared to the same period in 2021, as a result of the $5.2 million decrease in total expenses, including base management fee waivers and income tax provision, partially offset by the $0.6 decrease in total investment income.</w:t>
      </w:r>
    </w:p>
    <w:p>
      <w:pPr>
        <w:spacing w:after="0" w:line="128" w:lineRule="exact"/>
        <w:rPr>
          <w:sz w:val="20"/>
          <w:szCs w:val="20"/>
          <w:color w:val="auto"/>
        </w:rPr>
      </w:pPr>
    </w:p>
    <w:p>
      <w:pPr>
        <w:jc w:val="both"/>
        <w:ind w:right="80" w:firstLine="478"/>
        <w:spacing w:after="0" w:line="248" w:lineRule="auto"/>
        <w:rPr>
          <w:sz w:val="20"/>
          <w:szCs w:val="20"/>
          <w:color w:val="auto"/>
        </w:rPr>
      </w:pPr>
      <w:r>
        <w:rPr>
          <w:rFonts w:ascii="Arial" w:cs="Arial" w:eastAsia="Arial" w:hAnsi="Arial"/>
          <w:sz w:val="18"/>
          <w:szCs w:val="18"/>
          <w:color w:val="auto"/>
        </w:rPr>
        <w:t>Net investment income increased by $3.8 million, or 21.6%, to $21.3 million during the six months ended June 30, 2022 as compared to the same period in 2021, as a result of the $7.2 million decrease in total expenses, including base management and incentive fee waivers and income tax provision, partially offset by the $3.4 decrease in total investment income.</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Net Gain (Loss) on Investments</w:t>
      </w:r>
    </w:p>
    <w:p>
      <w:pPr>
        <w:spacing w:after="0" w:line="158" w:lineRule="exact"/>
        <w:rPr>
          <w:sz w:val="20"/>
          <w:szCs w:val="20"/>
          <w:color w:val="auto"/>
        </w:rPr>
      </w:pPr>
    </w:p>
    <w:p>
      <w:pPr>
        <w:jc w:val="both"/>
        <w:ind w:right="80" w:firstLine="374"/>
        <w:spacing w:after="0" w:line="241" w:lineRule="auto"/>
        <w:rPr>
          <w:sz w:val="20"/>
          <w:szCs w:val="20"/>
          <w:color w:val="auto"/>
        </w:rPr>
      </w:pPr>
      <w:r>
        <w:rPr>
          <w:rFonts w:ascii="Arial" w:cs="Arial" w:eastAsia="Arial" w:hAnsi="Arial"/>
          <w:sz w:val="18"/>
          <w:szCs w:val="18"/>
          <w:color w:val="auto"/>
        </w:rPr>
        <w:t>For the three and six months ended June 30, 2022, the total net realized gain/(loss) on investments, before income tax (provision)/benefit, was $18.3 million and $25.2 million, respectively. Income tax (provision) benefit from realized gains on investments was $(0.1) million and $(0.1) million for the three and six months ended June 30, 2022, respectively. We realize a gain/(loss) on our equity investments primarily when we either sell our equity investment or the underlying portfolio company is sold. Significant realized gains (losses) for the three and six months ended June 30, 2022 are summarized below (dollars in millions):</w:t>
      </w:r>
    </w:p>
    <w:p>
      <w:pPr>
        <w:spacing w:after="0" w:line="13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33" w:right="2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Period Ended June 30, 2022</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8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9"/>
                <w:szCs w:val="19"/>
                <w:b w:val="1"/>
                <w:bCs w:val="1"/>
                <w:color w:val="auto"/>
                <w:vertAlign w:val="superscript"/>
              </w:rPr>
              <w:t>(1)</w:t>
            </w:r>
          </w:p>
        </w:tc>
        <w:tc>
          <w:tcPr>
            <w:tcW w:w="106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rPr>
              <w:t>Three</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208"/>
              <w:spacing w:after="0" w:line="160" w:lineRule="exact"/>
              <w:rPr>
                <w:sz w:val="20"/>
                <w:szCs w:val="20"/>
                <w:color w:val="auto"/>
              </w:rPr>
            </w:pPr>
            <w:r>
              <w:rPr>
                <w:rFonts w:ascii="Arial" w:cs="Arial" w:eastAsia="Arial" w:hAnsi="Arial"/>
                <w:sz w:val="14"/>
                <w:szCs w:val="14"/>
                <w:b w:val="1"/>
                <w:bCs w:val="1"/>
                <w:color w:val="auto"/>
              </w:rPr>
              <w:t>Six</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Portfolio Company</w:t>
            </w:r>
          </w:p>
        </w:tc>
        <w:tc>
          <w:tcPr>
            <w:tcW w:w="200" w:type="dxa"/>
            <w:vAlign w:val="bottom"/>
          </w:tcPr>
          <w:p>
            <w:pPr>
              <w:spacing w:after="0"/>
              <w:rPr>
                <w:sz w:val="16"/>
                <w:szCs w:val="16"/>
                <w:color w:val="auto"/>
              </w:rPr>
            </w:pPr>
          </w:p>
        </w:tc>
        <w:tc>
          <w:tcPr>
            <w:tcW w:w="3080" w:type="dxa"/>
            <w:vAlign w:val="bottom"/>
            <w:gridSpan w:val="2"/>
            <w:vMerge w:val="continue"/>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Months</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Months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Software Technology, LLC</w:t>
            </w:r>
          </w:p>
        </w:tc>
        <w:tc>
          <w:tcPr>
            <w:tcW w:w="200" w:type="dxa"/>
            <w:vAlign w:val="bottom"/>
            <w:shd w:val="clear" w:color="auto" w:fill="CFF0FC"/>
          </w:tcPr>
          <w:p>
            <w:pPr>
              <w:spacing w:after="0"/>
              <w:rPr>
                <w:sz w:val="14"/>
                <w:szCs w:val="14"/>
                <w:color w:val="auto"/>
              </w:rPr>
            </w:pPr>
          </w:p>
        </w:tc>
        <w:tc>
          <w:tcPr>
            <w:tcW w:w="28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Escrow distribution</w:t>
            </w:r>
          </w:p>
        </w:tc>
        <w:tc>
          <w:tcPr>
            <w:tcW w:w="200" w:type="dxa"/>
            <w:vAlign w:val="bottom"/>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ind w:right="90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jc w:val="right"/>
              <w:ind w:right="96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60" w:type="dxa"/>
            <w:vAlign w:val="bottom"/>
          </w:tcPr>
          <w:p>
            <w:pPr>
              <w:ind w:left="20"/>
              <w:spacing w:after="0" w:line="143" w:lineRule="exact"/>
              <w:rPr>
                <w:sz w:val="20"/>
                <w:szCs w:val="20"/>
                <w:color w:val="auto"/>
              </w:rPr>
            </w:pPr>
            <w:r>
              <w:rPr>
                <w:rFonts w:ascii="Arial" w:cs="Arial" w:eastAsia="Arial" w:hAnsi="Arial"/>
                <w:sz w:val="14"/>
                <w:szCs w:val="14"/>
                <w:color w:val="auto"/>
              </w:rPr>
              <w:t>Frontline Food Services, LLC</w:t>
            </w:r>
          </w:p>
        </w:tc>
        <w:tc>
          <w:tcPr>
            <w:tcW w:w="2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60" w:type="dxa"/>
            <w:vAlign w:val="bottom"/>
          </w:tcPr>
          <w:p>
            <w:pPr>
              <w:ind w:left="20"/>
              <w:spacing w:after="0"/>
              <w:rPr>
                <w:sz w:val="20"/>
                <w:szCs w:val="20"/>
                <w:color w:val="auto"/>
              </w:rPr>
            </w:pPr>
            <w:r>
              <w:rPr>
                <w:rFonts w:ascii="Arial" w:cs="Arial" w:eastAsia="Arial" w:hAnsi="Arial"/>
                <w:sz w:val="14"/>
                <w:szCs w:val="14"/>
                <w:color w:val="auto"/>
              </w:rPr>
              <w:t>(f/k/a Accent Food Services, LLC)</w:t>
            </w:r>
          </w:p>
        </w:tc>
        <w:tc>
          <w:tcPr>
            <w:tcW w:w="200" w:type="dxa"/>
            <w:vAlign w:val="bottom"/>
          </w:tcPr>
          <w:p>
            <w:pPr>
              <w:spacing w:after="0"/>
              <w:rPr>
                <w:sz w:val="15"/>
                <w:szCs w:val="15"/>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Sale of portfolio company</w:t>
            </w:r>
          </w:p>
        </w:tc>
        <w:tc>
          <w:tcPr>
            <w:tcW w:w="1060" w:type="dxa"/>
            <w:vAlign w:val="bottom"/>
          </w:tcPr>
          <w:p>
            <w:pPr>
              <w:spacing w:after="0"/>
              <w:rPr>
                <w:sz w:val="15"/>
                <w:szCs w:val="15"/>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 Management Solutions, LLC</w:t>
            </w:r>
          </w:p>
        </w:tc>
        <w:tc>
          <w:tcPr>
            <w:tcW w:w="200" w:type="dxa"/>
            <w:vAlign w:val="bottom"/>
            <w:shd w:val="clear" w:color="auto" w:fill="CFF0FC"/>
          </w:tcPr>
          <w:p>
            <w:pPr>
              <w:spacing w:after="0"/>
              <w:rPr>
                <w:sz w:val="15"/>
                <w:szCs w:val="15"/>
                <w:color w:val="auto"/>
              </w:rPr>
            </w:pPr>
          </w:p>
        </w:tc>
        <w:tc>
          <w:tcPr>
            <w:tcW w:w="30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Escrow distribution</w:t>
            </w:r>
          </w:p>
        </w:tc>
        <w:tc>
          <w:tcPr>
            <w:tcW w:w="10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20"/>
              <w:spacing w:after="0"/>
              <w:rPr>
                <w:sz w:val="20"/>
                <w:szCs w:val="20"/>
                <w:color w:val="auto"/>
              </w:rPr>
            </w:pPr>
            <w:r>
              <w:rPr>
                <w:rFonts w:ascii="Arial" w:cs="Arial" w:eastAsia="Arial" w:hAnsi="Arial"/>
                <w:sz w:val="14"/>
                <w:szCs w:val="14"/>
                <w:color w:val="auto"/>
              </w:rPr>
              <w:t>SpendMend LLC</w:t>
            </w:r>
          </w:p>
        </w:tc>
        <w:tc>
          <w:tcPr>
            <w:tcW w:w="200" w:type="dxa"/>
            <w:vAlign w:val="bottom"/>
          </w:tcPr>
          <w:p>
            <w:pPr>
              <w:spacing w:after="0"/>
              <w:rPr>
                <w:sz w:val="15"/>
                <w:szCs w:val="15"/>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Exit of portfolio company</w:t>
            </w:r>
          </w:p>
        </w:tc>
        <w:tc>
          <w:tcPr>
            <w:tcW w:w="10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0.1</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FDS Avionics Corp.</w:t>
            </w:r>
          </w:p>
        </w:tc>
        <w:tc>
          <w:tcPr>
            <w:tcW w:w="200" w:type="dxa"/>
            <w:vAlign w:val="bottom"/>
            <w:shd w:val="clear" w:color="auto" w:fill="CFF0FC"/>
          </w:tcPr>
          <w:p>
            <w:pPr>
              <w:spacing w:after="0"/>
              <w:rPr>
                <w:sz w:val="15"/>
                <w:szCs w:val="15"/>
                <w:color w:val="auto"/>
              </w:rPr>
            </w:pPr>
          </w:p>
        </w:tc>
        <w:tc>
          <w:tcPr>
            <w:tcW w:w="30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Escrow distribution</w:t>
            </w:r>
          </w:p>
        </w:tc>
        <w:tc>
          <w:tcPr>
            <w:tcW w:w="10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(0.4 )</w:t>
            </w:r>
          </w:p>
        </w:tc>
        <w:tc>
          <w:tcPr>
            <w:tcW w:w="0" w:type="dxa"/>
            <w:vAlign w:val="bottom"/>
          </w:tcPr>
          <w:p>
            <w:pPr>
              <w:spacing w:after="0"/>
              <w:rPr>
                <w:sz w:val="1"/>
                <w:szCs w:val="1"/>
                <w:color w:val="auto"/>
              </w:rPr>
            </w:pPr>
          </w:p>
        </w:tc>
      </w:tr>
      <w:tr>
        <w:trPr>
          <w:trHeight w:val="175"/>
        </w:trPr>
        <w:tc>
          <w:tcPr>
            <w:tcW w:w="4560" w:type="dxa"/>
            <w:vAlign w:val="bottom"/>
          </w:tcPr>
          <w:p>
            <w:pPr>
              <w:ind w:left="20"/>
              <w:spacing w:after="0"/>
              <w:rPr>
                <w:sz w:val="20"/>
                <w:szCs w:val="20"/>
                <w:color w:val="auto"/>
              </w:rPr>
            </w:pPr>
            <w:r>
              <w:rPr>
                <w:rFonts w:ascii="Arial" w:cs="Arial" w:eastAsia="Arial" w:hAnsi="Arial"/>
                <w:sz w:val="14"/>
                <w:szCs w:val="14"/>
                <w:color w:val="auto"/>
              </w:rPr>
              <w:t>Mesa Line Services, LLC</w:t>
            </w:r>
          </w:p>
        </w:tc>
        <w:tc>
          <w:tcPr>
            <w:tcW w:w="200" w:type="dxa"/>
            <w:vAlign w:val="bottom"/>
          </w:tcPr>
          <w:p>
            <w:pPr>
              <w:spacing w:after="0"/>
              <w:rPr>
                <w:sz w:val="15"/>
                <w:szCs w:val="15"/>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Escrow liability release</w:t>
            </w:r>
          </w:p>
        </w:tc>
        <w:tc>
          <w:tcPr>
            <w:tcW w:w="106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(0.2 )</w:t>
            </w:r>
          </w:p>
        </w:tc>
        <w:tc>
          <w:tcPr>
            <w:tcW w:w="1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Mirage Trailers LLC</w:t>
            </w:r>
          </w:p>
        </w:tc>
        <w:tc>
          <w:tcPr>
            <w:tcW w:w="200" w:type="dxa"/>
            <w:vAlign w:val="bottom"/>
            <w:shd w:val="clear" w:color="auto" w:fill="CFF0FC"/>
          </w:tcPr>
          <w:p>
            <w:pPr>
              <w:spacing w:after="0"/>
              <w:rPr>
                <w:sz w:val="15"/>
                <w:szCs w:val="15"/>
                <w:color w:val="auto"/>
              </w:rPr>
            </w:pPr>
          </w:p>
        </w:tc>
        <w:tc>
          <w:tcPr>
            <w:tcW w:w="30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Sale of portfolio company</w:t>
            </w:r>
          </w:p>
        </w:tc>
        <w:tc>
          <w:tcPr>
            <w:tcW w:w="10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tcPr>
          <w:p>
            <w:pPr>
              <w:ind w:left="20"/>
              <w:spacing w:after="0"/>
              <w:rPr>
                <w:sz w:val="20"/>
                <w:szCs w:val="20"/>
                <w:color w:val="auto"/>
              </w:rPr>
            </w:pPr>
            <w:r>
              <w:rPr>
                <w:rFonts w:ascii="Arial" w:cs="Arial" w:eastAsia="Arial" w:hAnsi="Arial"/>
                <w:sz w:val="14"/>
                <w:szCs w:val="14"/>
                <w:color w:val="auto"/>
              </w:rPr>
              <w:t>Alzheimer's Research and Treatment Center, LLC</w:t>
            </w:r>
          </w:p>
        </w:tc>
        <w:tc>
          <w:tcPr>
            <w:tcW w:w="200" w:type="dxa"/>
            <w:vAlign w:val="bottom"/>
          </w:tcPr>
          <w:p>
            <w:pPr>
              <w:spacing w:after="0"/>
              <w:rPr>
                <w:sz w:val="15"/>
                <w:szCs w:val="15"/>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Escrow distribution</w:t>
            </w:r>
          </w:p>
        </w:tc>
        <w:tc>
          <w:tcPr>
            <w:tcW w:w="1060" w:type="dxa"/>
            <w:vAlign w:val="bottom"/>
          </w:tcPr>
          <w:p>
            <w:pPr>
              <w:spacing w:after="0"/>
              <w:rPr>
                <w:sz w:val="15"/>
                <w:szCs w:val="15"/>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Allied 100 Group, Inc.</w:t>
            </w:r>
          </w:p>
        </w:tc>
        <w:tc>
          <w:tcPr>
            <w:tcW w:w="200" w:type="dxa"/>
            <w:vAlign w:val="bottom"/>
            <w:shd w:val="clear" w:color="auto" w:fill="CFF0FC"/>
          </w:tcPr>
          <w:p>
            <w:pPr>
              <w:spacing w:after="0"/>
              <w:rPr>
                <w:sz w:val="15"/>
                <w:szCs w:val="15"/>
                <w:color w:val="auto"/>
              </w:rPr>
            </w:pPr>
          </w:p>
        </w:tc>
        <w:tc>
          <w:tcPr>
            <w:tcW w:w="30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Escrow distribution</w:t>
            </w:r>
          </w:p>
        </w:tc>
        <w:tc>
          <w:tcPr>
            <w:tcW w:w="10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560" w:type="dxa"/>
            <w:vAlign w:val="bottom"/>
          </w:tcPr>
          <w:p>
            <w:pPr>
              <w:ind w:left="20"/>
              <w:spacing w:after="0"/>
              <w:rPr>
                <w:sz w:val="20"/>
                <w:szCs w:val="20"/>
                <w:color w:val="auto"/>
              </w:rPr>
            </w:pPr>
            <w:r>
              <w:rPr>
                <w:rFonts w:ascii="Arial" w:cs="Arial" w:eastAsia="Arial" w:hAnsi="Arial"/>
                <w:sz w:val="14"/>
                <w:szCs w:val="14"/>
                <w:color w:val="auto"/>
              </w:rPr>
              <w:t>TransGo, LLC</w:t>
            </w:r>
          </w:p>
        </w:tc>
        <w:tc>
          <w:tcPr>
            <w:tcW w:w="200" w:type="dxa"/>
            <w:vAlign w:val="bottom"/>
          </w:tcPr>
          <w:p>
            <w:pPr>
              <w:spacing w:after="0"/>
              <w:rPr>
                <w:sz w:val="15"/>
                <w:szCs w:val="15"/>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Sale of portfolio company</w:t>
            </w:r>
          </w:p>
        </w:tc>
        <w:tc>
          <w:tcPr>
            <w:tcW w:w="10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1.9</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AVC Investors, LLC (dba Auveco)</w:t>
            </w:r>
          </w:p>
        </w:tc>
        <w:tc>
          <w:tcPr>
            <w:tcW w:w="200" w:type="dxa"/>
            <w:vAlign w:val="bottom"/>
            <w:shd w:val="clear" w:color="auto" w:fill="CFF0FC"/>
          </w:tcPr>
          <w:p>
            <w:pPr>
              <w:spacing w:after="0"/>
              <w:rPr>
                <w:sz w:val="15"/>
                <w:szCs w:val="15"/>
                <w:color w:val="auto"/>
              </w:rPr>
            </w:pPr>
          </w:p>
        </w:tc>
        <w:tc>
          <w:tcPr>
            <w:tcW w:w="30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Sale of portfolio company</w:t>
            </w:r>
          </w:p>
        </w:tc>
        <w:tc>
          <w:tcPr>
            <w:tcW w:w="106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tcPr>
          <w:p>
            <w:pPr>
              <w:ind w:left="20"/>
              <w:spacing w:after="0"/>
              <w:rPr>
                <w:sz w:val="20"/>
                <w:szCs w:val="20"/>
                <w:color w:val="auto"/>
              </w:rPr>
            </w:pPr>
            <w:r>
              <w:rPr>
                <w:rFonts w:ascii="Arial" w:cs="Arial" w:eastAsia="Arial" w:hAnsi="Arial"/>
                <w:sz w:val="14"/>
                <w:szCs w:val="14"/>
                <w:color w:val="auto"/>
              </w:rPr>
              <w:t>CRS Solutions Holdings, LLC (dba CRS Texas)</w:t>
            </w:r>
          </w:p>
        </w:tc>
        <w:tc>
          <w:tcPr>
            <w:tcW w:w="200" w:type="dxa"/>
            <w:vAlign w:val="bottom"/>
          </w:tcPr>
          <w:p>
            <w:pPr>
              <w:spacing w:after="0"/>
              <w:rPr>
                <w:sz w:val="15"/>
                <w:szCs w:val="15"/>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Sale of portfolio company</w:t>
            </w:r>
          </w:p>
        </w:tc>
        <w:tc>
          <w:tcPr>
            <w:tcW w:w="10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0.4</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Pinnergy, Ltd.</w:t>
            </w:r>
          </w:p>
        </w:tc>
        <w:tc>
          <w:tcPr>
            <w:tcW w:w="200" w:type="dxa"/>
            <w:vAlign w:val="bottom"/>
            <w:tcBorders>
              <w:bottom w:val="single" w:sz="8" w:color="CFF0FC"/>
            </w:tcBorders>
            <w:shd w:val="clear" w:color="auto" w:fill="CFF0FC"/>
          </w:tcPr>
          <w:p>
            <w:pPr>
              <w:spacing w:after="0"/>
              <w:rPr>
                <w:sz w:val="15"/>
                <w:szCs w:val="15"/>
                <w:color w:val="auto"/>
              </w:rPr>
            </w:pPr>
          </w:p>
        </w:tc>
        <w:tc>
          <w:tcPr>
            <w:tcW w:w="30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Sale of portfolio company</w:t>
            </w:r>
          </w:p>
        </w:tc>
        <w:tc>
          <w:tcPr>
            <w:tcW w:w="106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15.3</w:t>
            </w:r>
          </w:p>
        </w:tc>
        <w:tc>
          <w:tcPr>
            <w:tcW w:w="34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60" w:type="dxa"/>
            <w:vAlign w:val="bottom"/>
          </w:tcPr>
          <w:p>
            <w:pPr>
              <w:ind w:left="20"/>
              <w:spacing w:after="0"/>
              <w:rPr>
                <w:sz w:val="20"/>
                <w:szCs w:val="20"/>
                <w:color w:val="auto"/>
              </w:rPr>
            </w:pPr>
            <w:r>
              <w:rPr>
                <w:rFonts w:ascii="Arial" w:cs="Arial" w:eastAsia="Arial" w:hAnsi="Arial"/>
                <w:sz w:val="14"/>
                <w:szCs w:val="14"/>
                <w:color w:val="auto"/>
              </w:rPr>
              <w:t>Net realized gain (loss) on investments</w:t>
            </w:r>
          </w:p>
        </w:tc>
        <w:tc>
          <w:tcPr>
            <w:tcW w:w="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18.3</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tax (provision) benefit from realized gains on investments</w:t>
            </w:r>
          </w:p>
        </w:tc>
        <w:tc>
          <w:tcPr>
            <w:tcW w:w="200" w:type="dxa"/>
            <w:vAlign w:val="bottom"/>
            <w:shd w:val="clear" w:color="auto" w:fill="CFF0FC"/>
          </w:tcPr>
          <w:p>
            <w:pPr>
              <w:spacing w:after="0"/>
              <w:rPr>
                <w:sz w:val="15"/>
                <w:szCs w:val="15"/>
                <w:color w:val="auto"/>
              </w:rPr>
            </w:pPr>
          </w:p>
        </w:tc>
        <w:tc>
          <w:tcPr>
            <w:tcW w:w="2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(0.1 )</w:t>
            </w:r>
          </w:p>
        </w:tc>
        <w:tc>
          <w:tcPr>
            <w:tcW w:w="11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69"/>
        </w:trPr>
        <w:tc>
          <w:tcPr>
            <w:tcW w:w="4560" w:type="dxa"/>
            <w:vAlign w:val="bottom"/>
            <w:tcBorders>
              <w:top w:val="single" w:sz="8" w:color="CFF0FC"/>
            </w:tcBorders>
          </w:tcPr>
          <w:p>
            <w:pPr>
              <w:ind w:left="20"/>
              <w:spacing w:after="0" w:line="155" w:lineRule="exact"/>
              <w:rPr>
                <w:sz w:val="20"/>
                <w:szCs w:val="20"/>
                <w:color w:val="auto"/>
              </w:rPr>
            </w:pPr>
            <w:r>
              <w:rPr>
                <w:rFonts w:ascii="Arial" w:cs="Arial" w:eastAsia="Arial" w:hAnsi="Arial"/>
                <w:sz w:val="14"/>
                <w:szCs w:val="14"/>
                <w:color w:val="auto"/>
              </w:rPr>
              <w:t>Net realized gain (loss), net of income tax provision, on investments</w:t>
            </w:r>
          </w:p>
        </w:tc>
        <w:tc>
          <w:tcPr>
            <w:tcW w:w="200" w:type="dxa"/>
            <w:vAlign w:val="bottom"/>
            <w:tcBorders>
              <w:top w:val="single" w:sz="8" w:color="CFF0FC"/>
            </w:tcBorders>
          </w:tcPr>
          <w:p>
            <w:pPr>
              <w:spacing w:after="0"/>
              <w:rPr>
                <w:sz w:val="14"/>
                <w:szCs w:val="14"/>
                <w:color w:val="auto"/>
              </w:rPr>
            </w:pPr>
          </w:p>
        </w:tc>
        <w:tc>
          <w:tcPr>
            <w:tcW w:w="288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908"/>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18.2</w:t>
            </w:r>
          </w:p>
        </w:tc>
        <w:tc>
          <w:tcPr>
            <w:tcW w:w="340" w:type="dxa"/>
            <w:vAlign w:val="bottom"/>
            <w:tcBorders>
              <w:top w:val="single" w:sz="8" w:color="CFF0FC"/>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968"/>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-356235</wp:posOffset>
            </wp:positionV>
            <wp:extent cx="68580"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-356235</wp:posOffset>
            </wp:positionV>
            <wp:extent cx="68580"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-125095</wp:posOffset>
            </wp:positionV>
            <wp:extent cx="68580"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wp:posOffset>
            </wp:positionV>
            <wp:extent cx="68580"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jc w:val="both"/>
        <w:ind w:firstLine="8"/>
        <w:spacing w:after="0" w:line="252" w:lineRule="auto"/>
        <w:tabs>
          <w:tab w:leader="none" w:pos="215"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 it relates to realization events, we define an 'exit' of a portfolio company as situations where we have completely exited our position in all of the portfolio company's securities and no longer carry the portfolio company on our consolidated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-425450</wp:posOffset>
            </wp:positionV>
            <wp:extent cx="20916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21" w:lineRule="exact"/>
        <w:rPr>
          <w:sz w:val="20"/>
          <w:szCs w:val="20"/>
          <w:color w:val="auto"/>
        </w:rPr>
      </w:pPr>
    </w:p>
    <w:p>
      <w:pPr>
        <w:jc w:val="both"/>
        <w:ind w:firstLine="374"/>
        <w:spacing w:after="0" w:line="284" w:lineRule="auto"/>
        <w:rPr>
          <w:sz w:val="20"/>
          <w:szCs w:val="20"/>
          <w:color w:val="auto"/>
        </w:rPr>
      </w:pPr>
      <w:r>
        <w:rPr>
          <w:rFonts w:ascii="Arial" w:cs="Arial" w:eastAsia="Arial" w:hAnsi="Arial"/>
          <w:sz w:val="16"/>
          <w:szCs w:val="16"/>
          <w:color w:val="auto"/>
        </w:rPr>
        <w:t>For the three and six months ended June 30, 2021, the total net realized gain/(loss) on investments, before income tax (provision)/benefit, was $2.2 million and $5.4 million, respectively. There was no income tax (provision) benefit from realized gains on investments for the three and six months ended June 30, 2021, respectively. We realize a gain/(loss) on our equity investments primarily when we either sell our equity investment or the underlying portfolio company is sold. Significant realized gains (losses) for the three and six months ended June 30, 2021 are summarized below (dollars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Period Ended June 30, 2021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rPr>
              <w:t>Three</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Six</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Portfolio Company</w:t>
            </w:r>
          </w:p>
        </w:tc>
        <w:tc>
          <w:tcPr>
            <w:tcW w:w="300" w:type="dxa"/>
            <w:vAlign w:val="bottom"/>
          </w:tcPr>
          <w:p>
            <w:pPr>
              <w:spacing w:after="0"/>
              <w:rPr>
                <w:sz w:val="16"/>
                <w:szCs w:val="16"/>
                <w:color w:val="auto"/>
              </w:rPr>
            </w:pPr>
          </w:p>
        </w:tc>
        <w:tc>
          <w:tcPr>
            <w:tcW w:w="2600" w:type="dxa"/>
            <w:vAlign w:val="bottom"/>
            <w:gridSpan w:val="2"/>
          </w:tcPr>
          <w:p>
            <w:pPr>
              <w:ind w:left="540"/>
              <w:spacing w:after="0"/>
              <w:rPr>
                <w:sz w:val="20"/>
                <w:szCs w:val="20"/>
                <w:color w:val="auto"/>
              </w:rPr>
            </w:pPr>
            <w:r>
              <w:rPr>
                <w:rFonts w:ascii="Arial" w:cs="Arial" w:eastAsia="Arial" w:hAnsi="Arial"/>
                <w:sz w:val="14"/>
                <w:szCs w:val="14"/>
                <w:b w:val="1"/>
                <w:bCs w:val="1"/>
                <w:color w:val="auto"/>
              </w:rPr>
              <w:t>Realization Event (1)</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Months</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rPr>
              <w:t>Months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Wheel Pros, Inc.</w:t>
            </w:r>
          </w:p>
        </w:tc>
        <w:tc>
          <w:tcPr>
            <w:tcW w:w="300" w:type="dxa"/>
            <w:vAlign w:val="bottom"/>
          </w:tcPr>
          <w:p>
            <w:pPr>
              <w:spacing w:after="0"/>
              <w:rPr>
                <w:sz w:val="14"/>
                <w:szCs w:val="14"/>
                <w:color w:val="auto"/>
              </w:rPr>
            </w:pPr>
          </w:p>
        </w:tc>
        <w:tc>
          <w:tcPr>
            <w:tcW w:w="23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Exit of portfolio company</w:t>
            </w:r>
          </w:p>
        </w:tc>
        <w:tc>
          <w:tcPr>
            <w:tcW w:w="220" w:type="dxa"/>
            <w:vAlign w:val="bottom"/>
          </w:tcPr>
          <w:p>
            <w:pPr>
              <w:spacing w:after="0"/>
              <w:rPr>
                <w:sz w:val="14"/>
                <w:szCs w:val="14"/>
                <w:color w:val="auto"/>
              </w:rPr>
            </w:pPr>
          </w:p>
        </w:tc>
        <w:tc>
          <w:tcPr>
            <w:tcW w:w="960" w:type="dxa"/>
            <w:vAlign w:val="bottom"/>
            <w:tcBorders>
              <w:top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4"/>
                <w:szCs w:val="14"/>
                <w:color w:val="auto"/>
              </w:rPr>
            </w:pPr>
          </w:p>
        </w:tc>
        <w:tc>
          <w:tcPr>
            <w:tcW w:w="1200" w:type="dxa"/>
            <w:vAlign w:val="bottom"/>
            <w:tcBorders>
              <w:top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r>
      <w:tr>
        <w:trPr>
          <w:trHeight w:val="176"/>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 Technology, LLC</w:t>
            </w:r>
          </w:p>
        </w:tc>
        <w:tc>
          <w:tcPr>
            <w:tcW w:w="300" w:type="dxa"/>
            <w:vAlign w:val="bottom"/>
            <w:shd w:val="clear" w:color="auto" w:fill="CCEEFF"/>
          </w:tcPr>
          <w:p>
            <w:pPr>
              <w:spacing w:after="0"/>
              <w:rPr>
                <w:sz w:val="15"/>
                <w:szCs w:val="15"/>
                <w:color w:val="auto"/>
              </w:rPr>
            </w:pP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Exit of portfolio company</w:t>
            </w: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r>
      <w:tr>
        <w:trPr>
          <w:trHeight w:val="175"/>
        </w:trPr>
        <w:tc>
          <w:tcPr>
            <w:tcW w:w="5160" w:type="dxa"/>
            <w:vAlign w:val="bottom"/>
          </w:tcPr>
          <w:p>
            <w:pPr>
              <w:ind w:left="20"/>
              <w:spacing w:after="0"/>
              <w:rPr>
                <w:sz w:val="20"/>
                <w:szCs w:val="20"/>
                <w:color w:val="auto"/>
              </w:rPr>
            </w:pPr>
            <w:r>
              <w:rPr>
                <w:rFonts w:ascii="Arial" w:cs="Arial" w:eastAsia="Arial" w:hAnsi="Arial"/>
                <w:sz w:val="14"/>
                <w:szCs w:val="14"/>
                <w:color w:val="auto"/>
              </w:rPr>
              <w:t>Spectra A&amp;D Acquisition, Inc. (fka FDS Avionics Corp.)</w:t>
            </w:r>
          </w:p>
        </w:tc>
        <w:tc>
          <w:tcPr>
            <w:tcW w:w="300" w:type="dxa"/>
            <w:vAlign w:val="bottom"/>
          </w:tcPr>
          <w:p>
            <w:pPr>
              <w:spacing w:after="0"/>
              <w:rPr>
                <w:sz w:val="15"/>
                <w:szCs w:val="15"/>
                <w:color w:val="auto"/>
              </w:rPr>
            </w:pPr>
          </w:p>
        </w:tc>
        <w:tc>
          <w:tcPr>
            <w:tcW w:w="2600" w:type="dxa"/>
            <w:vAlign w:val="bottom"/>
            <w:gridSpan w:val="2"/>
          </w:tcPr>
          <w:p>
            <w:pPr>
              <w:ind w:left="20"/>
              <w:spacing w:after="0"/>
              <w:rPr>
                <w:sz w:val="20"/>
                <w:szCs w:val="20"/>
                <w:color w:val="auto"/>
              </w:rPr>
            </w:pPr>
            <w:r>
              <w:rPr>
                <w:rFonts w:ascii="Arial" w:cs="Arial" w:eastAsia="Arial" w:hAnsi="Arial"/>
                <w:sz w:val="14"/>
                <w:szCs w:val="14"/>
                <w:color w:val="auto"/>
              </w:rPr>
              <w:t>Exit of portfolio company</w:t>
            </w:r>
          </w:p>
        </w:tc>
        <w:tc>
          <w:tcPr>
            <w:tcW w:w="9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r>
      <w:tr>
        <w:trPr>
          <w:trHeight w:val="175"/>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Rohrer Corporation</w:t>
            </w:r>
          </w:p>
        </w:tc>
        <w:tc>
          <w:tcPr>
            <w:tcW w:w="300" w:type="dxa"/>
            <w:vAlign w:val="bottom"/>
            <w:shd w:val="clear" w:color="auto" w:fill="CCEEFF"/>
          </w:tcPr>
          <w:p>
            <w:pPr>
              <w:spacing w:after="0"/>
              <w:rPr>
                <w:sz w:val="15"/>
                <w:szCs w:val="15"/>
                <w:color w:val="auto"/>
              </w:rPr>
            </w:pP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Sale of portfolio company</w:t>
            </w: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5"/>
                <w:szCs w:val="15"/>
                <w:color w:val="auto"/>
              </w:rPr>
            </w:pPr>
          </w:p>
        </w:tc>
      </w:tr>
      <w:tr>
        <w:trPr>
          <w:trHeight w:val="175"/>
        </w:trPr>
        <w:tc>
          <w:tcPr>
            <w:tcW w:w="5160" w:type="dxa"/>
            <w:vAlign w:val="bottom"/>
          </w:tcPr>
          <w:p>
            <w:pPr>
              <w:ind w:left="2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69"/>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realized gain (loss) on investments</w:t>
            </w:r>
          </w:p>
        </w:tc>
        <w:tc>
          <w:tcPr>
            <w:tcW w:w="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4"/>
                <w:szCs w:val="14"/>
                <w:color w:val="auto"/>
              </w:rPr>
            </w:pPr>
          </w:p>
        </w:tc>
      </w:tr>
      <w:tr>
        <w:trPr>
          <w:trHeight w:val="175"/>
        </w:trPr>
        <w:tc>
          <w:tcPr>
            <w:tcW w:w="5160" w:type="dxa"/>
            <w:vAlign w:val="bottom"/>
          </w:tcPr>
          <w:p>
            <w:pPr>
              <w:ind w:left="20"/>
              <w:spacing w:after="0"/>
              <w:rPr>
                <w:sz w:val="20"/>
                <w:szCs w:val="20"/>
                <w:color w:val="auto"/>
              </w:rPr>
            </w:pPr>
            <w:r>
              <w:rPr>
                <w:rFonts w:ascii="Arial" w:cs="Arial" w:eastAsia="Arial" w:hAnsi="Arial"/>
                <w:sz w:val="14"/>
                <w:szCs w:val="14"/>
                <w:color w:val="auto"/>
              </w:rPr>
              <w:t>Income tax provision from realized gains on investments</w:t>
            </w:r>
          </w:p>
        </w:tc>
        <w:tc>
          <w:tcPr>
            <w:tcW w:w="3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69"/>
        </w:trPr>
        <w:tc>
          <w:tcPr>
            <w:tcW w:w="5160" w:type="dxa"/>
            <w:vAlign w:val="bottom"/>
          </w:tcPr>
          <w:p>
            <w:pPr>
              <w:ind w:left="20"/>
              <w:spacing w:after="0" w:line="155" w:lineRule="exact"/>
              <w:rPr>
                <w:sz w:val="20"/>
                <w:szCs w:val="20"/>
                <w:color w:val="auto"/>
              </w:rPr>
            </w:pPr>
            <w:r>
              <w:rPr>
                <w:rFonts w:ascii="Arial" w:cs="Arial" w:eastAsia="Arial" w:hAnsi="Arial"/>
                <w:sz w:val="14"/>
                <w:szCs w:val="14"/>
                <w:color w:val="auto"/>
              </w:rPr>
              <w:t>Net realized gain (loss), net of income tax provision, on investments</w:t>
            </w:r>
          </w:p>
        </w:tc>
        <w:tc>
          <w:tcPr>
            <w:tcW w:w="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w:t>
            </w:r>
          </w:p>
        </w:tc>
        <w:tc>
          <w:tcPr>
            <w:tcW w:w="240" w:type="dxa"/>
            <w:vAlign w:val="bottom"/>
          </w:tcPr>
          <w:p>
            <w:pPr>
              <w:spacing w:after="0"/>
              <w:rPr>
                <w:sz w:val="14"/>
                <w:szCs w:val="14"/>
                <w:color w:val="auto"/>
              </w:rPr>
            </w:pPr>
          </w:p>
        </w:tc>
        <w:tc>
          <w:tcPr>
            <w:tcW w:w="1200" w:type="dxa"/>
            <w:vAlign w:val="bottom"/>
            <w:tcBorders>
              <w:bottom w:val="single" w:sz="8" w:color="auto"/>
            </w:tcBorders>
          </w:tcPr>
          <w:p>
            <w:pPr>
              <w:jc w:val="right"/>
              <w:ind w:right="1028"/>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both"/>
        <w:ind w:firstLine="8"/>
        <w:spacing w:after="0" w:line="252" w:lineRule="auto"/>
        <w:tabs>
          <w:tab w:leader="none" w:pos="215"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341" w:lineRule="exact"/>
        <w:rPr>
          <w:sz w:val="20"/>
          <w:szCs w:val="20"/>
          <w:color w:val="auto"/>
        </w:rPr>
      </w:pPr>
    </w:p>
    <w:p>
      <w:pPr>
        <w:ind w:firstLine="374"/>
        <w:spacing w:after="0" w:line="261" w:lineRule="auto"/>
        <w:rPr>
          <w:sz w:val="20"/>
          <w:szCs w:val="20"/>
          <w:color w:val="auto"/>
        </w:rPr>
      </w:pPr>
      <w:r>
        <w:rPr>
          <w:rFonts w:ascii="Arial" w:cs="Arial" w:eastAsia="Arial" w:hAnsi="Arial"/>
          <w:sz w:val="18"/>
          <w:szCs w:val="18"/>
          <w:color w:val="auto"/>
        </w:rPr>
        <w:t>During the six months ended June 30, 2022 and 2021, we recorded a net change in unrealized appreciation (depreciation) on investments attributable to the following (dollars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jc w:val="center"/>
              <w:ind w:right="348"/>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69"/>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Appreciation (Depreciation)</w:t>
            </w:r>
          </w:p>
        </w:tc>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Exit, sale or restructuring of investments</w:t>
            </w:r>
          </w:p>
        </w:tc>
        <w:tc>
          <w:tcPr>
            <w:tcW w:w="12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(17.5</w:t>
            </w:r>
          </w:p>
        </w:tc>
        <w:tc>
          <w:tcPr>
            <w:tcW w:w="34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84"/>
              </w:rPr>
              <w:t>)</w:t>
            </w:r>
          </w:p>
        </w:tc>
        <w:tc>
          <w:tcPr>
            <w:tcW w:w="1080" w:type="dxa"/>
            <w:vAlign w:val="bottom"/>
            <w:tcBorders>
              <w:top w:val="single" w:sz="8" w:color="auto"/>
            </w:tcBorders>
            <w:shd w:val="clear" w:color="auto" w:fill="CFF0FC"/>
          </w:tcPr>
          <w:p>
            <w:pPr>
              <w:jc w:val="right"/>
              <w:ind w:right="92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(23.9</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380" w:type="dxa"/>
            <w:vAlign w:val="bottom"/>
            <w:tcBorders>
              <w:top w:val="single" w:sz="8" w:color="auto"/>
            </w:tcBorders>
            <w:shd w:val="clear" w:color="auto" w:fill="CFF0FC"/>
          </w:tcPr>
          <w:p>
            <w:pPr>
              <w:jc w:val="center"/>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4320" w:type="dxa"/>
            <w:vAlign w:val="bottom"/>
            <w:gridSpan w:val="2"/>
          </w:tcPr>
          <w:p>
            <w:pPr>
              <w:ind w:left="20"/>
              <w:spacing w:after="0"/>
              <w:rPr>
                <w:sz w:val="20"/>
                <w:szCs w:val="20"/>
                <w:color w:val="auto"/>
              </w:rPr>
            </w:pPr>
            <w:r>
              <w:rPr>
                <w:rFonts w:ascii="Arial" w:cs="Arial" w:eastAsia="Arial" w:hAnsi="Arial"/>
                <w:sz w:val="14"/>
                <w:szCs w:val="14"/>
                <w:color w:val="auto"/>
              </w:rPr>
              <w:t>Fair value adjustments to debt investments</w:t>
            </w:r>
          </w:p>
        </w:tc>
        <w:tc>
          <w:tcPr>
            <w:tcW w:w="1040" w:type="dxa"/>
            <w:vAlign w:val="bottom"/>
          </w:tcPr>
          <w:p>
            <w:pPr>
              <w:spacing w:after="0"/>
              <w:rPr>
                <w:sz w:val="15"/>
                <w:szCs w:val="15"/>
                <w:color w:val="auto"/>
              </w:rPr>
            </w:pPr>
          </w:p>
        </w:tc>
        <w:tc>
          <w:tcPr>
            <w:tcW w:w="800" w:type="dxa"/>
            <w:vAlign w:val="bottom"/>
            <w:gridSpan w:val="2"/>
          </w:tcPr>
          <w:p>
            <w:pPr>
              <w:jc w:val="right"/>
              <w:ind w:right="208"/>
              <w:spacing w:after="0"/>
              <w:rPr>
                <w:sz w:val="20"/>
                <w:szCs w:val="20"/>
                <w:color w:val="auto"/>
              </w:rPr>
            </w:pPr>
            <w:r>
              <w:rPr>
                <w:rFonts w:ascii="Arial" w:cs="Arial" w:eastAsia="Arial" w:hAnsi="Arial"/>
                <w:sz w:val="14"/>
                <w:szCs w:val="14"/>
                <w:color w:val="auto"/>
              </w:rPr>
              <w:t>(5.4 )</w:t>
            </w: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0.7</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88"/>
              <w:spacing w:after="0"/>
              <w:rPr>
                <w:sz w:val="20"/>
                <w:szCs w:val="20"/>
                <w:color w:val="auto"/>
              </w:rPr>
            </w:pPr>
            <w:r>
              <w:rPr>
                <w:rFonts w:ascii="Arial" w:cs="Arial" w:eastAsia="Arial" w:hAnsi="Arial"/>
                <w:sz w:val="14"/>
                <w:szCs w:val="14"/>
                <w:color w:val="auto"/>
              </w:rPr>
              <w:t>(3.4 )</w:t>
            </w:r>
          </w:p>
        </w:tc>
        <w:tc>
          <w:tcPr>
            <w:tcW w:w="38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(4.5 )</w:t>
            </w:r>
          </w:p>
        </w:tc>
      </w:tr>
      <w:tr>
        <w:trPr>
          <w:trHeight w:val="176"/>
        </w:trPr>
        <w:tc>
          <w:tcPr>
            <w:tcW w:w="43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Fair value adjustments to equity investments</w:t>
            </w:r>
          </w:p>
        </w:tc>
        <w:tc>
          <w:tcPr>
            <w:tcW w:w="104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34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18.3</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4320" w:type="dxa"/>
            <w:vAlign w:val="bottom"/>
            <w:gridSpan w:val="2"/>
          </w:tcPr>
          <w:p>
            <w:pPr>
              <w:ind w:left="20"/>
              <w:spacing w:after="0"/>
              <w:rPr>
                <w:sz w:val="20"/>
                <w:szCs w:val="20"/>
                <w:color w:val="auto"/>
              </w:rPr>
            </w:pPr>
            <w:r>
              <w:rPr>
                <w:rFonts w:ascii="Arial" w:cs="Arial" w:eastAsia="Arial" w:hAnsi="Arial"/>
                <w:sz w:val="14"/>
                <w:szCs w:val="14"/>
                <w:color w:val="auto"/>
              </w:rPr>
              <w:t>Net change in unrealized appreciation (depreciation)</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8"/>
              <w:spacing w:after="0"/>
              <w:rPr>
                <w:sz w:val="20"/>
                <w:szCs w:val="20"/>
                <w:color w:val="auto"/>
              </w:rPr>
            </w:pPr>
            <w:r>
              <w:rPr>
                <w:rFonts w:ascii="Arial" w:cs="Arial" w:eastAsia="Arial" w:hAnsi="Arial"/>
                <w:sz w:val="14"/>
                <w:szCs w:val="14"/>
                <w:color w:val="auto"/>
              </w:rPr>
              <w:t>(21.2 )</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17.3</w:t>
            </w:r>
          </w:p>
        </w:tc>
        <w:tc>
          <w:tcPr>
            <w:tcW w:w="26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8"/>
              <w:spacing w:after="0"/>
              <w:rPr>
                <w:sz w:val="20"/>
                <w:szCs w:val="20"/>
                <w:color w:val="auto"/>
              </w:rPr>
            </w:pPr>
            <w:r>
              <w:rPr>
                <w:rFonts w:ascii="Arial" w:cs="Arial" w:eastAsia="Arial" w:hAnsi="Arial"/>
                <w:sz w:val="14"/>
                <w:szCs w:val="14"/>
                <w:color w:val="auto"/>
              </w:rPr>
              <w:t>(26.5 )</w:t>
            </w:r>
          </w:p>
        </w:tc>
        <w:tc>
          <w:tcPr>
            <w:tcW w:w="380" w:type="dxa"/>
            <w:vAlign w:val="bottom"/>
          </w:tcPr>
          <w:p>
            <w:pPr>
              <w:jc w:val="center"/>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4"/>
                <w:szCs w:val="14"/>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-142240</wp:posOffset>
            </wp:positionV>
            <wp:extent cx="7747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-142240</wp:posOffset>
            </wp:positionV>
            <wp:extent cx="68580"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-142240</wp:posOffset>
            </wp:positionV>
            <wp:extent cx="68580"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Increase in Net Assets Resulting From Operations</w:t>
      </w:r>
    </w:p>
    <w:p>
      <w:pPr>
        <w:spacing w:after="0" w:line="158"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Net increase (decrease) in net assets resulting from operations during the three months ended June 30, 2022 and 2021 was $8.0 million and $25.9 million, respectively, as a result of the events described above.</w:t>
      </w:r>
    </w:p>
    <w:p>
      <w:pPr>
        <w:spacing w:after="0" w:line="117"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Net increase (decrease) in net assets resulting from operations during the six months ended June 30, 2022 and 2021 was $19.7 million and $37.4 million, respectively, as a result of the events described above.</w:t>
      </w: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ind w:left="48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8" w:lineRule="exact"/>
        <w:rPr>
          <w:sz w:val="20"/>
          <w:szCs w:val="20"/>
          <w:color w:val="auto"/>
        </w:rPr>
      </w:pPr>
    </w:p>
    <w:p>
      <w:pPr>
        <w:jc w:val="both"/>
        <w:ind w:firstLine="478"/>
        <w:spacing w:after="0" w:line="271" w:lineRule="auto"/>
        <w:rPr>
          <w:sz w:val="20"/>
          <w:szCs w:val="20"/>
          <w:color w:val="auto"/>
        </w:rPr>
      </w:pPr>
      <w:r>
        <w:rPr>
          <w:rFonts w:ascii="Arial" w:cs="Arial" w:eastAsia="Arial" w:hAnsi="Arial"/>
          <w:sz w:val="16"/>
          <w:szCs w:val="16"/>
          <w:color w:val="auto"/>
        </w:rPr>
        <w:t>As of June 30, 2022, we had $72.5 million in cash and cash equivalents and our net assets totaled $484.0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“at-the-market”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six months ended June 30, 2022, we repaid $20.0 million of SBA debentures which would have matured during the period March 1, 2025 through March 1, 2028. Our remaining outstanding SBA debentures continue to mature in 2025 and subsequent years through 2032, which will require repayment on or before the respective maturity dates. This “Liquidity and Capital Resources” section should be read in conjunction with the “COVID-19 Updates” section above.</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Cash Flows</w:t>
      </w:r>
    </w:p>
    <w:p>
      <w:pPr>
        <w:spacing w:after="0" w:line="212" w:lineRule="exact"/>
        <w:rPr>
          <w:sz w:val="20"/>
          <w:szCs w:val="20"/>
          <w:color w:val="auto"/>
        </w:rPr>
      </w:pPr>
    </w:p>
    <w:p>
      <w:pPr>
        <w:jc w:val="both"/>
        <w:ind w:firstLine="479"/>
        <w:spacing w:after="0"/>
        <w:rPr>
          <w:sz w:val="20"/>
          <w:szCs w:val="20"/>
          <w:color w:val="auto"/>
        </w:rPr>
      </w:pPr>
      <w:r>
        <w:rPr>
          <w:rFonts w:ascii="Arial" w:cs="Arial" w:eastAsia="Arial" w:hAnsi="Arial"/>
          <w:sz w:val="18"/>
          <w:szCs w:val="18"/>
          <w:color w:val="auto"/>
        </w:rPr>
        <w:t>For the six months ended June 30, 2022, we experienced a net decrease in cash and cash equivalents in the amount of $97.0 million. During that period, we made payments of $93.1 million of cash for operating activities, which included the funding of $160.1 million of investments which was partially offset by proceeds received from sales and repayments of investments of $68.0 million. During the same period, we received repayments of $0.4 million on our secured borrowings, made repayments of SBA debentures of $20.0 million; which were offset by proceeds from the issuances of SBA debentures of $41.5 million, paid cash dividends paid to stockholders of $23.5 million, and made payment of deferred financing costs related to our debt financings of $1.5 million.</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Capital Resources</w:t>
      </w:r>
    </w:p>
    <w:p>
      <w:pPr>
        <w:spacing w:after="0" w:line="158"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We anticipate that we will continue to fund our investment activities on a long-term basis through a combination of additional debt and equity capital.</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SBA debentures</w:t>
      </w:r>
    </w:p>
    <w:p>
      <w:pPr>
        <w:spacing w:after="0" w:line="158" w:lineRule="exact"/>
        <w:rPr>
          <w:sz w:val="20"/>
          <w:szCs w:val="20"/>
          <w:color w:val="auto"/>
        </w:rPr>
      </w:pPr>
    </w:p>
    <w:p>
      <w:pPr>
        <w:jc w:val="both"/>
        <w:ind w:firstLine="469"/>
        <w:spacing w:after="0" w:line="271" w:lineRule="auto"/>
        <w:rPr>
          <w:sz w:val="20"/>
          <w:szCs w:val="20"/>
          <w:color w:val="auto"/>
        </w:rPr>
      </w:pPr>
      <w:r>
        <w:rPr>
          <w:rFonts w:ascii="Arial" w:cs="Arial" w:eastAsia="Arial" w:hAnsi="Arial"/>
          <w:sz w:val="16"/>
          <w:szCs w:val="16"/>
          <w:color w:val="auto"/>
        </w:rPr>
        <w:t>The Funds are licensed SBICs, and have the ability to issue debentures guaranteed by the SBA at favorable interest rates. Under the Small Business Investment Act and the SBA rules applicable to SBICs,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SBA debentures have fixed interest rates that approximate prevailing 10-year Treasury Notes rates plus a spread and have a maturity of ten years with interest payable semi-annually. The principal amount of the SBA debentures is not required to be paid before maturity but may be pre-paid at any time. As of June 30, 2022, Fund II and Fund III had $50.0 million and $78.5 million of outstanding SBA debentures, respectively. Subject to SBA regulatory requirements and approval, Fund III may access up to $96.5 million of additional SBA debentures under the SBIC debenture program. For more information on the SBA debentures, please refer to Note 6 to our consolidated financial statements.</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Credit Facility</w:t>
      </w:r>
    </w:p>
    <w:p>
      <w:pPr>
        <w:spacing w:after="0" w:line="158" w:lineRule="exact"/>
        <w:rPr>
          <w:sz w:val="20"/>
          <w:szCs w:val="20"/>
          <w:color w:val="auto"/>
        </w:rPr>
      </w:pPr>
    </w:p>
    <w:p>
      <w:pPr>
        <w:jc w:val="both"/>
        <w:ind w:firstLine="469"/>
        <w:spacing w:after="0" w:line="267" w:lineRule="auto"/>
        <w:rPr>
          <w:sz w:val="20"/>
          <w:szCs w:val="20"/>
          <w:color w:val="auto"/>
        </w:rPr>
      </w:pPr>
      <w:r>
        <w:rPr>
          <w:rFonts w:ascii="Arial" w:cs="Arial" w:eastAsia="Arial" w:hAnsi="Arial"/>
          <w:sz w:val="16"/>
          <w:szCs w:val="16"/>
          <w:color w:val="auto"/>
        </w:rPr>
        <w:t>In June 2014, we entered into a senior secured revolving credit agreement (the "Credit Agreement") and the senior secured revolving credit facility (the "Credit Facility") to provide additional funding for our investment and operational activities. On April 24, 2019, we entered into the Amended Credit Agreement, which amends, restates, and replaces the Credit Agreement. On June 26, 2020, the Company amended the Amended Credit Agreement, but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 The Credit Facility is secured by substantially all of our assets, excluding the assets of the Funds.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8" w:name="page49"/>
    <w:bookmarkEnd w:id="48"/>
    <w:p>
      <w:pPr>
        <w:jc w:val="both"/>
        <w:ind w:firstLine="469"/>
        <w:spacing w:after="0" w:line="252" w:lineRule="auto"/>
        <w:rPr>
          <w:sz w:val="20"/>
          <w:szCs w:val="20"/>
          <w:color w:val="auto"/>
        </w:rPr>
      </w:pPr>
      <w:r>
        <w:rPr>
          <w:rFonts w:ascii="Arial" w:cs="Arial" w:eastAsia="Arial" w:hAnsi="Arial"/>
          <w:sz w:val="17"/>
          <w:szCs w:val="17"/>
          <w:color w:val="auto"/>
        </w:rPr>
        <w:t>Under the Amended Credit Agreement, (i) revolving commitments by lenders were increased from $90.0 million to $100.0 million, with an accordion feature that allows for an increase in total commitments up to $250.0 million,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 We pay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1.00 (on a regulatory basis). The Credit Facility is secured by a first priority security interest in all of our assets, excluding the assets of our SBIC subsidiaries.</w:t>
      </w:r>
    </w:p>
    <w:p>
      <w:pPr>
        <w:spacing w:after="0" w:line="126"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7"/>
          <w:szCs w:val="17"/>
          <w:color w:val="auto"/>
        </w:rPr>
        <w:t>Amounts available to borrow under the Credit Facility are subject to a minimum borrowing/collateral base that applies an advance rate to certain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18" w:lineRule="exact"/>
        <w:rPr>
          <w:sz w:val="20"/>
          <w:szCs w:val="20"/>
          <w:color w:val="auto"/>
        </w:rPr>
      </w:pPr>
    </w:p>
    <w:p>
      <w:pPr>
        <w:jc w:val="both"/>
        <w:ind w:firstLine="469"/>
        <w:spacing w:after="0" w:line="243" w:lineRule="auto"/>
        <w:rPr>
          <w:sz w:val="20"/>
          <w:szCs w:val="20"/>
          <w:color w:val="auto"/>
        </w:rPr>
      </w:pPr>
      <w:r>
        <w:rPr>
          <w:rFonts w:ascii="Arial" w:cs="Arial" w:eastAsia="Arial" w:hAnsi="Arial"/>
          <w:sz w:val="18"/>
          <w:szCs w:val="18"/>
          <w:color w:val="auto"/>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June 30, 2022, we were in compliance with all covenants of the Credit Facility and there were no borrowings outstanding under the Credit Facility.</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Notes</w:t>
      </w:r>
    </w:p>
    <w:p>
      <w:pPr>
        <w:spacing w:after="0" w:line="158" w:lineRule="exact"/>
        <w:rPr>
          <w:sz w:val="20"/>
          <w:szCs w:val="20"/>
          <w:color w:val="auto"/>
        </w:rPr>
      </w:pPr>
    </w:p>
    <w:p>
      <w:pPr>
        <w:jc w:val="both"/>
        <w:ind w:firstLine="469"/>
        <w:spacing w:after="0"/>
        <w:rPr>
          <w:sz w:val="20"/>
          <w:szCs w:val="20"/>
          <w:color w:val="auto"/>
        </w:rPr>
      </w:pPr>
      <w:r>
        <w:rPr>
          <w:rFonts w:ascii="Arial" w:cs="Arial" w:eastAsia="Arial" w:hAnsi="Arial"/>
          <w:sz w:val="18"/>
          <w:szCs w:val="18"/>
          <w:color w:val="auto"/>
        </w:rPr>
        <w:t>On February 2, 2018, we closed the public offering of approximately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offering expenses of $0.4 million, were approximately $48.1 million. On January 19, 2021, we redeemed $50.0 million in the aggregate principal amount on the issued and outstanding 2023 Notes, resulting in a realized loss on extinguishment of debt of approximately $0.8 million.</w:t>
      </w:r>
    </w:p>
    <w:p>
      <w:pPr>
        <w:spacing w:after="0" w:line="135"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6"/>
          <w:szCs w:val="16"/>
          <w:color w:val="auto"/>
        </w:rPr>
        <w:t>On February 8, 2019, we closed the public offering of approximately $60.0 million in aggregate principal amount of our 6.000% notes due 2024, or the “February 2024 Notes”. On February 19, 2019, the underwriters exercised their option to purchase an additional $9.0 million in aggregate principal of the February 2024 Notes. The total net proceeds to us from the February 2024 Notes, including the exercise of the underwriters’ option, after deducting underwriting discounts of approximately $2.1 million and estimated offering expenses of $0.4 million, were approximately $66.5 million. On February 16, 2021, we redeemed $50.0 million of the $69.0 million in aggregate principal amount on the February 2024 Notes, resulting in a realized loss on extinguishment of debt of approximately $1.1 million. On November 2, 2021, we fully redeemed the remaining $19.0 million in aggregate principal amount on the issued and outstanding February 2024 Notes, resulting in a realized loss on extinguishment of debt of approximately $0.3 million.</w:t>
      </w:r>
    </w:p>
    <w:p>
      <w:pPr>
        <w:spacing w:after="0" w:line="109" w:lineRule="exact"/>
        <w:rPr>
          <w:sz w:val="20"/>
          <w:szCs w:val="20"/>
          <w:color w:val="auto"/>
        </w:rPr>
      </w:pPr>
    </w:p>
    <w:p>
      <w:pPr>
        <w:jc w:val="both"/>
        <w:ind w:firstLine="469"/>
        <w:spacing w:after="0" w:line="237" w:lineRule="auto"/>
        <w:rPr>
          <w:sz w:val="20"/>
          <w:szCs w:val="20"/>
          <w:color w:val="auto"/>
        </w:rPr>
      </w:pPr>
      <w:r>
        <w:rPr>
          <w:rFonts w:ascii="Arial" w:cs="Arial" w:eastAsia="Arial" w:hAnsi="Arial"/>
          <w:sz w:val="18"/>
          <w:szCs w:val="18"/>
          <w:color w:val="auto"/>
        </w:rPr>
        <w:t>On October 16, 2019, we closed the public offering of approximately $55.0 million in aggregate principal amount of our 5.375% notes due 2024, or the “November 2024 Notes” (and collectively with the 2023 Notes and the February 2024 Notes, the “Public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approximately $1.9 million and estimated offering expenses of $0.3 million, were approximately $61.1 million. On November 2, 2021, we fully redeemed the $63.3 million in aggregate principal amount on the issued and outstanding November 2024 Notes, resulting in a realized loss on extinguishment of debt of approximately $1.3 million.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9" w:name="page50"/>
    <w:bookmarkEnd w:id="49"/>
    <w:p>
      <w:pPr>
        <w:jc w:val="both"/>
        <w:ind w:firstLine="509"/>
        <w:spacing w:after="0" w:line="255" w:lineRule="auto"/>
        <w:rPr>
          <w:sz w:val="20"/>
          <w:szCs w:val="20"/>
          <w:color w:val="auto"/>
        </w:rPr>
      </w:pPr>
      <w:r>
        <w:rPr>
          <w:rFonts w:ascii="Arial" w:cs="Arial" w:eastAsia="Arial" w:hAnsi="Arial"/>
          <w:sz w:val="17"/>
          <w:szCs w:val="17"/>
          <w:color w:val="auto"/>
        </w:rPr>
        <w:t>On December 23, 2020, we closed the offering of $125.0 million in aggregate principal amount of our 4.75% notes due 2026, or the “January 2026 Notes”. The total net proceeds to us from the January 2026 Notes after deducting underwriting discounts of $2.5 million and estimated offering expenses of approximately $0.4 million, were approximately $122.1 million. The January 2026 Notes will mature on January 31, 2026 and bear interest at a rate of 4.75%. The January 2026 Notes may be redeemed in whole or in part at any time or from time to time at our option subject to a make whole provision if redeemed more than three months prior to maturity and at par thereafter. Interest on the January 2026 Notes is payable on January 31 and July 31 of each year. We do not intend to list the January 2026 Notes on any securities exchange or automated dealer quotation system. As of June 30, 2022, the outstanding principal balance of the January 2026 Notes was approximately $125.0 million.</w:t>
      </w:r>
    </w:p>
    <w:p>
      <w:pPr>
        <w:spacing w:after="0" w:line="18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On October 8, 2021, we closed the offering of $125.0 million in aggregate principal amount of our 3.50% notes due 2026, or the “November 2026 Notes” (collectively with the Public Notes and the January 2026 Notes, the “Notes”). The total net proceeds to us from the November 2026 Notes, based on a public offering price of 99.996% of par, after deducting underwriting discounts of $2.5 million and estimated offering expenses of approximately $0.3 million, were approximately $122.2 million. The November 2026 Notes will mature on November 15, 2026 and bear interest at a rate of 3.50%. The November 2026 Notes may be redeemed in whole or in part at any time or from time to time at our option subject to a make whole provision if redeemed more than three months prior to maturity and at par thereafter. Interest on the November 2026 Notes is payable on May 15 and November 15 of each year, beginning May 15, 2022. We do not intend to list the November 2026 Notes on any securities exchange or automated dealer quotation system. As of June 30, 2022, the outstanding principal balance of the November 2026 Notes was approximately $125.0 million.</w:t>
      </w:r>
    </w:p>
    <w:p>
      <w:pPr>
        <w:spacing w:after="0" w:line="127" w:lineRule="exact"/>
        <w:rPr>
          <w:sz w:val="20"/>
          <w:szCs w:val="20"/>
          <w:color w:val="auto"/>
        </w:rPr>
      </w:pPr>
    </w:p>
    <w:p>
      <w:pPr>
        <w:jc w:val="both"/>
        <w:ind w:firstLine="469"/>
        <w:spacing w:after="0" w:line="243" w:lineRule="auto"/>
        <w:rPr>
          <w:sz w:val="20"/>
          <w:szCs w:val="20"/>
          <w:color w:val="auto"/>
        </w:rPr>
      </w:pPr>
      <w:r>
        <w:rPr>
          <w:rFonts w:ascii="Arial" w:cs="Arial" w:eastAsia="Arial" w:hAnsi="Arial"/>
          <w:sz w:val="18"/>
          <w:szCs w:val="18"/>
          <w:color w:val="auto"/>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Secured Borrowing</w:t>
      </w:r>
    </w:p>
    <w:p>
      <w:pPr>
        <w:spacing w:after="0" w:line="158" w:lineRule="exact"/>
        <w:rPr>
          <w:sz w:val="20"/>
          <w:szCs w:val="20"/>
          <w:color w:val="auto"/>
        </w:rPr>
      </w:pPr>
    </w:p>
    <w:p>
      <w:pPr>
        <w:jc w:val="both"/>
        <w:ind w:left="20" w:firstLine="461"/>
        <w:spacing w:after="0"/>
        <w:rPr>
          <w:sz w:val="20"/>
          <w:szCs w:val="20"/>
          <w:color w:val="auto"/>
        </w:rPr>
      </w:pPr>
      <w:r>
        <w:rPr>
          <w:rFonts w:ascii="Arial" w:cs="Arial" w:eastAsia="Arial" w:hAnsi="Arial"/>
          <w:sz w:val="18"/>
          <w:szCs w:val="18"/>
          <w:color w:val="auto"/>
        </w:rPr>
        <w:t>As of June 30, 2022, the carrying value of secured borrowings totaled $17.3 million and the fair value of the associated loans included in investments was $17.3 million. As of December 31, 2021, carrying value of secured borrowings totaled $17.6 million and the fair value of the associated loans included in investments was $17.5 million.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5.119% and 4.392% as of June 30, 2022 and December 31, 2021, respectively.</w:t>
      </w:r>
    </w:p>
    <w:p>
      <w:pPr>
        <w:spacing w:after="0" w:line="135" w:lineRule="exact"/>
        <w:rPr>
          <w:sz w:val="20"/>
          <w:szCs w:val="20"/>
          <w:color w:val="auto"/>
        </w:rPr>
      </w:pPr>
    </w:p>
    <w:p>
      <w:pPr>
        <w:jc w:val="both"/>
        <w:ind w:firstLine="469"/>
        <w:spacing w:after="0" w:line="248" w:lineRule="auto"/>
        <w:rPr>
          <w:sz w:val="20"/>
          <w:szCs w:val="20"/>
          <w:color w:val="auto"/>
        </w:rPr>
      </w:pPr>
      <w:r>
        <w:rPr>
          <w:rFonts w:ascii="Arial" w:cs="Arial" w:eastAsia="Arial" w:hAnsi="Arial"/>
          <w:sz w:val="18"/>
          <w:szCs w:val="18"/>
          <w:color w:val="auto"/>
        </w:rPr>
        <w:t>As of June 30, 2022, the weighted average stated interest rates for our SBA debentures and Notes were 2.846% and 4.125%, respectively. As of June 30, 2022, we had $100.0 million of unutilized commitment under our Credit Facility, and we were subject to a 1.375% fee on such amount. As of June 30, 2022, the weighted average stated interest rate on total debt outstanding was 3.753%.</w:t>
      </w:r>
    </w:p>
    <w:p>
      <w:pPr>
        <w:spacing w:after="0" w:line="128" w:lineRule="exact"/>
        <w:rPr>
          <w:sz w:val="20"/>
          <w:szCs w:val="20"/>
          <w:color w:val="auto"/>
        </w:rPr>
      </w:pPr>
    </w:p>
    <w:p>
      <w:pPr>
        <w:jc w:val="both"/>
        <w:ind w:firstLine="469"/>
        <w:spacing w:after="0" w:line="254" w:lineRule="auto"/>
        <w:rPr>
          <w:sz w:val="20"/>
          <w:szCs w:val="20"/>
          <w:color w:val="auto"/>
        </w:rPr>
      </w:pPr>
      <w:r>
        <w:rPr>
          <w:rFonts w:ascii="Arial" w:cs="Arial" w:eastAsia="Arial" w:hAnsi="Arial"/>
          <w:sz w:val="17"/>
          <w:szCs w:val="17"/>
          <w:color w:val="auto"/>
        </w:rPr>
        <w:t>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As a result, we are subject to the 150% asset coverage ratio effective as of April 29, 2020. We have received exemptive relief from the U.S. Securities and Exchange Commission (“SEC”) to allow us to exclude the senior securities issued by the Funds from the definition of senior securities in the 150% asset coverage requirement applicable to the Company under the 1940 Act, which, in turn, will enable us to fund more investments with debt capital.</w:t>
      </w:r>
    </w:p>
    <w:p>
      <w:pPr>
        <w:spacing w:after="0" w:line="127" w:lineRule="exact"/>
        <w:rPr>
          <w:sz w:val="20"/>
          <w:szCs w:val="20"/>
          <w:color w:val="auto"/>
        </w:rPr>
      </w:pPr>
    </w:p>
    <w:p>
      <w:pPr>
        <w:jc w:val="both"/>
        <w:ind w:firstLine="478"/>
        <w:spacing w:after="0" w:line="251" w:lineRule="auto"/>
        <w:rPr>
          <w:sz w:val="20"/>
          <w:szCs w:val="20"/>
          <w:color w:val="auto"/>
        </w:rPr>
      </w:pPr>
      <w:r>
        <w:rPr>
          <w:rFonts w:ascii="Arial" w:cs="Arial" w:eastAsia="Arial" w:hAnsi="Arial"/>
          <w:sz w:val="17"/>
          <w:szCs w:val="17"/>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29, 2022, our stockholders voted to allow us to sell or otherwise issue common stock at a price below net asset value per share for a period of one year ending on the earlier of June 29, 2023 or the date of our 2023 Annual Meeting of Stockholders. Our stockholders specified that the cumulative number of shares sold in each offering during the one-year period ending on the earlier of June 29, 2023 or the date of our 2023 Annual Meeting of Stockholders may not exceed 25.0% of our outstanding common stock immediately prior to each such sale.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0" w:name="page51"/>
    <w:bookmarkEnd w:id="50"/>
    <w:p>
      <w:pPr>
        <w:ind w:left="380"/>
        <w:spacing w:after="0"/>
        <w:rPr>
          <w:sz w:val="20"/>
          <w:szCs w:val="20"/>
          <w:color w:val="auto"/>
        </w:rPr>
      </w:pPr>
      <w:r>
        <w:rPr>
          <w:rFonts w:ascii="Arial" w:cs="Arial" w:eastAsia="Arial" w:hAnsi="Arial"/>
          <w:sz w:val="18"/>
          <w:szCs w:val="18"/>
          <w:i w:val="1"/>
          <w:iCs w:val="1"/>
          <w:color w:val="auto"/>
        </w:rPr>
        <w:t>Stock Repurchase Program</w:t>
      </w:r>
    </w:p>
    <w:p>
      <w:pPr>
        <w:spacing w:after="0" w:line="158" w:lineRule="exact"/>
        <w:rPr>
          <w:sz w:val="20"/>
          <w:szCs w:val="20"/>
          <w:color w:val="auto"/>
        </w:rPr>
      </w:pPr>
    </w:p>
    <w:p>
      <w:pPr>
        <w:jc w:val="both"/>
        <w:ind w:firstLine="478"/>
        <w:spacing w:after="0" w:line="252" w:lineRule="auto"/>
        <w:rPr>
          <w:sz w:val="20"/>
          <w:szCs w:val="20"/>
          <w:color w:val="auto"/>
        </w:rPr>
      </w:pPr>
      <w:r>
        <w:rPr>
          <w:rFonts w:ascii="Arial" w:cs="Arial" w:eastAsia="Arial" w:hAnsi="Arial"/>
          <w:sz w:val="17"/>
          <w:szCs w:val="17"/>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November 1, 2021, the Board extended the Stock Repurchase Program through December 31, 2022,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and six months ended June 30, 2022 and 2021. Refer to Note 8 to our consolidated financial statements for additional information concerning stock repurchases.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62" w:lineRule="exact"/>
        <w:rPr>
          <w:sz w:val="20"/>
          <w:szCs w:val="20"/>
          <w:color w:val="auto"/>
        </w:rPr>
      </w:pPr>
    </w:p>
    <w:p>
      <w:pPr>
        <w:jc w:val="both"/>
        <w:ind w:firstLine="478"/>
        <w:spacing w:after="0"/>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58" w:lineRule="exact"/>
        <w:rPr>
          <w:sz w:val="20"/>
          <w:szCs w:val="20"/>
          <w:color w:val="auto"/>
        </w:rPr>
      </w:pPr>
    </w:p>
    <w:p>
      <w:pPr>
        <w:jc w:val="both"/>
        <w:ind w:right="20" w:firstLine="478"/>
        <w:spacing w:after="0" w:line="261" w:lineRule="auto"/>
        <w:rPr>
          <w:sz w:val="20"/>
          <w:szCs w:val="20"/>
          <w:color w:val="auto"/>
        </w:rPr>
      </w:pPr>
      <w:r>
        <w:rPr>
          <w:rFonts w:ascii="Arial" w:cs="Arial" w:eastAsia="Arial" w:hAnsi="Arial"/>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117"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21"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17" w:lineRule="exact"/>
        <w:rPr>
          <w:sz w:val="20"/>
          <w:szCs w:val="20"/>
          <w:color w:val="auto"/>
        </w:rPr>
      </w:pPr>
    </w:p>
    <w:p>
      <w:pPr>
        <w:ind w:left="1020" w:right="500" w:hanging="503"/>
        <w:spacing w:after="0" w:line="244"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evaluated and rated by the investment professionals of the Investment Advisor responsible for the portfolio investment;</w:t>
      </w:r>
    </w:p>
    <w:p>
      <w:pPr>
        <w:ind w:left="1020" w:hanging="503"/>
        <w:spacing w:after="0" w:line="234"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investment committee of the Investment Advisor;</w:t>
      </w:r>
    </w:p>
    <w:p>
      <w:pPr>
        <w:ind w:left="1020" w:hanging="503"/>
        <w:spacing w:after="0" w:line="248"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10 and 17 of our portfolio company investments representing 19.5% and 40.6% of the total portfolio investments at fair value (exclusive of new portfolio company investments made during the three months ended June 30, 2022 and December 31, 2021, respectively) as of June 30, 2022 and December 31, 2021, respectively;</w:t>
      </w:r>
    </w:p>
    <w:p>
      <w:pPr>
        <w:spacing w:after="0" w:line="5" w:lineRule="exact"/>
        <w:rPr>
          <w:rFonts w:ascii="Arial" w:cs="Arial" w:eastAsia="Arial" w:hAnsi="Arial"/>
          <w:sz w:val="17"/>
          <w:szCs w:val="17"/>
          <w:color w:val="auto"/>
        </w:rPr>
      </w:pPr>
    </w:p>
    <w:p>
      <w:pPr>
        <w:ind w:left="1020" w:right="120" w:hanging="503"/>
        <w:spacing w:after="0" w:line="234"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Advisor and of the independent valuation firm(s) and responds and supplements the valuation recommendations to reflect any comments; and</w:t>
      </w:r>
    </w:p>
    <w:p>
      <w:pPr>
        <w:spacing w:after="0" w:line="1" w:lineRule="exact"/>
        <w:rPr>
          <w:rFonts w:ascii="Arial" w:cs="Arial" w:eastAsia="Arial" w:hAnsi="Arial"/>
          <w:sz w:val="18"/>
          <w:szCs w:val="18"/>
          <w:color w:val="auto"/>
        </w:rPr>
      </w:pPr>
    </w:p>
    <w:p>
      <w:pPr>
        <w:ind w:left="1020" w:right="260" w:hanging="503"/>
        <w:spacing w:after="0" w:line="234"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the Investment Advisor, the independent valuation firm(s) and the audit committee.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1" w:name="page52"/>
    <w:bookmarkEnd w:id="51"/>
    <w:p>
      <w:pPr>
        <w:jc w:val="both"/>
        <w:ind w:firstLine="478"/>
        <w:spacing w:after="0" w:line="248" w:lineRule="auto"/>
        <w:rPr>
          <w:sz w:val="20"/>
          <w:szCs w:val="20"/>
          <w:color w:val="auto"/>
        </w:rPr>
      </w:pPr>
      <w:r>
        <w:rPr>
          <w:rFonts w:ascii="Arial" w:cs="Arial" w:eastAsia="Arial" w:hAnsi="Arial"/>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28"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7"/>
          <w:szCs w:val="17"/>
          <w:color w:val="auto"/>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21" w:lineRule="exact"/>
        <w:rPr>
          <w:sz w:val="20"/>
          <w:szCs w:val="20"/>
          <w:color w:val="auto"/>
        </w:rPr>
      </w:pPr>
    </w:p>
    <w:p>
      <w:pPr>
        <w:jc w:val="both"/>
        <w:ind w:firstLine="478"/>
        <w:spacing w:after="0" w:line="248" w:lineRule="auto"/>
        <w:rPr>
          <w:sz w:val="20"/>
          <w:szCs w:val="20"/>
          <w:color w:val="auto"/>
        </w:rPr>
      </w:pPr>
      <w:r>
        <w:rPr>
          <w:rFonts w:ascii="Arial" w:cs="Arial" w:eastAsia="Arial" w:hAnsi="Arial"/>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28" w:lineRule="exact"/>
        <w:rPr>
          <w:sz w:val="20"/>
          <w:szCs w:val="20"/>
          <w:color w:val="auto"/>
        </w:rPr>
      </w:pPr>
    </w:p>
    <w:p>
      <w:pPr>
        <w:jc w:val="both"/>
        <w:ind w:firstLine="478"/>
        <w:spacing w:after="0" w:line="251" w:lineRule="auto"/>
        <w:rPr>
          <w:sz w:val="20"/>
          <w:szCs w:val="20"/>
          <w:color w:val="auto"/>
        </w:rPr>
      </w:pPr>
      <w:r>
        <w:rPr>
          <w:rFonts w:ascii="Arial" w:cs="Arial" w:eastAsia="Arial" w:hAnsi="Arial"/>
          <w:sz w:val="17"/>
          <w:szCs w:val="17"/>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35"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6"/>
          <w:szCs w:val="16"/>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07" w:lineRule="exact"/>
        <w:rPr>
          <w:sz w:val="20"/>
          <w:szCs w:val="20"/>
          <w:color w:val="auto"/>
        </w:rPr>
      </w:pPr>
    </w:p>
    <w:p>
      <w:pPr>
        <w:jc w:val="both"/>
        <w:ind w:firstLine="478"/>
        <w:spacing w:after="0"/>
        <w:rPr>
          <w:sz w:val="20"/>
          <w:szCs w:val="20"/>
          <w:color w:val="auto"/>
        </w:rPr>
      </w:pPr>
      <w:r>
        <w:rPr>
          <w:rFonts w:ascii="Arial" w:cs="Arial" w:eastAsia="Arial" w:hAnsi="Arial"/>
          <w:sz w:val="18"/>
          <w:szCs w:val="18"/>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35" w:lineRule="exact"/>
        <w:rPr>
          <w:sz w:val="20"/>
          <w:szCs w:val="20"/>
          <w:color w:val="auto"/>
        </w:rPr>
      </w:pPr>
    </w:p>
    <w:p>
      <w:pPr>
        <w:jc w:val="both"/>
        <w:ind w:firstLine="478"/>
        <w:spacing w:after="0" w:line="324" w:lineRule="auto"/>
        <w:rPr>
          <w:sz w:val="20"/>
          <w:szCs w:val="20"/>
          <w:color w:val="auto"/>
        </w:rPr>
      </w:pPr>
      <w:r>
        <w:rPr>
          <w:rFonts w:ascii="Arial" w:cs="Arial" w:eastAsia="Arial" w:hAnsi="Arial"/>
          <w:sz w:val="16"/>
          <w:szCs w:val="16"/>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firstLine="478"/>
        <w:spacing w:after="0" w:line="237" w:lineRule="auto"/>
        <w:rPr>
          <w:sz w:val="20"/>
          <w:szCs w:val="20"/>
          <w:color w:val="auto"/>
        </w:rPr>
      </w:pPr>
      <w:r>
        <w:rPr>
          <w:rFonts w:ascii="Arial" w:cs="Arial" w:eastAsia="Arial" w:hAnsi="Arial"/>
          <w:sz w:val="18"/>
          <w:szCs w:val="18"/>
          <w:i w:val="1"/>
          <w:iCs w:val="1"/>
          <w:color w:val="auto"/>
        </w:rPr>
        <w:t xml:space="preserve">Investments and related investment income. </w:t>
      </w:r>
      <w:r>
        <w:rPr>
          <w:rFonts w:ascii="Arial" w:cs="Arial" w:eastAsia="Arial" w:hAnsi="Arial"/>
          <w:sz w:val="18"/>
          <w:szCs w:val="18"/>
          <w:color w:val="auto"/>
        </w:rPr>
        <w:t>Realized gains or losses on investments are recorded upon the sale or disposition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the Board through the application of our valuation policy, as well as reclassifications of any prior period unrealized appreciation or depreciation on exited investments to realized gains or losses on investments.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2" w:name="page53"/>
    <w:bookmarkEnd w:id="52"/>
    <w:p>
      <w:pPr>
        <w:jc w:val="both"/>
        <w:ind w:firstLine="478"/>
        <w:spacing w:after="0"/>
        <w:rPr>
          <w:sz w:val="20"/>
          <w:szCs w:val="20"/>
          <w:color w:val="auto"/>
        </w:rPr>
      </w:pPr>
      <w:r>
        <w:rPr>
          <w:rFonts w:ascii="Arial" w:cs="Arial" w:eastAsia="Arial" w:hAnsi="Arial"/>
          <w:sz w:val="18"/>
          <w:szCs w:val="18"/>
          <w:i w:val="1"/>
          <w:iCs w:val="1"/>
          <w:color w:val="auto"/>
        </w:rPr>
        <w:t>Interest and dividend income</w:t>
      </w:r>
      <w:r>
        <w:rPr>
          <w:rFonts w:ascii="Arial" w:cs="Arial" w:eastAsia="Arial" w:hAnsi="Arial"/>
          <w:sz w:val="18"/>
          <w:szCs w:val="18"/>
          <w:color w:val="auto"/>
        </w:rPr>
        <w:t>. Interest and dividend income are recorded on the accrual basis to the extent that we expect to collect such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35" w:lineRule="exact"/>
        <w:rPr>
          <w:sz w:val="20"/>
          <w:szCs w:val="20"/>
          <w:color w:val="auto"/>
        </w:rPr>
      </w:pPr>
    </w:p>
    <w:p>
      <w:pPr>
        <w:jc w:val="both"/>
        <w:ind w:firstLine="478"/>
        <w:spacing w:after="0" w:line="254" w:lineRule="auto"/>
        <w:rPr>
          <w:sz w:val="20"/>
          <w:szCs w:val="20"/>
          <w:color w:val="auto"/>
        </w:rPr>
      </w:pPr>
      <w:r>
        <w:rPr>
          <w:rFonts w:ascii="Arial" w:cs="Arial" w:eastAsia="Arial" w:hAnsi="Arial"/>
          <w:sz w:val="17"/>
          <w:szCs w:val="17"/>
          <w:i w:val="1"/>
          <w:iCs w:val="1"/>
          <w:color w:val="auto"/>
        </w:rPr>
        <w:t xml:space="preserve">PIK income. </w:t>
      </w:r>
      <w:r>
        <w:rPr>
          <w:rFonts w:ascii="Arial" w:cs="Arial" w:eastAsia="Arial" w:hAnsi="Arial"/>
          <w:sz w:val="17"/>
          <w:szCs w:val="17"/>
          <w:color w:val="auto"/>
        </w:rPr>
        <w:t>Certain of our investments contain a PIK income provision. The PIK income, computed at the contractual rate specified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and to avoid paying corporate-level U.S. federal income tax, even though we have not yet collected the cash.</w:t>
      </w:r>
    </w:p>
    <w:p>
      <w:pPr>
        <w:spacing w:after="0" w:line="127" w:lineRule="exact"/>
        <w:rPr>
          <w:sz w:val="20"/>
          <w:szCs w:val="20"/>
          <w:color w:val="auto"/>
        </w:rPr>
      </w:pPr>
    </w:p>
    <w:p>
      <w:pPr>
        <w:jc w:val="both"/>
        <w:ind w:firstLine="478"/>
        <w:spacing w:after="0"/>
        <w:rPr>
          <w:sz w:val="20"/>
          <w:szCs w:val="20"/>
          <w:color w:val="auto"/>
        </w:rPr>
      </w:pPr>
      <w:r>
        <w:rPr>
          <w:rFonts w:ascii="Arial" w:cs="Arial" w:eastAsia="Arial" w:hAnsi="Arial"/>
          <w:sz w:val="18"/>
          <w:szCs w:val="18"/>
          <w:i w:val="1"/>
          <w:iCs w:val="1"/>
          <w:color w:val="auto"/>
        </w:rPr>
        <w:t xml:space="preserve">Non-accrual. </w:t>
      </w:r>
      <w:r>
        <w:rPr>
          <w:rFonts w:ascii="Arial" w:cs="Arial" w:eastAsia="Arial" w:hAnsi="Arial"/>
          <w:sz w:val="18"/>
          <w:szCs w:val="18"/>
          <w:color w:val="auto"/>
        </w:rPr>
        <w:t>Debt investments or preferred equity investments (for which we are accruing PIK dividends) are placed on non-accrual status when</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35" w:lineRule="exact"/>
        <w:rPr>
          <w:sz w:val="20"/>
          <w:szCs w:val="20"/>
          <w:color w:val="auto"/>
        </w:rPr>
      </w:pPr>
    </w:p>
    <w:p>
      <w:pPr>
        <w:jc w:val="both"/>
        <w:ind w:firstLine="478"/>
        <w:spacing w:after="0" w:line="241"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our debt investments, we will sometimes receive warrants or other equity-related securities (Warrants). We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35"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All transaction fees earned in connection with our investments are recognized as fee income and are generally non-recurring. Such fees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34" w:lineRule="exact"/>
        <w:rPr>
          <w:sz w:val="20"/>
          <w:szCs w:val="20"/>
          <w:color w:val="auto"/>
        </w:rPr>
      </w:pPr>
    </w:p>
    <w:p>
      <w:pPr>
        <w:jc w:val="both"/>
        <w:ind w:firstLine="478"/>
        <w:spacing w:after="0" w:line="243" w:lineRule="auto"/>
        <w:rPr>
          <w:sz w:val="20"/>
          <w:szCs w:val="20"/>
          <w:color w:val="auto"/>
        </w:rPr>
      </w:pPr>
      <w:r>
        <w:rPr>
          <w:rFonts w:ascii="Arial" w:cs="Arial" w:eastAsia="Arial" w:hAnsi="Arial"/>
          <w:sz w:val="18"/>
          <w:szCs w:val="18"/>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158" w:lineRule="exact"/>
        <w:rPr>
          <w:sz w:val="20"/>
          <w:szCs w:val="20"/>
          <w:color w:val="auto"/>
        </w:rPr>
      </w:pPr>
    </w:p>
    <w:p>
      <w:pPr>
        <w:jc w:val="both"/>
        <w:ind w:firstLine="469"/>
        <w:spacing w:after="0" w:line="238" w:lineRule="auto"/>
        <w:rPr>
          <w:sz w:val="20"/>
          <w:szCs w:val="20"/>
          <w:color w:val="auto"/>
        </w:rPr>
      </w:pPr>
      <w:r>
        <w:rPr>
          <w:rFonts w:ascii="Arial" w:cs="Arial" w:eastAsia="Arial" w:hAnsi="Arial"/>
          <w:sz w:val="18"/>
          <w:szCs w:val="18"/>
          <w:i w:val="1"/>
          <w:iCs w:val="1"/>
          <w:color w:val="auto"/>
        </w:rPr>
        <w:t xml:space="preserve">Partial loan and equity sales. </w:t>
      </w:r>
      <w:r>
        <w:rPr>
          <w:rFonts w:ascii="Arial" w:cs="Arial" w:eastAsia="Arial" w:hAnsi="Arial"/>
          <w:sz w:val="18"/>
          <w:szCs w:val="18"/>
          <w:color w:val="auto"/>
        </w:rPr>
        <w:t>We follow the guidance in ASC 860,</w:t>
      </w:r>
      <w:r>
        <w:rPr>
          <w:rFonts w:ascii="Arial" w:cs="Arial" w:eastAsia="Arial" w:hAnsi="Arial"/>
          <w:sz w:val="18"/>
          <w:szCs w:val="18"/>
          <w:i w:val="1"/>
          <w:iCs w:val="1"/>
          <w:color w:val="auto"/>
        </w:rPr>
        <w:t xml:space="preserve"> Transfers and Servicing, </w:t>
      </w:r>
      <w:r>
        <w:rPr>
          <w:rFonts w:ascii="Arial" w:cs="Arial" w:eastAsia="Arial" w:hAnsi="Arial"/>
          <w:sz w:val="18"/>
          <w:szCs w:val="18"/>
          <w:color w:val="auto"/>
        </w:rPr>
        <w:t>when accounting for loan (debt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our consolidated statements of assets and liabilities and the proceeds recorded as a secured borrowing until the definition is met.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Recently Issued Accounting Standard</w:t>
      </w:r>
    </w:p>
    <w:p>
      <w:pPr>
        <w:spacing w:after="0" w:line="10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June 2022, the Financial Accounting Standards Board (“FASB”) issued Accounting Standards Update (“ASU”) No. 2022-03, “Fair Value Measurement of Equity Securities Subject to Contractual Sale Restrictions (Topic 820),” which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In addition, ASU No. 2022-03 prohibits an entity from recognizing a contractual sale restriction as a separate unit of account. ASU No. 2022-03’s amendments are effective for fiscal years beginning after December 15, 2023, with early adoption permitted. We are currently evaluating the impact of the adoption of ASU No. 2022-03 on our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 Regulation S-K Update</w:t>
      </w:r>
    </w:p>
    <w:p>
      <w:pPr>
        <w:spacing w:after="0" w:line="10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In November 2020, the SEC issued a final rule that modernized and simplifies Management’s Discussion and Analysis of Financial Condition and Results of Operations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was required for the registrant’s fiscal year ending on or after August 9, 2021. We adopted the Amendments on the effective date which did not have a material impact on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58" w:lineRule="exact"/>
        <w:rPr>
          <w:sz w:val="20"/>
          <w:szCs w:val="20"/>
          <w:color w:val="auto"/>
        </w:rPr>
      </w:pPr>
    </w:p>
    <w:p>
      <w:pPr>
        <w:ind w:left="1020" w:hanging="503"/>
        <w:spacing w:after="0" w:line="239"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entered into the Investment Advisory Agreement with Fidus Investment Advisors as our investment advisor. Pursuant to the agreement, the Investment Advisor manages our day-to-day operating and investing activities. We pay the Investment Advisor a fee for its services under the Investment Advisory Agreement consisting of two components — a base management fee and an incentive fee. See Note 5 to our consolidated financial statements.</w:t>
      </w:r>
    </w:p>
    <w:p>
      <w:pPr>
        <w:spacing w:after="0" w:line="1" w:lineRule="exact"/>
        <w:rPr>
          <w:rFonts w:ascii="Arial" w:cs="Arial" w:eastAsia="Arial" w:hAnsi="Arial"/>
          <w:sz w:val="18"/>
          <w:szCs w:val="18"/>
          <w:color w:val="auto"/>
        </w:rPr>
      </w:pPr>
    </w:p>
    <w:p>
      <w:pPr>
        <w:ind w:left="1020" w:right="60" w:hanging="503"/>
        <w:spacing w:after="0" w:line="234"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Fidus Group Holdings, LLC (“Holdings”), a limited liability company organized under the laws of Delaware, is the parent company of Fidus Investment Advisors. Edward H. Ross, our Chairman and Chief Executive Officer, and Thomas C. Lauer, our President, are managers of Holdings.</w:t>
      </w:r>
    </w:p>
    <w:p>
      <w:pPr>
        <w:spacing w:after="0" w:line="2" w:lineRule="exact"/>
        <w:rPr>
          <w:rFonts w:ascii="Arial" w:cs="Arial" w:eastAsia="Arial" w:hAnsi="Arial"/>
          <w:sz w:val="18"/>
          <w:szCs w:val="18"/>
          <w:color w:val="auto"/>
        </w:rPr>
      </w:pPr>
    </w:p>
    <w:p>
      <w:pPr>
        <w:ind w:left="1020" w:right="360" w:hanging="503"/>
        <w:spacing w:after="0" w:line="234"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entered into the Administration Agreement with Fidus Investment Advisors to provide us with the office facilities and administrative services necessary to conduct day-to-day operations. See Note 5 to our consolidated financial statements.</w:t>
      </w:r>
    </w:p>
    <w:p>
      <w:pPr>
        <w:spacing w:after="0" w:line="1" w:lineRule="exact"/>
        <w:rPr>
          <w:rFonts w:ascii="Arial" w:cs="Arial" w:eastAsia="Arial" w:hAnsi="Arial"/>
          <w:sz w:val="18"/>
          <w:szCs w:val="18"/>
          <w:color w:val="auto"/>
        </w:rPr>
      </w:pPr>
    </w:p>
    <w:p>
      <w:pPr>
        <w:ind w:left="1020" w:right="560" w:hanging="503"/>
        <w:spacing w:after="0" w:line="234"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entered into a license agreement with Fidus Partners, LLC, pursuant to which Fidus Partners, LLC has granted us a non-exclusive, royalty-free license to use the name “Fidus.”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February 25, 2020, the Company entered into a Limited Partnership Agreement (the “Agreement”) with Fidus Equity Fund I, L.P. (“FEF I”). Pursuant to the Agreement, we will serve as the General Partner of FEF I. Owned by third-party investors, FEF I was formed to purchase 50% of select equity investments from us. We will not receive any fees from FEF I for any services provided in our capacity as the General Partner of FEF I.</w:t>
      </w:r>
    </w:p>
    <w:p>
      <w:pPr>
        <w:spacing w:after="0" w:line="2" w:lineRule="exact"/>
        <w:rPr>
          <w:rFonts w:ascii="Arial" w:cs="Arial" w:eastAsia="Arial" w:hAnsi="Arial"/>
          <w:sz w:val="18"/>
          <w:szCs w:val="18"/>
          <w:color w:val="auto"/>
        </w:rPr>
      </w:pPr>
    </w:p>
    <w:p>
      <w:pPr>
        <w:ind w:left="1020" w:right="160" w:hanging="503"/>
        <w:spacing w:after="0" w:line="239"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Investment Advisor, in consultation with the Board, agreed to voluntarily waive $0.1 million and $0.2 million of the base management fees on any assets accounted for as secured borrowings as defined under GAAP for the three and six months ended June 30, 2022, respectively, and $0.0 million for the three and six months ended June 30, 2021, respectively.</w:t>
      </w:r>
    </w:p>
    <w:p>
      <w:pPr>
        <w:spacing w:after="0" w:line="135"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by Fund II and Fund III from the definition of senior securities in the asset coverage requirement applicable to the Company under the 1940 Act.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4" w:name="page55"/>
    <w:bookmarkEnd w:id="54"/>
    <w:p>
      <w:pPr>
        <w:jc w:val="both"/>
        <w:ind w:firstLine="374"/>
        <w:spacing w:after="0" w:line="253" w:lineRule="auto"/>
        <w:rPr>
          <w:sz w:val="20"/>
          <w:szCs w:val="20"/>
          <w:color w:val="auto"/>
        </w:rPr>
      </w:pPr>
      <w:r>
        <w:rPr>
          <w:rFonts w:ascii="Arial" w:cs="Arial" w:eastAsia="Arial" w:hAnsi="Arial"/>
          <w:sz w:val="17"/>
          <w:szCs w:val="17"/>
          <w:color w:val="auto"/>
        </w:rPr>
        <w:t>While we may co-invest with investment entities managed by the Investment Advisor or its affiliates, to the extent permitted by the 1940 Act and the rules and regulations thereunder, the 1940 Act imposes significant limits on co-investment. On January 4, 2017, the SEC staff has granted us relief sought in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spacing w:after="0" w:line="126" w:lineRule="exact"/>
        <w:rPr>
          <w:sz w:val="20"/>
          <w:szCs w:val="20"/>
          <w:color w:val="auto"/>
        </w:rPr>
      </w:pPr>
    </w:p>
    <w:p>
      <w:pPr>
        <w:jc w:val="both"/>
        <w:ind w:firstLine="281"/>
        <w:spacing w:after="0" w:line="259" w:lineRule="auto"/>
        <w:rPr>
          <w:sz w:val="20"/>
          <w:szCs w:val="20"/>
          <w:color w:val="auto"/>
        </w:rPr>
      </w:pPr>
      <w:r>
        <w:rPr>
          <w:rFonts w:ascii="Arial" w:cs="Arial" w:eastAsia="Arial" w:hAnsi="Arial"/>
          <w:sz w:val="17"/>
          <w:szCs w:val="17"/>
          <w:color w:val="auto"/>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July 6, 2022, we issued an additional $7.5 million in SBA debentures, which will pool in September 2022. Until the pooling date, the debentures bear interest at a fixed rate interim interest rate of 2.766%.</w:t>
      </w:r>
    </w:p>
    <w:p>
      <w:pPr>
        <w:spacing w:after="0" w:line="117"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July 8, 2022, we invested $7.8 million in first lien debt, $2.0 million in subordinated debt, and $1.0 in common equity of AmeriWater, LLC, a leading provider of water purification systems and aftermarket parts &amp; consumables for healthcare and industrial applications.</w:t>
      </w:r>
    </w:p>
    <w:p>
      <w:pPr>
        <w:spacing w:after="0" w:line="117"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July 12, 2022, we exited our equity investment in Palisade Company, LLC. We received a distribution on our common equity investment for a realized gain of approximately $1.9 million.</w:t>
      </w:r>
    </w:p>
    <w:p>
      <w:pPr>
        <w:spacing w:after="0" w:line="117"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July 18, 2022, we made a commitment of $4.9 million in second lien debt of Magenta Buyer, LLC, (dba Trellix), a leading global cybersecurity company.</w:t>
      </w:r>
    </w:p>
    <w:p>
      <w:pPr>
        <w:spacing w:after="0" w:line="117" w:lineRule="exact"/>
        <w:rPr>
          <w:sz w:val="20"/>
          <w:szCs w:val="20"/>
          <w:color w:val="auto"/>
        </w:rPr>
      </w:pPr>
    </w:p>
    <w:p>
      <w:pPr>
        <w:jc w:val="both"/>
        <w:ind w:right="20" w:firstLine="469"/>
        <w:spacing w:after="0" w:line="261" w:lineRule="auto"/>
        <w:rPr>
          <w:sz w:val="20"/>
          <w:szCs w:val="20"/>
          <w:color w:val="auto"/>
        </w:rPr>
      </w:pPr>
      <w:r>
        <w:rPr>
          <w:rFonts w:ascii="Arial" w:cs="Arial" w:eastAsia="Arial" w:hAnsi="Arial"/>
          <w:sz w:val="18"/>
          <w:szCs w:val="18"/>
          <w:color w:val="auto"/>
        </w:rPr>
        <w:t>On July 27, 2022, we exited our equity investment in Bandon Fitness (Texas) Inc. We received a distribution on our common equity investment for a realized gain of approximately $3.2 million.</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On July 29, 2022, we exited our debt investment in Bedford Precision Parts LLC. We received payment in full of $4.5 million on our first lien debt.</w:t>
      </w:r>
    </w:p>
    <w:p>
      <w:pPr>
        <w:spacing w:after="0" w:line="181"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August 1, 2022, we received a distribution on our common equity investment in SES Investors, LLC (dba SES Foam), resulting in a realized gain of approximately $9.0 million.</w:t>
      </w:r>
    </w:p>
    <w:p>
      <w:pPr>
        <w:spacing w:after="0" w:line="117"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August 1, 2022, we exited our debt investment in Healthfuse, LLC. We received payment in full of $5.3 million on our first lien debt, which includes a prepayment fee.</w:t>
      </w:r>
    </w:p>
    <w:p>
      <w:pPr>
        <w:spacing w:after="0" w:line="117"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August 1, 2022, our Board declared a regular quarterly dividend of $0.36 per share and a supplemental dividend of $0.07 per share payable on September 23, 2022, to stockholders of record as of September 9, 2022.</w:t>
      </w:r>
    </w:p>
    <w:p>
      <w:pPr>
        <w:spacing w:after="0" w:line="117"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August 1, 2022, our Board declared a regular quarterly dividend of $0.36 per share and a supplemental dividend of $0.07 per share payable on December 16, 2022, to stockholders of record as of December 2, 2022.</w:t>
      </w:r>
    </w:p>
    <w:p>
      <w:pPr>
        <w:spacing w:after="0" w:line="117"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August 2, 2022, we sold a portion of our equity investment in Pfanstiehl, Inc. and realized a gain of approximately $24.3 million. In conjunction with the transaction, we invested $10.0 million in subordinated debt.</w:t>
      </w:r>
    </w:p>
    <w:p>
      <w:pPr>
        <w:spacing w:after="0" w:line="117"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8"/>
          <w:szCs w:val="18"/>
          <w:color w:val="auto"/>
        </w:rPr>
        <w:t>On August 3, 2022, we made a commitment of $20.0 million in first lien debt of BP Thrift Buyer LLC (dba Unique and Eco Thrift), an owner and operator of retail thrift stores.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5" w:name="page56"/>
    <w:bookmarkEnd w:id="55"/>
    <w:p>
      <w:pPr>
        <w:jc w:val="both"/>
        <w:spacing w:after="0" w:line="284" w:lineRule="auto"/>
        <w:rPr>
          <w:sz w:val="20"/>
          <w:szCs w:val="20"/>
          <w:color w:val="auto"/>
        </w:rPr>
      </w:pPr>
      <w:r>
        <w:rPr>
          <w:rFonts w:ascii="Arial" w:cs="Arial" w:eastAsia="Arial" w:hAnsi="Arial"/>
          <w:sz w:val="16"/>
          <w:szCs w:val="16"/>
          <w:color w:val="auto"/>
        </w:rPr>
        <w:t>administrative and information systems and other policies and programs. The prices of securities held by us may decline in response to certain events, including those directly involving the companies in which we invest and conditions affecting the general economy, including: the impact of COVID-19 and any new variants of COVID-19; overall market changes, including an increase in market volatility due to COVID-19; legislative reform; local, regional, national or global political, social or economic instability; and interest rate volatility, including the decommissioning of LIBOR and rising interest rates.</w:t>
      </w:r>
    </w:p>
    <w:p>
      <w:pPr>
        <w:spacing w:after="0" w:line="101"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6"/>
          <w:szCs w:val="16"/>
          <w:color w:val="auto"/>
        </w:rPr>
        <w:t>In the future, our investment income may also be affected by changes in various interest rates, including the decommissioning of LIBOR and changes in alternate rates and prime rates, to the extent of any debt investments that include floating interest rates. In connection with the COVID-19 pandemic, the U.S. Federal Reserve and other central banks previously reduced certain interest rates and LIBOR has decreased. A prolonged reduction in interest rates will reduce our gross investment income and could result in a decrease in our net investment income if such decreases in LIBOR are not offset by a corresponding increase in the spread over LIBOR that we earn on any portfolio investments, a decrease in in our operating expenses, including with respect to our income incentive fee, or a decrease in the interest rate of our floating interest rate liabilities tied to LIBOR. Most recently, in March 2022, the Federal Reserve raised interest rates by 0.25%, the first increase since December 2018, and since then, has raised interest rates by an additional 2.00% and indicated that it would raise rates at each remaining meeting in 2022. See Risk Factors contained in our Annual Report on Form 10-K for the year ended December 31, 2021, such as "Changes in interest rates will affect our cost of capital and net investment income”, “Inflation may adversely affect the business, results of operations and financial condition of our portfolio companies, which may, in turn, impact the valuation of such portfolio companies”, and “Changes relating to the discontinuation LIBOR may adversely affect the value of our portfolio of LIBOR-indexed, floating-rate debt securities”.</w:t>
      </w:r>
    </w:p>
    <w:p>
      <w:pPr>
        <w:spacing w:after="0" w:line="113" w:lineRule="exact"/>
        <w:rPr>
          <w:sz w:val="20"/>
          <w:szCs w:val="20"/>
          <w:color w:val="auto"/>
        </w:rPr>
      </w:pPr>
    </w:p>
    <w:p>
      <w:pPr>
        <w:jc w:val="both"/>
        <w:ind w:firstLine="374"/>
        <w:spacing w:after="0" w:line="269" w:lineRule="auto"/>
        <w:rPr>
          <w:sz w:val="20"/>
          <w:szCs w:val="20"/>
          <w:color w:val="auto"/>
        </w:rPr>
      </w:pPr>
      <w:r>
        <w:rPr>
          <w:rFonts w:ascii="Arial" w:cs="Arial" w:eastAsia="Arial" w:hAnsi="Arial"/>
          <w:sz w:val="16"/>
          <w:szCs w:val="16"/>
          <w:color w:val="auto"/>
        </w:rPr>
        <w:t>As of June 30, 2022 and December 31, 2021, 39 and 32 portfolio company’s debt investments, respectively, bore interest at a variable rate, which represented $467.2 million and $376.0 million of our portfolio on a fair value basis, respectively, and the remainder of our debt portfolio was comprised entirely of fixed rate investments. Our pooled SBA debentures and our Notes bear interest at fixed rates. Our Credit Facility bears interest, at our election, at a rate per annum equal to (a) 3.00% (or 2.75% if certain conditions are satisfied, including if (x) no equity interests are included in the borrowing base,</w:t>
      </w:r>
    </w:p>
    <w:p>
      <w:pPr>
        <w:spacing w:after="0" w:line="1" w:lineRule="exact"/>
        <w:rPr>
          <w:sz w:val="20"/>
          <w:szCs w:val="20"/>
          <w:color w:val="auto"/>
        </w:rPr>
      </w:pPr>
    </w:p>
    <w:p>
      <w:pPr>
        <w:jc w:val="both"/>
        <w:ind w:firstLine="8"/>
        <w:spacing w:after="0" w:line="277" w:lineRule="auto"/>
        <w:tabs>
          <w:tab w:leader="none" w:pos="259"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w:t>
      </w:r>
    </w:p>
    <w:p>
      <w:pPr>
        <w:spacing w:after="0" w:line="147"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76" w:lineRule="exact"/>
        <w:rPr>
          <w:sz w:val="20"/>
          <w:szCs w:val="20"/>
          <w:color w:val="auto"/>
        </w:rPr>
      </w:pPr>
    </w:p>
    <w:p>
      <w:pPr>
        <w:jc w:val="both"/>
        <w:ind w:right="20" w:firstLine="374"/>
        <w:spacing w:after="0" w:line="291" w:lineRule="auto"/>
        <w:rPr>
          <w:sz w:val="20"/>
          <w:szCs w:val="20"/>
          <w:color w:val="auto"/>
        </w:rPr>
      </w:pPr>
      <w:r>
        <w:rPr>
          <w:rFonts w:ascii="Arial" w:cs="Arial" w:eastAsia="Arial" w:hAnsi="Arial"/>
          <w:sz w:val="17"/>
          <w:szCs w:val="17"/>
          <w:color w:val="auto"/>
        </w:rPr>
        <w:t>The following table shows the approximate annualized increase or decrease in the components of net investment income due to hypothetical base rate changes in interest rates, assuming no changes in our investments and borrowings as of June 30, 2022 (dollars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428"/>
              <w:spacing w:after="0"/>
              <w:rPr>
                <w:sz w:val="20"/>
                <w:szCs w:val="20"/>
                <w:color w:val="auto"/>
              </w:rPr>
            </w:pPr>
            <w:r>
              <w:rPr>
                <w:rFonts w:ascii="Arial" w:cs="Arial" w:eastAsia="Arial" w:hAnsi="Arial"/>
                <w:sz w:val="14"/>
                <w:szCs w:val="14"/>
                <w:b w:val="1"/>
                <w:bCs w:val="1"/>
                <w:color w:val="auto"/>
                <w:w w:val="92"/>
              </w:rPr>
              <w:t>Interest Income</w:t>
            </w:r>
          </w:p>
        </w:tc>
        <w:tc>
          <w:tcPr>
            <w:tcW w:w="200" w:type="dxa"/>
            <w:vAlign w:val="bottom"/>
          </w:tcPr>
          <w:p>
            <w:pPr>
              <w:spacing w:after="0"/>
              <w:rPr>
                <w:sz w:val="15"/>
                <w:szCs w:val="15"/>
                <w:color w:val="auto"/>
              </w:rPr>
            </w:pPr>
          </w:p>
        </w:tc>
        <w:tc>
          <w:tcPr>
            <w:tcW w:w="1680" w:type="dxa"/>
            <w:vAlign w:val="bottom"/>
            <w:gridSpan w:val="2"/>
          </w:tcPr>
          <w:p>
            <w:pPr>
              <w:jc w:val="center"/>
              <w:ind w:right="388"/>
              <w:spacing w:after="0"/>
              <w:rPr>
                <w:sz w:val="20"/>
                <w:szCs w:val="20"/>
                <w:color w:val="auto"/>
              </w:rPr>
            </w:pPr>
            <w:r>
              <w:rPr>
                <w:rFonts w:ascii="Arial" w:cs="Arial" w:eastAsia="Arial" w:hAnsi="Arial"/>
                <w:sz w:val="14"/>
                <w:szCs w:val="14"/>
                <w:b w:val="1"/>
                <w:bCs w:val="1"/>
                <w:color w:val="auto"/>
                <w:w w:val="90"/>
              </w:rPr>
              <w:t>Interest Expense</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2"/>
          </w:tcPr>
          <w:p>
            <w:pPr>
              <w:jc w:val="center"/>
              <w:ind w:right="428"/>
              <w:spacing w:after="0" w:line="157" w:lineRule="exact"/>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13"/>
                <w:szCs w:val="13"/>
                <w:color w:val="auto"/>
              </w:rPr>
            </w:pPr>
          </w:p>
        </w:tc>
        <w:tc>
          <w:tcPr>
            <w:tcW w:w="1680" w:type="dxa"/>
            <w:vAlign w:val="bottom"/>
            <w:gridSpan w:val="2"/>
          </w:tcPr>
          <w:p>
            <w:pPr>
              <w:jc w:val="center"/>
              <w:ind w:right="388"/>
              <w:spacing w:after="0" w:line="157" w:lineRule="exact"/>
              <w:rPr>
                <w:sz w:val="20"/>
                <w:szCs w:val="20"/>
                <w:color w:val="auto"/>
              </w:rPr>
            </w:pPr>
            <w:r>
              <w:rPr>
                <w:rFonts w:ascii="Arial" w:cs="Arial" w:eastAsia="Arial" w:hAnsi="Arial"/>
                <w:sz w:val="14"/>
                <w:szCs w:val="14"/>
                <w:b w:val="1"/>
                <w:bCs w:val="1"/>
                <w:color w:val="auto"/>
                <w:w w:val="87"/>
              </w:rPr>
              <w:t>Increase</w:t>
            </w:r>
          </w:p>
        </w:tc>
        <w:tc>
          <w:tcPr>
            <w:tcW w:w="260" w:type="dxa"/>
            <w:vAlign w:val="bottom"/>
          </w:tcPr>
          <w:p>
            <w:pPr>
              <w:spacing w:after="0"/>
              <w:rPr>
                <w:sz w:val="13"/>
                <w:szCs w:val="13"/>
                <w:color w:val="auto"/>
              </w:rPr>
            </w:pPr>
          </w:p>
        </w:tc>
        <w:tc>
          <w:tcPr>
            <w:tcW w:w="1600" w:type="dxa"/>
            <w:vAlign w:val="bottom"/>
            <w:gridSpan w:val="2"/>
          </w:tcPr>
          <w:p>
            <w:pPr>
              <w:jc w:val="right"/>
              <w:ind w:right="608"/>
              <w:spacing w:after="0" w:line="157" w:lineRule="exact"/>
              <w:rPr>
                <w:sz w:val="20"/>
                <w:szCs w:val="20"/>
                <w:color w:val="auto"/>
              </w:rPr>
            </w:pPr>
            <w:r>
              <w:rPr>
                <w:rFonts w:ascii="Arial" w:cs="Arial" w:eastAsia="Arial" w:hAnsi="Arial"/>
                <w:sz w:val="14"/>
                <w:szCs w:val="14"/>
                <w:b w:val="1"/>
                <w:bCs w:val="1"/>
                <w:color w:val="auto"/>
              </w:rPr>
              <w:t>Net Increase</w:t>
            </w:r>
          </w:p>
        </w:tc>
        <w:tc>
          <w:tcPr>
            <w:tcW w:w="200" w:type="dxa"/>
            <w:vAlign w:val="bottom"/>
          </w:tcPr>
          <w:p>
            <w:pPr>
              <w:spacing w:after="0"/>
              <w:rPr>
                <w:sz w:val="13"/>
                <w:szCs w:val="13"/>
                <w:color w:val="auto"/>
              </w:rPr>
            </w:pPr>
          </w:p>
        </w:tc>
        <w:tc>
          <w:tcPr>
            <w:tcW w:w="1500" w:type="dxa"/>
            <w:vAlign w:val="bottom"/>
            <w:gridSpan w:val="2"/>
          </w:tcPr>
          <w:p>
            <w:pPr>
              <w:jc w:val="right"/>
              <w:ind w:right="368"/>
              <w:spacing w:after="0" w:line="157" w:lineRule="exact"/>
              <w:rPr>
                <w:sz w:val="20"/>
                <w:szCs w:val="20"/>
                <w:color w:val="auto"/>
              </w:rPr>
            </w:pPr>
            <w:r>
              <w:rPr>
                <w:rFonts w:ascii="Arial" w:cs="Arial" w:eastAsia="Arial" w:hAnsi="Arial"/>
                <w:sz w:val="14"/>
                <w:szCs w:val="14"/>
                <w:b w:val="1"/>
                <w:bCs w:val="1"/>
                <w:color w:val="auto"/>
              </w:rPr>
              <w:t>Net Investment</w:t>
            </w:r>
          </w:p>
        </w:tc>
      </w:tr>
      <w:tr>
        <w:trPr>
          <w:trHeight w:val="204"/>
        </w:trPr>
        <w:tc>
          <w:tcPr>
            <w:tcW w:w="3900" w:type="dxa"/>
            <w:vAlign w:val="bottom"/>
            <w:gridSpan w:val="2"/>
          </w:tcPr>
          <w:p>
            <w:pPr>
              <w:jc w:val="right"/>
              <w:ind w:right="1888"/>
              <w:spacing w:after="0"/>
              <w:rPr>
                <w:sz w:val="20"/>
                <w:szCs w:val="20"/>
                <w:color w:val="auto"/>
              </w:rPr>
            </w:pPr>
            <w:r>
              <w:rPr>
                <w:rFonts w:ascii="Arial" w:cs="Arial" w:eastAsia="Arial" w:hAnsi="Arial"/>
                <w:sz w:val="14"/>
                <w:szCs w:val="14"/>
                <w:b w:val="1"/>
                <w:bCs w:val="1"/>
                <w:color w:val="auto"/>
                <w:w w:val="90"/>
              </w:rPr>
              <w:t>Basis Point Increase (Decrease)</w:t>
            </w:r>
          </w:p>
        </w:tc>
        <w:tc>
          <w:tcPr>
            <w:tcW w:w="200" w:type="dxa"/>
            <w:vAlign w:val="bottom"/>
          </w:tcPr>
          <w:p>
            <w:pPr>
              <w:spacing w:after="0"/>
              <w:rPr>
                <w:sz w:val="17"/>
                <w:szCs w:val="17"/>
                <w:color w:val="auto"/>
              </w:rPr>
            </w:pPr>
          </w:p>
        </w:tc>
        <w:tc>
          <w:tcPr>
            <w:tcW w:w="1700" w:type="dxa"/>
            <w:vAlign w:val="bottom"/>
            <w:gridSpan w:val="2"/>
          </w:tcPr>
          <w:p>
            <w:pPr>
              <w:jc w:val="center"/>
              <w:ind w:right="428"/>
              <w:spacing w:after="0" w:line="204" w:lineRule="exact"/>
              <w:rPr>
                <w:sz w:val="20"/>
                <w:szCs w:val="20"/>
                <w:color w:val="auto"/>
              </w:rPr>
            </w:pPr>
            <w:r>
              <w:rPr>
                <w:rFonts w:ascii="Arial" w:cs="Arial" w:eastAsia="Arial" w:hAnsi="Arial"/>
                <w:sz w:val="14"/>
                <w:szCs w:val="14"/>
                <w:b w:val="1"/>
                <w:bCs w:val="1"/>
                <w:color w:val="auto"/>
                <w:w w:val="83"/>
              </w:rPr>
              <w:t xml:space="preserve">(Decrease) </w:t>
            </w:r>
            <w:r>
              <w:rPr>
                <w:rFonts w:ascii="Arial" w:cs="Arial" w:eastAsia="Arial" w:hAnsi="Arial"/>
                <w:sz w:val="19"/>
                <w:szCs w:val="19"/>
                <w:b w:val="1"/>
                <w:bCs w:val="1"/>
                <w:color w:val="auto"/>
                <w:w w:val="83"/>
                <w:vertAlign w:val="superscript"/>
              </w:rPr>
              <w:t>(1) (2)</w:t>
            </w:r>
          </w:p>
        </w:tc>
        <w:tc>
          <w:tcPr>
            <w:tcW w:w="200" w:type="dxa"/>
            <w:vAlign w:val="bottom"/>
          </w:tcPr>
          <w:p>
            <w:pPr>
              <w:spacing w:after="0"/>
              <w:rPr>
                <w:sz w:val="17"/>
                <w:szCs w:val="17"/>
                <w:color w:val="auto"/>
              </w:rPr>
            </w:pPr>
          </w:p>
        </w:tc>
        <w:tc>
          <w:tcPr>
            <w:tcW w:w="1680" w:type="dxa"/>
            <w:vAlign w:val="bottom"/>
            <w:gridSpan w:val="2"/>
          </w:tcPr>
          <w:p>
            <w:pPr>
              <w:jc w:val="center"/>
              <w:ind w:right="388"/>
              <w:spacing w:after="0" w:line="204" w:lineRule="exact"/>
              <w:rPr>
                <w:sz w:val="20"/>
                <w:szCs w:val="20"/>
                <w:color w:val="auto"/>
              </w:rPr>
            </w:pPr>
            <w:r>
              <w:rPr>
                <w:rFonts w:ascii="Arial" w:cs="Arial" w:eastAsia="Arial" w:hAnsi="Arial"/>
                <w:sz w:val="14"/>
                <w:szCs w:val="14"/>
                <w:b w:val="1"/>
                <w:bCs w:val="1"/>
                <w:color w:val="auto"/>
                <w:w w:val="85"/>
              </w:rPr>
              <w:t xml:space="preserve">(Decrease) </w:t>
            </w:r>
            <w:r>
              <w:rPr>
                <w:rFonts w:ascii="Arial" w:cs="Arial" w:eastAsia="Arial" w:hAnsi="Arial"/>
                <w:sz w:val="19"/>
                <w:szCs w:val="19"/>
                <w:b w:val="1"/>
                <w:bCs w:val="1"/>
                <w:color w:val="auto"/>
                <w:w w:val="85"/>
                <w:vertAlign w:val="superscript"/>
              </w:rPr>
              <w:t>(4)</w:t>
            </w:r>
          </w:p>
        </w:tc>
        <w:tc>
          <w:tcPr>
            <w:tcW w:w="260" w:type="dxa"/>
            <w:vAlign w:val="bottom"/>
          </w:tcPr>
          <w:p>
            <w:pPr>
              <w:spacing w:after="0"/>
              <w:rPr>
                <w:sz w:val="17"/>
                <w:szCs w:val="17"/>
                <w:color w:val="auto"/>
              </w:rPr>
            </w:pPr>
          </w:p>
        </w:tc>
        <w:tc>
          <w:tcPr>
            <w:tcW w:w="160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7"/>
                <w:szCs w:val="17"/>
                <w:color w:val="auto"/>
              </w:rPr>
            </w:pPr>
          </w:p>
        </w:tc>
        <w:tc>
          <w:tcPr>
            <w:tcW w:w="1500" w:type="dxa"/>
            <w:vAlign w:val="bottom"/>
            <w:gridSpan w:val="2"/>
          </w:tcPr>
          <w:p>
            <w:pPr>
              <w:jc w:val="right"/>
              <w:ind w:right="528"/>
              <w:spacing w:after="0" w:line="204" w:lineRule="exact"/>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19"/>
                <w:szCs w:val="19"/>
                <w:b w:val="1"/>
                <w:bCs w:val="1"/>
                <w:color w:val="auto"/>
                <w:vertAlign w:val="superscript"/>
              </w:rPr>
              <w:t>(3)</w:t>
            </w:r>
          </w:p>
        </w:tc>
      </w:tr>
      <w:tr>
        <w:trPr>
          <w:trHeight w:val="169"/>
        </w:trPr>
        <w:tc>
          <w:tcPr>
            <w:tcW w:w="3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4"/>
              </w:rPr>
              <w:t>)</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r>
      <w:tr>
        <w:trPr>
          <w:trHeight w:val="176"/>
        </w:trPr>
        <w:tc>
          <w:tcPr>
            <w:tcW w:w="3900" w:type="dxa"/>
            <w:vAlign w:val="bottom"/>
            <w:gridSpan w:val="2"/>
          </w:tcPr>
          <w:p>
            <w:pPr>
              <w:jc w:val="right"/>
              <w:ind w:right="168"/>
              <w:spacing w:after="0"/>
              <w:rPr>
                <w:sz w:val="20"/>
                <w:szCs w:val="20"/>
                <w:color w:val="auto"/>
              </w:rPr>
            </w:pPr>
            <w:r>
              <w:rPr>
                <w:rFonts w:ascii="Arial" w:cs="Arial" w:eastAsia="Arial" w:hAnsi="Arial"/>
                <w:sz w:val="14"/>
                <w:szCs w:val="14"/>
                <w:color w:val="auto"/>
              </w:rPr>
              <w:t>(150 )</w:t>
            </w:r>
          </w:p>
        </w:tc>
        <w:tc>
          <w:tcPr>
            <w:tcW w:w="200" w:type="dxa"/>
            <w:vAlign w:val="bottom"/>
          </w:tcPr>
          <w:p>
            <w:pPr>
              <w:spacing w:after="0"/>
              <w:rPr>
                <w:sz w:val="15"/>
                <w:szCs w:val="15"/>
                <w:color w:val="auto"/>
              </w:rPr>
            </w:pPr>
          </w:p>
        </w:tc>
        <w:tc>
          <w:tcPr>
            <w:tcW w:w="1700" w:type="dxa"/>
            <w:vAlign w:val="bottom"/>
            <w:gridSpan w:val="2"/>
          </w:tcPr>
          <w:p>
            <w:pPr>
              <w:jc w:val="right"/>
              <w:ind w:right="168"/>
              <w:spacing w:after="0"/>
              <w:rPr>
                <w:sz w:val="20"/>
                <w:szCs w:val="20"/>
                <w:color w:val="auto"/>
              </w:rPr>
            </w:pPr>
            <w:r>
              <w:rPr>
                <w:rFonts w:ascii="Arial" w:cs="Arial" w:eastAsia="Arial" w:hAnsi="Arial"/>
                <w:sz w:val="14"/>
                <w:szCs w:val="14"/>
                <w:color w:val="auto"/>
              </w:rPr>
              <w:t>(6.2 )</w:t>
            </w:r>
          </w:p>
        </w:tc>
        <w:tc>
          <w:tcPr>
            <w:tcW w:w="200" w:type="dxa"/>
            <w:vAlign w:val="bottom"/>
          </w:tcPr>
          <w:p>
            <w:pPr>
              <w:spacing w:after="0"/>
              <w:rPr>
                <w:sz w:val="15"/>
                <w:szCs w:val="15"/>
                <w:color w:val="auto"/>
              </w:rPr>
            </w:pPr>
          </w:p>
        </w:tc>
        <w:tc>
          <w:tcPr>
            <w:tcW w:w="1680" w:type="dxa"/>
            <w:vAlign w:val="bottom"/>
            <w:gridSpan w:val="2"/>
          </w:tcPr>
          <w:p>
            <w:pPr>
              <w:jc w:val="right"/>
              <w:ind w:right="128"/>
              <w:spacing w:after="0"/>
              <w:rPr>
                <w:sz w:val="20"/>
                <w:szCs w:val="20"/>
                <w:color w:val="auto"/>
              </w:rPr>
            </w:pPr>
            <w:r>
              <w:rPr>
                <w:rFonts w:ascii="Arial" w:cs="Arial" w:eastAsia="Arial" w:hAnsi="Arial"/>
                <w:sz w:val="14"/>
                <w:szCs w:val="14"/>
                <w:color w:val="auto"/>
              </w:rPr>
              <w:t>(0.3 )</w:t>
            </w:r>
          </w:p>
        </w:tc>
        <w:tc>
          <w:tcPr>
            <w:tcW w:w="260" w:type="dxa"/>
            <w:vAlign w:val="bottom"/>
          </w:tcPr>
          <w:p>
            <w:pPr>
              <w:spacing w:after="0"/>
              <w:rPr>
                <w:sz w:val="15"/>
                <w:szCs w:val="15"/>
                <w:color w:val="auto"/>
              </w:rPr>
            </w:pPr>
          </w:p>
        </w:tc>
        <w:tc>
          <w:tcPr>
            <w:tcW w:w="1600" w:type="dxa"/>
            <w:vAlign w:val="bottom"/>
            <w:gridSpan w:val="2"/>
          </w:tcPr>
          <w:p>
            <w:pPr>
              <w:jc w:val="right"/>
              <w:ind w:right="128"/>
              <w:spacing w:after="0"/>
              <w:rPr>
                <w:sz w:val="20"/>
                <w:szCs w:val="20"/>
                <w:color w:val="auto"/>
              </w:rPr>
            </w:pPr>
            <w:r>
              <w:rPr>
                <w:rFonts w:ascii="Arial" w:cs="Arial" w:eastAsia="Arial" w:hAnsi="Arial"/>
                <w:sz w:val="14"/>
                <w:szCs w:val="14"/>
                <w:color w:val="auto"/>
              </w:rPr>
              <w:t>(5.9 )</w:t>
            </w:r>
          </w:p>
        </w:tc>
        <w:tc>
          <w:tcPr>
            <w:tcW w:w="2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(4.7 )</w:t>
            </w:r>
          </w:p>
        </w:tc>
      </w:tr>
      <w:tr>
        <w:trPr>
          <w:trHeight w:val="175"/>
        </w:trPr>
        <w:tc>
          <w:tcPr>
            <w:tcW w:w="39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(100 )</w:t>
            </w:r>
          </w:p>
        </w:tc>
        <w:tc>
          <w:tcPr>
            <w:tcW w:w="2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(4.5 )</w:t>
            </w:r>
          </w:p>
        </w:tc>
        <w:tc>
          <w:tcPr>
            <w:tcW w:w="20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(0.2 )</w:t>
            </w:r>
          </w:p>
        </w:tc>
        <w:tc>
          <w:tcPr>
            <w:tcW w:w="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(4.3 )</w:t>
            </w:r>
          </w:p>
        </w:tc>
        <w:tc>
          <w:tcPr>
            <w:tcW w:w="2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(3.4 )</w:t>
            </w:r>
          </w:p>
        </w:tc>
      </w:tr>
      <w:tr>
        <w:trPr>
          <w:trHeight w:val="175"/>
        </w:trPr>
        <w:tc>
          <w:tcPr>
            <w:tcW w:w="3900" w:type="dxa"/>
            <w:vAlign w:val="bottom"/>
            <w:gridSpan w:val="2"/>
          </w:tcPr>
          <w:p>
            <w:pPr>
              <w:jc w:val="right"/>
              <w:ind w:right="168"/>
              <w:spacing w:after="0"/>
              <w:rPr>
                <w:sz w:val="20"/>
                <w:szCs w:val="20"/>
                <w:color w:val="auto"/>
              </w:rPr>
            </w:pPr>
            <w:r>
              <w:rPr>
                <w:rFonts w:ascii="Arial" w:cs="Arial" w:eastAsia="Arial" w:hAnsi="Arial"/>
                <w:sz w:val="14"/>
                <w:szCs w:val="14"/>
                <w:color w:val="auto"/>
              </w:rPr>
              <w:t>(50 )</w:t>
            </w:r>
          </w:p>
        </w:tc>
        <w:tc>
          <w:tcPr>
            <w:tcW w:w="200" w:type="dxa"/>
            <w:vAlign w:val="bottom"/>
          </w:tcPr>
          <w:p>
            <w:pPr>
              <w:spacing w:after="0"/>
              <w:rPr>
                <w:sz w:val="15"/>
                <w:szCs w:val="15"/>
                <w:color w:val="auto"/>
              </w:rPr>
            </w:pPr>
          </w:p>
        </w:tc>
        <w:tc>
          <w:tcPr>
            <w:tcW w:w="1700" w:type="dxa"/>
            <w:vAlign w:val="bottom"/>
            <w:gridSpan w:val="2"/>
          </w:tcPr>
          <w:p>
            <w:pPr>
              <w:jc w:val="right"/>
              <w:ind w:right="168"/>
              <w:spacing w:after="0"/>
              <w:rPr>
                <w:sz w:val="20"/>
                <w:szCs w:val="20"/>
                <w:color w:val="auto"/>
              </w:rPr>
            </w:pPr>
            <w:r>
              <w:rPr>
                <w:rFonts w:ascii="Arial" w:cs="Arial" w:eastAsia="Arial" w:hAnsi="Arial"/>
                <w:sz w:val="14"/>
                <w:szCs w:val="14"/>
                <w:color w:val="auto"/>
              </w:rPr>
              <w:t>(2.3 )</w:t>
            </w:r>
          </w:p>
        </w:tc>
        <w:tc>
          <w:tcPr>
            <w:tcW w:w="200" w:type="dxa"/>
            <w:vAlign w:val="bottom"/>
          </w:tcPr>
          <w:p>
            <w:pPr>
              <w:spacing w:after="0"/>
              <w:rPr>
                <w:sz w:val="15"/>
                <w:szCs w:val="15"/>
                <w:color w:val="auto"/>
              </w:rPr>
            </w:pPr>
          </w:p>
        </w:tc>
        <w:tc>
          <w:tcPr>
            <w:tcW w:w="1680" w:type="dxa"/>
            <w:vAlign w:val="bottom"/>
            <w:gridSpan w:val="2"/>
          </w:tcPr>
          <w:p>
            <w:pPr>
              <w:jc w:val="right"/>
              <w:ind w:right="128"/>
              <w:spacing w:after="0"/>
              <w:rPr>
                <w:sz w:val="20"/>
                <w:szCs w:val="20"/>
                <w:color w:val="auto"/>
              </w:rPr>
            </w:pPr>
            <w:r>
              <w:rPr>
                <w:rFonts w:ascii="Arial" w:cs="Arial" w:eastAsia="Arial" w:hAnsi="Arial"/>
                <w:sz w:val="14"/>
                <w:szCs w:val="14"/>
                <w:color w:val="auto"/>
              </w:rPr>
              <w:t>(0.1 )</w:t>
            </w:r>
          </w:p>
        </w:tc>
        <w:tc>
          <w:tcPr>
            <w:tcW w:w="260" w:type="dxa"/>
            <w:vAlign w:val="bottom"/>
          </w:tcPr>
          <w:p>
            <w:pPr>
              <w:spacing w:after="0"/>
              <w:rPr>
                <w:sz w:val="15"/>
                <w:szCs w:val="15"/>
                <w:color w:val="auto"/>
              </w:rPr>
            </w:pPr>
          </w:p>
        </w:tc>
        <w:tc>
          <w:tcPr>
            <w:tcW w:w="1600" w:type="dxa"/>
            <w:vAlign w:val="bottom"/>
            <w:gridSpan w:val="2"/>
          </w:tcPr>
          <w:p>
            <w:pPr>
              <w:jc w:val="right"/>
              <w:ind w:right="128"/>
              <w:spacing w:after="0"/>
              <w:rPr>
                <w:sz w:val="20"/>
                <w:szCs w:val="20"/>
                <w:color w:val="auto"/>
              </w:rPr>
            </w:pPr>
            <w:r>
              <w:rPr>
                <w:rFonts w:ascii="Arial" w:cs="Arial" w:eastAsia="Arial" w:hAnsi="Arial"/>
                <w:sz w:val="14"/>
                <w:szCs w:val="14"/>
                <w:color w:val="auto"/>
              </w:rPr>
              <w:t>(2.2 )</w:t>
            </w:r>
          </w:p>
        </w:tc>
        <w:tc>
          <w:tcPr>
            <w:tcW w:w="2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(1.8 )</w:t>
            </w:r>
          </w:p>
        </w:tc>
      </w:tr>
      <w:tr>
        <w:trPr>
          <w:trHeight w:val="175"/>
        </w:trPr>
        <w:tc>
          <w:tcPr>
            <w:tcW w:w="3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r>
      <w:tr>
        <w:trPr>
          <w:trHeight w:val="175"/>
        </w:trPr>
        <w:tc>
          <w:tcPr>
            <w:tcW w:w="3600" w:type="dxa"/>
            <w:vAlign w:val="bottom"/>
          </w:tcPr>
          <w:p>
            <w:pPr>
              <w:jc w:val="right"/>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r>
      <w:tr>
        <w:trPr>
          <w:trHeight w:val="175"/>
        </w:trPr>
        <w:tc>
          <w:tcPr>
            <w:tcW w:w="3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r>
      <w:tr>
        <w:trPr>
          <w:trHeight w:val="176"/>
        </w:trPr>
        <w:tc>
          <w:tcPr>
            <w:tcW w:w="3600" w:type="dxa"/>
            <w:vAlign w:val="bottom"/>
          </w:tcPr>
          <w:p>
            <w:pPr>
              <w:jc w:val="right"/>
              <w:spacing w:after="0"/>
              <w:rPr>
                <w:sz w:val="20"/>
                <w:szCs w:val="20"/>
                <w:color w:val="auto"/>
              </w:rPr>
            </w:pPr>
            <w:r>
              <w:rPr>
                <w:rFonts w:ascii="Arial" w:cs="Arial" w:eastAsia="Arial" w:hAnsi="Arial"/>
                <w:sz w:val="14"/>
                <w:szCs w:val="14"/>
                <w:color w:val="auto"/>
              </w:rPr>
              <w:t>200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9.4</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r>
      <w:tr>
        <w:trPr>
          <w:trHeight w:val="175"/>
        </w:trPr>
        <w:tc>
          <w:tcPr>
            <w:tcW w:w="3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5"/>
                <w:szCs w:val="15"/>
                <w:color w:val="auto"/>
              </w:rPr>
            </w:pPr>
          </w:p>
        </w:tc>
      </w:tr>
      <w:tr>
        <w:trPr>
          <w:trHeight w:val="182"/>
        </w:trPr>
        <w:tc>
          <w:tcPr>
            <w:tcW w:w="3600" w:type="dxa"/>
            <w:vAlign w:val="bottom"/>
          </w:tcPr>
          <w:p>
            <w:pPr>
              <w:jc w:val="right"/>
              <w:spacing w:after="0"/>
              <w:rPr>
                <w:sz w:val="20"/>
                <w:szCs w:val="20"/>
                <w:color w:val="auto"/>
              </w:rPr>
            </w:pPr>
            <w:r>
              <w:rPr>
                <w:rFonts w:ascii="Arial" w:cs="Arial" w:eastAsia="Arial" w:hAnsi="Arial"/>
                <w:sz w:val="14"/>
                <w:szCs w:val="14"/>
                <w:color w:val="auto"/>
              </w:rPr>
              <w:t>300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0.5</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5"/>
                <w:szCs w:val="15"/>
                <w:color w:val="auto"/>
              </w:rPr>
            </w:pPr>
          </w:p>
        </w:tc>
      </w:tr>
    </w:tbl>
    <w:p>
      <w:pPr>
        <w:spacing w:after="0" w:line="177" w:lineRule="exact"/>
        <w:rPr>
          <w:sz w:val="20"/>
          <w:szCs w:val="20"/>
          <w:color w:val="auto"/>
        </w:rPr>
      </w:pPr>
    </w:p>
    <w:p>
      <w:pPr>
        <w:ind w:left="220" w:hanging="212"/>
        <w:spacing w:after="0"/>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Certain of our variable rate debt investments have a LIBOR, PRIME or SOFR interest rate floor, which lessens the impact of decreases in interest rates.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Interest income calculated assuming three-month LIBOR, PRIME, and SOFR rate as of June 30, 2022.</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the impact of income incentive fee at 20.0% on net increase (decrease) in net interest.</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 of June 30, 2022, we did not have any borrowings outstanding under our Credit Facility.</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6" w:name="page57"/>
    <w:bookmarkEnd w:id="56"/>
    <w:p>
      <w:pPr>
        <w:jc w:val="both"/>
        <w:ind w:firstLine="374"/>
        <w:spacing w:after="0" w:line="27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32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58"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second quarter of 2022 that have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are not, and the Investment Advisor is not, currently subject to any material legal proceedings.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firstLine="300"/>
        <w:spacing w:after="0" w:line="262" w:lineRule="auto"/>
        <w:rPr>
          <w:sz w:val="20"/>
          <w:szCs w:val="20"/>
          <w:color w:val="auto"/>
        </w:rPr>
      </w:pPr>
      <w:r>
        <w:rPr>
          <w:rFonts w:ascii="Arial" w:cs="Arial" w:eastAsia="Arial" w:hAnsi="Arial"/>
          <w:sz w:val="17"/>
          <w:szCs w:val="17"/>
          <w:color w:val="auto"/>
        </w:rPr>
        <w:t>In addition to other information set forth in this report, you should carefully consider the “Risk Factors” discussed in our Annual Report on Form 10-K for the year ended December 31, 2021 and filed with the SEC on March 3, 2022, which are incorporated herein by reference. The risk factors therein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Sales of Unregistered Securities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98" w:lineRule="exact"/>
        <w:rPr>
          <w:sz w:val="20"/>
          <w:szCs w:val="20"/>
          <w:color w:val="auto"/>
        </w:rPr>
      </w:pPr>
    </w:p>
    <w:p>
      <w:pPr>
        <w:jc w:val="both"/>
        <w:ind w:firstLine="281"/>
        <w:spacing w:after="0" w:line="271" w:lineRule="auto"/>
        <w:rPr>
          <w:sz w:val="20"/>
          <w:szCs w:val="20"/>
          <w:color w:val="auto"/>
        </w:rPr>
      </w:pPr>
      <w:r>
        <w:rPr>
          <w:rFonts w:ascii="Arial" w:cs="Arial" w:eastAsia="Arial" w:hAnsi="Arial"/>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November 1, 2021, the Board extended the Stock Repurchase Program through December 31, 2022,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r>
        <w:rPr>
          <w:rFonts w:ascii="Arial" w:cs="Arial" w:eastAsia="Arial" w:hAnsi="Arial"/>
          <w:sz w:val="18"/>
          <w:szCs w:val="18"/>
          <w:b w:val="1"/>
          <w:bCs w:val="1"/>
          <w:i w:val="1"/>
          <w:iCs w:val="1"/>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158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gridSpan w:val="25"/>
          </w:tcPr>
          <w:p>
            <w:pPr>
              <w:spacing w:after="0"/>
              <w:rPr>
                <w:sz w:val="20"/>
                <w:szCs w:val="20"/>
                <w:color w:val="auto"/>
              </w:rPr>
            </w:pPr>
            <w:r>
              <w:rPr>
                <w:rFonts w:ascii="Arial" w:cs="Arial" w:eastAsia="Arial" w:hAnsi="Arial"/>
                <w:sz w:val="18"/>
                <w:szCs w:val="18"/>
                <w:b w:val="1"/>
                <w:bCs w:val="1"/>
                <w:color w:val="auto"/>
              </w:rPr>
              <w:t>Exhibit</w:t>
            </w:r>
          </w:p>
        </w:tc>
      </w:tr>
      <w:tr>
        <w:trPr>
          <w:trHeight w:val="169"/>
        </w:trPr>
        <w:tc>
          <w:tcPr>
            <w:tcW w:w="1580" w:type="dxa"/>
            <w:vAlign w:val="bottom"/>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940" w:type="dxa"/>
            <w:vAlign w:val="bottom"/>
            <w:tcBorders>
              <w:bottom w:val="single" w:sz="8" w:color="333366"/>
            </w:tcBorders>
            <w:gridSpan w:val="13"/>
          </w:tcPr>
          <w:p>
            <w:pPr>
              <w:spacing w:after="0" w:line="169" w:lineRule="exact"/>
              <w:rPr>
                <w:rFonts w:ascii="Arial" w:cs="Arial" w:eastAsia="Arial" w:hAnsi="Arial"/>
                <w:sz w:val="18"/>
                <w:szCs w:val="18"/>
                <w:color w:val="333366"/>
                <w:w w:val="91"/>
              </w:rPr>
            </w:pPr>
            <w:hyperlink r:id="rId568">
              <w:r>
                <w:rPr>
                  <w:rFonts w:ascii="Arial" w:cs="Arial" w:eastAsia="Arial" w:hAnsi="Arial"/>
                  <w:sz w:val="18"/>
                  <w:szCs w:val="18"/>
                  <w:color w:val="333366"/>
                  <w:w w:val="91"/>
                </w:rPr>
                <w:t>Articles of Amendment and Restatement of the Registrant (Filed as Exhibit (a)(1) to Pre-Effective Amendment No. 2 to the</w:t>
              </w:r>
            </w:hyperlink>
          </w:p>
        </w:tc>
        <w:tc>
          <w:tcPr>
            <w:tcW w:w="540" w:type="dxa"/>
            <w:vAlign w:val="bottom"/>
            <w:gridSpan w:val="12"/>
          </w:tcPr>
          <w:p>
            <w:pPr>
              <w:spacing w:after="0"/>
              <w:rPr>
                <w:sz w:val="14"/>
                <w:szCs w:val="14"/>
                <w:color w:val="auto"/>
              </w:rPr>
            </w:pPr>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80" w:type="dxa"/>
            <w:vAlign w:val="bottom"/>
            <w:gridSpan w:val="25"/>
          </w:tcPr>
          <w:p>
            <w:pPr>
              <w:spacing w:after="0" w:line="156" w:lineRule="exact"/>
              <w:rPr>
                <w:rFonts w:ascii="Arial" w:cs="Arial" w:eastAsia="Arial" w:hAnsi="Arial"/>
                <w:sz w:val="18"/>
                <w:szCs w:val="18"/>
                <w:color w:val="333366"/>
                <w:w w:val="92"/>
              </w:rPr>
            </w:pPr>
            <w:hyperlink r:id="rId568">
              <w:r>
                <w:rPr>
                  <w:rFonts w:ascii="Arial" w:cs="Arial" w:eastAsia="Arial" w:hAnsi="Arial"/>
                  <w:sz w:val="18"/>
                  <w:szCs w:val="18"/>
                  <w:color w:val="333366"/>
                  <w:w w:val="92"/>
                </w:rPr>
                <w:t>Registrant’s Registration Statement on Form N-2 (File No. 333-172550) filed with the U.S. Securities and Exchange Commission</w:t>
              </w:r>
            </w:hyperlink>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380" w:type="dxa"/>
            <w:vAlign w:val="bottom"/>
            <w:tcBorders>
              <w:top w:val="single" w:sz="8" w:color="333366"/>
            </w:tcBorders>
            <w:gridSpan w:val="22"/>
          </w:tcPr>
          <w:p>
            <w:pPr>
              <w:spacing w:after="0" w:line="156" w:lineRule="exact"/>
              <w:rPr>
                <w:rFonts w:ascii="Arial" w:cs="Arial" w:eastAsia="Arial" w:hAnsi="Arial"/>
                <w:sz w:val="18"/>
                <w:szCs w:val="18"/>
                <w:color w:val="333366"/>
              </w:rPr>
            </w:pPr>
            <w:hyperlink r:id="rId568">
              <w:r>
                <w:rPr>
                  <w:rFonts w:ascii="Arial" w:cs="Arial" w:eastAsia="Arial" w:hAnsi="Arial"/>
                  <w:sz w:val="18"/>
                  <w:szCs w:val="18"/>
                  <w:color w:val="333366"/>
                </w:rPr>
                <w:t>on April 29, 2011 and incorporated herein by reference).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333366"/>
          </w:tcPr>
          <w:p>
            <w:pPr>
              <w:spacing w:after="0" w:line="20" w:lineRule="exact"/>
              <w:rPr>
                <w:sz w:val="1"/>
                <w:szCs w:val="1"/>
                <w:color w:val="auto"/>
              </w:rPr>
            </w:pPr>
          </w:p>
        </w:tc>
        <w:tc>
          <w:tcPr>
            <w:tcW w:w="720" w:type="dxa"/>
            <w:vAlign w:val="bottom"/>
            <w:shd w:val="clear" w:color="auto" w:fill="333366"/>
          </w:tcPr>
          <w:p>
            <w:pPr>
              <w:spacing w:after="0" w:line="20" w:lineRule="exact"/>
              <w:rPr>
                <w:sz w:val="1"/>
                <w:szCs w:val="1"/>
                <w:color w:val="auto"/>
              </w:rPr>
            </w:pPr>
          </w:p>
        </w:tc>
        <w:tc>
          <w:tcPr>
            <w:tcW w:w="960" w:type="dxa"/>
            <w:vAlign w:val="bottom"/>
            <w:shd w:val="clear" w:color="auto" w:fill="333366"/>
          </w:tcPr>
          <w:p>
            <w:pPr>
              <w:spacing w:after="0" w:line="20" w:lineRule="exact"/>
              <w:rPr>
                <w:sz w:val="1"/>
                <w:szCs w:val="1"/>
                <w:color w:val="auto"/>
              </w:rPr>
            </w:pPr>
          </w:p>
        </w:tc>
        <w:tc>
          <w:tcPr>
            <w:tcW w:w="660" w:type="dxa"/>
            <w:vAlign w:val="bottom"/>
            <w:shd w:val="clear" w:color="auto" w:fill="333366"/>
          </w:tcPr>
          <w:p>
            <w:pPr>
              <w:spacing w:after="0" w:line="20" w:lineRule="exact"/>
              <w:rPr>
                <w:sz w:val="1"/>
                <w:szCs w:val="1"/>
                <w:color w:val="auto"/>
              </w:rPr>
            </w:pPr>
          </w:p>
        </w:tc>
        <w:tc>
          <w:tcPr>
            <w:tcW w:w="440" w:type="dxa"/>
            <w:vAlign w:val="bottom"/>
            <w:shd w:val="clear" w:color="auto" w:fill="333366"/>
          </w:tcPr>
          <w:p>
            <w:pPr>
              <w:spacing w:after="0" w:line="20" w:lineRule="exact"/>
              <w:rPr>
                <w:sz w:val="1"/>
                <w:szCs w:val="1"/>
                <w:color w:val="auto"/>
              </w:rPr>
            </w:pPr>
          </w:p>
        </w:tc>
        <w:tc>
          <w:tcPr>
            <w:tcW w:w="520" w:type="dxa"/>
            <w:vAlign w:val="bottom"/>
            <w:shd w:val="clear" w:color="auto" w:fill="33336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5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Arial" w:cs="Arial" w:eastAsia="Arial" w:hAnsi="Arial"/>
                <w:sz w:val="18"/>
                <w:szCs w:val="18"/>
                <w:color w:val="333366"/>
                <w:w w:val="92"/>
              </w:rPr>
            </w:pPr>
            <w:hyperlink r:id="rId569">
              <w:r>
                <w:rPr>
                  <w:rFonts w:ascii="Arial" w:cs="Arial" w:eastAsia="Arial" w:hAnsi="Arial"/>
                  <w:sz w:val="18"/>
                  <w:szCs w:val="18"/>
                  <w:color w:val="333366"/>
                  <w:w w:val="92"/>
                </w:rPr>
                <w:t>Bylaws of the Registrant (Filed as Exhibit (b)(1) to Pre-Effective Amendment No. 2 to the Registrant’s Registration Statement on</w:t>
              </w:r>
            </w:hyperlink>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0" w:type="dxa"/>
            <w:vAlign w:val="bottom"/>
            <w:tcBorders>
              <w:top w:val="single" w:sz="8" w:color="333366"/>
            </w:tcBorders>
            <w:gridSpan w:val="23"/>
          </w:tcPr>
          <w:p>
            <w:pPr>
              <w:spacing w:after="0" w:line="156" w:lineRule="exact"/>
              <w:rPr>
                <w:rFonts w:ascii="Arial" w:cs="Arial" w:eastAsia="Arial" w:hAnsi="Arial"/>
                <w:sz w:val="18"/>
                <w:szCs w:val="18"/>
                <w:color w:val="333366"/>
                <w:w w:val="94"/>
              </w:rPr>
            </w:pPr>
            <w:hyperlink r:id="rId569">
              <w:r>
                <w:rPr>
                  <w:rFonts w:ascii="Arial" w:cs="Arial" w:eastAsia="Arial" w:hAnsi="Arial"/>
                  <w:sz w:val="18"/>
                  <w:szCs w:val="18"/>
                  <w:color w:val="333366"/>
                  <w:w w:val="94"/>
                </w:rPr>
                <w:t>Form N-2 (File No. 333-172550) filed with the U.S. Securities and Exchange Commission on April 29, 2011 and incorporated</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140" w:type="dxa"/>
            <w:vAlign w:val="bottom"/>
            <w:tcBorders>
              <w:top w:val="single" w:sz="8" w:color="333366"/>
            </w:tcBorders>
            <w:gridSpan w:val="17"/>
          </w:tcPr>
          <w:p>
            <w:pPr>
              <w:spacing w:after="0" w:line="156" w:lineRule="exact"/>
              <w:rPr>
                <w:rFonts w:ascii="Arial" w:cs="Arial" w:eastAsia="Arial" w:hAnsi="Arial"/>
                <w:sz w:val="18"/>
                <w:szCs w:val="18"/>
                <w:color w:val="333366"/>
              </w:rPr>
            </w:pPr>
            <w:hyperlink r:id="rId569">
              <w:r>
                <w:rPr>
                  <w:rFonts w:ascii="Arial" w:cs="Arial" w:eastAsia="Arial" w:hAnsi="Arial"/>
                  <w:sz w:val="18"/>
                  <w:szCs w:val="18"/>
                  <w:color w:val="333366"/>
                </w:rPr>
                <w:t>herein by reference).</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333366"/>
          </w:tcPr>
          <w:p>
            <w:pPr>
              <w:spacing w:after="0" w:line="20" w:lineRule="exact"/>
              <w:rPr>
                <w:sz w:val="1"/>
                <w:szCs w:val="1"/>
                <w:color w:val="auto"/>
              </w:rPr>
            </w:pPr>
          </w:p>
        </w:tc>
        <w:tc>
          <w:tcPr>
            <w:tcW w:w="720" w:type="dxa"/>
            <w:vAlign w:val="bottom"/>
            <w:shd w:val="clear" w:color="auto" w:fill="33336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5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Arial" w:cs="Arial" w:eastAsia="Arial" w:hAnsi="Arial"/>
                <w:sz w:val="18"/>
                <w:szCs w:val="18"/>
                <w:color w:val="333366"/>
                <w:w w:val="92"/>
              </w:rPr>
            </w:pPr>
            <w:hyperlink r:id="rId570">
              <w:r>
                <w:rPr>
                  <w:rFonts w:ascii="Arial" w:cs="Arial" w:eastAsia="Arial" w:hAnsi="Arial"/>
                  <w:sz w:val="18"/>
                  <w:szCs w:val="18"/>
                  <w:color w:val="333366"/>
                  <w:w w:val="92"/>
                </w:rPr>
                <w:t>Form of Stock Certificate of the Registrant (Filed as Exhibit (d) to Pre-Effective Amendment No. 2 to the Registrant’s Registration</w:t>
              </w:r>
            </w:hyperlink>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40" w:type="dxa"/>
            <w:vAlign w:val="bottom"/>
            <w:tcBorders>
              <w:top w:val="single" w:sz="8" w:color="333366"/>
            </w:tcBorders>
            <w:gridSpan w:val="24"/>
          </w:tcPr>
          <w:p>
            <w:pPr>
              <w:spacing w:after="0" w:line="156" w:lineRule="exact"/>
              <w:rPr>
                <w:rFonts w:ascii="Arial" w:cs="Arial" w:eastAsia="Arial" w:hAnsi="Arial"/>
                <w:sz w:val="18"/>
                <w:szCs w:val="18"/>
                <w:color w:val="333366"/>
                <w:w w:val="94"/>
              </w:rPr>
            </w:pPr>
            <w:hyperlink r:id="rId570">
              <w:r>
                <w:rPr>
                  <w:rFonts w:ascii="Arial" w:cs="Arial" w:eastAsia="Arial" w:hAnsi="Arial"/>
                  <w:sz w:val="18"/>
                  <w:szCs w:val="18"/>
                  <w:color w:val="333366"/>
                  <w:w w:val="94"/>
                </w:rPr>
                <w:t>Statement on Form N-2 (File No. 333-172550) filed with the U.S. Securities and Exchange Commission on April 29, 2011 and</w:t>
              </w:r>
            </w:hyperlink>
          </w:p>
        </w:tc>
        <w:tc>
          <w:tcPr>
            <w:tcW w:w="40" w:type="dxa"/>
            <w:vAlign w:val="bottom"/>
          </w:tcPr>
          <w:p>
            <w:pPr>
              <w:spacing w:after="0"/>
              <w:rPr>
                <w:sz w:val="13"/>
                <w:szCs w:val="13"/>
                <w:color w:val="auto"/>
              </w:rPr>
            </w:pP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40" w:type="dxa"/>
            <w:vAlign w:val="bottom"/>
            <w:tcBorders>
              <w:top w:val="single" w:sz="8" w:color="333366"/>
              <w:bottom w:val="single" w:sz="8" w:color="333366"/>
            </w:tcBorders>
            <w:gridSpan w:val="3"/>
          </w:tcPr>
          <w:p>
            <w:pPr>
              <w:spacing w:after="0" w:line="156" w:lineRule="exact"/>
              <w:rPr>
                <w:rFonts w:ascii="Arial" w:cs="Arial" w:eastAsia="Arial" w:hAnsi="Arial"/>
                <w:sz w:val="18"/>
                <w:szCs w:val="18"/>
                <w:color w:val="333366"/>
                <w:w w:val="89"/>
              </w:rPr>
            </w:pPr>
            <w:hyperlink r:id="rId570">
              <w:r>
                <w:rPr>
                  <w:rFonts w:ascii="Arial" w:cs="Arial" w:eastAsia="Arial" w:hAnsi="Arial"/>
                  <w:sz w:val="18"/>
                  <w:szCs w:val="18"/>
                  <w:color w:val="333366"/>
                  <w:w w:val="89"/>
                </w:rPr>
                <w:t>incorporated herein by reference).</w:t>
              </w:r>
            </w:hyperlink>
          </w:p>
        </w:tc>
        <w:tc>
          <w:tcPr>
            <w:tcW w:w="6780" w:type="dxa"/>
            <w:vAlign w:val="bottom"/>
            <w:tcBorders>
              <w:top w:val="single" w:sz="8" w:color="333366"/>
            </w:tcBorders>
            <w:gridSpan w:val="16"/>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385"/>
        </w:trPr>
        <w:tc>
          <w:tcPr>
            <w:tcW w:w="15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Arial" w:cs="Arial" w:eastAsia="Arial" w:hAnsi="Arial"/>
                <w:sz w:val="18"/>
                <w:szCs w:val="18"/>
                <w:color w:val="0000FF"/>
              </w:rPr>
            </w:pPr>
            <w:hyperlink r:id="rId571">
              <w:r>
                <w:rPr>
                  <w:rFonts w:ascii="Arial" w:cs="Arial" w:eastAsia="Arial" w:hAnsi="Arial"/>
                  <w:sz w:val="18"/>
                  <w:szCs w:val="18"/>
                  <w:color w:val="0000FF"/>
                </w:rPr>
                <w:t>Agreement to Furnish Certain Instruments (Filed as Exhibit (f)(2) to Pre-Effective Amendment No. 3 to the Registrant’s</w:t>
              </w:r>
            </w:hyperlink>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80" w:type="dxa"/>
            <w:vAlign w:val="bottom"/>
            <w:tcBorders>
              <w:top w:val="single" w:sz="8" w:color="0000FF"/>
            </w:tcBorders>
            <w:gridSpan w:val="10"/>
          </w:tcPr>
          <w:p>
            <w:pPr>
              <w:spacing w:after="0" w:line="156" w:lineRule="exact"/>
              <w:rPr>
                <w:rFonts w:ascii="Arial" w:cs="Arial" w:eastAsia="Arial" w:hAnsi="Arial"/>
                <w:sz w:val="18"/>
                <w:szCs w:val="18"/>
                <w:color w:val="0000FF"/>
                <w:w w:val="91"/>
              </w:rPr>
            </w:pPr>
            <w:hyperlink r:id="rId571">
              <w:r>
                <w:rPr>
                  <w:rFonts w:ascii="Arial" w:cs="Arial" w:eastAsia="Arial" w:hAnsi="Arial"/>
                  <w:sz w:val="18"/>
                  <w:szCs w:val="18"/>
                  <w:color w:val="0000FF"/>
                  <w:w w:val="91"/>
                </w:rPr>
                <w:t>Registration Statement on Form N-2 (File No. 333-172550) filed with the U.S. Securities and Exchange Commission on</w:t>
              </w:r>
            </w:hyperlink>
          </w:p>
        </w:tc>
        <w:tc>
          <w:tcPr>
            <w:tcW w:w="800" w:type="dxa"/>
            <w:vAlign w:val="bottom"/>
            <w:gridSpan w:val="15"/>
          </w:tcPr>
          <w:p>
            <w:pPr>
              <w:ind w:left="20"/>
              <w:spacing w:after="0" w:line="156" w:lineRule="exact"/>
              <w:rPr>
                <w:rFonts w:ascii="Arial" w:cs="Arial" w:eastAsia="Arial" w:hAnsi="Arial"/>
                <w:sz w:val="18"/>
                <w:szCs w:val="18"/>
                <w:color w:val="0000FF"/>
              </w:rPr>
            </w:pPr>
            <w:hyperlink r:id="rId571">
              <w:r>
                <w:rPr>
                  <w:rFonts w:ascii="Arial" w:cs="Arial" w:eastAsia="Arial" w:hAnsi="Arial"/>
                  <w:sz w:val="18"/>
                  <w:szCs w:val="18"/>
                  <w:color w:val="0000FF"/>
                </w:rPr>
                <w:t>May 26,</w:t>
              </w:r>
            </w:hyperlink>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3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571">
              <w:r>
                <w:rPr>
                  <w:rFonts w:ascii="Arial" w:cs="Arial" w:eastAsia="Arial" w:hAnsi="Arial"/>
                  <w:sz w:val="18"/>
                  <w:szCs w:val="18"/>
                  <w:color w:val="0000FF"/>
                </w:rPr>
                <w:t>2011 and incorporated herein by reference)</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85"/>
        </w:trPr>
        <w:tc>
          <w:tcPr>
            <w:tcW w:w="158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Arial" w:cs="Arial" w:eastAsia="Arial" w:hAnsi="Arial"/>
                <w:sz w:val="18"/>
                <w:szCs w:val="18"/>
                <w:color w:val="0000FF"/>
                <w:w w:val="92"/>
              </w:rPr>
            </w:pPr>
            <w:hyperlink r:id="rId572">
              <w:r>
                <w:rPr>
                  <w:rFonts w:ascii="Arial" w:cs="Arial" w:eastAsia="Arial" w:hAnsi="Arial"/>
                  <w:sz w:val="18"/>
                  <w:szCs w:val="18"/>
                  <w:color w:val="0000FF"/>
                  <w:w w:val="92"/>
                </w:rPr>
                <w:t>Form of Indenture (Filed as Exhibit (d)(5) to Post-Effective Amendment No. 2 to the Registrant’s Registration Statement on Form</w:t>
              </w:r>
            </w:hyperlink>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2"/>
              </w:rPr>
            </w:pPr>
            <w:hyperlink r:id="rId572">
              <w:r>
                <w:rPr>
                  <w:rFonts w:ascii="Arial" w:cs="Arial" w:eastAsia="Arial" w:hAnsi="Arial"/>
                  <w:sz w:val="18"/>
                  <w:szCs w:val="18"/>
                  <w:color w:val="0000FF"/>
                  <w:w w:val="92"/>
                </w:rPr>
                <w:t>N-2 (File No. 333-202531) filed with the U.S. Securities and Exchange Commission on April 29, 2016 and incorporated herein by</w:t>
              </w:r>
            </w:hyperlink>
          </w:p>
        </w:tc>
        <w:tc>
          <w:tcPr>
            <w:tcW w:w="40" w:type="dxa"/>
            <w:vAlign w:val="bottom"/>
          </w:tcPr>
          <w:p>
            <w:pPr>
              <w:spacing w:after="0"/>
              <w:rPr>
                <w:sz w:val="13"/>
                <w:szCs w:val="13"/>
                <w:color w:val="auto"/>
              </w:rPr>
            </w:pP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40" w:type="dxa"/>
            <w:vAlign w:val="bottom"/>
            <w:gridSpan w:val="24"/>
          </w:tcPr>
          <w:p>
            <w:pPr>
              <w:spacing w:after="0" w:line="156" w:lineRule="exact"/>
              <w:rPr>
                <w:rFonts w:ascii="Arial" w:cs="Arial" w:eastAsia="Arial" w:hAnsi="Arial"/>
                <w:sz w:val="18"/>
                <w:szCs w:val="18"/>
                <w:color w:val="0000FF"/>
              </w:rPr>
            </w:pPr>
            <w:hyperlink r:id="rId572">
              <w:r>
                <w:rPr>
                  <w:rFonts w:ascii="Arial" w:cs="Arial" w:eastAsia="Arial" w:hAnsi="Arial"/>
                  <w:sz w:val="18"/>
                  <w:szCs w:val="18"/>
                  <w:color w:val="0000FF"/>
                </w:rPr>
                <w:t>reference).</w:t>
              </w:r>
            </w:hyperlink>
          </w:p>
        </w:tc>
        <w:tc>
          <w:tcPr>
            <w:tcW w:w="40" w:type="dxa"/>
            <w:vAlign w:val="bottom"/>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85"/>
        </w:trPr>
        <w:tc>
          <w:tcPr>
            <w:tcW w:w="158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Arial" w:cs="Arial" w:eastAsia="Arial" w:hAnsi="Arial"/>
                <w:sz w:val="18"/>
                <w:szCs w:val="18"/>
                <w:color w:val="0000FF"/>
                <w:w w:val="93"/>
              </w:rPr>
            </w:pPr>
            <w:hyperlink r:id="rId573">
              <w:r>
                <w:rPr>
                  <w:rFonts w:ascii="Arial" w:cs="Arial" w:eastAsia="Arial" w:hAnsi="Arial"/>
                  <w:sz w:val="18"/>
                  <w:szCs w:val="18"/>
                  <w:color w:val="0000FF"/>
                  <w:w w:val="93"/>
                </w:rPr>
                <w:t>Fourth Supplemental Indenture dated as of December 23, 2020 between Fidus Investment Corporation and U.S. Bank National</w:t>
              </w:r>
            </w:hyperlink>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180" w:type="dxa"/>
            <w:vAlign w:val="bottom"/>
            <w:tcBorders>
              <w:top w:val="single" w:sz="8" w:color="0000FF"/>
            </w:tcBorders>
            <w:gridSpan w:val="18"/>
          </w:tcPr>
          <w:p>
            <w:pPr>
              <w:spacing w:after="0" w:line="156" w:lineRule="exact"/>
              <w:rPr>
                <w:rFonts w:ascii="Arial" w:cs="Arial" w:eastAsia="Arial" w:hAnsi="Arial"/>
                <w:sz w:val="18"/>
                <w:szCs w:val="18"/>
                <w:color w:val="0000FF"/>
                <w:w w:val="93"/>
              </w:rPr>
            </w:pPr>
            <w:hyperlink r:id="rId573">
              <w:r>
                <w:rPr>
                  <w:rFonts w:ascii="Arial" w:cs="Arial" w:eastAsia="Arial" w:hAnsi="Arial"/>
                  <w:sz w:val="18"/>
                  <w:szCs w:val="18"/>
                  <w:color w:val="0000FF"/>
                  <w:w w:val="93"/>
                </w:rPr>
                <w:t>Association, as trustee (Filed as Exhibit 4.1 to the Registrant’s Current report on Form 8-K filed with the U.S. Securities and</w:t>
              </w:r>
            </w:hyperlink>
          </w:p>
        </w:tc>
        <w:tc>
          <w:tcPr>
            <w:tcW w:w="18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1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573">
              <w:r>
                <w:rPr>
                  <w:rFonts w:ascii="Arial" w:cs="Arial" w:eastAsia="Arial" w:hAnsi="Arial"/>
                  <w:sz w:val="18"/>
                  <w:szCs w:val="18"/>
                  <w:color w:val="0000FF"/>
                  <w:w w:val="89"/>
                </w:rPr>
                <w:t>Exchange Commission on December 23, 2020 and incorporated herein by reference).</w:t>
              </w:r>
            </w:hyperlink>
          </w:p>
        </w:tc>
        <w:tc>
          <w:tcPr>
            <w:tcW w:w="286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5"/>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385"/>
        </w:trPr>
        <w:tc>
          <w:tcPr>
            <w:tcW w:w="158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Arial" w:cs="Arial" w:eastAsia="Arial" w:hAnsi="Arial"/>
                <w:sz w:val="18"/>
                <w:szCs w:val="18"/>
                <w:color w:val="0000FF"/>
                <w:w w:val="92"/>
              </w:rPr>
            </w:pPr>
            <w:hyperlink r:id="rId574">
              <w:r>
                <w:rPr>
                  <w:rFonts w:ascii="Arial" w:cs="Arial" w:eastAsia="Arial" w:hAnsi="Arial"/>
                  <w:sz w:val="18"/>
                  <w:szCs w:val="18"/>
                  <w:color w:val="0000FF"/>
                  <w:w w:val="92"/>
                </w:rPr>
                <w:t>Form of Global Note with respect to the 4.75% Notes due 2026 (Filed as Exhibit 4.1 to the Registrant’s Current report on Form 8-</w:t>
              </w:r>
            </w:hyperlink>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360" w:type="dxa"/>
            <w:vAlign w:val="bottom"/>
            <w:tcBorders>
              <w:top w:val="single" w:sz="8" w:color="0000FF"/>
            </w:tcBorders>
            <w:gridSpan w:val="21"/>
          </w:tcPr>
          <w:p>
            <w:pPr>
              <w:spacing w:after="0" w:line="156" w:lineRule="exact"/>
              <w:rPr>
                <w:rFonts w:ascii="Arial" w:cs="Arial" w:eastAsia="Arial" w:hAnsi="Arial"/>
                <w:sz w:val="18"/>
                <w:szCs w:val="18"/>
                <w:color w:val="0000FF"/>
                <w:w w:val="96"/>
              </w:rPr>
            </w:pPr>
            <w:hyperlink r:id="rId574">
              <w:r>
                <w:rPr>
                  <w:rFonts w:ascii="Arial" w:cs="Arial" w:eastAsia="Arial" w:hAnsi="Arial"/>
                  <w:sz w:val="18"/>
                  <w:szCs w:val="18"/>
                  <w:color w:val="0000FF"/>
                  <w:w w:val="96"/>
                </w:rPr>
                <w:t>K filed with the U.S. Securities and Exchange Commission on December 23, 2020 and incorporated herein by reference).</w:t>
              </w:r>
            </w:hyperlink>
          </w:p>
        </w:tc>
        <w:tc>
          <w:tcPr>
            <w:tcW w:w="120" w:type="dxa"/>
            <w:vAlign w:val="bottom"/>
            <w:gridSpan w:val="4"/>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r>
      <w:tr>
        <w:trPr>
          <w:trHeight w:val="385"/>
        </w:trPr>
        <w:tc>
          <w:tcPr>
            <w:tcW w:w="158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0" w:type="dxa"/>
            <w:vAlign w:val="bottom"/>
            <w:tcBorders>
              <w:bottom w:val="single" w:sz="8" w:color="0000FF"/>
            </w:tcBorders>
            <w:gridSpan w:val="12"/>
          </w:tcPr>
          <w:p>
            <w:pPr>
              <w:spacing w:after="0"/>
              <w:rPr>
                <w:rFonts w:ascii="Arial" w:cs="Arial" w:eastAsia="Arial" w:hAnsi="Arial"/>
                <w:sz w:val="18"/>
                <w:szCs w:val="18"/>
                <w:color w:val="0000FF"/>
                <w:w w:val="90"/>
              </w:rPr>
            </w:pPr>
            <w:hyperlink r:id="rId575">
              <w:r>
                <w:rPr>
                  <w:rFonts w:ascii="Arial" w:cs="Arial" w:eastAsia="Arial" w:hAnsi="Arial"/>
                  <w:sz w:val="18"/>
                  <w:szCs w:val="18"/>
                  <w:color w:val="0000FF"/>
                  <w:w w:val="90"/>
                </w:rPr>
                <w:t>Fifth Supplemental Indenture dated as of October 8, 2021 between Fidus Investment Corporation and U.S. Bank National</w:t>
              </w:r>
            </w:hyperlink>
          </w:p>
        </w:tc>
        <w:tc>
          <w:tcPr>
            <w:tcW w:w="680" w:type="dxa"/>
            <w:vAlign w:val="bottom"/>
            <w:gridSpan w:val="13"/>
          </w:tcPr>
          <w:p>
            <w:pPr>
              <w:spacing w:after="0"/>
              <w:rPr>
                <w:sz w:val="24"/>
                <w:szCs w:val="24"/>
                <w:color w:val="auto"/>
              </w:rPr>
            </w:pP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80" w:type="dxa"/>
            <w:vAlign w:val="bottom"/>
            <w:gridSpan w:val="25"/>
          </w:tcPr>
          <w:p>
            <w:pPr>
              <w:spacing w:after="0" w:line="156" w:lineRule="exact"/>
              <w:rPr>
                <w:rFonts w:ascii="Arial" w:cs="Arial" w:eastAsia="Arial" w:hAnsi="Arial"/>
                <w:sz w:val="18"/>
                <w:szCs w:val="18"/>
                <w:color w:val="0000FF"/>
                <w:w w:val="96"/>
              </w:rPr>
            </w:pPr>
            <w:hyperlink r:id="rId575">
              <w:r>
                <w:rPr>
                  <w:rFonts w:ascii="Arial" w:cs="Arial" w:eastAsia="Arial" w:hAnsi="Arial"/>
                  <w:sz w:val="18"/>
                  <w:szCs w:val="18"/>
                  <w:color w:val="0000FF"/>
                  <w:w w:val="96"/>
                </w:rPr>
                <w:t>Association, as trustee (Filed as Exhibit 4.1 to the Registrant’s Current report on Form 8-K filed with the U.S. Securities and</w:t>
              </w:r>
            </w:hyperlink>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575">
              <w:r>
                <w:rPr>
                  <w:rFonts w:ascii="Arial" w:cs="Arial" w:eastAsia="Arial" w:hAnsi="Arial"/>
                  <w:sz w:val="18"/>
                  <w:szCs w:val="18"/>
                  <w:color w:val="0000FF"/>
                </w:rPr>
                <w:t>Exchange Commission on October 8, 2021 and incorporated herein by reference).</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9"/>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r>
      <w:tr>
        <w:trPr>
          <w:trHeight w:val="385"/>
        </w:trPr>
        <w:tc>
          <w:tcPr>
            <w:tcW w:w="158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Arial" w:cs="Arial" w:eastAsia="Arial" w:hAnsi="Arial"/>
                <w:sz w:val="18"/>
                <w:szCs w:val="18"/>
                <w:color w:val="0000FF"/>
                <w:w w:val="92"/>
              </w:rPr>
            </w:pPr>
            <w:hyperlink r:id="rId575">
              <w:r>
                <w:rPr>
                  <w:rFonts w:ascii="Arial" w:cs="Arial" w:eastAsia="Arial" w:hAnsi="Arial"/>
                  <w:sz w:val="18"/>
                  <w:szCs w:val="18"/>
                  <w:color w:val="0000FF"/>
                  <w:w w:val="92"/>
                </w:rPr>
                <w:t>Form of Global Note with respect to the 3.50% Notes due 2026 (Filed as Exhibit 4.1 to the Registrant’s Current report on Form 8-</w:t>
              </w:r>
            </w:hyperlink>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5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575">
              <w:r>
                <w:rPr>
                  <w:rFonts w:ascii="Arial" w:cs="Arial" w:eastAsia="Arial" w:hAnsi="Arial"/>
                  <w:sz w:val="18"/>
                  <w:szCs w:val="18"/>
                  <w:color w:val="0000FF"/>
                  <w:w w:val="90"/>
                </w:rPr>
                <w:t>K filed with the U.S. Securities and Exchange Commission on October 8, 2021 and incorporated herein by reference).</w:t>
              </w:r>
            </w:hyperlink>
          </w:p>
        </w:tc>
        <w:tc>
          <w:tcPr>
            <w:tcW w:w="860" w:type="dxa"/>
            <w:vAlign w:val="bottom"/>
            <w:tcBorders>
              <w:top w:val="single" w:sz="8" w:color="0000FF"/>
            </w:tcBorders>
            <w:gridSpan w:val="12"/>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385"/>
        </w:trPr>
        <w:tc>
          <w:tcPr>
            <w:tcW w:w="15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Arial" w:cs="Arial" w:eastAsia="Arial" w:hAnsi="Arial"/>
                <w:sz w:val="18"/>
                <w:szCs w:val="18"/>
                <w:color w:val="0000FF"/>
                <w:w w:val="95"/>
              </w:rPr>
            </w:pPr>
            <w:hyperlink w:anchor="page61">
              <w:r>
                <w:rPr>
                  <w:rFonts w:ascii="Arial" w:cs="Arial" w:eastAsia="Arial" w:hAnsi="Arial"/>
                  <w:sz w:val="18"/>
                  <w:szCs w:val="18"/>
                  <w:color w:val="0000FF"/>
                  <w:w w:val="95"/>
                </w:rPr>
                <w:t>Chief Executive Officer Certification Pursuant to Rule 13a-14 of the Securities Exchange Act of 1934, as adopted pursuant to</w:t>
              </w:r>
            </w:hyperlink>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61">
              <w:r>
                <w:rPr>
                  <w:rFonts w:ascii="Arial" w:cs="Arial" w:eastAsia="Arial" w:hAnsi="Arial"/>
                  <w:sz w:val="18"/>
                  <w:szCs w:val="18"/>
                  <w:color w:val="0000FF"/>
                  <w:w w:val="90"/>
                </w:rPr>
                <w:t>Section 302 of the Sarbanes-Oxley Act of 2002.*</w:t>
              </w:r>
            </w:hyperlink>
          </w:p>
        </w:tc>
        <w:tc>
          <w:tcPr>
            <w:tcW w:w="5540" w:type="dxa"/>
            <w:vAlign w:val="bottom"/>
            <w:tcBorders>
              <w:top w:val="single" w:sz="8" w:color="0000FF"/>
            </w:tcBorders>
            <w:gridSpan w:val="11"/>
          </w:tcPr>
          <w:p>
            <w:pPr>
              <w:spacing w:after="0"/>
              <w:rPr>
                <w:sz w:val="13"/>
                <w:szCs w:val="13"/>
                <w:color w:val="auto"/>
              </w:rPr>
            </w:pPr>
          </w:p>
        </w:tc>
        <w:tc>
          <w:tcPr>
            <w:tcW w:w="400" w:type="dxa"/>
            <w:vAlign w:val="bottom"/>
            <w:gridSpan w:val="9"/>
          </w:tcPr>
          <w:p>
            <w:pPr>
              <w:spacing w:after="0"/>
              <w:rPr>
                <w:sz w:val="13"/>
                <w:szCs w:val="13"/>
                <w:color w:val="auto"/>
              </w:rPr>
            </w:pPr>
          </w:p>
        </w:tc>
      </w:tr>
      <w:tr>
        <w:trPr>
          <w:trHeight w:val="385"/>
        </w:trPr>
        <w:tc>
          <w:tcPr>
            <w:tcW w:w="15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Arial" w:cs="Arial" w:eastAsia="Arial" w:hAnsi="Arial"/>
                <w:sz w:val="18"/>
                <w:szCs w:val="18"/>
                <w:color w:val="0000FF"/>
                <w:w w:val="95"/>
              </w:rPr>
            </w:pPr>
            <w:hyperlink w:anchor="page62">
              <w:r>
                <w:rPr>
                  <w:rFonts w:ascii="Arial" w:cs="Arial" w:eastAsia="Arial" w:hAnsi="Arial"/>
                  <w:sz w:val="18"/>
                  <w:szCs w:val="18"/>
                  <w:color w:val="0000FF"/>
                  <w:w w:val="95"/>
                </w:rPr>
                <w:t>Chief Financial Officer Certification Pursuant to Rule 13a-14 of the Securities Exchange Act of 1934, as adopted pursuant to</w:t>
              </w:r>
            </w:hyperlink>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62">
              <w:r>
                <w:rPr>
                  <w:rFonts w:ascii="Arial" w:cs="Arial" w:eastAsia="Arial" w:hAnsi="Arial"/>
                  <w:sz w:val="18"/>
                  <w:szCs w:val="18"/>
                  <w:color w:val="0000FF"/>
                  <w:w w:val="90"/>
                </w:rPr>
                <w:t>Section 302 of the Sarbanes-Oxley Act of 2002.*</w:t>
              </w:r>
            </w:hyperlink>
          </w:p>
        </w:tc>
        <w:tc>
          <w:tcPr>
            <w:tcW w:w="5500" w:type="dxa"/>
            <w:vAlign w:val="bottom"/>
            <w:tcBorders>
              <w:top w:val="single" w:sz="8" w:color="0000FF"/>
            </w:tcBorders>
            <w:gridSpan w:val="10"/>
          </w:tcPr>
          <w:p>
            <w:pPr>
              <w:spacing w:after="0"/>
              <w:rPr>
                <w:sz w:val="13"/>
                <w:szCs w:val="13"/>
                <w:color w:val="auto"/>
              </w:rPr>
            </w:pPr>
          </w:p>
        </w:tc>
        <w:tc>
          <w:tcPr>
            <w:tcW w:w="440" w:type="dxa"/>
            <w:vAlign w:val="bottom"/>
            <w:gridSpan w:val="10"/>
          </w:tcPr>
          <w:p>
            <w:pPr>
              <w:spacing w:after="0"/>
              <w:rPr>
                <w:sz w:val="13"/>
                <w:szCs w:val="13"/>
                <w:color w:val="auto"/>
              </w:rPr>
            </w:pPr>
          </w:p>
        </w:tc>
      </w:tr>
      <w:tr>
        <w:trPr>
          <w:trHeight w:val="387"/>
        </w:trPr>
        <w:tc>
          <w:tcPr>
            <w:tcW w:w="15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5"/>
          </w:tcPr>
          <w:p>
            <w:pPr>
              <w:spacing w:after="0"/>
              <w:rPr>
                <w:rFonts w:ascii="Arial" w:cs="Arial" w:eastAsia="Arial" w:hAnsi="Arial"/>
                <w:sz w:val="18"/>
                <w:szCs w:val="18"/>
                <w:u w:val="single" w:color="auto"/>
                <w:color w:val="0000FF"/>
                <w:w w:val="95"/>
              </w:rPr>
            </w:pPr>
            <w:hyperlink w:anchor="page63">
              <w:r>
                <w:rPr>
                  <w:rFonts w:ascii="Arial" w:cs="Arial" w:eastAsia="Arial" w:hAnsi="Arial"/>
                  <w:sz w:val="18"/>
                  <w:szCs w:val="18"/>
                  <w:u w:val="single" w:color="auto"/>
                  <w:color w:val="0000FF"/>
                  <w:w w:val="95"/>
                </w:rPr>
                <w:t>Certification pursuant to Section 1350, Chapter 63 of Title 18, United States Code, as adopted pursuant to Section 906 of the</w:t>
              </w:r>
            </w:hyperlink>
          </w:p>
        </w:tc>
      </w:tr>
    </w:tbl>
    <w:p>
      <w:pPr>
        <w:ind w:left="176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Sarbanes-Oxley Act of 2002.*</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FIDUS INVESTMENT CORPORATION</w:t>
            </w:r>
          </w:p>
        </w:tc>
      </w:tr>
      <w:tr>
        <w:trPr>
          <w:trHeight w:val="364"/>
        </w:trPr>
        <w:tc>
          <w:tcPr>
            <w:tcW w:w="3560" w:type="dxa"/>
            <w:vAlign w:val="bottom"/>
          </w:tcPr>
          <w:p>
            <w:pPr>
              <w:ind w:left="60"/>
              <w:spacing w:after="0"/>
              <w:rPr>
                <w:sz w:val="20"/>
                <w:szCs w:val="20"/>
                <w:color w:val="auto"/>
              </w:rPr>
            </w:pPr>
            <w:r>
              <w:rPr>
                <w:rFonts w:ascii="Arial" w:cs="Arial" w:eastAsia="Arial" w:hAnsi="Arial"/>
                <w:sz w:val="18"/>
                <w:szCs w:val="18"/>
                <w:color w:val="auto"/>
              </w:rPr>
              <w:t>Date: August 4, 2022</w:t>
            </w:r>
          </w:p>
        </w:tc>
        <w:tc>
          <w:tcPr>
            <w:tcW w:w="206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/s/ EDWARD H. ROSS</w:t>
            </w:r>
          </w:p>
        </w:tc>
      </w:tr>
      <w:tr>
        <w:trPr>
          <w:trHeight w:val="195"/>
        </w:trPr>
        <w:tc>
          <w:tcPr>
            <w:tcW w:w="35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Edward H. Ross</w:t>
            </w:r>
          </w:p>
        </w:tc>
        <w:tc>
          <w:tcPr>
            <w:tcW w:w="30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203"/>
        </w:trPr>
        <w:tc>
          <w:tcPr>
            <w:tcW w:w="35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620" w:type="dxa"/>
            <w:vAlign w:val="bottom"/>
            <w:gridSpan w:val="3"/>
          </w:tcPr>
          <w:p>
            <w:pPr>
              <w:spacing w:after="0" w:line="202"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3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364"/>
        </w:trPr>
        <w:tc>
          <w:tcPr>
            <w:tcW w:w="3560" w:type="dxa"/>
            <w:vAlign w:val="bottom"/>
          </w:tcPr>
          <w:p>
            <w:pPr>
              <w:ind w:left="60"/>
              <w:spacing w:after="0"/>
              <w:rPr>
                <w:sz w:val="20"/>
                <w:szCs w:val="20"/>
                <w:color w:val="auto"/>
              </w:rPr>
            </w:pPr>
            <w:r>
              <w:rPr>
                <w:rFonts w:ascii="Arial" w:cs="Arial" w:eastAsia="Arial" w:hAnsi="Arial"/>
                <w:sz w:val="18"/>
                <w:szCs w:val="18"/>
                <w:color w:val="auto"/>
              </w:rPr>
              <w:t>Date: August 4, 2022</w:t>
            </w:r>
          </w:p>
        </w:tc>
        <w:tc>
          <w:tcPr>
            <w:tcW w:w="206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/s/ SHELBY E. SHERARD</w:t>
            </w:r>
          </w:p>
        </w:tc>
      </w:tr>
      <w:tr>
        <w:trPr>
          <w:trHeight w:val="195"/>
        </w:trPr>
        <w:tc>
          <w:tcPr>
            <w:tcW w:w="35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Shelby E. Sherard</w:t>
            </w:r>
          </w:p>
        </w:tc>
        <w:tc>
          <w:tcPr>
            <w:tcW w:w="3620" w:type="dxa"/>
            <w:vAlign w:val="bottom"/>
          </w:tcPr>
          <w:p>
            <w:pPr>
              <w:spacing w:after="0"/>
              <w:rPr>
                <w:sz w:val="16"/>
                <w:szCs w:val="16"/>
                <w:color w:val="auto"/>
              </w:rPr>
            </w:pPr>
          </w:p>
        </w:tc>
      </w:tr>
      <w:tr>
        <w:trPr>
          <w:trHeight w:val="176"/>
        </w:trPr>
        <w:tc>
          <w:tcPr>
            <w:tcW w:w="35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620" w:type="dxa"/>
            <w:vAlign w:val="bottom"/>
            <w:gridSpan w:val="3"/>
          </w:tcPr>
          <w:p>
            <w:pPr>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404"/>
        </w:trPr>
        <w:tc>
          <w:tcPr>
            <w:tcW w:w="3560" w:type="dxa"/>
            <w:vAlign w:val="bottom"/>
          </w:tcPr>
          <w:p>
            <w:pPr>
              <w:spacing w:after="0"/>
              <w:rPr>
                <w:sz w:val="24"/>
                <w:szCs w:val="24"/>
                <w:color w:val="auto"/>
              </w:rPr>
            </w:pPr>
          </w:p>
        </w:tc>
        <w:tc>
          <w:tcPr>
            <w:tcW w:w="3760" w:type="dxa"/>
            <w:vAlign w:val="bottom"/>
            <w:gridSpan w:val="2"/>
          </w:tcPr>
          <w:p>
            <w:pPr>
              <w:jc w:val="right"/>
              <w:ind w:right="151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02"/>
        </w:trPr>
        <w:tc>
          <w:tcPr>
            <w:tcW w:w="356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Executive Officer Certification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Edward H. Ross, as Chief Executive Officer of Fidus Investment Corporation, certify that:</w:t>
      </w:r>
    </w:p>
    <w:p>
      <w:pPr>
        <w:spacing w:after="0" w:line="198"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98" w:lineRule="exact"/>
        <w:rPr>
          <w:rFonts w:ascii="Arial" w:cs="Arial" w:eastAsia="Arial" w:hAnsi="Arial"/>
          <w:sz w:val="18"/>
          <w:szCs w:val="18"/>
          <w:color w:val="auto"/>
        </w:rPr>
      </w:pPr>
    </w:p>
    <w:p>
      <w:pPr>
        <w:ind w:left="300" w:right="400" w:hanging="292"/>
        <w:spacing w:after="0" w:line="248"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00" w:right="360" w:hanging="292"/>
        <w:spacing w:after="0" w:line="291" w:lineRule="auto"/>
        <w:tabs>
          <w:tab w:leader="none" w:pos="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300" w:right="40" w:hanging="292"/>
        <w:spacing w:after="0" w:line="248"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600" w:right="360" w:hanging="284"/>
        <w:spacing w:after="0" w:line="248" w:lineRule="auto"/>
        <w:tabs>
          <w:tab w:leader="none" w:pos="669"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600" w:right="120" w:hanging="284"/>
        <w:spacing w:after="0" w:line="248" w:lineRule="auto"/>
        <w:tabs>
          <w:tab w:leader="none" w:pos="669"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600" w:right="860" w:hanging="284"/>
        <w:spacing w:after="0" w:line="324" w:lineRule="auto"/>
        <w:tabs>
          <w:tab w:leader="none" w:pos="669"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600" w:right="140" w:hanging="284"/>
        <w:spacing w:after="0" w:line="248" w:lineRule="auto"/>
        <w:tabs>
          <w:tab w:leader="none" w:pos="669"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300" w:right="100" w:hanging="292"/>
        <w:spacing w:after="0" w:line="291" w:lineRule="auto"/>
        <w:tabs>
          <w:tab w:leader="none" w:pos="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600" w:right="260" w:hanging="284"/>
        <w:spacing w:after="0" w:line="261" w:lineRule="auto"/>
        <w:tabs>
          <w:tab w:leader="none" w:pos="669"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600" w:right="220" w:hanging="284"/>
        <w:spacing w:after="0" w:line="261" w:lineRule="auto"/>
        <w:tabs>
          <w:tab w:leader="none" w:pos="669"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2816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9">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Edward H. Ross</w:t>
      </w:r>
    </w:p>
    <w:p>
      <w:pPr>
        <w:spacing w:after="0" w:line="234" w:lineRule="auto"/>
        <w:rPr>
          <w:sz w:val="20"/>
          <w:szCs w:val="20"/>
          <w:color w:val="auto"/>
        </w:rPr>
      </w:pPr>
      <w:r>
        <w:rPr>
          <w:rFonts w:ascii="Arial" w:cs="Arial" w:eastAsia="Arial" w:hAnsi="Arial"/>
          <w:sz w:val="18"/>
          <w:szCs w:val="18"/>
          <w:color w:val="auto"/>
        </w:rPr>
        <w:t>Chairman and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Financial Officer Certification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Shelby E. Sherard, as Chief Financial Officer of Fidus Investment Corporation, certify that:</w:t>
      </w:r>
    </w:p>
    <w:p>
      <w:pPr>
        <w:spacing w:after="0" w:line="198"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98" w:lineRule="exact"/>
        <w:rPr>
          <w:rFonts w:ascii="Arial" w:cs="Arial" w:eastAsia="Arial" w:hAnsi="Arial"/>
          <w:sz w:val="18"/>
          <w:szCs w:val="18"/>
          <w:color w:val="auto"/>
        </w:rPr>
      </w:pPr>
    </w:p>
    <w:p>
      <w:pPr>
        <w:ind w:left="300" w:right="400" w:hanging="292"/>
        <w:spacing w:after="0" w:line="248" w:lineRule="auto"/>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00" w:right="360" w:hanging="292"/>
        <w:spacing w:after="0" w:line="291" w:lineRule="auto"/>
        <w:tabs>
          <w:tab w:leader="none" w:pos="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300" w:right="40" w:hanging="292"/>
        <w:spacing w:after="0" w:line="248" w:lineRule="auto"/>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600" w:right="360" w:hanging="284"/>
        <w:spacing w:after="0" w:line="248" w:lineRule="auto"/>
        <w:tabs>
          <w:tab w:leader="none" w:pos="66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600" w:right="120" w:hanging="284"/>
        <w:spacing w:after="0" w:line="248" w:lineRule="auto"/>
        <w:tabs>
          <w:tab w:leader="none" w:pos="66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600" w:right="860" w:hanging="284"/>
        <w:spacing w:after="0" w:line="324" w:lineRule="auto"/>
        <w:tabs>
          <w:tab w:leader="none" w:pos="669"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600" w:right="140" w:hanging="284"/>
        <w:spacing w:after="0" w:line="248" w:lineRule="auto"/>
        <w:tabs>
          <w:tab w:leader="none" w:pos="66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300" w:right="100" w:hanging="292"/>
        <w:spacing w:after="0" w:line="291" w:lineRule="auto"/>
        <w:tabs>
          <w:tab w:leader="none" w:pos="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600" w:right="260" w:hanging="284"/>
        <w:spacing w:after="0" w:line="261" w:lineRule="auto"/>
        <w:tabs>
          <w:tab w:leader="none" w:pos="669"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600" w:right="220" w:hanging="284"/>
        <w:spacing w:after="0" w:line="261" w:lineRule="auto"/>
        <w:tabs>
          <w:tab w:leader="none" w:pos="669"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05676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1">
                      <a:extLst>
                        <a:ext uri="{28A0092B-C50C-407E-A947-70E740481C1C}"/>
                      </a:extLst>
                    </a:blip>
                    <a:srcRect/>
                    <a:stretch>
                      <a:fillRect/>
                    </a:stretch>
                  </pic:blipFill>
                  <pic:spPr bwMode="auto">
                    <a:xfrm>
                      <a:off x="0" y="0"/>
                      <a:ext cx="20567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Shelby E. Sherard</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In connection with the Quarterly Report on Form 10-Q of Fidus Investment Corporation (the “Company”) for the quarterly period ended June 30, 2022,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174" w:lineRule="exact"/>
        <w:rPr>
          <w:sz w:val="20"/>
          <w:szCs w:val="20"/>
          <w:color w:val="auto"/>
        </w:rPr>
      </w:pPr>
    </w:p>
    <w:p>
      <w:pPr>
        <w:ind w:left="680" w:hanging="364"/>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80" w:hanging="364"/>
        <w:spacing w:after="0"/>
        <w:tabs>
          <w:tab w:leader="none" w:pos="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ind w:left="60"/>
              <w:spacing w:after="0"/>
              <w:rPr>
                <w:sz w:val="20"/>
                <w:szCs w:val="20"/>
                <w:color w:val="auto"/>
              </w:rPr>
            </w:pPr>
            <w:r>
              <w:rPr>
                <w:rFonts w:ascii="Arial" w:cs="Arial" w:eastAsia="Arial" w:hAnsi="Arial"/>
                <w:sz w:val="18"/>
                <w:szCs w:val="18"/>
                <w:color w:val="auto"/>
              </w:rPr>
              <w:t>Date: August 4, 2022</w:t>
            </w:r>
          </w:p>
        </w:tc>
        <w:tc>
          <w:tcPr>
            <w:tcW w:w="5840" w:type="dxa"/>
            <w:vAlign w:val="bottom"/>
            <w:gridSpan w:val="3"/>
          </w:tcPr>
          <w:p>
            <w:pPr>
              <w:spacing w:after="0"/>
              <w:rPr>
                <w:sz w:val="20"/>
                <w:szCs w:val="20"/>
                <w:color w:val="auto"/>
              </w:rPr>
            </w:pPr>
            <w:r>
              <w:rPr>
                <w:rFonts w:ascii="Arial" w:cs="Arial" w:eastAsia="Arial" w:hAnsi="Arial"/>
                <w:sz w:val="18"/>
                <w:szCs w:val="18"/>
                <w:color w:val="auto"/>
              </w:rPr>
              <w:t>/s/ EDWARD H. ROSS</w:t>
            </w:r>
          </w:p>
        </w:tc>
      </w:tr>
      <w:tr>
        <w:trPr>
          <w:trHeight w:val="195"/>
        </w:trPr>
        <w:tc>
          <w:tcPr>
            <w:tcW w:w="540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Edward H. Ross</w:t>
            </w:r>
          </w:p>
        </w:tc>
        <w:tc>
          <w:tcPr>
            <w:tcW w:w="300" w:type="dxa"/>
            <w:vAlign w:val="bottom"/>
          </w:tcPr>
          <w:p>
            <w:pPr>
              <w:spacing w:after="0"/>
              <w:rPr>
                <w:sz w:val="16"/>
                <w:szCs w:val="16"/>
                <w:color w:val="auto"/>
              </w:rPr>
            </w:pPr>
          </w:p>
        </w:tc>
        <w:tc>
          <w:tcPr>
            <w:tcW w:w="3840" w:type="dxa"/>
            <w:vAlign w:val="bottom"/>
          </w:tcPr>
          <w:p>
            <w:pPr>
              <w:spacing w:after="0"/>
              <w:rPr>
                <w:sz w:val="16"/>
                <w:szCs w:val="16"/>
                <w:color w:val="auto"/>
              </w:rPr>
            </w:pPr>
          </w:p>
        </w:tc>
      </w:tr>
      <w:tr>
        <w:trPr>
          <w:trHeight w:val="203"/>
        </w:trPr>
        <w:tc>
          <w:tcPr>
            <w:tcW w:w="5400" w:type="dxa"/>
            <w:vAlign w:val="bottom"/>
          </w:tcPr>
          <w:p>
            <w:pPr>
              <w:spacing w:after="0"/>
              <w:rPr>
                <w:sz w:val="17"/>
                <w:szCs w:val="17"/>
                <w:color w:val="auto"/>
              </w:rPr>
            </w:pPr>
          </w:p>
        </w:tc>
        <w:tc>
          <w:tcPr>
            <w:tcW w:w="5840" w:type="dxa"/>
            <w:vAlign w:val="bottom"/>
            <w:gridSpan w:val="3"/>
          </w:tcPr>
          <w:p>
            <w:pPr>
              <w:spacing w:after="0" w:line="202"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5400" w:type="dxa"/>
            <w:vAlign w:val="bottom"/>
          </w:tcPr>
          <w:p>
            <w:pPr>
              <w:spacing w:after="0"/>
              <w:rPr>
                <w:sz w:val="20"/>
                <w:szCs w:val="20"/>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364"/>
        </w:trPr>
        <w:tc>
          <w:tcPr>
            <w:tcW w:w="5400" w:type="dxa"/>
            <w:vAlign w:val="bottom"/>
          </w:tcPr>
          <w:p>
            <w:pPr>
              <w:spacing w:after="0"/>
              <w:rPr>
                <w:sz w:val="24"/>
                <w:szCs w:val="24"/>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/s/ SHELBY E. SHERARD</w:t>
            </w:r>
          </w:p>
        </w:tc>
      </w:tr>
      <w:tr>
        <w:trPr>
          <w:trHeight w:val="195"/>
        </w:trPr>
        <w:tc>
          <w:tcPr>
            <w:tcW w:w="5400" w:type="dxa"/>
            <w:vAlign w:val="bottom"/>
          </w:tcPr>
          <w:p>
            <w:pPr>
              <w:spacing w:after="0"/>
              <w:rPr>
                <w:sz w:val="16"/>
                <w:szCs w:val="16"/>
                <w:color w:val="auto"/>
              </w:rPr>
            </w:pPr>
          </w:p>
        </w:tc>
        <w:tc>
          <w:tcPr>
            <w:tcW w:w="20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Shelby E. Sherard</w:t>
            </w:r>
          </w:p>
        </w:tc>
        <w:tc>
          <w:tcPr>
            <w:tcW w:w="3840" w:type="dxa"/>
            <w:vAlign w:val="bottom"/>
          </w:tcPr>
          <w:p>
            <w:pPr>
              <w:spacing w:after="0"/>
              <w:rPr>
                <w:sz w:val="16"/>
                <w:szCs w:val="16"/>
                <w:color w:val="auto"/>
              </w:rPr>
            </w:pPr>
          </w:p>
        </w:tc>
      </w:tr>
      <w:tr>
        <w:trPr>
          <w:trHeight w:val="203"/>
        </w:trPr>
        <w:tc>
          <w:tcPr>
            <w:tcW w:w="5400" w:type="dxa"/>
            <w:vAlign w:val="bottom"/>
          </w:tcPr>
          <w:p>
            <w:pPr>
              <w:spacing w:after="0"/>
              <w:rPr>
                <w:sz w:val="17"/>
                <w:szCs w:val="17"/>
                <w:color w:val="auto"/>
              </w:rPr>
            </w:pPr>
          </w:p>
        </w:tc>
        <w:tc>
          <w:tcPr>
            <w:tcW w:w="5840" w:type="dxa"/>
            <w:vAlign w:val="bottom"/>
            <w:gridSpan w:val="3"/>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5400" w:type="dxa"/>
            <w:vAlign w:val="bottom"/>
          </w:tcPr>
          <w:p>
            <w:pPr>
              <w:spacing w:after="0"/>
              <w:rPr>
                <w:sz w:val="20"/>
                <w:szCs w:val="20"/>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1843"/>
        </w:trPr>
        <w:tc>
          <w:tcPr>
            <w:tcW w:w="54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3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lowerLetter"/>
      <w:start w:val="27"/>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lowerLetter"/>
      <w:start w:val="27"/>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lowerLetter"/>
      <w:start w:val="25"/>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76" Type="http://schemas.openxmlformats.org/officeDocument/2006/relationships/image" Target="media/image561.png"/><Relationship Id="rId577" Type="http://schemas.openxmlformats.org/officeDocument/2006/relationships/image" Target="media/image562.png"/><Relationship Id="rId578" Type="http://schemas.openxmlformats.org/officeDocument/2006/relationships/image" Target="media/image563.png"/><Relationship Id="rId579" Type="http://schemas.openxmlformats.org/officeDocument/2006/relationships/image" Target="media/image564.png"/><Relationship Id="rId580" Type="http://schemas.openxmlformats.org/officeDocument/2006/relationships/image" Target="media/image565.png"/><Relationship Id="rId581" Type="http://schemas.openxmlformats.org/officeDocument/2006/relationships/image" Target="media/image566.png"/><Relationship Id="rId582" Type="http://schemas.openxmlformats.org/officeDocument/2006/relationships/image" Target="media/image567.png"/><Relationship Id="rId583" Type="http://schemas.openxmlformats.org/officeDocument/2006/relationships/image" Target="media/image568.png"/><Relationship Id="rId584" Type="http://schemas.openxmlformats.org/officeDocument/2006/relationships/image" Target="media/image569.png"/><Relationship Id="rId568" Type="http://schemas.openxmlformats.org/officeDocument/2006/relationships/hyperlink" Target="https://www.sec.gov/Archives/edgar/data/1513363/000095012311041885/w81466a2exv99wxayx1y.htm" TargetMode="External"/><Relationship Id="rId569" Type="http://schemas.openxmlformats.org/officeDocument/2006/relationships/hyperlink" Target="https://www.sec.gov/Archives/edgar/data/1513363/000095012311041885/w81466a2exv99wxbyx1y.htm" TargetMode="External"/><Relationship Id="rId570" Type="http://schemas.openxmlformats.org/officeDocument/2006/relationships/hyperlink" Target="https://www.sec.gov/Archives/edgar/data/1513363/000095012311041885/w81466a2exv99wxdy.htm" TargetMode="External"/><Relationship Id="rId571" Type="http://schemas.openxmlformats.org/officeDocument/2006/relationships/hyperlink" Target="https://www.sec.gov/Archives/edgar/data/1513363/000095012311054001/w81466a3exv99wxfyx2y.htm" TargetMode="External"/><Relationship Id="rId572" Type="http://schemas.openxmlformats.org/officeDocument/2006/relationships/hyperlink" Target="https://www.sec.gov/Archives/edgar/data/0001513363/000119312516569246/d141023dpos8c.htm" TargetMode="External"/><Relationship Id="rId573" Type="http://schemas.openxmlformats.org/officeDocument/2006/relationships/hyperlink" Target="https://www.sec.gov/Archives/edgar/data/1513363/000119312516569246/d141023dex99d5.htm" TargetMode="External"/><Relationship Id="rId574" Type="http://schemas.openxmlformats.org/officeDocument/2006/relationships/hyperlink" Target="https://www.sec.gov/Archives/edgar/data/1513363/000119312520325989/d97521dex41.htm" TargetMode="External"/><Relationship Id="rId575" Type="http://schemas.openxmlformats.org/officeDocument/2006/relationships/hyperlink" Target="https://www.sec.gov/Archives/edgar/data/0001513363/000119312521295460/d19380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2022-08-05T10:57:56Z</dcterms:created>
  <dcterms:modified xsi:type="dcterms:W3CDTF">2022-08-05T10:57:56Z</dcterms:modified>
</cp:coreProperties>
</file>