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jc w:val="center"/>
        <w:spacing w:after="0" w:line="209" w:lineRule="auto"/>
        <w:rPr>
          <w:sz w:val="20"/>
          <w:szCs w:val="20"/>
          <w:color w:val="auto"/>
        </w:rPr>
      </w:pPr>
      <w:r>
        <w:rPr>
          <w:rFonts w:ascii="Arial" w:cs="Arial" w:eastAsia="Arial" w:hAnsi="Arial"/>
          <w:sz w:val="20"/>
          <w:szCs w:val="20"/>
          <w:b w:val="1"/>
          <w:bCs w:val="1"/>
          <w:color w:val="auto"/>
        </w:rPr>
        <w:t>Washington, D.C. 20549</w:t>
      </w:r>
    </w:p>
    <w:p>
      <w:pPr>
        <w:ind w:left="4920"/>
        <w:spacing w:after="0"/>
        <w:rPr>
          <w:sz w:val="20"/>
          <w:szCs w:val="20"/>
          <w:color w:val="auto"/>
        </w:rPr>
      </w:pPr>
      <w:r>
        <w:rPr>
          <w:rFonts w:ascii="Arial" w:cs="Arial" w:eastAsia="Arial" w:hAnsi="Arial"/>
          <w:sz w:val="17"/>
          <w:szCs w:val="17"/>
          <w:color w:val="auto"/>
        </w:rPr>
        <w:t>________________</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10-Q</w:t>
      </w:r>
    </w:p>
    <w:p>
      <w:pPr>
        <w:spacing w:after="0" w:line="62"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79" w:lineRule="exact"/>
        <w:rPr>
          <w:sz w:val="24"/>
          <w:szCs w:val="24"/>
          <w:color w:val="auto"/>
        </w:rPr>
      </w:pPr>
    </w:p>
    <w:p>
      <w:pPr>
        <w:ind w:left="4280" w:right="1580" w:hanging="3950"/>
        <w:spacing w:after="0" w:line="310" w:lineRule="auto"/>
        <w:tabs>
          <w:tab w:leader="none" w:pos="1060" w:val="left"/>
        </w:tabs>
        <w:numPr>
          <w:ilvl w:val="0"/>
          <w:numId w:val="1"/>
        </w:numPr>
        <w:rPr>
          <w:rFonts w:ascii="MS PGothic" w:cs="MS PGothic" w:eastAsia="MS PGothic" w:hAnsi="MS PGothic"/>
          <w:sz w:val="27"/>
          <w:szCs w:val="27"/>
          <w:color w:val="auto"/>
          <w:highlight w:val="black"/>
          <w:vertAlign w:val="superscript"/>
        </w:rPr>
      </w:pPr>
      <w:r>
        <w:rPr>
          <w:rFonts w:ascii="Arial" w:cs="Arial" w:eastAsia="Arial" w:hAnsi="Arial"/>
          <w:sz w:val="17"/>
          <w:szCs w:val="17"/>
          <w:b w:val="1"/>
          <w:bCs w:val="1"/>
          <w:color w:val="auto"/>
        </w:rPr>
        <w:t>QUARTERLY REPORT PURSUANT TO SECTION 13 OR 15(d) OF THE SECURITIES EXCHANGE ACT OF 1934 For the quarterly period ended September 30, 2021</w:t>
      </w:r>
    </w:p>
    <w:p>
      <w:pPr>
        <w:spacing w:after="0" w:line="312" w:lineRule="exact"/>
        <w:rPr>
          <w:sz w:val="24"/>
          <w:szCs w:val="24"/>
          <w:color w:val="auto"/>
        </w:rPr>
      </w:pPr>
    </w:p>
    <w:p>
      <w:pPr>
        <w:ind w:left="1060" w:hanging="743"/>
        <w:spacing w:after="0"/>
        <w:tabs>
          <w:tab w:leader="none" w:pos="106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95" w:lineRule="exact"/>
        <w:rPr>
          <w:sz w:val="24"/>
          <w:szCs w:val="24"/>
          <w:color w:val="auto"/>
        </w:rPr>
      </w:pPr>
    </w:p>
    <w:tbl>
      <w:tblPr>
        <w:tblLayout w:type="fixed"/>
        <w:tblInd w:w="4340" w:type="dxa"/>
        <w:tblCellMar>
          <w:top w:w="0" w:type="dxa"/>
          <w:left w:w="0" w:type="dxa"/>
          <w:bottom w:w="0" w:type="dxa"/>
          <w:right w:w="0" w:type="dxa"/>
        </w:tblCellMar>
      </w:tblPr>
      <w:tr>
        <w:trPr>
          <w:trHeight w:val="195"/>
        </w:trPr>
        <w:tc>
          <w:tcPr>
            <w:tcW w:w="2800" w:type="dxa"/>
            <w:vAlign w:val="bottom"/>
          </w:tcPr>
          <w:p>
            <w:pPr>
              <w:ind w:left="20"/>
              <w:spacing w:after="0"/>
              <w:rPr>
                <w:sz w:val="20"/>
                <w:szCs w:val="20"/>
                <w:color w:val="auto"/>
              </w:rPr>
            </w:pPr>
            <w:r>
              <w:rPr>
                <w:rFonts w:ascii="Arial" w:cs="Arial" w:eastAsia="Arial" w:hAnsi="Arial"/>
                <w:sz w:val="17"/>
                <w:szCs w:val="17"/>
                <w:b w:val="1"/>
                <w:bCs w:val="1"/>
                <w:color w:val="auto"/>
              </w:rPr>
              <w:t>For the transition period from</w:t>
            </w:r>
          </w:p>
        </w:tc>
        <w:tc>
          <w:tcPr>
            <w:tcW w:w="600" w:type="dxa"/>
            <w:vAlign w:val="bottom"/>
            <w:tcBorders>
              <w:bottom w:val="single" w:sz="8" w:color="auto"/>
            </w:tcBorders>
          </w:tcPr>
          <w:p>
            <w:pPr>
              <w:spacing w:after="0"/>
              <w:rPr>
                <w:sz w:val="16"/>
                <w:szCs w:val="16"/>
                <w:color w:val="auto"/>
              </w:rPr>
            </w:pPr>
          </w:p>
        </w:tc>
        <w:tc>
          <w:tcPr>
            <w:tcW w:w="180" w:type="dxa"/>
            <w:vAlign w:val="bottom"/>
          </w:tcPr>
          <w:p>
            <w:pPr>
              <w:ind w:left="40"/>
              <w:spacing w:after="0"/>
              <w:rPr>
                <w:sz w:val="20"/>
                <w:szCs w:val="20"/>
                <w:color w:val="auto"/>
              </w:rPr>
            </w:pPr>
            <w:r>
              <w:rPr>
                <w:rFonts w:ascii="Arial" w:cs="Arial" w:eastAsia="Arial" w:hAnsi="Arial"/>
                <w:sz w:val="17"/>
                <w:szCs w:val="17"/>
                <w:b w:val="1"/>
                <w:bCs w:val="1"/>
                <w:color w:val="auto"/>
                <w:w w:val="74"/>
              </w:rPr>
              <w:t>to</w:t>
            </w:r>
          </w:p>
        </w:tc>
      </w:tr>
      <w:tr>
        <w:trPr>
          <w:trHeight w:val="309"/>
        </w:trPr>
        <w:tc>
          <w:tcPr>
            <w:tcW w:w="2800" w:type="dxa"/>
            <w:vAlign w:val="bottom"/>
          </w:tcPr>
          <w:p>
            <w:pPr>
              <w:spacing w:after="0"/>
              <w:rPr>
                <w:sz w:val="20"/>
                <w:szCs w:val="20"/>
                <w:color w:val="auto"/>
              </w:rPr>
            </w:pPr>
            <w:r>
              <w:rPr>
                <w:rFonts w:ascii="Arial" w:cs="Arial" w:eastAsia="Arial" w:hAnsi="Arial"/>
                <w:sz w:val="17"/>
                <w:szCs w:val="17"/>
                <w:b w:val="1"/>
                <w:bCs w:val="1"/>
                <w:color w:val="auto"/>
                <w:w w:val="97"/>
              </w:rPr>
              <w:t>Commission file number 814-00861</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50"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Fidus Investment Corporation</w:t>
      </w:r>
    </w:p>
    <w:p>
      <w:pPr>
        <w:spacing w:after="0" w:line="63" w:lineRule="exact"/>
        <w:rPr>
          <w:sz w:val="24"/>
          <w:szCs w:val="24"/>
          <w:color w:val="auto"/>
        </w:rPr>
      </w:pPr>
    </w:p>
    <w:tbl>
      <w:tblPr>
        <w:tblLayout w:type="fixed"/>
        <w:tblInd w:w="1560" w:type="dxa"/>
        <w:tblCellMar>
          <w:top w:w="0" w:type="dxa"/>
          <w:left w:w="0" w:type="dxa"/>
          <w:bottom w:w="0" w:type="dxa"/>
          <w:right w:w="0" w:type="dxa"/>
        </w:tblCellMar>
      </w:tblPr>
      <w:tr>
        <w:trPr>
          <w:trHeight w:val="215"/>
        </w:trPr>
        <w:tc>
          <w:tcPr>
            <w:tcW w:w="6120" w:type="dxa"/>
            <w:vAlign w:val="bottom"/>
          </w:tcPr>
          <w:p>
            <w:pPr>
              <w:jc w:val="center"/>
              <w:ind w:left="1942"/>
              <w:spacing w:after="0"/>
              <w:rPr>
                <w:sz w:val="20"/>
                <w:szCs w:val="20"/>
                <w:color w:val="auto"/>
              </w:rPr>
            </w:pPr>
            <w:r>
              <w:rPr>
                <w:rFonts w:ascii="Arial" w:cs="Arial" w:eastAsia="Arial" w:hAnsi="Arial"/>
                <w:sz w:val="17"/>
                <w:szCs w:val="17"/>
                <w:i w:val="1"/>
                <w:iCs w:val="1"/>
                <w:color w:val="auto"/>
                <w:w w:val="90"/>
              </w:rPr>
              <w:t>(Exact Name of Registrant as Specified in its Charter)</w:t>
            </w:r>
          </w:p>
        </w:tc>
        <w:tc>
          <w:tcPr>
            <w:tcW w:w="1280" w:type="dxa"/>
            <w:vAlign w:val="bottom"/>
          </w:tcPr>
          <w:p>
            <w:pPr>
              <w:spacing w:after="0"/>
              <w:rPr>
                <w:sz w:val="18"/>
                <w:szCs w:val="18"/>
                <w:color w:val="auto"/>
              </w:rPr>
            </w:pPr>
          </w:p>
        </w:tc>
      </w:tr>
      <w:tr>
        <w:trPr>
          <w:trHeight w:val="279"/>
        </w:trPr>
        <w:tc>
          <w:tcPr>
            <w:tcW w:w="6120" w:type="dxa"/>
            <w:vAlign w:val="bottom"/>
          </w:tcPr>
          <w:p>
            <w:pPr>
              <w:jc w:val="center"/>
              <w:ind w:right="3522"/>
              <w:spacing w:after="0"/>
              <w:rPr>
                <w:sz w:val="20"/>
                <w:szCs w:val="20"/>
                <w:color w:val="auto"/>
              </w:rPr>
            </w:pPr>
            <w:r>
              <w:rPr>
                <w:rFonts w:ascii="Arial" w:cs="Arial" w:eastAsia="Arial" w:hAnsi="Arial"/>
                <w:sz w:val="17"/>
                <w:szCs w:val="17"/>
                <w:b w:val="1"/>
                <w:bCs w:val="1"/>
                <w:color w:val="auto"/>
                <w:w w:val="96"/>
              </w:rPr>
              <w:t>Maryland</w:t>
            </w:r>
          </w:p>
        </w:tc>
        <w:tc>
          <w:tcPr>
            <w:tcW w:w="1280" w:type="dxa"/>
            <w:vAlign w:val="bottom"/>
          </w:tcPr>
          <w:p>
            <w:pPr>
              <w:jc w:val="right"/>
              <w:ind w:right="46"/>
              <w:spacing w:after="0"/>
              <w:rPr>
                <w:sz w:val="20"/>
                <w:szCs w:val="20"/>
                <w:color w:val="auto"/>
              </w:rPr>
            </w:pPr>
            <w:r>
              <w:rPr>
                <w:rFonts w:ascii="Arial" w:cs="Arial" w:eastAsia="Arial" w:hAnsi="Arial"/>
                <w:sz w:val="17"/>
                <w:szCs w:val="17"/>
                <w:b w:val="1"/>
                <w:bCs w:val="1"/>
                <w:color w:val="auto"/>
              </w:rPr>
              <w:t>27-5017321</w:t>
            </w:r>
          </w:p>
        </w:tc>
      </w:tr>
      <w:tr>
        <w:trPr>
          <w:trHeight w:val="158"/>
        </w:trPr>
        <w:tc>
          <w:tcPr>
            <w:tcW w:w="6120" w:type="dxa"/>
            <w:vAlign w:val="bottom"/>
          </w:tcPr>
          <w:p>
            <w:pPr>
              <w:jc w:val="center"/>
              <w:ind w:right="3562"/>
              <w:spacing w:after="0" w:line="158" w:lineRule="exact"/>
              <w:rPr>
                <w:sz w:val="20"/>
                <w:szCs w:val="20"/>
                <w:color w:val="auto"/>
              </w:rPr>
            </w:pPr>
            <w:r>
              <w:rPr>
                <w:rFonts w:ascii="Arial" w:cs="Arial" w:eastAsia="Arial" w:hAnsi="Arial"/>
                <w:sz w:val="14"/>
                <w:szCs w:val="14"/>
                <w:b w:val="1"/>
                <w:bCs w:val="1"/>
                <w:color w:val="auto"/>
                <w:w w:val="88"/>
              </w:rPr>
              <w:t>(State or Other Jurisdiction of</w:t>
            </w:r>
          </w:p>
        </w:tc>
        <w:tc>
          <w:tcPr>
            <w:tcW w:w="1280" w:type="dxa"/>
            <w:vAlign w:val="bottom"/>
          </w:tcPr>
          <w:p>
            <w:pPr>
              <w:jc w:val="center"/>
              <w:ind w:left="126"/>
              <w:spacing w:after="0" w:line="158"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120" w:type="dxa"/>
            <w:vAlign w:val="bottom"/>
          </w:tcPr>
          <w:p>
            <w:pPr>
              <w:jc w:val="center"/>
              <w:ind w:right="3542"/>
              <w:spacing w:after="0"/>
              <w:rPr>
                <w:sz w:val="20"/>
                <w:szCs w:val="20"/>
                <w:color w:val="auto"/>
              </w:rPr>
            </w:pPr>
            <w:r>
              <w:rPr>
                <w:rFonts w:ascii="Arial" w:cs="Arial" w:eastAsia="Arial" w:hAnsi="Arial"/>
                <w:sz w:val="14"/>
                <w:szCs w:val="14"/>
                <w:b w:val="1"/>
                <w:bCs w:val="1"/>
                <w:color w:val="auto"/>
                <w:w w:val="89"/>
              </w:rPr>
              <w:t>Incorporation or Organization)</w:t>
            </w:r>
          </w:p>
        </w:tc>
        <w:tc>
          <w:tcPr>
            <w:tcW w:w="1280" w:type="dxa"/>
            <w:vAlign w:val="bottom"/>
          </w:tcPr>
          <w:p>
            <w:pPr>
              <w:jc w:val="center"/>
              <w:ind w:left="146"/>
              <w:spacing w:after="0"/>
              <w:rPr>
                <w:sz w:val="20"/>
                <w:szCs w:val="20"/>
                <w:color w:val="auto"/>
              </w:rPr>
            </w:pPr>
            <w:r>
              <w:rPr>
                <w:rFonts w:ascii="Arial" w:cs="Arial" w:eastAsia="Arial" w:hAnsi="Arial"/>
                <w:sz w:val="14"/>
                <w:szCs w:val="14"/>
                <w:b w:val="1"/>
                <w:bCs w:val="1"/>
                <w:color w:val="auto"/>
                <w:w w:val="89"/>
              </w:rPr>
              <w:t>Identification No.)</w:t>
            </w:r>
          </w:p>
        </w:tc>
      </w:tr>
      <w:tr>
        <w:trPr>
          <w:trHeight w:val="286"/>
        </w:trPr>
        <w:tc>
          <w:tcPr>
            <w:tcW w:w="6120" w:type="dxa"/>
            <w:vAlign w:val="bottom"/>
          </w:tcPr>
          <w:p>
            <w:pPr>
              <w:jc w:val="center"/>
              <w:ind w:right="3522"/>
              <w:spacing w:after="0"/>
              <w:rPr>
                <w:sz w:val="20"/>
                <w:szCs w:val="20"/>
                <w:color w:val="auto"/>
              </w:rPr>
            </w:pPr>
            <w:r>
              <w:rPr>
                <w:rFonts w:ascii="Arial" w:cs="Arial" w:eastAsia="Arial" w:hAnsi="Arial"/>
                <w:sz w:val="17"/>
                <w:szCs w:val="17"/>
                <w:b w:val="1"/>
                <w:bCs w:val="1"/>
                <w:color w:val="auto"/>
                <w:w w:val="89"/>
              </w:rPr>
              <w:t>1603 Orrington Avenue, Suite 1005</w:t>
            </w:r>
          </w:p>
        </w:tc>
        <w:tc>
          <w:tcPr>
            <w:tcW w:w="1280" w:type="dxa"/>
            <w:vAlign w:val="bottom"/>
          </w:tcPr>
          <w:p>
            <w:pPr>
              <w:spacing w:after="0"/>
              <w:rPr>
                <w:sz w:val="24"/>
                <w:szCs w:val="24"/>
                <w:color w:val="auto"/>
              </w:rPr>
            </w:pPr>
          </w:p>
        </w:tc>
      </w:tr>
      <w:tr>
        <w:trPr>
          <w:trHeight w:val="219"/>
        </w:trPr>
        <w:tc>
          <w:tcPr>
            <w:tcW w:w="6120" w:type="dxa"/>
            <w:vAlign w:val="bottom"/>
          </w:tcPr>
          <w:p>
            <w:pPr>
              <w:jc w:val="center"/>
              <w:ind w:right="3542"/>
              <w:spacing w:after="0"/>
              <w:rPr>
                <w:sz w:val="20"/>
                <w:szCs w:val="20"/>
                <w:color w:val="auto"/>
              </w:rPr>
            </w:pPr>
            <w:r>
              <w:rPr>
                <w:rFonts w:ascii="Arial" w:cs="Arial" w:eastAsia="Arial" w:hAnsi="Arial"/>
                <w:sz w:val="17"/>
                <w:szCs w:val="17"/>
                <w:b w:val="1"/>
                <w:bCs w:val="1"/>
                <w:color w:val="auto"/>
                <w:w w:val="90"/>
              </w:rPr>
              <w:t>Evanston, Illinois</w:t>
            </w:r>
          </w:p>
        </w:tc>
        <w:tc>
          <w:tcPr>
            <w:tcW w:w="1280" w:type="dxa"/>
            <w:vAlign w:val="bottom"/>
          </w:tcPr>
          <w:p>
            <w:pPr>
              <w:jc w:val="right"/>
              <w:ind w:right="246"/>
              <w:spacing w:after="0"/>
              <w:rPr>
                <w:sz w:val="20"/>
                <w:szCs w:val="20"/>
                <w:color w:val="auto"/>
              </w:rPr>
            </w:pPr>
            <w:r>
              <w:rPr>
                <w:rFonts w:ascii="Arial" w:cs="Arial" w:eastAsia="Arial" w:hAnsi="Arial"/>
                <w:sz w:val="17"/>
                <w:szCs w:val="17"/>
                <w:b w:val="1"/>
                <w:bCs w:val="1"/>
                <w:color w:val="auto"/>
              </w:rPr>
              <w:t>60201</w:t>
            </w:r>
          </w:p>
        </w:tc>
      </w:tr>
      <w:tr>
        <w:trPr>
          <w:trHeight w:val="180"/>
        </w:trPr>
        <w:tc>
          <w:tcPr>
            <w:tcW w:w="6120" w:type="dxa"/>
            <w:vAlign w:val="bottom"/>
          </w:tcPr>
          <w:p>
            <w:pPr>
              <w:jc w:val="center"/>
              <w:ind w:right="3522"/>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1280" w:type="dxa"/>
            <w:vAlign w:val="bottom"/>
          </w:tcPr>
          <w:p>
            <w:pPr>
              <w:jc w:val="center"/>
              <w:ind w:left="166"/>
              <w:spacing w:after="0"/>
              <w:rPr>
                <w:sz w:val="20"/>
                <w:szCs w:val="20"/>
                <w:color w:val="auto"/>
              </w:rPr>
            </w:pPr>
            <w:r>
              <w:rPr>
                <w:rFonts w:ascii="Arial" w:cs="Arial" w:eastAsia="Arial" w:hAnsi="Arial"/>
                <w:sz w:val="14"/>
                <w:szCs w:val="14"/>
                <w:b w:val="1"/>
                <w:bCs w:val="1"/>
                <w:color w:val="auto"/>
                <w:w w:val="92"/>
              </w:rPr>
              <w:t>(Zip Code)</w:t>
            </w:r>
          </w:p>
        </w:tc>
      </w:tr>
      <w:tr>
        <w:trPr>
          <w:trHeight w:val="289"/>
        </w:trPr>
        <w:tc>
          <w:tcPr>
            <w:tcW w:w="6120" w:type="dxa"/>
            <w:vAlign w:val="bottom"/>
          </w:tcPr>
          <w:p>
            <w:pPr>
              <w:jc w:val="right"/>
              <w:ind w:right="1442"/>
              <w:spacing w:after="0"/>
              <w:rPr>
                <w:sz w:val="20"/>
                <w:szCs w:val="20"/>
                <w:color w:val="auto"/>
              </w:rPr>
            </w:pPr>
            <w:r>
              <w:rPr>
                <w:rFonts w:ascii="Arial" w:cs="Arial" w:eastAsia="Arial" w:hAnsi="Arial"/>
                <w:sz w:val="17"/>
                <w:szCs w:val="17"/>
                <w:b w:val="1"/>
                <w:bCs w:val="1"/>
                <w:color w:val="auto"/>
              </w:rPr>
              <w:t>(847) 859-3940</w:t>
            </w:r>
          </w:p>
        </w:tc>
        <w:tc>
          <w:tcPr>
            <w:tcW w:w="1280" w:type="dxa"/>
            <w:vAlign w:val="bottom"/>
          </w:tcPr>
          <w:p>
            <w:pPr>
              <w:spacing w:after="0"/>
              <w:rPr>
                <w:sz w:val="24"/>
                <w:szCs w:val="24"/>
                <w:color w:val="auto"/>
              </w:rPr>
            </w:pPr>
          </w:p>
        </w:tc>
      </w:tr>
    </w:tbl>
    <w:p>
      <w:pPr>
        <w:ind w:left="3420"/>
        <w:spacing w:after="0" w:line="192" w:lineRule="auto"/>
        <w:rPr>
          <w:sz w:val="20"/>
          <w:szCs w:val="20"/>
          <w:color w:val="auto"/>
        </w:rPr>
      </w:pPr>
      <w:r>
        <w:rPr>
          <w:rFonts w:ascii="Arial" w:cs="Arial" w:eastAsia="Arial" w:hAnsi="Arial"/>
          <w:sz w:val="14"/>
          <w:szCs w:val="14"/>
          <w:i w:val="1"/>
          <w:iCs w:val="1"/>
          <w:color w:val="auto"/>
        </w:rPr>
        <w:t>(Registrant’s telephone number, including area code)</w:t>
      </w:r>
    </w:p>
    <w:p>
      <w:pPr>
        <w:ind w:left="4920"/>
        <w:spacing w:after="0" w:line="202" w:lineRule="auto"/>
        <w:rPr>
          <w:sz w:val="20"/>
          <w:szCs w:val="20"/>
          <w:color w:val="auto"/>
        </w:rPr>
      </w:pPr>
      <w:r>
        <w:rPr>
          <w:rFonts w:ascii="Arial" w:cs="Arial" w:eastAsia="Arial" w:hAnsi="Arial"/>
          <w:sz w:val="17"/>
          <w:szCs w:val="17"/>
          <w:color w:val="auto"/>
        </w:rPr>
        <w:t>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n/a</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(Former name, former address and former fiscal year, if changed since last report)</w:t>
      </w:r>
    </w:p>
    <w:p>
      <w:pPr>
        <w:spacing w:after="0" w:line="19" w:lineRule="exact"/>
        <w:rPr>
          <w:sz w:val="24"/>
          <w:szCs w:val="24"/>
          <w:color w:val="auto"/>
        </w:rPr>
      </w:pPr>
    </w:p>
    <w:p>
      <w:pPr>
        <w:ind w:left="5000"/>
        <w:spacing w:after="0"/>
        <w:rPr>
          <w:sz w:val="20"/>
          <w:szCs w:val="20"/>
          <w:color w:val="auto"/>
        </w:rPr>
      </w:pPr>
      <w:r>
        <w:rPr>
          <w:rFonts w:ascii="Arial" w:cs="Arial" w:eastAsia="Arial" w:hAnsi="Arial"/>
          <w:sz w:val="17"/>
          <w:szCs w:val="17"/>
          <w:b w:val="1"/>
          <w:bCs w:val="1"/>
          <w:color w:val="auto"/>
        </w:rPr>
        <w:t>_______________</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64" w:lineRule="exact"/>
        <w:rPr>
          <w:sz w:val="24"/>
          <w:szCs w:val="24"/>
          <w:color w:val="auto"/>
        </w:rPr>
      </w:pPr>
    </w:p>
    <w:tbl>
      <w:tblPr>
        <w:tblLayout w:type="fixed"/>
        <w:tblInd w:w="10" w:type="dxa"/>
        <w:tblCellMar>
          <w:top w:w="0" w:type="dxa"/>
          <w:left w:w="0" w:type="dxa"/>
          <w:bottom w:w="0" w:type="dxa"/>
          <w:right w:w="0" w:type="dxa"/>
        </w:tblCellMar>
      </w:tblPr>
      <w:tr>
        <w:trPr>
          <w:trHeight w:val="266"/>
        </w:trPr>
        <w:tc>
          <w:tcPr>
            <w:tcW w:w="4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2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Trading Symbol</w:t>
            </w:r>
          </w:p>
        </w:tc>
        <w:tc>
          <w:tcPr>
            <w:tcW w:w="4420" w:type="dxa"/>
            <w:vAlign w:val="bottom"/>
            <w:tcBorders>
              <w:top w:val="single" w:sz="8" w:color="auto"/>
              <w:bottom w:val="single" w:sz="8" w:color="auto"/>
              <w:right w:val="single" w:sz="8" w:color="auto"/>
            </w:tcBorders>
          </w:tcPr>
          <w:p>
            <w:pPr>
              <w:ind w:left="94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307"/>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Common Stock, par value $0.001 per share</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FDUS</w:t>
            </w:r>
          </w:p>
        </w:tc>
        <w:tc>
          <w:tcPr>
            <w:tcW w:w="4420" w:type="dxa"/>
            <w:vAlign w:val="bottom"/>
            <w:tcBorders>
              <w:bottom w:val="single" w:sz="8" w:color="auto"/>
              <w:right w:val="single" w:sz="8" w:color="auto"/>
            </w:tcBorders>
          </w:tcPr>
          <w:p>
            <w:pPr>
              <w:ind w:left="940"/>
              <w:spacing w:after="0"/>
              <w:rPr>
                <w:sz w:val="20"/>
                <w:szCs w:val="20"/>
                <w:color w:val="auto"/>
              </w:rPr>
            </w:pPr>
            <w:r>
              <w:rPr>
                <w:rFonts w:ascii="Arial" w:cs="Arial" w:eastAsia="Arial" w:hAnsi="Arial"/>
                <w:sz w:val="17"/>
                <w:szCs w:val="17"/>
                <w:color w:val="auto"/>
              </w:rPr>
              <w:t>The NASDAQ Global Select Market</w:t>
            </w:r>
          </w:p>
        </w:tc>
      </w:tr>
    </w:tbl>
    <w:p>
      <w:pPr>
        <w:spacing w:after="0" w:line="64" w:lineRule="exact"/>
        <w:rPr>
          <w:sz w:val="24"/>
          <w:szCs w:val="24"/>
          <w:color w:val="auto"/>
        </w:rPr>
      </w:pPr>
    </w:p>
    <w:p>
      <w:pPr>
        <w:ind w:right="100" w:firstLine="339"/>
        <w:spacing w:after="0" w:line="221"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8" w:lineRule="exact"/>
        <w:rPr>
          <w:sz w:val="24"/>
          <w:szCs w:val="24"/>
          <w:color w:val="auto"/>
        </w:rPr>
      </w:pPr>
    </w:p>
    <w:p>
      <w:pPr>
        <w:ind w:firstLine="365"/>
        <w:spacing w:after="0" w:line="22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71" w:lineRule="exact"/>
        <w:rPr>
          <w:sz w:val="20"/>
          <w:szCs w:val="20"/>
          <w:color w:val="auto"/>
        </w:rPr>
      </w:pPr>
      <w:r>
        <w:rPr>
          <w:rFonts w:ascii="MS PGothic" w:cs="MS PGothic" w:eastAsia="MS PGothic" w:hAnsi="MS PGothic"/>
          <w:sz w:val="17"/>
          <w:szCs w:val="17"/>
          <w:color w:val="auto"/>
        </w:rPr>
        <w:t>☐</w:t>
      </w:r>
    </w:p>
    <w:p>
      <w:pPr>
        <w:spacing w:after="0" w:line="101" w:lineRule="exact"/>
        <w:rPr>
          <w:sz w:val="24"/>
          <w:szCs w:val="24"/>
          <w:color w:val="auto"/>
        </w:rPr>
      </w:pPr>
    </w:p>
    <w:p>
      <w:pPr>
        <w:jc w:val="both"/>
        <w:ind w:firstLine="338"/>
        <w:spacing w:after="0" w:line="27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3" w:lineRule="exact"/>
        <w:rPr>
          <w:sz w:val="24"/>
          <w:szCs w:val="24"/>
          <w:color w:val="auto"/>
        </w:rPr>
      </w:pPr>
    </w:p>
    <w:tbl>
      <w:tblPr>
        <w:tblLayout w:type="fixed"/>
        <w:tblInd w:w="280" w:type="dxa"/>
        <w:tblCellMar>
          <w:top w:w="0" w:type="dxa"/>
          <w:left w:w="0" w:type="dxa"/>
          <w:bottom w:w="0" w:type="dxa"/>
          <w:right w:w="0" w:type="dxa"/>
        </w:tblCellMar>
      </w:tblPr>
      <w:tr>
        <w:trPr>
          <w:trHeight w:val="203"/>
        </w:trPr>
        <w:tc>
          <w:tcPr>
            <w:tcW w:w="2120" w:type="dxa"/>
            <w:vAlign w:val="bottom"/>
            <w:vMerge w:val="restart"/>
          </w:tcPr>
          <w:p>
            <w:pPr>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p>
        </w:tc>
        <w:tc>
          <w:tcPr>
            <w:tcW w:w="2040" w:type="dxa"/>
            <w:vAlign w:val="bottom"/>
          </w:tcPr>
          <w:p>
            <w:pPr>
              <w:jc w:val="center"/>
              <w:spacing w:after="0"/>
              <w:rPr>
                <w:sz w:val="20"/>
                <w:szCs w:val="20"/>
                <w:color w:val="auto"/>
              </w:rPr>
            </w:pPr>
            <w:r>
              <w:rPr>
                <w:rFonts w:ascii="Arial" w:cs="Arial" w:eastAsia="Arial" w:hAnsi="Arial"/>
                <w:sz w:val="17"/>
                <w:szCs w:val="17"/>
                <w:color w:val="auto"/>
                <w:w w:val="93"/>
              </w:rPr>
              <w:t>Accelerated filer</w:t>
            </w:r>
          </w:p>
        </w:tc>
        <w:tc>
          <w:tcPr>
            <w:tcW w:w="2160" w:type="dxa"/>
            <w:vAlign w:val="bottom"/>
          </w:tcPr>
          <w:p>
            <w:pPr>
              <w:jc w:val="center"/>
              <w:ind w:left="164"/>
              <w:spacing w:after="0"/>
              <w:rPr>
                <w:sz w:val="20"/>
                <w:szCs w:val="20"/>
                <w:color w:val="auto"/>
              </w:rPr>
            </w:pPr>
            <w:r>
              <w:rPr>
                <w:rFonts w:ascii="Arial" w:cs="Arial" w:eastAsia="Arial" w:hAnsi="Arial"/>
                <w:sz w:val="17"/>
                <w:szCs w:val="17"/>
                <w:color w:val="auto"/>
                <w:w w:val="91"/>
              </w:rPr>
              <w:t>Non-accelerated filer</w:t>
            </w:r>
          </w:p>
        </w:tc>
        <w:tc>
          <w:tcPr>
            <w:tcW w:w="4540" w:type="dxa"/>
            <w:vAlign w:val="bottom"/>
          </w:tcPr>
          <w:p>
            <w:pPr>
              <w:ind w:left="2500"/>
              <w:spacing w:after="0" w:line="196" w:lineRule="exact"/>
              <w:rPr>
                <w:sz w:val="20"/>
                <w:szCs w:val="20"/>
                <w:color w:val="auto"/>
              </w:rPr>
            </w:pPr>
            <w:r>
              <w:rPr>
                <w:rFonts w:ascii="Arial" w:cs="Arial" w:eastAsia="Arial" w:hAnsi="Arial"/>
                <w:sz w:val="17"/>
                <w:szCs w:val="17"/>
                <w:color w:val="auto"/>
                <w:w w:val="90"/>
              </w:rPr>
              <w:t xml:space="preserve">Emerging growth company </w:t>
            </w:r>
            <w:r>
              <w:rPr>
                <w:rFonts w:ascii="MS PGothic" w:cs="MS PGothic" w:eastAsia="MS PGothic" w:hAnsi="MS PGothic"/>
                <w:sz w:val="17"/>
                <w:szCs w:val="17"/>
                <w:color w:val="auto"/>
                <w:w w:val="90"/>
              </w:rPr>
              <w:t>☐</w:t>
            </w:r>
          </w:p>
        </w:tc>
        <w:tc>
          <w:tcPr>
            <w:tcW w:w="0" w:type="dxa"/>
            <w:vAlign w:val="bottom"/>
          </w:tcPr>
          <w:p>
            <w:pPr>
              <w:spacing w:after="0"/>
              <w:rPr>
                <w:sz w:val="1"/>
                <w:szCs w:val="1"/>
                <w:color w:val="auto"/>
              </w:rPr>
            </w:pPr>
          </w:p>
        </w:tc>
      </w:tr>
      <w:tr>
        <w:trPr>
          <w:trHeight w:val="265"/>
        </w:trPr>
        <w:tc>
          <w:tcPr>
            <w:tcW w:w="2120" w:type="dxa"/>
            <w:vAlign w:val="bottom"/>
            <w:vMerge w:val="continue"/>
          </w:tcPr>
          <w:p>
            <w:pPr>
              <w:spacing w:after="0"/>
              <w:rPr>
                <w:sz w:val="23"/>
                <w:szCs w:val="23"/>
                <w:color w:val="auto"/>
              </w:rPr>
            </w:pPr>
          </w:p>
        </w:tc>
        <w:tc>
          <w:tcPr>
            <w:tcW w:w="204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2160" w:type="dxa"/>
            <w:vAlign w:val="bottom"/>
          </w:tcPr>
          <w:p>
            <w:pPr>
              <w:jc w:val="center"/>
              <w:ind w:left="164"/>
              <w:spacing w:after="0" w:line="141" w:lineRule="exact"/>
              <w:rPr>
                <w:sz w:val="20"/>
                <w:szCs w:val="20"/>
                <w:color w:val="auto"/>
              </w:rPr>
            </w:pPr>
            <w:r>
              <w:rPr>
                <w:rFonts w:ascii="MS PGothic" w:cs="MS PGothic" w:eastAsia="MS PGothic" w:hAnsi="MS PGothic"/>
                <w:sz w:val="14"/>
                <w:szCs w:val="14"/>
                <w:color w:val="auto"/>
                <w:w w:val="85"/>
              </w:rPr>
              <w:t>☑</w:t>
            </w:r>
          </w:p>
        </w:tc>
        <w:tc>
          <w:tcPr>
            <w:tcW w:w="4540" w:type="dxa"/>
            <w:vAlign w:val="bottom"/>
          </w:tcPr>
          <w:p>
            <w:pPr>
              <w:ind w:left="260"/>
              <w:spacing w:after="0" w:line="196" w:lineRule="exact"/>
              <w:rPr>
                <w:sz w:val="20"/>
                <w:szCs w:val="20"/>
                <w:color w:val="auto"/>
              </w:rPr>
            </w:pPr>
            <w:r>
              <w:rPr>
                <w:rFonts w:ascii="Arial" w:cs="Arial" w:eastAsia="Arial" w:hAnsi="Arial"/>
                <w:sz w:val="17"/>
                <w:szCs w:val="17"/>
                <w:color w:val="auto"/>
              </w:rPr>
              <w:t xml:space="preserve">Smaller reporting company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7"/>
          <w:szCs w:val="17"/>
          <w:color w:val="auto"/>
        </w:rPr>
        <w:t>(Do not check if a smaller reporting company)</w:t>
      </w:r>
    </w:p>
    <w:p>
      <w:pPr>
        <w:spacing w:after="0" w:line="92" w:lineRule="exact"/>
        <w:rPr>
          <w:sz w:val="24"/>
          <w:szCs w:val="24"/>
          <w:color w:val="auto"/>
        </w:rPr>
      </w:pPr>
    </w:p>
    <w:p>
      <w:pPr>
        <w:spacing w:after="0" w:line="22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5" w:lineRule="exact"/>
        <w:rPr>
          <w:sz w:val="24"/>
          <w:szCs w:val="24"/>
          <w:color w:val="auto"/>
        </w:rPr>
      </w:pPr>
    </w:p>
    <w:p>
      <w:pPr>
        <w:ind w:right="2660"/>
        <w:spacing w:after="0" w:line="25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2"/>
          <w:szCs w:val="12"/>
          <w:color w:val="auto"/>
        </w:rPr>
        <w:t>☑</w:t>
      </w:r>
      <w:r>
        <w:rPr>
          <w:rFonts w:ascii="Arial" w:cs="Arial" w:eastAsia="Arial" w:hAnsi="Arial"/>
          <w:sz w:val="16"/>
          <w:szCs w:val="16"/>
          <w:color w:val="auto"/>
        </w:rPr>
        <w:t xml:space="preserve"> As of November 1, 2021, the Registrant had outstanding 24,437,400 shares of 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146050</wp:posOffset>
            </wp:positionV>
            <wp:extent cx="7140575"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32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60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QUARTERLY REPORT ON FORM 10-Q</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60" w:type="dxa"/>
            <w:vAlign w:val="bottom"/>
            <w:tcBorders>
              <w:bottom w:val="single" w:sz="8" w:color="0000FF"/>
            </w:tcBorders>
            <w:gridSpan w:val="7"/>
          </w:tcPr>
          <w:p>
            <w:pPr>
              <w:spacing w:after="0"/>
              <w:rPr>
                <w:rFonts w:ascii="Arial" w:cs="Arial" w:eastAsia="Arial" w:hAnsi="Arial"/>
                <w:sz w:val="17"/>
                <w:szCs w:val="17"/>
                <w:b w:val="1"/>
                <w:bCs w:val="1"/>
                <w:color w:val="0000FF"/>
              </w:rPr>
            </w:pPr>
            <w:hyperlink w:anchor="page3">
              <w:r>
                <w:rPr>
                  <w:rFonts w:ascii="Arial" w:cs="Arial" w:eastAsia="Arial" w:hAnsi="Arial"/>
                  <w:sz w:val="17"/>
                  <w:szCs w:val="17"/>
                  <w:b w:val="1"/>
                  <w:bCs w:val="1"/>
                  <w:color w:val="0000FF"/>
                </w:rPr>
                <w:t>PART I — FINANCIAL INFORMATION</w:t>
              </w:r>
            </w:hyperlink>
          </w:p>
        </w:tc>
        <w:tc>
          <w:tcPr>
            <w:tcW w:w="3320" w:type="dxa"/>
            <w:vAlign w:val="bottom"/>
            <w:gridSpan w:val="6"/>
          </w:tcPr>
          <w:p>
            <w:pPr>
              <w:spacing w:after="0"/>
              <w:rPr>
                <w:sz w:val="16"/>
                <w:szCs w:val="16"/>
                <w:color w:val="auto"/>
              </w:rPr>
            </w:pPr>
          </w:p>
        </w:tc>
        <w:tc>
          <w:tcPr>
            <w:tcW w:w="58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Arial" w:cs="Arial" w:eastAsia="Arial" w:hAnsi="Arial"/>
                <w:sz w:val="17"/>
                <w:szCs w:val="17"/>
                <w:color w:val="auto"/>
              </w:rPr>
              <w:t>Item 1.</w:t>
            </w:r>
          </w:p>
        </w:tc>
        <w:tc>
          <w:tcPr>
            <w:tcW w:w="9740" w:type="dxa"/>
            <w:vAlign w:val="bottom"/>
            <w:gridSpan w:val="21"/>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Financial Statements.</w:t>
              </w:r>
            </w:hyperlink>
          </w:p>
        </w:tc>
        <w:tc>
          <w:tcPr>
            <w:tcW w:w="5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40" w:type="dxa"/>
            <w:vAlign w:val="bottom"/>
            <w:tcBorders>
              <w:bottom w:val="single" w:sz="8" w:color="0000FF"/>
            </w:tcBorders>
            <w:gridSpan w:val="17"/>
          </w:tcPr>
          <w:p>
            <w:pPr>
              <w:spacing w:after="0"/>
              <w:rPr>
                <w:rFonts w:ascii="Arial" w:cs="Arial" w:eastAsia="Arial" w:hAnsi="Arial"/>
                <w:sz w:val="17"/>
                <w:szCs w:val="17"/>
                <w:color w:val="0000FF"/>
                <w:w w:val="89"/>
              </w:rPr>
            </w:pPr>
            <w:hyperlink w:anchor="page3">
              <w:r>
                <w:rPr>
                  <w:rFonts w:ascii="Arial" w:cs="Arial" w:eastAsia="Arial" w:hAnsi="Arial"/>
                  <w:sz w:val="17"/>
                  <w:szCs w:val="17"/>
                  <w:color w:val="0000FF"/>
                  <w:w w:val="89"/>
                </w:rPr>
                <w:t>Consolidated Statements of Assets and Liabilities — September 30, 2021 (unaudited) and December 31, 2020</w:t>
              </w:r>
            </w:hyperlink>
          </w:p>
        </w:tc>
        <w:tc>
          <w:tcPr>
            <w:tcW w:w="2300" w:type="dxa"/>
            <w:vAlign w:val="bottom"/>
            <w:gridSpan w:val="4"/>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21"/>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540" w:type="dxa"/>
            <w:vAlign w:val="bottom"/>
            <w:tcBorders>
              <w:bottom w:val="single" w:sz="8" w:color="0000FF"/>
            </w:tcBorders>
            <w:gridSpan w:val="18"/>
          </w:tcPr>
          <w:p>
            <w:pPr>
              <w:spacing w:after="0"/>
              <w:rPr>
                <w:rFonts w:ascii="Arial" w:cs="Arial" w:eastAsia="Arial" w:hAnsi="Arial"/>
                <w:sz w:val="17"/>
                <w:szCs w:val="17"/>
                <w:color w:val="0000FF"/>
                <w:w w:val="88"/>
              </w:rPr>
            </w:pPr>
            <w:hyperlink w:anchor="page4">
              <w:r>
                <w:rPr>
                  <w:rFonts w:ascii="Arial" w:cs="Arial" w:eastAsia="Arial" w:hAnsi="Arial"/>
                  <w:sz w:val="17"/>
                  <w:szCs w:val="17"/>
                  <w:color w:val="0000FF"/>
                  <w:w w:val="88"/>
                </w:rPr>
                <w:t>Consolidated Statements of Operations — three and nine months ended September 30, 2021 (unaudited) and 2020 (unaudited)</w:t>
              </w:r>
            </w:hyperlink>
          </w:p>
        </w:tc>
        <w:tc>
          <w:tcPr>
            <w:tcW w:w="1200" w:type="dxa"/>
            <w:vAlign w:val="bottom"/>
            <w:gridSpan w:val="3"/>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21"/>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40" w:type="dxa"/>
            <w:vAlign w:val="bottom"/>
            <w:gridSpan w:val="21"/>
          </w:tcPr>
          <w:p>
            <w:pPr>
              <w:spacing w:after="0"/>
              <w:rPr>
                <w:rFonts w:ascii="Arial" w:cs="Arial" w:eastAsia="Arial" w:hAnsi="Arial"/>
                <w:sz w:val="17"/>
                <w:szCs w:val="17"/>
                <w:color w:val="0000FF"/>
                <w:w w:val="92"/>
              </w:rPr>
            </w:pPr>
            <w:hyperlink w:anchor="page5">
              <w:r>
                <w:rPr>
                  <w:rFonts w:ascii="Arial" w:cs="Arial" w:eastAsia="Arial" w:hAnsi="Arial"/>
                  <w:sz w:val="17"/>
                  <w:szCs w:val="17"/>
                  <w:color w:val="0000FF"/>
                  <w:w w:val="92"/>
                </w:rPr>
                <w:t>Consolidated Statements of Changes in Net Assets — three and nine months ended September 30, 2021 (unaudited) and 2020 (unaudited)</w:t>
              </w:r>
            </w:hyperlink>
          </w:p>
        </w:tc>
        <w:tc>
          <w:tcPr>
            <w:tcW w:w="58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21"/>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40" w:type="dxa"/>
            <w:vAlign w:val="bottom"/>
            <w:tcBorders>
              <w:top w:val="single" w:sz="8" w:color="0000FF"/>
              <w:bottom w:val="single" w:sz="8" w:color="0000FF"/>
            </w:tcBorders>
            <w:gridSpan w:val="19"/>
          </w:tcPr>
          <w:p>
            <w:pPr>
              <w:spacing w:after="0"/>
              <w:rPr>
                <w:rFonts w:ascii="Arial" w:cs="Arial" w:eastAsia="Arial" w:hAnsi="Arial"/>
                <w:sz w:val="17"/>
                <w:szCs w:val="17"/>
                <w:color w:val="0000FF"/>
                <w:w w:val="88"/>
              </w:rPr>
            </w:pPr>
            <w:hyperlink w:anchor="page6">
              <w:r>
                <w:rPr>
                  <w:rFonts w:ascii="Arial" w:cs="Arial" w:eastAsia="Arial" w:hAnsi="Arial"/>
                  <w:sz w:val="17"/>
                  <w:szCs w:val="17"/>
                  <w:color w:val="0000FF"/>
                  <w:w w:val="88"/>
                </w:rPr>
                <w:t>Consolidated Statements of Cash Flows — three and nine months ended September 30, 2021, (unaudited) and 2020 (unaudited)</w:t>
              </w:r>
            </w:hyperlink>
          </w:p>
        </w:tc>
        <w:tc>
          <w:tcPr>
            <w:tcW w:w="680" w:type="dxa"/>
            <w:vAlign w:val="bottom"/>
            <w:tcBorders>
              <w:top w:val="single" w:sz="8" w:color="0000FF"/>
            </w:tcBorders>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21"/>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40" w:type="dxa"/>
            <w:vAlign w:val="bottom"/>
            <w:gridSpan w:val="21"/>
          </w:tcPr>
          <w:p>
            <w:pPr>
              <w:spacing w:after="0"/>
              <w:rPr>
                <w:rFonts w:ascii="Arial" w:cs="Arial" w:eastAsia="Arial" w:hAnsi="Arial"/>
                <w:sz w:val="17"/>
                <w:szCs w:val="17"/>
                <w:color w:val="0000FF"/>
              </w:rPr>
            </w:pPr>
            <w:hyperlink w:anchor="page7">
              <w:r>
                <w:rPr>
                  <w:rFonts w:ascii="Arial" w:cs="Arial" w:eastAsia="Arial" w:hAnsi="Arial"/>
                  <w:sz w:val="17"/>
                  <w:szCs w:val="17"/>
                  <w:color w:val="0000FF"/>
                </w:rPr>
                <w:t>Consolidated Schedules of Investments — September 30, 2021 (unaudited) and December 31, 2020</w:t>
              </w:r>
            </w:hyperlink>
          </w:p>
        </w:tc>
        <w:tc>
          <w:tcPr>
            <w:tcW w:w="5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21"/>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780" w:type="dxa"/>
            <w:vAlign w:val="bottom"/>
            <w:tcBorders>
              <w:top w:val="single" w:sz="8" w:color="0000FF"/>
              <w:bottom w:val="single" w:sz="8" w:color="0000FF"/>
            </w:tcBorders>
            <w:gridSpan w:val="10"/>
          </w:tcPr>
          <w:p>
            <w:pPr>
              <w:spacing w:after="0"/>
              <w:rPr>
                <w:rFonts w:ascii="Arial" w:cs="Arial" w:eastAsia="Arial" w:hAnsi="Arial"/>
                <w:sz w:val="17"/>
                <w:szCs w:val="17"/>
                <w:color w:val="0000FF"/>
                <w:w w:val="89"/>
              </w:rPr>
            </w:pPr>
            <w:hyperlink w:anchor="page17">
              <w:r>
                <w:rPr>
                  <w:rFonts w:ascii="Arial" w:cs="Arial" w:eastAsia="Arial" w:hAnsi="Arial"/>
                  <w:sz w:val="17"/>
                  <w:szCs w:val="17"/>
                  <w:color w:val="0000FF"/>
                  <w:w w:val="89"/>
                </w:rPr>
                <w:t>Notes to Consolidated Financial Statements (unaudited)</w:t>
              </w:r>
            </w:hyperlink>
          </w:p>
        </w:tc>
        <w:tc>
          <w:tcPr>
            <w:tcW w:w="2960" w:type="dxa"/>
            <w:vAlign w:val="bottom"/>
            <w:tcBorders>
              <w:top w:val="single" w:sz="8" w:color="0000FF"/>
            </w:tcBorders>
            <w:gridSpan w:val="6"/>
          </w:tcPr>
          <w:p>
            <w:pPr>
              <w:spacing w:after="0"/>
              <w:rPr>
                <w:sz w:val="19"/>
                <w:szCs w:val="19"/>
                <w:color w:val="auto"/>
              </w:rPr>
            </w:pPr>
          </w:p>
        </w:tc>
        <w:tc>
          <w:tcPr>
            <w:tcW w:w="3000" w:type="dxa"/>
            <w:vAlign w:val="bottom"/>
            <w:gridSpan w:val="5"/>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21"/>
        </w:trPr>
        <w:tc>
          <w:tcPr>
            <w:tcW w:w="2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7"/>
                <w:szCs w:val="17"/>
                <w:color w:val="auto"/>
              </w:rPr>
              <w:t>Item 2.</w:t>
            </w:r>
          </w:p>
        </w:tc>
        <w:tc>
          <w:tcPr>
            <w:tcW w:w="9740" w:type="dxa"/>
            <w:vAlign w:val="bottom"/>
            <w:gridSpan w:val="21"/>
          </w:tcPr>
          <w:p>
            <w:pPr>
              <w:spacing w:after="0"/>
              <w:rPr>
                <w:rFonts w:ascii="Arial" w:cs="Arial" w:eastAsia="Arial" w:hAnsi="Arial"/>
                <w:sz w:val="17"/>
                <w:szCs w:val="17"/>
                <w:color w:val="0000FF"/>
              </w:rPr>
            </w:pPr>
            <w:hyperlink w:anchor="page39">
              <w:r>
                <w:rPr>
                  <w:rFonts w:ascii="Arial" w:cs="Arial" w:eastAsia="Arial" w:hAnsi="Arial"/>
                  <w:sz w:val="17"/>
                  <w:szCs w:val="17"/>
                  <w:color w:val="0000FF"/>
                </w:rPr>
                <w:t>Management’s Discussion and Analysis of Financial Condition and Results of Operations</w:t>
              </w:r>
            </w:hyperlink>
            <w:r>
              <w:rPr>
                <w:rFonts w:ascii="Arial" w:cs="Arial" w:eastAsia="Arial" w:hAnsi="Arial"/>
                <w:sz w:val="17"/>
                <w:szCs w:val="17"/>
                <w:color w:val="000000"/>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21"/>
        </w:trPr>
        <w:tc>
          <w:tcPr>
            <w:tcW w:w="2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7"/>
                <w:szCs w:val="17"/>
                <w:color w:val="auto"/>
              </w:rPr>
              <w:t>Item 3.</w:t>
            </w:r>
          </w:p>
        </w:tc>
        <w:tc>
          <w:tcPr>
            <w:tcW w:w="4140" w:type="dxa"/>
            <w:vAlign w:val="bottom"/>
            <w:tcBorders>
              <w:top w:val="single" w:sz="8" w:color="0000FF"/>
              <w:bottom w:val="single" w:sz="8" w:color="0000FF"/>
            </w:tcBorders>
            <w:gridSpan w:val="12"/>
          </w:tcPr>
          <w:p>
            <w:pPr>
              <w:spacing w:after="0"/>
              <w:rPr>
                <w:rFonts w:ascii="Arial" w:cs="Arial" w:eastAsia="Arial" w:hAnsi="Arial"/>
                <w:sz w:val="17"/>
                <w:szCs w:val="17"/>
                <w:color w:val="0000FF"/>
                <w:w w:val="91"/>
              </w:rPr>
            </w:pPr>
            <w:hyperlink w:anchor="page58">
              <w:r>
                <w:rPr>
                  <w:rFonts w:ascii="Arial" w:cs="Arial" w:eastAsia="Arial" w:hAnsi="Arial"/>
                  <w:sz w:val="17"/>
                  <w:szCs w:val="17"/>
                  <w:color w:val="0000FF"/>
                  <w:w w:val="91"/>
                </w:rPr>
                <w:t>Quantitative and Qualitative Disclosures About Market Risk.</w:t>
              </w:r>
            </w:hyperlink>
          </w:p>
        </w:tc>
        <w:tc>
          <w:tcPr>
            <w:tcW w:w="1920" w:type="dxa"/>
            <w:vAlign w:val="bottom"/>
            <w:tcBorders>
              <w:top w:val="single" w:sz="8" w:color="0000FF"/>
            </w:tcBorders>
          </w:tcPr>
          <w:p>
            <w:pPr>
              <w:spacing w:after="0"/>
              <w:rPr>
                <w:sz w:val="19"/>
                <w:szCs w:val="19"/>
                <w:color w:val="auto"/>
              </w:rPr>
            </w:pPr>
          </w:p>
        </w:tc>
        <w:tc>
          <w:tcPr>
            <w:tcW w:w="3680" w:type="dxa"/>
            <w:vAlign w:val="bottom"/>
            <w:gridSpan w:val="8"/>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21"/>
        </w:trPr>
        <w:tc>
          <w:tcPr>
            <w:tcW w:w="2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7"/>
                <w:szCs w:val="17"/>
                <w:color w:val="auto"/>
              </w:rPr>
              <w:t>Item 4.</w:t>
            </w:r>
          </w:p>
        </w:tc>
        <w:tc>
          <w:tcPr>
            <w:tcW w:w="9740" w:type="dxa"/>
            <w:vAlign w:val="bottom"/>
            <w:gridSpan w:val="21"/>
          </w:tcPr>
          <w:p>
            <w:pPr>
              <w:spacing w:after="0"/>
              <w:rPr>
                <w:rFonts w:ascii="Arial" w:cs="Arial" w:eastAsia="Arial" w:hAnsi="Arial"/>
                <w:sz w:val="17"/>
                <w:szCs w:val="17"/>
                <w:color w:val="0000FF"/>
              </w:rPr>
            </w:pPr>
            <w:hyperlink w:anchor="page59">
              <w:r>
                <w:rPr>
                  <w:rFonts w:ascii="Arial" w:cs="Arial" w:eastAsia="Arial" w:hAnsi="Arial"/>
                  <w:sz w:val="17"/>
                  <w:szCs w:val="17"/>
                  <w:color w:val="0000FF"/>
                </w:rPr>
                <w:t>Controls and Procedures.</w:t>
              </w:r>
            </w:hyperlink>
          </w:p>
        </w:tc>
        <w:tc>
          <w:tcPr>
            <w:tcW w:w="58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21"/>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80" w:type="dxa"/>
            <w:vAlign w:val="bottom"/>
            <w:tcBorders>
              <w:bottom w:val="single" w:sz="8" w:color="0000FF"/>
            </w:tcBorders>
            <w:gridSpan w:val="5"/>
          </w:tcPr>
          <w:p>
            <w:pPr>
              <w:spacing w:after="0"/>
              <w:rPr>
                <w:rFonts w:ascii="Arial" w:cs="Arial" w:eastAsia="Arial" w:hAnsi="Arial"/>
                <w:sz w:val="17"/>
                <w:szCs w:val="17"/>
                <w:b w:val="1"/>
                <w:bCs w:val="1"/>
                <w:color w:val="0000FF"/>
              </w:rPr>
            </w:pPr>
            <w:hyperlink w:anchor="page60">
              <w:r>
                <w:rPr>
                  <w:rFonts w:ascii="Arial" w:cs="Arial" w:eastAsia="Arial" w:hAnsi="Arial"/>
                  <w:sz w:val="17"/>
                  <w:szCs w:val="17"/>
                  <w:b w:val="1"/>
                  <w:bCs w:val="1"/>
                  <w:color w:val="0000FF"/>
                </w:rPr>
                <w:t>PART II — OTHER INFORMATION</w:t>
              </w:r>
            </w:hyperlink>
          </w:p>
        </w:tc>
        <w:tc>
          <w:tcPr>
            <w:tcW w:w="3420" w:type="dxa"/>
            <w:vAlign w:val="bottom"/>
            <w:gridSpan w:val="7"/>
          </w:tcPr>
          <w:p>
            <w:pPr>
              <w:spacing w:after="0"/>
              <w:rPr>
                <w:sz w:val="19"/>
                <w:szCs w:val="19"/>
                <w:color w:val="auto"/>
              </w:rPr>
            </w:pPr>
          </w:p>
        </w:tc>
        <w:tc>
          <w:tcPr>
            <w:tcW w:w="58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7"/>
                <w:szCs w:val="17"/>
                <w:color w:val="auto"/>
              </w:rPr>
              <w:t>Item 1.</w:t>
            </w:r>
          </w:p>
        </w:tc>
        <w:tc>
          <w:tcPr>
            <w:tcW w:w="1300" w:type="dxa"/>
            <w:vAlign w:val="bottom"/>
            <w:tcBorders>
              <w:bottom w:val="single" w:sz="8" w:color="0000FF"/>
            </w:tcBorders>
            <w:gridSpan w:val="4"/>
          </w:tcPr>
          <w:p>
            <w:pPr>
              <w:spacing w:after="0"/>
              <w:rPr>
                <w:rFonts w:ascii="Arial" w:cs="Arial" w:eastAsia="Arial" w:hAnsi="Arial"/>
                <w:sz w:val="17"/>
                <w:szCs w:val="17"/>
                <w:color w:val="0000FF"/>
                <w:w w:val="87"/>
              </w:rPr>
            </w:pPr>
            <w:hyperlink w:anchor="page60">
              <w:r>
                <w:rPr>
                  <w:rFonts w:ascii="Arial" w:cs="Arial" w:eastAsia="Arial" w:hAnsi="Arial"/>
                  <w:sz w:val="17"/>
                  <w:szCs w:val="17"/>
                  <w:color w:val="0000FF"/>
                  <w:w w:val="87"/>
                </w:rPr>
                <w:t>Legal Proceedings.</w:t>
              </w:r>
            </w:hyperlink>
          </w:p>
        </w:tc>
        <w:tc>
          <w:tcPr>
            <w:tcW w:w="8440" w:type="dxa"/>
            <w:vAlign w:val="bottom"/>
            <w:gridSpan w:val="17"/>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21"/>
        </w:trPr>
        <w:tc>
          <w:tcPr>
            <w:tcW w:w="2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7"/>
                <w:szCs w:val="17"/>
                <w:color w:val="auto"/>
              </w:rPr>
              <w:t>Item 1A.</w:t>
            </w:r>
          </w:p>
        </w:tc>
        <w:tc>
          <w:tcPr>
            <w:tcW w:w="9740" w:type="dxa"/>
            <w:vAlign w:val="bottom"/>
            <w:gridSpan w:val="21"/>
          </w:tcPr>
          <w:p>
            <w:pPr>
              <w:spacing w:after="0"/>
              <w:rPr>
                <w:rFonts w:ascii="Arial" w:cs="Arial" w:eastAsia="Arial" w:hAnsi="Arial"/>
                <w:sz w:val="17"/>
                <w:szCs w:val="17"/>
                <w:color w:val="0000FF"/>
              </w:rPr>
            </w:pPr>
            <w:hyperlink w:anchor="page60">
              <w:r>
                <w:rPr>
                  <w:rFonts w:ascii="Arial" w:cs="Arial" w:eastAsia="Arial" w:hAnsi="Arial"/>
                  <w:sz w:val="17"/>
                  <w:szCs w:val="17"/>
                  <w:color w:val="0000FF"/>
                </w:rPr>
                <w:t>Risk Factors.</w:t>
              </w:r>
            </w:hyperlink>
          </w:p>
        </w:tc>
        <w:tc>
          <w:tcPr>
            <w:tcW w:w="58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562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7"/>
                <w:szCs w:val="17"/>
                <w:color w:val="auto"/>
              </w:rPr>
              <w:t>Item 2.</w:t>
            </w:r>
          </w:p>
        </w:tc>
        <w:tc>
          <w:tcPr>
            <w:tcW w:w="4120" w:type="dxa"/>
            <w:vAlign w:val="bottom"/>
            <w:tcBorders>
              <w:bottom w:val="single" w:sz="8" w:color="0000FF"/>
            </w:tcBorders>
            <w:gridSpan w:val="11"/>
          </w:tcPr>
          <w:p>
            <w:pPr>
              <w:spacing w:after="0"/>
              <w:rPr>
                <w:rFonts w:ascii="Arial" w:cs="Arial" w:eastAsia="Arial" w:hAnsi="Arial"/>
                <w:sz w:val="17"/>
                <w:szCs w:val="17"/>
                <w:color w:val="0000FF"/>
                <w:w w:val="88"/>
              </w:rPr>
            </w:pPr>
            <w:hyperlink w:anchor="page60">
              <w:r>
                <w:rPr>
                  <w:rFonts w:ascii="Arial" w:cs="Arial" w:eastAsia="Arial" w:hAnsi="Arial"/>
                  <w:sz w:val="17"/>
                  <w:szCs w:val="17"/>
                  <w:color w:val="0000FF"/>
                  <w:w w:val="88"/>
                </w:rPr>
                <w:t>Unregistered Sales of Equity Securities and Use of Proceeds.</w:t>
              </w:r>
            </w:hyperlink>
          </w:p>
        </w:tc>
        <w:tc>
          <w:tcPr>
            <w:tcW w:w="5620" w:type="dxa"/>
            <w:vAlign w:val="bottom"/>
            <w:gridSpan w:val="10"/>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21"/>
        </w:trPr>
        <w:tc>
          <w:tcPr>
            <w:tcW w:w="2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7"/>
                <w:szCs w:val="17"/>
                <w:color w:val="auto"/>
              </w:rPr>
              <w:t>Item 3.</w:t>
            </w:r>
          </w:p>
        </w:tc>
        <w:tc>
          <w:tcPr>
            <w:tcW w:w="2220" w:type="dxa"/>
            <w:vAlign w:val="bottom"/>
            <w:tcBorders>
              <w:bottom w:val="single" w:sz="8" w:color="0000FF"/>
            </w:tcBorders>
            <w:gridSpan w:val="7"/>
          </w:tcPr>
          <w:p>
            <w:pPr>
              <w:spacing w:after="0"/>
              <w:rPr>
                <w:rFonts w:ascii="Arial" w:cs="Arial" w:eastAsia="Arial" w:hAnsi="Arial"/>
                <w:sz w:val="17"/>
                <w:szCs w:val="17"/>
                <w:color w:val="0000FF"/>
                <w:w w:val="89"/>
              </w:rPr>
            </w:pPr>
            <w:hyperlink w:anchor="page60">
              <w:r>
                <w:rPr>
                  <w:rFonts w:ascii="Arial" w:cs="Arial" w:eastAsia="Arial" w:hAnsi="Arial"/>
                  <w:sz w:val="17"/>
                  <w:szCs w:val="17"/>
                  <w:color w:val="0000FF"/>
                  <w:w w:val="89"/>
                </w:rPr>
                <w:t>Defaults Upon Senior Securities.</w:t>
              </w:r>
            </w:hyperlink>
          </w:p>
        </w:tc>
        <w:tc>
          <w:tcPr>
            <w:tcW w:w="7520" w:type="dxa"/>
            <w:vAlign w:val="bottom"/>
            <w:gridSpan w:val="14"/>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21"/>
        </w:trPr>
        <w:tc>
          <w:tcPr>
            <w:tcW w:w="2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7"/>
                <w:szCs w:val="17"/>
                <w:color w:val="auto"/>
              </w:rPr>
              <w:t>Item 4.</w:t>
            </w:r>
          </w:p>
        </w:tc>
        <w:tc>
          <w:tcPr>
            <w:tcW w:w="1700" w:type="dxa"/>
            <w:vAlign w:val="bottom"/>
            <w:tcBorders>
              <w:bottom w:val="single" w:sz="8" w:color="0000FF"/>
            </w:tcBorders>
            <w:gridSpan w:val="6"/>
          </w:tcPr>
          <w:p>
            <w:pPr>
              <w:spacing w:after="0"/>
              <w:rPr>
                <w:rFonts w:ascii="Arial" w:cs="Arial" w:eastAsia="Arial" w:hAnsi="Arial"/>
                <w:sz w:val="17"/>
                <w:szCs w:val="17"/>
                <w:color w:val="0000FF"/>
                <w:w w:val="89"/>
              </w:rPr>
            </w:pPr>
            <w:hyperlink w:anchor="page60">
              <w:r>
                <w:rPr>
                  <w:rFonts w:ascii="Arial" w:cs="Arial" w:eastAsia="Arial" w:hAnsi="Arial"/>
                  <w:sz w:val="17"/>
                  <w:szCs w:val="17"/>
                  <w:color w:val="0000FF"/>
                  <w:w w:val="89"/>
                </w:rPr>
                <w:t>Mine Safety Disclosures.</w:t>
              </w:r>
            </w:hyperlink>
          </w:p>
        </w:tc>
        <w:tc>
          <w:tcPr>
            <w:tcW w:w="8040" w:type="dxa"/>
            <w:vAlign w:val="bottom"/>
            <w:gridSpan w:val="15"/>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21"/>
        </w:trPr>
        <w:tc>
          <w:tcPr>
            <w:tcW w:w="2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7"/>
                <w:szCs w:val="17"/>
                <w:color w:val="auto"/>
              </w:rPr>
              <w:t>Item 5.</w:t>
            </w:r>
          </w:p>
        </w:tc>
        <w:tc>
          <w:tcPr>
            <w:tcW w:w="1280" w:type="dxa"/>
            <w:vAlign w:val="bottom"/>
            <w:tcBorders>
              <w:bottom w:val="single" w:sz="8" w:color="0000FF"/>
            </w:tcBorders>
            <w:gridSpan w:val="3"/>
          </w:tcPr>
          <w:p>
            <w:pPr>
              <w:spacing w:after="0"/>
              <w:rPr>
                <w:rFonts w:ascii="Arial" w:cs="Arial" w:eastAsia="Arial" w:hAnsi="Arial"/>
                <w:sz w:val="17"/>
                <w:szCs w:val="17"/>
                <w:color w:val="0000FF"/>
                <w:w w:val="91"/>
              </w:rPr>
            </w:pPr>
            <w:hyperlink w:anchor="page60">
              <w:r>
                <w:rPr>
                  <w:rFonts w:ascii="Arial" w:cs="Arial" w:eastAsia="Arial" w:hAnsi="Arial"/>
                  <w:sz w:val="17"/>
                  <w:szCs w:val="17"/>
                  <w:color w:val="0000FF"/>
                  <w:w w:val="91"/>
                </w:rPr>
                <w:t>Other Information.</w:t>
              </w:r>
            </w:hyperlink>
          </w:p>
        </w:tc>
        <w:tc>
          <w:tcPr>
            <w:tcW w:w="8460" w:type="dxa"/>
            <w:vAlign w:val="bottom"/>
            <w:gridSpan w:val="18"/>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21"/>
        </w:trPr>
        <w:tc>
          <w:tcPr>
            <w:tcW w:w="2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7"/>
                <w:szCs w:val="17"/>
                <w:color w:val="auto"/>
              </w:rPr>
              <w:t>Item 6.</w:t>
            </w:r>
          </w:p>
        </w:tc>
        <w:tc>
          <w:tcPr>
            <w:tcW w:w="9740" w:type="dxa"/>
            <w:vAlign w:val="bottom"/>
            <w:gridSpan w:val="21"/>
          </w:tcPr>
          <w:p>
            <w:pPr>
              <w:spacing w:after="0"/>
              <w:rPr>
                <w:rFonts w:ascii="Arial" w:cs="Arial" w:eastAsia="Arial" w:hAnsi="Arial"/>
                <w:sz w:val="17"/>
                <w:szCs w:val="17"/>
                <w:color w:val="0000FF"/>
              </w:rPr>
            </w:pPr>
            <w:hyperlink w:anchor="page61">
              <w:r>
                <w:rPr>
                  <w:rFonts w:ascii="Arial" w:cs="Arial" w:eastAsia="Arial" w:hAnsi="Arial"/>
                  <w:sz w:val="17"/>
                  <w:szCs w:val="17"/>
                  <w:color w:val="0000FF"/>
                </w:rPr>
                <w:t>Exhibits.</w:t>
              </w:r>
            </w:hyperlink>
          </w:p>
        </w:tc>
        <w:tc>
          <w:tcPr>
            <w:tcW w:w="58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21"/>
        </w:trPr>
        <w:tc>
          <w:tcPr>
            <w:tcW w:w="20" w:type="dxa"/>
            <w:vAlign w:val="bottom"/>
          </w:tcPr>
          <w:p>
            <w:pPr>
              <w:spacing w:after="0"/>
              <w:rPr>
                <w:sz w:val="19"/>
                <w:szCs w:val="19"/>
                <w:color w:val="auto"/>
              </w:rPr>
            </w:pPr>
          </w:p>
        </w:tc>
        <w:tc>
          <w:tcPr>
            <w:tcW w:w="900" w:type="dxa"/>
            <w:vAlign w:val="bottom"/>
            <w:gridSpan w:val="2"/>
          </w:tcPr>
          <w:p>
            <w:pPr>
              <w:spacing w:after="0"/>
              <w:rPr>
                <w:rFonts w:ascii="Arial" w:cs="Arial" w:eastAsia="Arial" w:hAnsi="Arial"/>
                <w:sz w:val="17"/>
                <w:szCs w:val="17"/>
                <w:color w:val="0000FF"/>
              </w:rPr>
            </w:pPr>
            <w:hyperlink w:anchor="page62">
              <w:r>
                <w:rPr>
                  <w:rFonts w:ascii="Arial" w:cs="Arial" w:eastAsia="Arial" w:hAnsi="Arial"/>
                  <w:sz w:val="17"/>
                  <w:szCs w:val="17"/>
                  <w:color w:val="0000FF"/>
                </w:rPr>
                <w:t>Signatures</w:t>
              </w:r>
            </w:hyperlink>
          </w:p>
        </w:tc>
        <w:tc>
          <w:tcPr>
            <w:tcW w:w="600" w:type="dxa"/>
            <w:vAlign w:val="bottom"/>
            <w:tcBorders>
              <w:top w:val="single" w:sz="8" w:color="0000FF"/>
            </w:tcBorders>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940" w:type="dxa"/>
            <w:vAlign w:val="bottom"/>
            <w:gridSpan w:val="2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10640" w:type="dxa"/>
            <w:vAlign w:val="bottom"/>
            <w:gridSpan w:val="23"/>
          </w:tcPr>
          <w:p>
            <w:pPr>
              <w:spacing w:after="0"/>
              <w:rPr>
                <w:sz w:val="20"/>
                <w:szCs w:val="20"/>
                <w:color w:val="auto"/>
              </w:rPr>
            </w:pPr>
            <w:r>
              <w:rPr>
                <w:rFonts w:ascii="Arial" w:cs="Arial" w:eastAsia="Arial" w:hAnsi="Arial"/>
                <w:sz w:val="17"/>
                <w:szCs w:val="17"/>
                <w:color w:val="auto"/>
              </w:rPr>
              <w:t>Exhibit Index</w:t>
            </w:r>
          </w:p>
        </w:tc>
        <w:tc>
          <w:tcPr>
            <w:tcW w:w="580" w:type="dxa"/>
            <w:vAlign w:val="bottom"/>
          </w:tcPr>
          <w:p>
            <w:pPr>
              <w:spacing w:after="0"/>
              <w:rPr>
                <w:sz w:val="22"/>
                <w:szCs w:val="22"/>
                <w:color w:val="auto"/>
              </w:rPr>
            </w:pPr>
          </w:p>
        </w:tc>
      </w:tr>
      <w:tr>
        <w:trPr>
          <w:trHeight w:val="6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60" w:type="dxa"/>
            <w:vAlign w:val="bottom"/>
            <w:gridSpan w:val="13"/>
          </w:tcPr>
          <w:p>
            <w:pPr>
              <w:ind w:left="4660"/>
              <w:spacing w:after="0"/>
              <w:rPr>
                <w:sz w:val="20"/>
                <w:szCs w:val="20"/>
                <w:color w:val="auto"/>
              </w:rPr>
            </w:pPr>
            <w:r>
              <w:rPr>
                <w:rFonts w:ascii="Arial" w:cs="Arial" w:eastAsia="Arial" w:hAnsi="Arial"/>
                <w:sz w:val="17"/>
                <w:szCs w:val="17"/>
                <w:color w:val="auto"/>
              </w:rPr>
              <w:t>2</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07"/>
        </w:trPr>
        <w:tc>
          <w:tcPr>
            <w:tcW w:w="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PART I — FINANCIAL INFORMATION</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Consolidated Statements of Assets and Liabilities</w:t>
      </w:r>
    </w:p>
    <w:p>
      <w:pPr>
        <w:spacing w:after="0" w:line="20"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center"/>
              <w:ind w:right="252"/>
              <w:spacing w:after="0"/>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90"/>
        </w:trPr>
        <w:tc>
          <w:tcPr>
            <w:tcW w:w="7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center"/>
              <w:ind w:right="232"/>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412"/>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6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232"/>
              <w:spacing w:after="0"/>
              <w:rPr>
                <w:sz w:val="20"/>
                <w:szCs w:val="20"/>
                <w:color w:val="auto"/>
              </w:rPr>
            </w:pPr>
            <w:r>
              <w:rPr>
                <w:rFonts w:ascii="Arial" w:cs="Arial" w:eastAsia="Arial" w:hAnsi="Arial"/>
                <w:sz w:val="14"/>
                <w:szCs w:val="14"/>
                <w:b w:val="1"/>
                <w:bCs w:val="1"/>
                <w:color w:val="auto"/>
                <w:w w:val="89"/>
              </w:rPr>
              <w:t>(unaudited)</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2020</w:t>
            </w:r>
          </w:p>
        </w:tc>
      </w:tr>
      <w:tr>
        <w:trPr>
          <w:trHeight w:val="188"/>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r>
      <w:tr>
        <w:trPr>
          <w:trHeight w:val="185"/>
        </w:trPr>
        <w:tc>
          <w:tcPr>
            <w:tcW w:w="7680" w:type="dxa"/>
            <w:vAlign w:val="bottom"/>
          </w:tcPr>
          <w:p>
            <w:pPr>
              <w:ind w:left="20"/>
              <w:spacing w:after="0"/>
              <w:rPr>
                <w:sz w:val="20"/>
                <w:szCs w:val="20"/>
                <w:color w:val="auto"/>
              </w:rPr>
            </w:pPr>
            <w:r>
              <w:rPr>
                <w:rFonts w:ascii="Arial" w:cs="Arial" w:eastAsia="Arial" w:hAnsi="Arial"/>
                <w:sz w:val="14"/>
                <w:szCs w:val="14"/>
                <w:color w:val="auto"/>
              </w:rPr>
              <w:t>Investments, at fair value:</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6"/>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Control investments (cost: $52,889 and $32,969, respectively)</w:t>
            </w:r>
          </w:p>
        </w:tc>
        <w:tc>
          <w:tcPr>
            <w:tcW w:w="240" w:type="dxa"/>
            <w:vAlign w:val="bottom"/>
            <w:shd w:val="clear" w:color="auto" w:fill="CFF0FC"/>
          </w:tcPr>
          <w:p>
            <w:pPr>
              <w:jc w:val="right"/>
              <w:ind w:right="92"/>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ind w:right="12"/>
              <w:spacing w:after="0"/>
              <w:rPr>
                <w:sz w:val="20"/>
                <w:szCs w:val="20"/>
                <w:color w:val="auto"/>
              </w:rPr>
            </w:pPr>
            <w:r>
              <w:rPr>
                <w:rFonts w:ascii="Arial" w:cs="Arial" w:eastAsia="Arial" w:hAnsi="Arial"/>
                <w:sz w:val="14"/>
                <w:szCs w:val="14"/>
                <w:color w:val="auto"/>
              </w:rPr>
              <w:t>43,284</w:t>
            </w:r>
          </w:p>
        </w:tc>
        <w:tc>
          <w:tcPr>
            <w:tcW w:w="420" w:type="dxa"/>
            <w:vAlign w:val="bottom"/>
            <w:gridSpan w:val="2"/>
            <w:shd w:val="clear" w:color="auto" w:fill="CFF0FC"/>
          </w:tcPr>
          <w:p>
            <w:pPr>
              <w:jc w:val="right"/>
              <w:ind w:right="92"/>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ind w:right="12"/>
              <w:spacing w:after="0"/>
              <w:rPr>
                <w:sz w:val="20"/>
                <w:szCs w:val="20"/>
                <w:color w:val="auto"/>
              </w:rPr>
            </w:pPr>
            <w:r>
              <w:rPr>
                <w:rFonts w:ascii="Arial" w:cs="Arial" w:eastAsia="Arial" w:hAnsi="Arial"/>
                <w:sz w:val="14"/>
                <w:szCs w:val="14"/>
                <w:color w:val="auto"/>
              </w:rPr>
              <w:t>28,253</w:t>
            </w:r>
          </w:p>
        </w:tc>
      </w:tr>
      <w:tr>
        <w:trPr>
          <w:trHeight w:val="185"/>
        </w:trPr>
        <w:tc>
          <w:tcPr>
            <w:tcW w:w="7680" w:type="dxa"/>
            <w:vAlign w:val="bottom"/>
          </w:tcPr>
          <w:p>
            <w:pPr>
              <w:ind w:left="200"/>
              <w:spacing w:after="0"/>
              <w:rPr>
                <w:sz w:val="20"/>
                <w:szCs w:val="20"/>
                <w:color w:val="auto"/>
              </w:rPr>
            </w:pPr>
            <w:r>
              <w:rPr>
                <w:rFonts w:ascii="Arial" w:cs="Arial" w:eastAsia="Arial" w:hAnsi="Arial"/>
                <w:sz w:val="14"/>
                <w:szCs w:val="14"/>
                <w:color w:val="auto"/>
              </w:rPr>
              <w:t>Affiliate investments (cost: $33,021 and $31,836, respectively)</w:t>
            </w:r>
          </w:p>
        </w:tc>
        <w:tc>
          <w:tcPr>
            <w:tcW w:w="240" w:type="dxa"/>
            <w:vAlign w:val="bottom"/>
          </w:tcPr>
          <w:p>
            <w:pPr>
              <w:spacing w:after="0"/>
              <w:rPr>
                <w:sz w:val="16"/>
                <w:szCs w:val="16"/>
                <w:color w:val="auto"/>
              </w:rPr>
            </w:pPr>
          </w:p>
        </w:tc>
        <w:tc>
          <w:tcPr>
            <w:tcW w:w="1460" w:type="dxa"/>
            <w:vAlign w:val="bottom"/>
          </w:tcPr>
          <w:p>
            <w:pPr>
              <w:jc w:val="right"/>
              <w:ind w:right="12"/>
              <w:spacing w:after="0"/>
              <w:rPr>
                <w:sz w:val="20"/>
                <w:szCs w:val="20"/>
                <w:color w:val="auto"/>
              </w:rPr>
            </w:pPr>
            <w:r>
              <w:rPr>
                <w:rFonts w:ascii="Arial" w:cs="Arial" w:eastAsia="Arial" w:hAnsi="Arial"/>
                <w:sz w:val="14"/>
                <w:szCs w:val="14"/>
                <w:color w:val="auto"/>
              </w:rPr>
              <w:t>107,053</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12"/>
              <w:spacing w:after="0"/>
              <w:rPr>
                <w:sz w:val="20"/>
                <w:szCs w:val="20"/>
                <w:color w:val="auto"/>
              </w:rPr>
            </w:pPr>
            <w:r>
              <w:rPr>
                <w:rFonts w:ascii="Arial" w:cs="Arial" w:eastAsia="Arial" w:hAnsi="Arial"/>
                <w:sz w:val="14"/>
                <w:szCs w:val="14"/>
                <w:color w:val="auto"/>
              </w:rPr>
              <w:t>81,394</w:t>
            </w:r>
          </w:p>
        </w:tc>
      </w:tr>
      <w:tr>
        <w:trPr>
          <w:trHeight w:val="190"/>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Non-control/non-affiliate investments (cost: $545,353 and $622,222, respectively)</w:t>
            </w:r>
          </w:p>
        </w:tc>
        <w:tc>
          <w:tcPr>
            <w:tcW w:w="24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4"/>
                <w:szCs w:val="14"/>
                <w:color w:val="auto"/>
              </w:rPr>
              <w:t>568,787</w:t>
            </w:r>
          </w:p>
        </w:tc>
        <w:tc>
          <w:tcPr>
            <w:tcW w:w="1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4"/>
                <w:szCs w:val="14"/>
                <w:color w:val="auto"/>
              </w:rPr>
              <w:t>633,222</w:t>
            </w:r>
          </w:p>
        </w:tc>
      </w:tr>
      <w:tr>
        <w:trPr>
          <w:trHeight w:val="183"/>
        </w:trPr>
        <w:tc>
          <w:tcPr>
            <w:tcW w:w="7680" w:type="dxa"/>
            <w:vAlign w:val="bottom"/>
          </w:tcPr>
          <w:p>
            <w:pPr>
              <w:ind w:left="20"/>
              <w:spacing w:after="0"/>
              <w:rPr>
                <w:sz w:val="20"/>
                <w:szCs w:val="20"/>
                <w:color w:val="auto"/>
              </w:rPr>
            </w:pPr>
            <w:r>
              <w:rPr>
                <w:rFonts w:ascii="Arial" w:cs="Arial" w:eastAsia="Arial" w:hAnsi="Arial"/>
                <w:sz w:val="14"/>
                <w:szCs w:val="14"/>
                <w:color w:val="auto"/>
              </w:rPr>
              <w:t>Total investments, at fair value (cost: $631,263 and $687,027, respectively)</w:t>
            </w:r>
          </w:p>
        </w:tc>
        <w:tc>
          <w:tcPr>
            <w:tcW w:w="240" w:type="dxa"/>
            <w:vAlign w:val="bottom"/>
          </w:tcPr>
          <w:p>
            <w:pPr>
              <w:spacing w:after="0"/>
              <w:rPr>
                <w:sz w:val="15"/>
                <w:szCs w:val="15"/>
                <w:color w:val="auto"/>
              </w:rPr>
            </w:pPr>
          </w:p>
        </w:tc>
        <w:tc>
          <w:tcPr>
            <w:tcW w:w="1460" w:type="dxa"/>
            <w:vAlign w:val="bottom"/>
          </w:tcPr>
          <w:p>
            <w:pPr>
              <w:jc w:val="right"/>
              <w:ind w:right="12"/>
              <w:spacing w:after="0"/>
              <w:rPr>
                <w:sz w:val="20"/>
                <w:szCs w:val="20"/>
                <w:color w:val="auto"/>
              </w:rPr>
            </w:pPr>
            <w:r>
              <w:rPr>
                <w:rFonts w:ascii="Arial" w:cs="Arial" w:eastAsia="Arial" w:hAnsi="Arial"/>
                <w:sz w:val="14"/>
                <w:szCs w:val="14"/>
                <w:color w:val="auto"/>
              </w:rPr>
              <w:t>719,124</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ind w:right="12"/>
              <w:spacing w:after="0"/>
              <w:rPr>
                <w:sz w:val="20"/>
                <w:szCs w:val="20"/>
                <w:color w:val="auto"/>
              </w:rPr>
            </w:pPr>
            <w:r>
              <w:rPr>
                <w:rFonts w:ascii="Arial" w:cs="Arial" w:eastAsia="Arial" w:hAnsi="Arial"/>
                <w:sz w:val="14"/>
                <w:szCs w:val="14"/>
                <w:color w:val="auto"/>
              </w:rPr>
              <w:t>742,869</w:t>
            </w:r>
          </w:p>
        </w:tc>
      </w:tr>
      <w:tr>
        <w:trPr>
          <w:trHeight w:val="196"/>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2"/>
              <w:spacing w:after="0"/>
              <w:rPr>
                <w:sz w:val="20"/>
                <w:szCs w:val="20"/>
                <w:color w:val="auto"/>
              </w:rPr>
            </w:pPr>
            <w:r>
              <w:rPr>
                <w:rFonts w:ascii="Arial" w:cs="Arial" w:eastAsia="Arial" w:hAnsi="Arial"/>
                <w:sz w:val="14"/>
                <w:szCs w:val="14"/>
                <w:color w:val="auto"/>
              </w:rPr>
              <w:t>98,812</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12"/>
              <w:spacing w:after="0"/>
              <w:rPr>
                <w:sz w:val="20"/>
                <w:szCs w:val="20"/>
                <w:color w:val="auto"/>
              </w:rPr>
            </w:pPr>
            <w:r>
              <w:rPr>
                <w:rFonts w:ascii="Arial" w:cs="Arial" w:eastAsia="Arial" w:hAnsi="Arial"/>
                <w:sz w:val="14"/>
                <w:szCs w:val="14"/>
                <w:color w:val="auto"/>
              </w:rPr>
              <w:t>124,308</w:t>
            </w:r>
          </w:p>
        </w:tc>
      </w:tr>
      <w:tr>
        <w:trPr>
          <w:trHeight w:val="185"/>
        </w:trPr>
        <w:tc>
          <w:tcPr>
            <w:tcW w:w="7680" w:type="dxa"/>
            <w:vAlign w:val="bottom"/>
          </w:tcPr>
          <w:p>
            <w:pPr>
              <w:ind w:left="20"/>
              <w:spacing w:after="0"/>
              <w:rPr>
                <w:sz w:val="20"/>
                <w:szCs w:val="20"/>
                <w:color w:val="auto"/>
              </w:rPr>
            </w:pPr>
            <w:r>
              <w:rPr>
                <w:rFonts w:ascii="Arial" w:cs="Arial" w:eastAsia="Arial" w:hAnsi="Arial"/>
                <w:sz w:val="14"/>
                <w:szCs w:val="14"/>
                <w:color w:val="auto"/>
              </w:rPr>
              <w:t>Interest receivable</w:t>
            </w:r>
          </w:p>
        </w:tc>
        <w:tc>
          <w:tcPr>
            <w:tcW w:w="240" w:type="dxa"/>
            <w:vAlign w:val="bottom"/>
          </w:tcPr>
          <w:p>
            <w:pPr>
              <w:spacing w:after="0"/>
              <w:rPr>
                <w:sz w:val="16"/>
                <w:szCs w:val="16"/>
                <w:color w:val="auto"/>
              </w:rPr>
            </w:pPr>
          </w:p>
        </w:tc>
        <w:tc>
          <w:tcPr>
            <w:tcW w:w="1460" w:type="dxa"/>
            <w:vAlign w:val="bottom"/>
          </w:tcPr>
          <w:p>
            <w:pPr>
              <w:jc w:val="right"/>
              <w:ind w:right="12"/>
              <w:spacing w:after="0"/>
              <w:rPr>
                <w:sz w:val="20"/>
                <w:szCs w:val="20"/>
                <w:color w:val="auto"/>
              </w:rPr>
            </w:pPr>
            <w:r>
              <w:rPr>
                <w:rFonts w:ascii="Arial" w:cs="Arial" w:eastAsia="Arial" w:hAnsi="Arial"/>
                <w:sz w:val="14"/>
                <w:szCs w:val="14"/>
                <w:color w:val="auto"/>
              </w:rPr>
              <w:t>8,246</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12"/>
              <w:spacing w:after="0"/>
              <w:rPr>
                <w:sz w:val="20"/>
                <w:szCs w:val="20"/>
                <w:color w:val="auto"/>
              </w:rPr>
            </w:pPr>
            <w:r>
              <w:rPr>
                <w:rFonts w:ascii="Arial" w:cs="Arial" w:eastAsia="Arial" w:hAnsi="Arial"/>
                <w:sz w:val="14"/>
                <w:szCs w:val="14"/>
                <w:color w:val="auto"/>
              </w:rPr>
              <w:t>7,548</w:t>
            </w:r>
          </w:p>
        </w:tc>
      </w:tr>
      <w:tr>
        <w:trPr>
          <w:trHeight w:val="190"/>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Prepaid expenses and other assets</w:t>
            </w:r>
          </w:p>
        </w:tc>
        <w:tc>
          <w:tcPr>
            <w:tcW w:w="24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4"/>
                <w:szCs w:val="14"/>
                <w:color w:val="auto"/>
              </w:rPr>
              <w:t>1,584</w:t>
            </w:r>
          </w:p>
        </w:tc>
        <w:tc>
          <w:tcPr>
            <w:tcW w:w="1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4"/>
                <w:szCs w:val="14"/>
                <w:color w:val="auto"/>
              </w:rPr>
              <w:t>1,015</w:t>
            </w:r>
          </w:p>
        </w:tc>
      </w:tr>
      <w:tr>
        <w:trPr>
          <w:trHeight w:val="188"/>
        </w:trPr>
        <w:tc>
          <w:tcPr>
            <w:tcW w:w="768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Pr>
          <w:p>
            <w:pPr>
              <w:jc w:val="right"/>
              <w:ind w:right="92"/>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12"/>
              <w:spacing w:after="0"/>
              <w:rPr>
                <w:sz w:val="20"/>
                <w:szCs w:val="20"/>
                <w:color w:val="auto"/>
              </w:rPr>
            </w:pPr>
            <w:r>
              <w:rPr>
                <w:rFonts w:ascii="Arial" w:cs="Arial" w:eastAsia="Arial" w:hAnsi="Arial"/>
                <w:sz w:val="14"/>
                <w:szCs w:val="14"/>
                <w:color w:val="auto"/>
              </w:rPr>
              <w:t>827,766</w:t>
            </w:r>
          </w:p>
        </w:tc>
        <w:tc>
          <w:tcPr>
            <w:tcW w:w="420" w:type="dxa"/>
            <w:vAlign w:val="bottom"/>
            <w:gridSpan w:val="2"/>
          </w:tcPr>
          <w:p>
            <w:pPr>
              <w:jc w:val="right"/>
              <w:ind w:right="92"/>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2"/>
              <w:spacing w:after="0"/>
              <w:rPr>
                <w:sz w:val="20"/>
                <w:szCs w:val="20"/>
                <w:color w:val="auto"/>
              </w:rPr>
            </w:pPr>
            <w:r>
              <w:rPr>
                <w:rFonts w:ascii="Arial" w:cs="Arial" w:eastAsia="Arial" w:hAnsi="Arial"/>
                <w:sz w:val="14"/>
                <w:szCs w:val="14"/>
                <w:color w:val="auto"/>
              </w:rPr>
              <w:t>875,740</w:t>
            </w:r>
          </w:p>
        </w:tc>
      </w:tr>
      <w:tr>
        <w:trPr>
          <w:trHeight w:val="20"/>
        </w:trPr>
        <w:tc>
          <w:tcPr>
            <w:tcW w:w="7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168"/>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LIABILITIES</w:t>
            </w:r>
          </w:p>
        </w:tc>
        <w:tc>
          <w:tcPr>
            <w:tcW w:w="24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r>
      <w:tr>
        <w:trPr>
          <w:trHeight w:val="185"/>
        </w:trPr>
        <w:tc>
          <w:tcPr>
            <w:tcW w:w="7680" w:type="dxa"/>
            <w:vAlign w:val="bottom"/>
          </w:tcPr>
          <w:p>
            <w:pPr>
              <w:ind w:left="20"/>
              <w:spacing w:after="0"/>
              <w:rPr>
                <w:sz w:val="20"/>
                <w:szCs w:val="20"/>
                <w:color w:val="auto"/>
              </w:rPr>
            </w:pPr>
            <w:r>
              <w:rPr>
                <w:rFonts w:ascii="Arial" w:cs="Arial" w:eastAsia="Arial" w:hAnsi="Arial"/>
                <w:sz w:val="14"/>
                <w:szCs w:val="14"/>
                <w:color w:val="auto"/>
              </w:rPr>
              <w:t>SBA debentures, net of deferred financing costs (Note 6)</w:t>
            </w:r>
          </w:p>
        </w:tc>
        <w:tc>
          <w:tcPr>
            <w:tcW w:w="240" w:type="dxa"/>
            <w:vAlign w:val="bottom"/>
          </w:tcPr>
          <w:p>
            <w:pPr>
              <w:jc w:val="right"/>
              <w:ind w:right="92"/>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12"/>
              <w:spacing w:after="0"/>
              <w:rPr>
                <w:sz w:val="20"/>
                <w:szCs w:val="20"/>
                <w:color w:val="auto"/>
              </w:rPr>
            </w:pPr>
            <w:r>
              <w:rPr>
                <w:rFonts w:ascii="Arial" w:cs="Arial" w:eastAsia="Arial" w:hAnsi="Arial"/>
                <w:sz w:val="14"/>
                <w:szCs w:val="14"/>
                <w:color w:val="auto"/>
              </w:rPr>
              <w:t>92,146</w:t>
            </w:r>
          </w:p>
        </w:tc>
        <w:tc>
          <w:tcPr>
            <w:tcW w:w="420" w:type="dxa"/>
            <w:vAlign w:val="bottom"/>
            <w:gridSpan w:val="2"/>
          </w:tcPr>
          <w:p>
            <w:pPr>
              <w:jc w:val="right"/>
              <w:ind w:right="92"/>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2"/>
              <w:spacing w:after="0"/>
              <w:rPr>
                <w:sz w:val="20"/>
                <w:szCs w:val="20"/>
                <w:color w:val="auto"/>
              </w:rPr>
            </w:pPr>
            <w:r>
              <w:rPr>
                <w:rFonts w:ascii="Arial" w:cs="Arial" w:eastAsia="Arial" w:hAnsi="Arial"/>
                <w:sz w:val="14"/>
                <w:szCs w:val="14"/>
                <w:color w:val="auto"/>
              </w:rPr>
              <w:t>144,004</w:t>
            </w:r>
          </w:p>
        </w:tc>
      </w:tr>
      <w:tr>
        <w:trPr>
          <w:trHeight w:val="196"/>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Notes, net of deferred financing costs (Note 6)</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2"/>
              <w:spacing w:after="0"/>
              <w:rPr>
                <w:sz w:val="20"/>
                <w:szCs w:val="20"/>
                <w:color w:val="auto"/>
              </w:rPr>
            </w:pPr>
            <w:r>
              <w:rPr>
                <w:rFonts w:ascii="Arial" w:cs="Arial" w:eastAsia="Arial" w:hAnsi="Arial"/>
                <w:sz w:val="14"/>
                <w:szCs w:val="14"/>
                <w:color w:val="auto"/>
              </w:rPr>
              <w:t>203,142</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12"/>
              <w:spacing w:after="0"/>
              <w:rPr>
                <w:sz w:val="20"/>
                <w:szCs w:val="20"/>
                <w:color w:val="auto"/>
              </w:rPr>
            </w:pPr>
            <w:r>
              <w:rPr>
                <w:rFonts w:ascii="Arial" w:cs="Arial" w:eastAsia="Arial" w:hAnsi="Arial"/>
                <w:sz w:val="14"/>
                <w:szCs w:val="14"/>
                <w:color w:val="auto"/>
              </w:rPr>
              <w:t>300,294</w:t>
            </w:r>
          </w:p>
        </w:tc>
      </w:tr>
      <w:tr>
        <w:trPr>
          <w:trHeight w:val="185"/>
        </w:trPr>
        <w:tc>
          <w:tcPr>
            <w:tcW w:w="7680" w:type="dxa"/>
            <w:vAlign w:val="bottom"/>
          </w:tcPr>
          <w:p>
            <w:pPr>
              <w:ind w:left="20"/>
              <w:spacing w:after="0"/>
              <w:rPr>
                <w:sz w:val="20"/>
                <w:szCs w:val="20"/>
                <w:color w:val="auto"/>
              </w:rPr>
            </w:pPr>
            <w:r>
              <w:rPr>
                <w:rFonts w:ascii="Arial" w:cs="Arial" w:eastAsia="Arial" w:hAnsi="Arial"/>
                <w:sz w:val="14"/>
                <w:szCs w:val="14"/>
                <w:color w:val="auto"/>
              </w:rPr>
              <w:t>Borrowings under Credit Facility, net of deferred financing costs (Note 6)</w:t>
            </w:r>
          </w:p>
        </w:tc>
        <w:tc>
          <w:tcPr>
            <w:tcW w:w="240" w:type="dxa"/>
            <w:vAlign w:val="bottom"/>
          </w:tcPr>
          <w:p>
            <w:pPr>
              <w:spacing w:after="0"/>
              <w:rPr>
                <w:sz w:val="16"/>
                <w:szCs w:val="16"/>
                <w:color w:val="auto"/>
              </w:rPr>
            </w:pPr>
          </w:p>
        </w:tc>
        <w:tc>
          <w:tcPr>
            <w:tcW w:w="1460" w:type="dxa"/>
            <w:vAlign w:val="bottom"/>
          </w:tcPr>
          <w:p>
            <w:pPr>
              <w:jc w:val="right"/>
              <w:ind w:right="12"/>
              <w:spacing w:after="0"/>
              <w:rPr>
                <w:sz w:val="20"/>
                <w:szCs w:val="20"/>
                <w:color w:val="auto"/>
              </w:rPr>
            </w:pPr>
            <w:r>
              <w:rPr>
                <w:rFonts w:ascii="Arial" w:cs="Arial" w:eastAsia="Arial" w:hAnsi="Arial"/>
                <w:sz w:val="14"/>
                <w:szCs w:val="14"/>
                <w:color w:val="auto"/>
              </w:rPr>
              <w:t>39,291</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(1,048 )</w:t>
            </w:r>
          </w:p>
        </w:tc>
      </w:tr>
      <w:tr>
        <w:trPr>
          <w:trHeight w:val="196"/>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Secured Borrowings</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2"/>
              <w:spacing w:after="0"/>
              <w:rPr>
                <w:sz w:val="20"/>
                <w:szCs w:val="20"/>
                <w:color w:val="auto"/>
              </w:rPr>
            </w:pPr>
            <w:r>
              <w:rPr>
                <w:rFonts w:ascii="Arial" w:cs="Arial" w:eastAsia="Arial" w:hAnsi="Arial"/>
                <w:sz w:val="14"/>
                <w:szCs w:val="14"/>
                <w:color w:val="auto"/>
              </w:rPr>
              <w:t>17,746</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12"/>
              <w:spacing w:after="0"/>
              <w:rPr>
                <w:sz w:val="20"/>
                <w:szCs w:val="20"/>
                <w:color w:val="auto"/>
              </w:rPr>
            </w:pPr>
            <w:r>
              <w:rPr>
                <w:rFonts w:ascii="Arial" w:cs="Arial" w:eastAsia="Arial" w:hAnsi="Arial"/>
                <w:sz w:val="14"/>
                <w:szCs w:val="14"/>
                <w:color w:val="auto"/>
              </w:rPr>
              <w:t>-</w:t>
            </w:r>
          </w:p>
        </w:tc>
      </w:tr>
      <w:tr>
        <w:trPr>
          <w:trHeight w:val="185"/>
        </w:trPr>
        <w:tc>
          <w:tcPr>
            <w:tcW w:w="7680" w:type="dxa"/>
            <w:vAlign w:val="bottom"/>
          </w:tcPr>
          <w:p>
            <w:pPr>
              <w:ind w:left="20"/>
              <w:spacing w:after="0"/>
              <w:rPr>
                <w:sz w:val="20"/>
                <w:szCs w:val="20"/>
                <w:color w:val="auto"/>
              </w:rPr>
            </w:pPr>
            <w:r>
              <w:rPr>
                <w:rFonts w:ascii="Arial" w:cs="Arial" w:eastAsia="Arial" w:hAnsi="Arial"/>
                <w:sz w:val="14"/>
                <w:szCs w:val="14"/>
                <w:color w:val="auto"/>
              </w:rPr>
              <w:t>Accrued interest and fees payable</w:t>
            </w:r>
          </w:p>
        </w:tc>
        <w:tc>
          <w:tcPr>
            <w:tcW w:w="240" w:type="dxa"/>
            <w:vAlign w:val="bottom"/>
          </w:tcPr>
          <w:p>
            <w:pPr>
              <w:spacing w:after="0"/>
              <w:rPr>
                <w:sz w:val="16"/>
                <w:szCs w:val="16"/>
                <w:color w:val="auto"/>
              </w:rPr>
            </w:pPr>
          </w:p>
        </w:tc>
        <w:tc>
          <w:tcPr>
            <w:tcW w:w="1460" w:type="dxa"/>
            <w:vAlign w:val="bottom"/>
          </w:tcPr>
          <w:p>
            <w:pPr>
              <w:jc w:val="right"/>
              <w:ind w:right="12"/>
              <w:spacing w:after="0"/>
              <w:rPr>
                <w:sz w:val="20"/>
                <w:szCs w:val="20"/>
                <w:color w:val="auto"/>
              </w:rPr>
            </w:pPr>
            <w:r>
              <w:rPr>
                <w:rFonts w:ascii="Arial" w:cs="Arial" w:eastAsia="Arial" w:hAnsi="Arial"/>
                <w:sz w:val="14"/>
                <w:szCs w:val="14"/>
                <w:color w:val="auto"/>
              </w:rPr>
              <w:t>2,202</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12"/>
              <w:spacing w:after="0"/>
              <w:rPr>
                <w:sz w:val="20"/>
                <w:szCs w:val="20"/>
                <w:color w:val="auto"/>
              </w:rPr>
            </w:pPr>
            <w:r>
              <w:rPr>
                <w:rFonts w:ascii="Arial" w:cs="Arial" w:eastAsia="Arial" w:hAnsi="Arial"/>
                <w:sz w:val="14"/>
                <w:szCs w:val="14"/>
                <w:color w:val="auto"/>
              </w:rPr>
              <w:t>3,500</w:t>
            </w:r>
          </w:p>
        </w:tc>
      </w:tr>
      <w:tr>
        <w:trPr>
          <w:trHeight w:val="196"/>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Base management fee payable, net of base management fee waiver – due to affiliate</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2"/>
              <w:spacing w:after="0"/>
              <w:rPr>
                <w:sz w:val="20"/>
                <w:szCs w:val="20"/>
                <w:color w:val="auto"/>
              </w:rPr>
            </w:pPr>
            <w:r>
              <w:rPr>
                <w:rFonts w:ascii="Arial" w:cs="Arial" w:eastAsia="Arial" w:hAnsi="Arial"/>
                <w:sz w:val="14"/>
                <w:szCs w:val="14"/>
                <w:color w:val="auto"/>
              </w:rPr>
              <w:t>3,201</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12"/>
              <w:spacing w:after="0"/>
              <w:rPr>
                <w:sz w:val="20"/>
                <w:szCs w:val="20"/>
                <w:color w:val="auto"/>
              </w:rPr>
            </w:pPr>
            <w:r>
              <w:rPr>
                <w:rFonts w:ascii="Arial" w:cs="Arial" w:eastAsia="Arial" w:hAnsi="Arial"/>
                <w:sz w:val="14"/>
                <w:szCs w:val="14"/>
                <w:color w:val="auto"/>
              </w:rPr>
              <w:t>3,244</w:t>
            </w:r>
          </w:p>
        </w:tc>
      </w:tr>
      <w:tr>
        <w:trPr>
          <w:trHeight w:val="185"/>
        </w:trPr>
        <w:tc>
          <w:tcPr>
            <w:tcW w:w="7680" w:type="dxa"/>
            <w:vAlign w:val="bottom"/>
          </w:tcPr>
          <w:p>
            <w:pPr>
              <w:ind w:left="20"/>
              <w:spacing w:after="0"/>
              <w:rPr>
                <w:sz w:val="20"/>
                <w:szCs w:val="20"/>
                <w:color w:val="auto"/>
              </w:rPr>
            </w:pPr>
            <w:r>
              <w:rPr>
                <w:rFonts w:ascii="Arial" w:cs="Arial" w:eastAsia="Arial" w:hAnsi="Arial"/>
                <w:sz w:val="14"/>
                <w:szCs w:val="14"/>
                <w:color w:val="auto"/>
              </w:rPr>
              <w:t>Income incentive fee payable, net of income incentive fee waiver – due to affiliate</w:t>
            </w:r>
          </w:p>
        </w:tc>
        <w:tc>
          <w:tcPr>
            <w:tcW w:w="240" w:type="dxa"/>
            <w:vAlign w:val="bottom"/>
          </w:tcPr>
          <w:p>
            <w:pPr>
              <w:spacing w:after="0"/>
              <w:rPr>
                <w:sz w:val="16"/>
                <w:szCs w:val="16"/>
                <w:color w:val="auto"/>
              </w:rPr>
            </w:pPr>
          </w:p>
        </w:tc>
        <w:tc>
          <w:tcPr>
            <w:tcW w:w="1460" w:type="dxa"/>
            <w:vAlign w:val="bottom"/>
          </w:tcPr>
          <w:p>
            <w:pPr>
              <w:jc w:val="right"/>
              <w:ind w:right="12"/>
              <w:spacing w:after="0"/>
              <w:rPr>
                <w:sz w:val="20"/>
                <w:szCs w:val="20"/>
                <w:color w:val="auto"/>
              </w:rPr>
            </w:pPr>
            <w:r>
              <w:rPr>
                <w:rFonts w:ascii="Arial" w:cs="Arial" w:eastAsia="Arial" w:hAnsi="Arial"/>
                <w:sz w:val="14"/>
                <w:szCs w:val="14"/>
                <w:color w:val="auto"/>
              </w:rPr>
              <w:t>2,425</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12"/>
              <w:spacing w:after="0"/>
              <w:rPr>
                <w:sz w:val="20"/>
                <w:szCs w:val="20"/>
                <w:color w:val="auto"/>
              </w:rPr>
            </w:pPr>
            <w:r>
              <w:rPr>
                <w:rFonts w:ascii="Arial" w:cs="Arial" w:eastAsia="Arial" w:hAnsi="Arial"/>
                <w:sz w:val="14"/>
                <w:szCs w:val="14"/>
                <w:color w:val="auto"/>
              </w:rPr>
              <w:t>2,610</w:t>
            </w:r>
          </w:p>
        </w:tc>
      </w:tr>
      <w:tr>
        <w:trPr>
          <w:trHeight w:val="196"/>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Capital gains incentive fee payable – due to affiliate</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2"/>
              <w:spacing w:after="0"/>
              <w:rPr>
                <w:sz w:val="20"/>
                <w:szCs w:val="20"/>
                <w:color w:val="auto"/>
              </w:rPr>
            </w:pPr>
            <w:r>
              <w:rPr>
                <w:rFonts w:ascii="Arial" w:cs="Arial" w:eastAsia="Arial" w:hAnsi="Arial"/>
                <w:sz w:val="14"/>
                <w:szCs w:val="14"/>
                <w:color w:val="auto"/>
              </w:rPr>
              <w:t>19,669</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12"/>
              <w:spacing w:after="0"/>
              <w:rPr>
                <w:sz w:val="20"/>
                <w:szCs w:val="20"/>
                <w:color w:val="auto"/>
              </w:rPr>
            </w:pPr>
            <w:r>
              <w:rPr>
                <w:rFonts w:ascii="Arial" w:cs="Arial" w:eastAsia="Arial" w:hAnsi="Arial"/>
                <w:sz w:val="14"/>
                <w:szCs w:val="14"/>
                <w:color w:val="auto"/>
              </w:rPr>
              <w:t>11,031</w:t>
            </w:r>
          </w:p>
        </w:tc>
      </w:tr>
      <w:tr>
        <w:trPr>
          <w:trHeight w:val="185"/>
        </w:trPr>
        <w:tc>
          <w:tcPr>
            <w:tcW w:w="7680" w:type="dxa"/>
            <w:vAlign w:val="bottom"/>
          </w:tcPr>
          <w:p>
            <w:pPr>
              <w:ind w:left="20"/>
              <w:spacing w:after="0"/>
              <w:rPr>
                <w:sz w:val="20"/>
                <w:szCs w:val="20"/>
                <w:color w:val="auto"/>
              </w:rPr>
            </w:pPr>
            <w:r>
              <w:rPr>
                <w:rFonts w:ascii="Arial" w:cs="Arial" w:eastAsia="Arial" w:hAnsi="Arial"/>
                <w:sz w:val="14"/>
                <w:szCs w:val="14"/>
                <w:color w:val="auto"/>
              </w:rPr>
              <w:t>Administration fee payable and other – due to affiliate</w:t>
            </w:r>
          </w:p>
        </w:tc>
        <w:tc>
          <w:tcPr>
            <w:tcW w:w="240" w:type="dxa"/>
            <w:vAlign w:val="bottom"/>
          </w:tcPr>
          <w:p>
            <w:pPr>
              <w:spacing w:after="0"/>
              <w:rPr>
                <w:sz w:val="16"/>
                <w:szCs w:val="16"/>
                <w:color w:val="auto"/>
              </w:rPr>
            </w:pPr>
          </w:p>
        </w:tc>
        <w:tc>
          <w:tcPr>
            <w:tcW w:w="1460" w:type="dxa"/>
            <w:vAlign w:val="bottom"/>
          </w:tcPr>
          <w:p>
            <w:pPr>
              <w:jc w:val="right"/>
              <w:ind w:right="12"/>
              <w:spacing w:after="0"/>
              <w:rPr>
                <w:sz w:val="20"/>
                <w:szCs w:val="20"/>
                <w:color w:val="auto"/>
              </w:rPr>
            </w:pPr>
            <w:r>
              <w:rPr>
                <w:rFonts w:ascii="Arial" w:cs="Arial" w:eastAsia="Arial" w:hAnsi="Arial"/>
                <w:sz w:val="14"/>
                <w:szCs w:val="14"/>
                <w:color w:val="auto"/>
              </w:rPr>
              <w:t>571</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12"/>
              <w:spacing w:after="0"/>
              <w:rPr>
                <w:sz w:val="20"/>
                <w:szCs w:val="20"/>
                <w:color w:val="auto"/>
              </w:rPr>
            </w:pPr>
            <w:r>
              <w:rPr>
                <w:rFonts w:ascii="Arial" w:cs="Arial" w:eastAsia="Arial" w:hAnsi="Arial"/>
                <w:sz w:val="14"/>
                <w:szCs w:val="14"/>
                <w:color w:val="auto"/>
              </w:rPr>
              <w:t>576</w:t>
            </w:r>
          </w:p>
        </w:tc>
      </w:tr>
      <w:tr>
        <w:trPr>
          <w:trHeight w:val="196"/>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Taxes (receivable) payable</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(883 )</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12"/>
              <w:spacing w:after="0"/>
              <w:rPr>
                <w:sz w:val="20"/>
                <w:szCs w:val="20"/>
                <w:color w:val="auto"/>
              </w:rPr>
            </w:pPr>
            <w:r>
              <w:rPr>
                <w:rFonts w:ascii="Arial" w:cs="Arial" w:eastAsia="Arial" w:hAnsi="Arial"/>
                <w:sz w:val="14"/>
                <w:szCs w:val="14"/>
                <w:color w:val="auto"/>
              </w:rPr>
              <w:t>275</w:t>
            </w:r>
          </w:p>
        </w:tc>
      </w:tr>
      <w:tr>
        <w:trPr>
          <w:trHeight w:val="185"/>
        </w:trPr>
        <w:tc>
          <w:tcPr>
            <w:tcW w:w="7680" w:type="dxa"/>
            <w:vAlign w:val="bottom"/>
          </w:tcPr>
          <w:p>
            <w:pPr>
              <w:ind w:left="20"/>
              <w:spacing w:after="0"/>
              <w:rPr>
                <w:sz w:val="20"/>
                <w:szCs w:val="20"/>
                <w:color w:val="auto"/>
              </w:rPr>
            </w:pPr>
            <w:r>
              <w:rPr>
                <w:rFonts w:ascii="Arial" w:cs="Arial" w:eastAsia="Arial" w:hAnsi="Arial"/>
                <w:sz w:val="14"/>
                <w:szCs w:val="14"/>
                <w:color w:val="auto"/>
              </w:rPr>
              <w:t>Accounts payable and other liabilities</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711</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494</w:t>
            </w:r>
          </w:p>
        </w:tc>
      </w:tr>
      <w:tr>
        <w:trPr>
          <w:trHeight w:val="183"/>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shd w:val="clear" w:color="auto" w:fill="CFF0FC"/>
          </w:tcPr>
          <w:p>
            <w:pPr>
              <w:jc w:val="right"/>
              <w:ind w:right="92"/>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ind w:right="12"/>
              <w:spacing w:after="0"/>
              <w:rPr>
                <w:sz w:val="20"/>
                <w:szCs w:val="20"/>
                <w:color w:val="auto"/>
              </w:rPr>
            </w:pPr>
            <w:r>
              <w:rPr>
                <w:rFonts w:ascii="Arial" w:cs="Arial" w:eastAsia="Arial" w:hAnsi="Arial"/>
                <w:sz w:val="14"/>
                <w:szCs w:val="14"/>
                <w:color w:val="auto"/>
              </w:rPr>
              <w:t>380,221</w:t>
            </w:r>
          </w:p>
        </w:tc>
        <w:tc>
          <w:tcPr>
            <w:tcW w:w="420" w:type="dxa"/>
            <w:vAlign w:val="bottom"/>
            <w:gridSpan w:val="2"/>
            <w:shd w:val="clear" w:color="auto" w:fill="CFF0FC"/>
          </w:tcPr>
          <w:p>
            <w:pPr>
              <w:jc w:val="right"/>
              <w:ind w:right="92"/>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ind w:right="12"/>
              <w:spacing w:after="0"/>
              <w:rPr>
                <w:sz w:val="20"/>
                <w:szCs w:val="20"/>
                <w:color w:val="auto"/>
              </w:rPr>
            </w:pPr>
            <w:r>
              <w:rPr>
                <w:rFonts w:ascii="Arial" w:cs="Arial" w:eastAsia="Arial" w:hAnsi="Arial"/>
                <w:sz w:val="14"/>
                <w:szCs w:val="14"/>
                <w:color w:val="auto"/>
              </w:rPr>
              <w:t>464,980</w:t>
            </w:r>
          </w:p>
        </w:tc>
      </w:tr>
      <w:tr>
        <w:trPr>
          <w:trHeight w:val="183"/>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Commitments and contingencies (Note 7)</w:t>
            </w:r>
          </w:p>
        </w:tc>
        <w:tc>
          <w:tcPr>
            <w:tcW w:w="2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r>
      <w:tr>
        <w:trPr>
          <w:trHeight w:val="196"/>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NET ASSETS</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185"/>
        </w:trPr>
        <w:tc>
          <w:tcPr>
            <w:tcW w:w="7680" w:type="dxa"/>
            <w:vAlign w:val="bottom"/>
          </w:tcPr>
          <w:p>
            <w:pPr>
              <w:ind w:left="20"/>
              <w:spacing w:after="0"/>
              <w:rPr>
                <w:sz w:val="20"/>
                <w:szCs w:val="20"/>
                <w:color w:val="auto"/>
              </w:rPr>
            </w:pPr>
            <w:r>
              <w:rPr>
                <w:rFonts w:ascii="Arial" w:cs="Arial" w:eastAsia="Arial" w:hAnsi="Arial"/>
                <w:sz w:val="14"/>
                <w:szCs w:val="14"/>
                <w:color w:val="auto"/>
              </w:rPr>
              <w:t>Common stock, $0.001 par value (100,000,000 shares authorized, 24,437,400 and 24,437,400 shares</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6"/>
        </w:trPr>
        <w:tc>
          <w:tcPr>
            <w:tcW w:w="76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issued and outstanding at September 30, 2021 and December 31, 2020, respectively)</w:t>
            </w:r>
          </w:p>
        </w:tc>
        <w:tc>
          <w:tcPr>
            <w:tcW w:w="240" w:type="dxa"/>
            <w:vAlign w:val="bottom"/>
            <w:shd w:val="clear" w:color="auto" w:fill="CFF0FC"/>
          </w:tcPr>
          <w:p>
            <w:pPr>
              <w:jc w:val="right"/>
              <w:ind w:right="92"/>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ind w:right="12"/>
              <w:spacing w:after="0"/>
              <w:rPr>
                <w:sz w:val="20"/>
                <w:szCs w:val="20"/>
                <w:color w:val="auto"/>
              </w:rPr>
            </w:pPr>
            <w:r>
              <w:rPr>
                <w:rFonts w:ascii="Arial" w:cs="Arial" w:eastAsia="Arial" w:hAnsi="Arial"/>
                <w:sz w:val="14"/>
                <w:szCs w:val="14"/>
                <w:color w:val="auto"/>
              </w:rPr>
              <w:t>24</w:t>
            </w:r>
          </w:p>
        </w:tc>
        <w:tc>
          <w:tcPr>
            <w:tcW w:w="420" w:type="dxa"/>
            <w:vAlign w:val="bottom"/>
            <w:gridSpan w:val="2"/>
            <w:shd w:val="clear" w:color="auto" w:fill="CFF0FC"/>
          </w:tcPr>
          <w:p>
            <w:pPr>
              <w:jc w:val="right"/>
              <w:ind w:right="92"/>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ind w:right="12"/>
              <w:spacing w:after="0"/>
              <w:rPr>
                <w:sz w:val="20"/>
                <w:szCs w:val="20"/>
                <w:color w:val="auto"/>
              </w:rPr>
            </w:pPr>
            <w:r>
              <w:rPr>
                <w:rFonts w:ascii="Arial" w:cs="Arial" w:eastAsia="Arial" w:hAnsi="Arial"/>
                <w:sz w:val="14"/>
                <w:szCs w:val="14"/>
                <w:color w:val="auto"/>
              </w:rPr>
              <w:t>24</w:t>
            </w:r>
          </w:p>
        </w:tc>
      </w:tr>
      <w:tr>
        <w:trPr>
          <w:trHeight w:val="185"/>
        </w:trPr>
        <w:tc>
          <w:tcPr>
            <w:tcW w:w="768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16"/>
                <w:szCs w:val="16"/>
                <w:color w:val="auto"/>
              </w:rPr>
            </w:pPr>
          </w:p>
        </w:tc>
        <w:tc>
          <w:tcPr>
            <w:tcW w:w="1460" w:type="dxa"/>
            <w:vAlign w:val="bottom"/>
          </w:tcPr>
          <w:p>
            <w:pPr>
              <w:jc w:val="right"/>
              <w:ind w:right="12"/>
              <w:spacing w:after="0"/>
              <w:rPr>
                <w:sz w:val="20"/>
                <w:szCs w:val="20"/>
                <w:color w:val="auto"/>
              </w:rPr>
            </w:pPr>
            <w:r>
              <w:rPr>
                <w:rFonts w:ascii="Arial" w:cs="Arial" w:eastAsia="Arial" w:hAnsi="Arial"/>
                <w:sz w:val="14"/>
                <w:szCs w:val="14"/>
                <w:color w:val="auto"/>
              </w:rPr>
              <w:t>363,751</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12"/>
              <w:spacing w:after="0"/>
              <w:rPr>
                <w:sz w:val="20"/>
                <w:szCs w:val="20"/>
                <w:color w:val="auto"/>
              </w:rPr>
            </w:pPr>
            <w:r>
              <w:rPr>
                <w:rFonts w:ascii="Arial" w:cs="Arial" w:eastAsia="Arial" w:hAnsi="Arial"/>
                <w:sz w:val="14"/>
                <w:szCs w:val="14"/>
                <w:color w:val="auto"/>
              </w:rPr>
              <w:t>363,751</w:t>
            </w:r>
          </w:p>
        </w:tc>
      </w:tr>
      <w:tr>
        <w:trPr>
          <w:trHeight w:val="190"/>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distributable earnings</w:t>
            </w:r>
          </w:p>
        </w:tc>
        <w:tc>
          <w:tcPr>
            <w:tcW w:w="24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4"/>
                <w:szCs w:val="14"/>
                <w:color w:val="auto"/>
              </w:rPr>
              <w:t>83,770</w:t>
            </w:r>
          </w:p>
        </w:tc>
        <w:tc>
          <w:tcPr>
            <w:tcW w:w="1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4"/>
                <w:szCs w:val="14"/>
                <w:color w:val="auto"/>
              </w:rPr>
              <w:t>46,985</w:t>
            </w:r>
          </w:p>
        </w:tc>
      </w:tr>
      <w:tr>
        <w:trPr>
          <w:trHeight w:val="183"/>
        </w:trPr>
        <w:tc>
          <w:tcPr>
            <w:tcW w:w="7680" w:type="dxa"/>
            <w:vAlign w:val="bottom"/>
          </w:tcPr>
          <w:p>
            <w:pPr>
              <w:ind w:left="20"/>
              <w:spacing w:after="0"/>
              <w:rPr>
                <w:sz w:val="20"/>
                <w:szCs w:val="20"/>
                <w:color w:val="auto"/>
              </w:rPr>
            </w:pPr>
            <w:r>
              <w:rPr>
                <w:rFonts w:ascii="Arial" w:cs="Arial" w:eastAsia="Arial" w:hAnsi="Arial"/>
                <w:sz w:val="14"/>
                <w:szCs w:val="14"/>
                <w:b w:val="1"/>
                <w:bCs w:val="1"/>
                <w:color w:val="auto"/>
              </w:rPr>
              <w:t>Total net assets</w:t>
            </w: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447,545</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410,760</w:t>
            </w:r>
          </w:p>
        </w:tc>
      </w:tr>
      <w:tr>
        <w:trPr>
          <w:trHeight w:val="228"/>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Total liabilities and net assets</w:t>
            </w:r>
          </w:p>
        </w:tc>
        <w:tc>
          <w:tcPr>
            <w:tcW w:w="240" w:type="dxa"/>
            <w:vAlign w:val="bottom"/>
            <w:tcBorders>
              <w:bottom w:val="single" w:sz="8" w:color="auto"/>
            </w:tcBorders>
            <w:shd w:val="clear" w:color="auto" w:fill="CFF0FC"/>
          </w:tcPr>
          <w:p>
            <w:pPr>
              <w:jc w:val="right"/>
              <w:ind w:right="92"/>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4"/>
                <w:szCs w:val="14"/>
                <w:color w:val="auto"/>
              </w:rPr>
              <w:t>827,766</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92"/>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4"/>
                <w:szCs w:val="14"/>
                <w:color w:val="auto"/>
              </w:rPr>
              <w:t>875,740</w:t>
            </w:r>
          </w:p>
        </w:tc>
      </w:tr>
      <w:tr>
        <w:trPr>
          <w:trHeight w:val="168"/>
        </w:trPr>
        <w:tc>
          <w:tcPr>
            <w:tcW w:w="7680" w:type="dxa"/>
            <w:vAlign w:val="bottom"/>
          </w:tcPr>
          <w:p>
            <w:pPr>
              <w:ind w:left="20"/>
              <w:spacing w:after="0"/>
              <w:rPr>
                <w:sz w:val="20"/>
                <w:szCs w:val="20"/>
                <w:color w:val="auto"/>
              </w:rPr>
            </w:pPr>
            <w:r>
              <w:rPr>
                <w:rFonts w:ascii="Arial" w:cs="Arial" w:eastAsia="Arial" w:hAnsi="Arial"/>
                <w:sz w:val="14"/>
                <w:szCs w:val="14"/>
                <w:b w:val="1"/>
                <w:bCs w:val="1"/>
                <w:color w:val="auto"/>
              </w:rPr>
              <w:t>Net asset value per common share</w:t>
            </w:r>
          </w:p>
        </w:tc>
        <w:tc>
          <w:tcPr>
            <w:tcW w:w="240" w:type="dxa"/>
            <w:vAlign w:val="bottom"/>
          </w:tcPr>
          <w:p>
            <w:pPr>
              <w:jc w:val="right"/>
              <w:ind w:right="92"/>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12"/>
              <w:spacing w:after="0"/>
              <w:rPr>
                <w:sz w:val="20"/>
                <w:szCs w:val="20"/>
                <w:color w:val="auto"/>
              </w:rPr>
            </w:pPr>
            <w:r>
              <w:rPr>
                <w:rFonts w:ascii="Arial" w:cs="Arial" w:eastAsia="Arial" w:hAnsi="Arial"/>
                <w:sz w:val="14"/>
                <w:szCs w:val="14"/>
                <w:color w:val="auto"/>
              </w:rPr>
              <w:t>18.31</w:t>
            </w:r>
          </w:p>
        </w:tc>
        <w:tc>
          <w:tcPr>
            <w:tcW w:w="420" w:type="dxa"/>
            <w:vAlign w:val="bottom"/>
            <w:gridSpan w:val="2"/>
          </w:tcPr>
          <w:p>
            <w:pPr>
              <w:jc w:val="right"/>
              <w:ind w:right="92"/>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2"/>
              <w:spacing w:after="0"/>
              <w:rPr>
                <w:sz w:val="20"/>
                <w:szCs w:val="20"/>
                <w:color w:val="auto"/>
              </w:rPr>
            </w:pPr>
            <w:r>
              <w:rPr>
                <w:rFonts w:ascii="Arial" w:cs="Arial" w:eastAsia="Arial" w:hAnsi="Arial"/>
                <w:sz w:val="14"/>
                <w:szCs w:val="14"/>
                <w:color w:val="auto"/>
              </w:rPr>
              <w:t>16.81</w:t>
            </w:r>
          </w:p>
        </w:tc>
      </w:tr>
      <w:tr>
        <w:trPr>
          <w:trHeight w:val="20"/>
        </w:trPr>
        <w:tc>
          <w:tcPr>
            <w:tcW w:w="7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5958205</wp:posOffset>
            </wp:positionH>
            <wp:positionV relativeFrom="paragraph">
              <wp:posOffset>-3377565</wp:posOffset>
            </wp:positionV>
            <wp:extent cx="112395" cy="5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395" cy="5080"/>
                    </a:xfrm>
                    <a:prstGeom prst="rect">
                      <a:avLst/>
                    </a:prstGeom>
                    <a:noFill/>
                  </pic:spPr>
                </pic:pic>
              </a:graphicData>
            </a:graphic>
          </wp:anchor>
        </w:drawing>
        <w:drawing>
          <wp:anchor simplePos="0" relativeHeight="251657728" behindDoc="1" locked="0" layoutInCell="0" allowOverlap="1">
            <wp:simplePos x="0" y="0"/>
            <wp:positionH relativeFrom="column">
              <wp:posOffset>5958205</wp:posOffset>
            </wp:positionH>
            <wp:positionV relativeFrom="paragraph">
              <wp:posOffset>-2886710</wp:posOffset>
            </wp:positionV>
            <wp:extent cx="112395" cy="5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2395" cy="5080"/>
                    </a:xfrm>
                    <a:prstGeom prst="rect">
                      <a:avLst/>
                    </a:prstGeom>
                    <a:noFill/>
                  </pic:spPr>
                </pic:pic>
              </a:graphicData>
            </a:graphic>
          </wp:anchor>
        </w:drawing>
        <w:drawing>
          <wp:anchor simplePos="0" relativeHeight="251657728" behindDoc="1" locked="0" layoutInCell="0" allowOverlap="1">
            <wp:simplePos x="0" y="0"/>
            <wp:positionH relativeFrom="column">
              <wp:posOffset>5958205</wp:posOffset>
            </wp:positionH>
            <wp:positionV relativeFrom="paragraph">
              <wp:posOffset>-1155700</wp:posOffset>
            </wp:positionV>
            <wp:extent cx="112395" cy="50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2395" cy="5080"/>
                    </a:xfrm>
                    <a:prstGeom prst="rect">
                      <a:avLst/>
                    </a:prstGeom>
                    <a:noFill/>
                  </pic:spPr>
                </pic:pic>
              </a:graphicData>
            </a:graphic>
          </wp:anchor>
        </w:drawing>
        <w:drawing>
          <wp:anchor simplePos="0" relativeHeight="251657728" behindDoc="1" locked="0" layoutInCell="0" allowOverlap="1">
            <wp:simplePos x="0" y="0"/>
            <wp:positionH relativeFrom="column">
              <wp:posOffset>5958205</wp:posOffset>
            </wp:positionH>
            <wp:positionV relativeFrom="paragraph">
              <wp:posOffset>-423545</wp:posOffset>
            </wp:positionV>
            <wp:extent cx="112395" cy="5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2395" cy="5080"/>
                    </a:xfrm>
                    <a:prstGeom prst="rect">
                      <a:avLst/>
                    </a:prstGeom>
                    <a:noFill/>
                  </pic:spPr>
                </pic:pic>
              </a:graphicData>
            </a:graphic>
          </wp:anchor>
        </w:drawing>
        <w:drawing>
          <wp:anchor simplePos="0" relativeHeight="251657728" behindDoc="1" locked="0" layoutInCell="0" allowOverlap="1">
            <wp:simplePos x="0" y="0"/>
            <wp:positionH relativeFrom="column">
              <wp:posOffset>5958205</wp:posOffset>
            </wp:positionH>
            <wp:positionV relativeFrom="paragraph">
              <wp:posOffset>-168275</wp:posOffset>
            </wp:positionV>
            <wp:extent cx="1123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5958205</wp:posOffset>
            </wp:positionH>
            <wp:positionV relativeFrom="paragraph">
              <wp:posOffset>-152400</wp:posOffset>
            </wp:positionV>
            <wp:extent cx="1123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2395" cy="8255"/>
                    </a:xfrm>
                    <a:prstGeom prst="rect">
                      <a:avLst/>
                    </a:prstGeom>
                    <a:noFill/>
                  </pic:spPr>
                </pic:pic>
              </a:graphicData>
            </a:graphic>
          </wp:anchor>
        </w:drawing>
      </w:r>
    </w:p>
    <w:p>
      <w:pPr>
        <w:spacing w:after="0" w:line="196" w:lineRule="exact"/>
        <w:rPr>
          <w:sz w:val="20"/>
          <w:szCs w:val="20"/>
          <w:color w:val="auto"/>
        </w:rPr>
      </w:pPr>
    </w:p>
    <w:p>
      <w:pPr>
        <w:jc w:val="center"/>
        <w:ind w:right="-99"/>
        <w:spacing w:after="0"/>
        <w:rPr>
          <w:sz w:val="20"/>
          <w:szCs w:val="20"/>
          <w:color w:val="auto"/>
        </w:rPr>
      </w:pPr>
      <w:r>
        <w:rPr>
          <w:rFonts w:ascii="Arial" w:cs="Arial" w:eastAsia="Arial" w:hAnsi="Arial"/>
          <w:sz w:val="17"/>
          <w:szCs w:val="17"/>
          <w:i w:val="1"/>
          <w:iCs w:val="1"/>
          <w:color w:val="auto"/>
        </w:rPr>
        <w:t>See Notes to Consolidated Financial Statements (unaudited).</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 (unaudited)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20" w:type="dxa"/>
            <w:vAlign w:val="bottom"/>
            <w:gridSpan w:val="3"/>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3"/>
          </w:tcPr>
          <w:p>
            <w:pPr>
              <w:jc w:val="right"/>
              <w:spacing w:after="0"/>
              <w:rPr>
                <w:sz w:val="20"/>
                <w:szCs w:val="20"/>
                <w:color w:val="auto"/>
              </w:rPr>
            </w:pPr>
            <w:r>
              <w:rPr>
                <w:rFonts w:ascii="Arial" w:cs="Arial" w:eastAsia="Arial" w:hAnsi="Arial"/>
                <w:sz w:val="12"/>
                <w:szCs w:val="12"/>
                <w:b w:val="1"/>
                <w:bCs w:val="1"/>
                <w:color w:val="auto"/>
              </w:rPr>
              <w:t>Nine Months Ended</w:t>
            </w:r>
          </w:p>
        </w:tc>
        <w:tc>
          <w:tcPr>
            <w:tcW w:w="840" w:type="dxa"/>
            <w:vAlign w:val="bottom"/>
          </w:tcPr>
          <w:p>
            <w:pPr>
              <w:spacing w:after="0"/>
              <w:rPr>
                <w:sz w:val="13"/>
                <w:szCs w:val="13"/>
                <w:color w:val="auto"/>
              </w:rPr>
            </w:pPr>
          </w:p>
        </w:tc>
      </w:tr>
      <w:tr>
        <w:trPr>
          <w:trHeight w:val="187"/>
        </w:trPr>
        <w:tc>
          <w:tcPr>
            <w:tcW w:w="5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61"/>
              <w:spacing w:after="0"/>
              <w:rPr>
                <w:sz w:val="20"/>
                <w:szCs w:val="20"/>
                <w:color w:val="auto"/>
              </w:rPr>
            </w:pPr>
            <w:r>
              <w:rPr>
                <w:rFonts w:ascii="Arial" w:cs="Arial" w:eastAsia="Arial" w:hAnsi="Arial"/>
                <w:sz w:val="12"/>
                <w:szCs w:val="12"/>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2"/>
                <w:szCs w:val="12"/>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70"/>
        </w:trPr>
        <w:tc>
          <w:tcPr>
            <w:tcW w:w="5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41"/>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21"/>
              <w:spacing w:after="0"/>
              <w:rPr>
                <w:sz w:val="20"/>
                <w:szCs w:val="20"/>
                <w:color w:val="auto"/>
              </w:rPr>
            </w:pPr>
            <w:r>
              <w:rPr>
                <w:rFonts w:ascii="Arial" w:cs="Arial" w:eastAsia="Arial" w:hAnsi="Arial"/>
                <w:sz w:val="12"/>
                <w:szCs w:val="12"/>
                <w:b w:val="1"/>
                <w:bCs w:val="1"/>
                <w:color w:val="auto"/>
                <w:w w:val="89"/>
              </w:rPr>
              <w:t>2020</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21"/>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01"/>
              <w:spacing w:after="0"/>
              <w:rPr>
                <w:sz w:val="20"/>
                <w:szCs w:val="20"/>
                <w:color w:val="auto"/>
              </w:rPr>
            </w:pPr>
            <w:r>
              <w:rPr>
                <w:rFonts w:ascii="Arial" w:cs="Arial" w:eastAsia="Arial" w:hAnsi="Arial"/>
                <w:sz w:val="12"/>
                <w:szCs w:val="12"/>
                <w:b w:val="1"/>
                <w:bCs w:val="1"/>
                <w:color w:val="auto"/>
                <w:w w:val="97"/>
              </w:rPr>
              <w:t>2020</w:t>
            </w:r>
          </w:p>
        </w:tc>
      </w:tr>
      <w:tr>
        <w:trPr>
          <w:trHeight w:val="177"/>
        </w:trPr>
        <w:tc>
          <w:tcPr>
            <w:tcW w:w="5720" w:type="dxa"/>
            <w:vAlign w:val="bottom"/>
            <w:shd w:val="clear" w:color="auto" w:fill="CFF0FC"/>
          </w:tcPr>
          <w:p>
            <w:pPr>
              <w:ind w:left="20"/>
              <w:spacing w:after="0"/>
              <w:rPr>
                <w:sz w:val="20"/>
                <w:szCs w:val="20"/>
                <w:color w:val="auto"/>
              </w:rPr>
            </w:pPr>
            <w:r>
              <w:rPr>
                <w:rFonts w:ascii="Arial" w:cs="Arial" w:eastAsia="Arial" w:hAnsi="Arial"/>
                <w:sz w:val="12"/>
                <w:szCs w:val="12"/>
                <w:b w:val="1"/>
                <w:bCs w:val="1"/>
                <w:color w:val="auto"/>
              </w:rPr>
              <w:t>Investment Income:</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69"/>
        </w:trPr>
        <w:tc>
          <w:tcPr>
            <w:tcW w:w="5720" w:type="dxa"/>
            <w:vAlign w:val="bottom"/>
          </w:tcPr>
          <w:p>
            <w:pPr>
              <w:ind w:left="140"/>
              <w:spacing w:after="0"/>
              <w:rPr>
                <w:sz w:val="20"/>
                <w:szCs w:val="20"/>
                <w:color w:val="auto"/>
              </w:rPr>
            </w:pPr>
            <w:r>
              <w:rPr>
                <w:rFonts w:ascii="Arial" w:cs="Arial" w:eastAsia="Arial" w:hAnsi="Arial"/>
                <w:sz w:val="12"/>
                <w:szCs w:val="12"/>
                <w:color w:val="auto"/>
              </w:rPr>
              <w:t>Interest income</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6"/>
        </w:trPr>
        <w:tc>
          <w:tcPr>
            <w:tcW w:w="5720" w:type="dxa"/>
            <w:vAlign w:val="bottom"/>
            <w:shd w:val="clear" w:color="auto" w:fill="CFF0FC"/>
          </w:tcPr>
          <w:p>
            <w:pPr>
              <w:ind w:left="280"/>
              <w:spacing w:after="0"/>
              <w:rPr>
                <w:sz w:val="20"/>
                <w:szCs w:val="20"/>
                <w:color w:val="auto"/>
              </w:rPr>
            </w:pPr>
            <w:r>
              <w:rPr>
                <w:rFonts w:ascii="Arial" w:cs="Arial" w:eastAsia="Arial" w:hAnsi="Arial"/>
                <w:sz w:val="12"/>
                <w:szCs w:val="12"/>
                <w:color w:val="auto"/>
              </w:rPr>
              <w:t>Control investments</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FF0FC"/>
          </w:tcPr>
          <w:p>
            <w:pPr>
              <w:jc w:val="right"/>
              <w:ind w:right="61"/>
              <w:spacing w:after="0"/>
              <w:rPr>
                <w:sz w:val="20"/>
                <w:szCs w:val="20"/>
                <w:color w:val="auto"/>
              </w:rPr>
            </w:pPr>
            <w:r>
              <w:rPr>
                <w:rFonts w:ascii="Arial" w:cs="Arial" w:eastAsia="Arial" w:hAnsi="Arial"/>
                <w:sz w:val="12"/>
                <w:szCs w:val="12"/>
                <w:color w:val="auto"/>
              </w:rPr>
              <w:t>927</w:t>
            </w:r>
          </w:p>
        </w:tc>
        <w:tc>
          <w:tcPr>
            <w:tcW w:w="580" w:type="dxa"/>
            <w:vAlign w:val="bottom"/>
            <w:gridSpan w:val="2"/>
            <w:shd w:val="clear" w:color="auto" w:fill="CFF0FC"/>
          </w:tcPr>
          <w:p>
            <w:pPr>
              <w:jc w:val="right"/>
              <w:ind w:right="321"/>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467</w:t>
            </w:r>
          </w:p>
        </w:tc>
        <w:tc>
          <w:tcPr>
            <w:tcW w:w="380" w:type="dxa"/>
            <w:vAlign w:val="bottom"/>
            <w:gridSpan w:val="2"/>
            <w:shd w:val="clear" w:color="auto" w:fill="CFF0FC"/>
          </w:tcPr>
          <w:p>
            <w:pPr>
              <w:jc w:val="right"/>
              <w:ind w:right="153"/>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2,495</w:t>
            </w:r>
          </w:p>
        </w:tc>
        <w:tc>
          <w:tcPr>
            <w:tcW w:w="540" w:type="dxa"/>
            <w:vAlign w:val="bottom"/>
            <w:gridSpan w:val="2"/>
            <w:shd w:val="clear" w:color="auto" w:fill="CFF0FC"/>
          </w:tcPr>
          <w:p>
            <w:pPr>
              <w:jc w:val="right"/>
              <w:ind w:right="301"/>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1,348</w:t>
            </w:r>
          </w:p>
        </w:tc>
      </w:tr>
      <w:tr>
        <w:trPr>
          <w:trHeight w:val="169"/>
        </w:trPr>
        <w:tc>
          <w:tcPr>
            <w:tcW w:w="5720" w:type="dxa"/>
            <w:vAlign w:val="bottom"/>
          </w:tcPr>
          <w:p>
            <w:pPr>
              <w:ind w:left="280"/>
              <w:spacing w:after="0"/>
              <w:rPr>
                <w:sz w:val="20"/>
                <w:szCs w:val="20"/>
                <w:color w:val="auto"/>
              </w:rPr>
            </w:pPr>
            <w:r>
              <w:rPr>
                <w:rFonts w:ascii="Arial" w:cs="Arial" w:eastAsia="Arial" w:hAnsi="Arial"/>
                <w:sz w:val="12"/>
                <w:szCs w:val="12"/>
                <w:color w:val="auto"/>
              </w:rPr>
              <w:t>Affiliate investments</w:t>
            </w:r>
          </w:p>
        </w:tc>
        <w:tc>
          <w:tcPr>
            <w:tcW w:w="28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537</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849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41"/>
              <w:spacing w:after="0"/>
              <w:rPr>
                <w:sz w:val="20"/>
                <w:szCs w:val="20"/>
                <w:color w:val="auto"/>
              </w:rPr>
            </w:pPr>
            <w:r>
              <w:rPr>
                <w:rFonts w:ascii="Arial" w:cs="Arial" w:eastAsia="Arial" w:hAnsi="Arial"/>
                <w:sz w:val="12"/>
                <w:szCs w:val="12"/>
                <w:color w:val="auto"/>
              </w:rPr>
              <w:t>2,096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2,663</w:t>
            </w:r>
          </w:p>
        </w:tc>
      </w:tr>
      <w:tr>
        <w:trPr>
          <w:trHeight w:val="179"/>
        </w:trPr>
        <w:tc>
          <w:tcPr>
            <w:tcW w:w="57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2"/>
                <w:szCs w:val="12"/>
                <w:color w:val="auto"/>
              </w:rPr>
              <w:t>Non-control/non-affiliate investments</w:t>
            </w:r>
          </w:p>
        </w:tc>
        <w:tc>
          <w:tcPr>
            <w:tcW w:w="28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2"/>
                <w:szCs w:val="12"/>
                <w:color w:val="auto"/>
              </w:rPr>
              <w:t>16,395</w:t>
            </w:r>
          </w:p>
        </w:tc>
        <w:tc>
          <w:tcPr>
            <w:tcW w:w="12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2"/>
                <w:szCs w:val="12"/>
                <w:color w:val="auto"/>
              </w:rPr>
              <w:t>17,449</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2"/>
                <w:szCs w:val="12"/>
                <w:color w:val="auto"/>
              </w:rPr>
              <w:t>50,197</w:t>
            </w:r>
          </w:p>
        </w:tc>
        <w:tc>
          <w:tcPr>
            <w:tcW w:w="10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2"/>
                <w:szCs w:val="12"/>
                <w:color w:val="auto"/>
              </w:rPr>
              <w:t>51,060</w:t>
            </w:r>
          </w:p>
        </w:tc>
      </w:tr>
      <w:tr>
        <w:trPr>
          <w:trHeight w:val="169"/>
        </w:trPr>
        <w:tc>
          <w:tcPr>
            <w:tcW w:w="5720" w:type="dxa"/>
            <w:vAlign w:val="bottom"/>
          </w:tcPr>
          <w:p>
            <w:pPr>
              <w:ind w:left="420"/>
              <w:spacing w:after="0"/>
              <w:rPr>
                <w:sz w:val="20"/>
                <w:szCs w:val="20"/>
                <w:color w:val="auto"/>
              </w:rPr>
            </w:pPr>
            <w:r>
              <w:rPr>
                <w:rFonts w:ascii="Arial" w:cs="Arial" w:eastAsia="Arial" w:hAnsi="Arial"/>
                <w:sz w:val="12"/>
                <w:szCs w:val="12"/>
                <w:color w:val="auto"/>
              </w:rPr>
              <w:t>Total interest income</w:t>
            </w:r>
          </w:p>
        </w:tc>
        <w:tc>
          <w:tcPr>
            <w:tcW w:w="28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17,859</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18,765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41"/>
              <w:spacing w:after="0"/>
              <w:rPr>
                <w:sz w:val="20"/>
                <w:szCs w:val="20"/>
                <w:color w:val="auto"/>
              </w:rPr>
            </w:pPr>
            <w:r>
              <w:rPr>
                <w:rFonts w:ascii="Arial" w:cs="Arial" w:eastAsia="Arial" w:hAnsi="Arial"/>
                <w:sz w:val="12"/>
                <w:szCs w:val="12"/>
                <w:color w:val="auto"/>
              </w:rPr>
              <w:t>54,788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55,071</w:t>
            </w:r>
          </w:p>
        </w:tc>
      </w:tr>
      <w:tr>
        <w:trPr>
          <w:trHeight w:val="186"/>
        </w:trPr>
        <w:tc>
          <w:tcPr>
            <w:tcW w:w="5720" w:type="dxa"/>
            <w:vAlign w:val="bottom"/>
            <w:shd w:val="clear" w:color="auto" w:fill="CFF0FC"/>
          </w:tcPr>
          <w:p>
            <w:pPr>
              <w:ind w:left="140"/>
              <w:spacing w:after="0"/>
              <w:rPr>
                <w:sz w:val="20"/>
                <w:szCs w:val="20"/>
                <w:color w:val="auto"/>
              </w:rPr>
            </w:pPr>
            <w:r>
              <w:rPr>
                <w:rFonts w:ascii="Arial" w:cs="Arial" w:eastAsia="Arial" w:hAnsi="Arial"/>
                <w:sz w:val="12"/>
                <w:szCs w:val="12"/>
                <w:color w:val="auto"/>
              </w:rPr>
              <w:t>Payment-in-kind interest income</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r>
      <w:tr>
        <w:trPr>
          <w:trHeight w:val="169"/>
        </w:trPr>
        <w:tc>
          <w:tcPr>
            <w:tcW w:w="5720" w:type="dxa"/>
            <w:vAlign w:val="bottom"/>
          </w:tcPr>
          <w:p>
            <w:pPr>
              <w:ind w:left="280"/>
              <w:spacing w:after="0"/>
              <w:rPr>
                <w:sz w:val="20"/>
                <w:szCs w:val="20"/>
                <w:color w:val="auto"/>
              </w:rPr>
            </w:pPr>
            <w:r>
              <w:rPr>
                <w:rFonts w:ascii="Arial" w:cs="Arial" w:eastAsia="Arial" w:hAnsi="Arial"/>
                <w:sz w:val="12"/>
                <w:szCs w:val="12"/>
                <w:color w:val="auto"/>
              </w:rPr>
              <w:t>Control investments</w:t>
            </w:r>
          </w:p>
        </w:tc>
        <w:tc>
          <w:tcPr>
            <w:tcW w:w="28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724</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453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41"/>
              <w:spacing w:after="0"/>
              <w:rPr>
                <w:sz w:val="20"/>
                <w:szCs w:val="20"/>
                <w:color w:val="auto"/>
              </w:rPr>
            </w:pPr>
            <w:r>
              <w:rPr>
                <w:rFonts w:ascii="Arial" w:cs="Arial" w:eastAsia="Arial" w:hAnsi="Arial"/>
                <w:sz w:val="12"/>
                <w:szCs w:val="12"/>
                <w:color w:val="auto"/>
              </w:rPr>
              <w:t>1,661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1,323</w:t>
            </w:r>
          </w:p>
        </w:tc>
      </w:tr>
      <w:tr>
        <w:trPr>
          <w:trHeight w:val="186"/>
        </w:trPr>
        <w:tc>
          <w:tcPr>
            <w:tcW w:w="5720" w:type="dxa"/>
            <w:vAlign w:val="bottom"/>
            <w:shd w:val="clear" w:color="auto" w:fill="CFF0FC"/>
          </w:tcPr>
          <w:p>
            <w:pPr>
              <w:ind w:left="280"/>
              <w:spacing w:after="0"/>
              <w:rPr>
                <w:sz w:val="20"/>
                <w:szCs w:val="20"/>
                <w:color w:val="auto"/>
              </w:rPr>
            </w:pPr>
            <w:r>
              <w:rPr>
                <w:rFonts w:ascii="Arial" w:cs="Arial" w:eastAsia="Arial" w:hAnsi="Arial"/>
                <w:sz w:val="12"/>
                <w:szCs w:val="12"/>
                <w:color w:val="auto"/>
              </w:rPr>
              <w:t>Affiliate investments</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61"/>
              <w:spacing w:after="0"/>
              <w:rPr>
                <w:sz w:val="20"/>
                <w:szCs w:val="20"/>
                <w:color w:val="auto"/>
              </w:rPr>
            </w:pPr>
            <w:r>
              <w:rPr>
                <w:rFonts w:ascii="Arial" w:cs="Arial" w:eastAsia="Arial" w:hAnsi="Arial"/>
                <w:sz w:val="12"/>
                <w:szCs w:val="12"/>
                <w:color w:val="auto"/>
              </w:rPr>
              <w:t>86</w:t>
            </w: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106</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281</w:t>
            </w:r>
          </w:p>
        </w:tc>
        <w:tc>
          <w:tcPr>
            <w:tcW w:w="1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175</w:t>
            </w:r>
          </w:p>
        </w:tc>
      </w:tr>
      <w:tr>
        <w:trPr>
          <w:trHeight w:val="170"/>
        </w:trPr>
        <w:tc>
          <w:tcPr>
            <w:tcW w:w="5720" w:type="dxa"/>
            <w:vAlign w:val="bottom"/>
          </w:tcPr>
          <w:p>
            <w:pPr>
              <w:ind w:left="280"/>
              <w:spacing w:after="0"/>
              <w:rPr>
                <w:sz w:val="20"/>
                <w:szCs w:val="20"/>
                <w:color w:val="auto"/>
              </w:rPr>
            </w:pPr>
            <w:r>
              <w:rPr>
                <w:rFonts w:ascii="Arial" w:cs="Arial" w:eastAsia="Arial" w:hAnsi="Arial"/>
                <w:sz w:val="12"/>
                <w:szCs w:val="12"/>
                <w:color w:val="auto"/>
              </w:rPr>
              <w:t>Non-control/non-affiliate investments</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450</w:t>
            </w:r>
          </w:p>
        </w:tc>
        <w:tc>
          <w:tcPr>
            <w:tcW w:w="1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690</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1,390</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2,013</w:t>
            </w:r>
          </w:p>
        </w:tc>
      </w:tr>
      <w:tr>
        <w:trPr>
          <w:trHeight w:val="177"/>
        </w:trPr>
        <w:tc>
          <w:tcPr>
            <w:tcW w:w="5720" w:type="dxa"/>
            <w:vAlign w:val="bottom"/>
            <w:shd w:val="clear" w:color="auto" w:fill="CFF0FC"/>
          </w:tcPr>
          <w:p>
            <w:pPr>
              <w:ind w:left="420"/>
              <w:spacing w:after="0"/>
              <w:rPr>
                <w:sz w:val="20"/>
                <w:szCs w:val="20"/>
                <w:color w:val="auto"/>
              </w:rPr>
            </w:pPr>
            <w:r>
              <w:rPr>
                <w:rFonts w:ascii="Arial" w:cs="Arial" w:eastAsia="Arial" w:hAnsi="Arial"/>
                <w:sz w:val="12"/>
                <w:szCs w:val="12"/>
                <w:color w:val="auto"/>
              </w:rPr>
              <w:t>Total payment-in-kind interest income</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61"/>
              <w:spacing w:after="0"/>
              <w:rPr>
                <w:sz w:val="20"/>
                <w:szCs w:val="20"/>
                <w:color w:val="auto"/>
              </w:rPr>
            </w:pPr>
            <w:r>
              <w:rPr>
                <w:rFonts w:ascii="Arial" w:cs="Arial" w:eastAsia="Arial" w:hAnsi="Arial"/>
                <w:sz w:val="12"/>
                <w:szCs w:val="12"/>
                <w:color w:val="auto"/>
              </w:rPr>
              <w:t>1,260</w:t>
            </w: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1,249</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3,332</w:t>
            </w: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3,511</w:t>
            </w:r>
          </w:p>
        </w:tc>
      </w:tr>
      <w:tr>
        <w:trPr>
          <w:trHeight w:val="169"/>
        </w:trPr>
        <w:tc>
          <w:tcPr>
            <w:tcW w:w="5720" w:type="dxa"/>
            <w:vAlign w:val="bottom"/>
          </w:tcPr>
          <w:p>
            <w:pPr>
              <w:ind w:left="140"/>
              <w:spacing w:after="0"/>
              <w:rPr>
                <w:sz w:val="20"/>
                <w:szCs w:val="20"/>
                <w:color w:val="auto"/>
              </w:rPr>
            </w:pPr>
            <w:r>
              <w:rPr>
                <w:rFonts w:ascii="Arial" w:cs="Arial" w:eastAsia="Arial" w:hAnsi="Arial"/>
                <w:sz w:val="12"/>
                <w:szCs w:val="12"/>
                <w:color w:val="auto"/>
              </w:rPr>
              <w:t>Dividend income</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6"/>
        </w:trPr>
        <w:tc>
          <w:tcPr>
            <w:tcW w:w="5720" w:type="dxa"/>
            <w:vAlign w:val="bottom"/>
            <w:shd w:val="clear" w:color="auto" w:fill="CFF0FC"/>
          </w:tcPr>
          <w:p>
            <w:pPr>
              <w:ind w:left="280"/>
              <w:spacing w:after="0"/>
              <w:rPr>
                <w:sz w:val="20"/>
                <w:szCs w:val="20"/>
                <w:color w:val="auto"/>
              </w:rPr>
            </w:pPr>
            <w:r>
              <w:rPr>
                <w:rFonts w:ascii="Arial" w:cs="Arial" w:eastAsia="Arial" w:hAnsi="Arial"/>
                <w:sz w:val="12"/>
                <w:szCs w:val="12"/>
                <w:color w:val="auto"/>
              </w:rPr>
              <w:t>Control investments</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568</w:t>
            </w:r>
          </w:p>
        </w:tc>
        <w:tc>
          <w:tcPr>
            <w:tcW w:w="1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w:t>
            </w:r>
          </w:p>
        </w:tc>
      </w:tr>
      <w:tr>
        <w:trPr>
          <w:trHeight w:val="169"/>
        </w:trPr>
        <w:tc>
          <w:tcPr>
            <w:tcW w:w="5720" w:type="dxa"/>
            <w:vAlign w:val="bottom"/>
          </w:tcPr>
          <w:p>
            <w:pPr>
              <w:ind w:left="280"/>
              <w:spacing w:after="0"/>
              <w:rPr>
                <w:sz w:val="20"/>
                <w:szCs w:val="20"/>
                <w:color w:val="auto"/>
              </w:rPr>
            </w:pPr>
            <w:r>
              <w:rPr>
                <w:rFonts w:ascii="Arial" w:cs="Arial" w:eastAsia="Arial" w:hAnsi="Arial"/>
                <w:sz w:val="12"/>
                <w:szCs w:val="12"/>
                <w:color w:val="auto"/>
              </w:rPr>
              <w:t>Affiliate investments</w:t>
            </w:r>
          </w:p>
        </w:tc>
        <w:tc>
          <w:tcPr>
            <w:tcW w:w="28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357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41"/>
              <w:spacing w:after="0"/>
              <w:rPr>
                <w:sz w:val="20"/>
                <w:szCs w:val="20"/>
                <w:color w:val="auto"/>
              </w:rPr>
            </w:pPr>
            <w:r>
              <w:rPr>
                <w:rFonts w:ascii="Arial" w:cs="Arial" w:eastAsia="Arial" w:hAnsi="Arial"/>
                <w:sz w:val="12"/>
                <w:szCs w:val="12"/>
                <w:color w:val="auto"/>
              </w:rPr>
              <w:t>110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465</w:t>
            </w:r>
          </w:p>
        </w:tc>
      </w:tr>
      <w:tr>
        <w:trPr>
          <w:trHeight w:val="179"/>
        </w:trPr>
        <w:tc>
          <w:tcPr>
            <w:tcW w:w="57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2"/>
                <w:szCs w:val="12"/>
                <w:color w:val="auto"/>
              </w:rPr>
              <w:t>Non-control/non-affiliate investments</w:t>
            </w:r>
          </w:p>
        </w:tc>
        <w:tc>
          <w:tcPr>
            <w:tcW w:w="28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2"/>
                <w:szCs w:val="12"/>
                <w:color w:val="auto"/>
              </w:rPr>
              <w:t>457</w:t>
            </w:r>
          </w:p>
        </w:tc>
        <w:tc>
          <w:tcPr>
            <w:tcW w:w="12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2"/>
                <w:szCs w:val="12"/>
                <w:color w:val="auto"/>
              </w:rPr>
              <w:t>114</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2"/>
                <w:szCs w:val="12"/>
                <w:color w:val="auto"/>
              </w:rPr>
              <w:t>699</w:t>
            </w:r>
          </w:p>
        </w:tc>
        <w:tc>
          <w:tcPr>
            <w:tcW w:w="10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2"/>
                <w:szCs w:val="12"/>
                <w:color w:val="auto"/>
              </w:rPr>
              <w:t>160</w:t>
            </w:r>
          </w:p>
        </w:tc>
      </w:tr>
      <w:tr>
        <w:trPr>
          <w:trHeight w:val="169"/>
        </w:trPr>
        <w:tc>
          <w:tcPr>
            <w:tcW w:w="5720" w:type="dxa"/>
            <w:vAlign w:val="bottom"/>
          </w:tcPr>
          <w:p>
            <w:pPr>
              <w:ind w:left="420"/>
              <w:spacing w:after="0"/>
              <w:rPr>
                <w:sz w:val="20"/>
                <w:szCs w:val="20"/>
                <w:color w:val="auto"/>
              </w:rPr>
            </w:pPr>
            <w:r>
              <w:rPr>
                <w:rFonts w:ascii="Arial" w:cs="Arial" w:eastAsia="Arial" w:hAnsi="Arial"/>
                <w:sz w:val="12"/>
                <w:szCs w:val="12"/>
                <w:color w:val="auto"/>
              </w:rPr>
              <w:t>Total dividend income</w:t>
            </w:r>
          </w:p>
        </w:tc>
        <w:tc>
          <w:tcPr>
            <w:tcW w:w="28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457</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471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41"/>
              <w:spacing w:after="0"/>
              <w:rPr>
                <w:sz w:val="20"/>
                <w:szCs w:val="20"/>
                <w:color w:val="auto"/>
              </w:rPr>
            </w:pPr>
            <w:r>
              <w:rPr>
                <w:rFonts w:ascii="Arial" w:cs="Arial" w:eastAsia="Arial" w:hAnsi="Arial"/>
                <w:sz w:val="12"/>
                <w:szCs w:val="12"/>
                <w:color w:val="auto"/>
              </w:rPr>
              <w:t>1,377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625</w:t>
            </w:r>
          </w:p>
        </w:tc>
      </w:tr>
      <w:tr>
        <w:trPr>
          <w:trHeight w:val="186"/>
        </w:trPr>
        <w:tc>
          <w:tcPr>
            <w:tcW w:w="5720" w:type="dxa"/>
            <w:vAlign w:val="bottom"/>
            <w:shd w:val="clear" w:color="auto" w:fill="CFF0FC"/>
          </w:tcPr>
          <w:p>
            <w:pPr>
              <w:ind w:left="140"/>
              <w:spacing w:after="0"/>
              <w:rPr>
                <w:sz w:val="20"/>
                <w:szCs w:val="20"/>
                <w:color w:val="auto"/>
              </w:rPr>
            </w:pPr>
            <w:r>
              <w:rPr>
                <w:rFonts w:ascii="Arial" w:cs="Arial" w:eastAsia="Arial" w:hAnsi="Arial"/>
                <w:sz w:val="12"/>
                <w:szCs w:val="12"/>
                <w:color w:val="auto"/>
              </w:rPr>
              <w:t>Fee income</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r>
      <w:tr>
        <w:trPr>
          <w:trHeight w:val="169"/>
        </w:trPr>
        <w:tc>
          <w:tcPr>
            <w:tcW w:w="5720" w:type="dxa"/>
            <w:vAlign w:val="bottom"/>
          </w:tcPr>
          <w:p>
            <w:pPr>
              <w:ind w:left="280"/>
              <w:spacing w:after="0"/>
              <w:rPr>
                <w:sz w:val="20"/>
                <w:szCs w:val="20"/>
                <w:color w:val="auto"/>
              </w:rPr>
            </w:pPr>
            <w:r>
              <w:rPr>
                <w:rFonts w:ascii="Arial" w:cs="Arial" w:eastAsia="Arial" w:hAnsi="Arial"/>
                <w:sz w:val="12"/>
                <w:szCs w:val="12"/>
                <w:color w:val="auto"/>
              </w:rPr>
              <w:t>Control investments</w:t>
            </w:r>
          </w:p>
        </w:tc>
        <w:tc>
          <w:tcPr>
            <w:tcW w:w="28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41"/>
              <w:spacing w:after="0"/>
              <w:rPr>
                <w:sz w:val="20"/>
                <w:szCs w:val="20"/>
                <w:color w:val="auto"/>
              </w:rPr>
            </w:pPr>
            <w:r>
              <w:rPr>
                <w:rFonts w:ascii="Arial" w:cs="Arial" w:eastAsia="Arial" w:hAnsi="Arial"/>
                <w:sz w:val="12"/>
                <w:szCs w:val="12"/>
                <w:color w:val="auto"/>
              </w:rPr>
              <w:t>400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w:t>
            </w:r>
          </w:p>
        </w:tc>
      </w:tr>
      <w:tr>
        <w:trPr>
          <w:trHeight w:val="186"/>
        </w:trPr>
        <w:tc>
          <w:tcPr>
            <w:tcW w:w="5720" w:type="dxa"/>
            <w:vAlign w:val="bottom"/>
            <w:shd w:val="clear" w:color="auto" w:fill="CFF0FC"/>
          </w:tcPr>
          <w:p>
            <w:pPr>
              <w:ind w:left="280"/>
              <w:spacing w:after="0"/>
              <w:rPr>
                <w:sz w:val="20"/>
                <w:szCs w:val="20"/>
                <w:color w:val="auto"/>
              </w:rPr>
            </w:pPr>
            <w:r>
              <w:rPr>
                <w:rFonts w:ascii="Arial" w:cs="Arial" w:eastAsia="Arial" w:hAnsi="Arial"/>
                <w:sz w:val="12"/>
                <w:szCs w:val="12"/>
                <w:color w:val="auto"/>
              </w:rPr>
              <w:t>Affiliate investments</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61"/>
              <w:spacing w:after="0"/>
              <w:rPr>
                <w:sz w:val="20"/>
                <w:szCs w:val="20"/>
                <w:color w:val="auto"/>
              </w:rPr>
            </w:pPr>
            <w:r>
              <w:rPr>
                <w:rFonts w:ascii="Arial" w:cs="Arial" w:eastAsia="Arial" w:hAnsi="Arial"/>
                <w:sz w:val="12"/>
                <w:szCs w:val="12"/>
                <w:color w:val="auto"/>
              </w:rPr>
              <w:t>102</w:t>
            </w: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22</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370</w:t>
            </w:r>
          </w:p>
        </w:tc>
        <w:tc>
          <w:tcPr>
            <w:tcW w:w="1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88</w:t>
            </w:r>
          </w:p>
        </w:tc>
      </w:tr>
      <w:tr>
        <w:trPr>
          <w:trHeight w:val="170"/>
        </w:trPr>
        <w:tc>
          <w:tcPr>
            <w:tcW w:w="5720" w:type="dxa"/>
            <w:vAlign w:val="bottom"/>
          </w:tcPr>
          <w:p>
            <w:pPr>
              <w:ind w:left="280"/>
              <w:spacing w:after="0"/>
              <w:rPr>
                <w:sz w:val="20"/>
                <w:szCs w:val="20"/>
                <w:color w:val="auto"/>
              </w:rPr>
            </w:pPr>
            <w:r>
              <w:rPr>
                <w:rFonts w:ascii="Arial" w:cs="Arial" w:eastAsia="Arial" w:hAnsi="Arial"/>
                <w:sz w:val="12"/>
                <w:szCs w:val="12"/>
                <w:color w:val="auto"/>
              </w:rPr>
              <w:t>Non-control/non-affiliate investments</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1,545</w:t>
            </w:r>
          </w:p>
        </w:tc>
        <w:tc>
          <w:tcPr>
            <w:tcW w:w="1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571</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6,071</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2,189</w:t>
            </w:r>
          </w:p>
        </w:tc>
      </w:tr>
      <w:tr>
        <w:trPr>
          <w:trHeight w:val="177"/>
        </w:trPr>
        <w:tc>
          <w:tcPr>
            <w:tcW w:w="5720" w:type="dxa"/>
            <w:vAlign w:val="bottom"/>
            <w:shd w:val="clear" w:color="auto" w:fill="CFF0FC"/>
          </w:tcPr>
          <w:p>
            <w:pPr>
              <w:ind w:left="420"/>
              <w:spacing w:after="0"/>
              <w:rPr>
                <w:sz w:val="20"/>
                <w:szCs w:val="20"/>
                <w:color w:val="auto"/>
              </w:rPr>
            </w:pPr>
            <w:r>
              <w:rPr>
                <w:rFonts w:ascii="Arial" w:cs="Arial" w:eastAsia="Arial" w:hAnsi="Arial"/>
                <w:sz w:val="12"/>
                <w:szCs w:val="12"/>
                <w:color w:val="auto"/>
              </w:rPr>
              <w:t>Total fee income</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61"/>
              <w:spacing w:after="0"/>
              <w:rPr>
                <w:sz w:val="20"/>
                <w:szCs w:val="20"/>
                <w:color w:val="auto"/>
              </w:rPr>
            </w:pPr>
            <w:r>
              <w:rPr>
                <w:rFonts w:ascii="Arial" w:cs="Arial" w:eastAsia="Arial" w:hAnsi="Arial"/>
                <w:sz w:val="12"/>
                <w:szCs w:val="12"/>
                <w:color w:val="auto"/>
              </w:rPr>
              <w:t>1,647</w:t>
            </w: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593</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6,841</w:t>
            </w: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2,277</w:t>
            </w:r>
          </w:p>
        </w:tc>
      </w:tr>
      <w:tr>
        <w:trPr>
          <w:trHeight w:val="170"/>
        </w:trPr>
        <w:tc>
          <w:tcPr>
            <w:tcW w:w="5720" w:type="dxa"/>
            <w:vAlign w:val="bottom"/>
          </w:tcPr>
          <w:p>
            <w:pPr>
              <w:ind w:left="140"/>
              <w:spacing w:after="0"/>
              <w:rPr>
                <w:sz w:val="20"/>
                <w:szCs w:val="20"/>
                <w:color w:val="auto"/>
              </w:rPr>
            </w:pPr>
            <w:r>
              <w:rPr>
                <w:rFonts w:ascii="Arial" w:cs="Arial" w:eastAsia="Arial" w:hAnsi="Arial"/>
                <w:sz w:val="12"/>
                <w:szCs w:val="12"/>
                <w:color w:val="auto"/>
              </w:rPr>
              <w:t>Interest on idle funds</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(1 )</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9</w:t>
            </w:r>
          </w:p>
        </w:tc>
      </w:tr>
      <w:tr>
        <w:trPr>
          <w:trHeight w:val="170"/>
        </w:trPr>
        <w:tc>
          <w:tcPr>
            <w:tcW w:w="5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2"/>
                <w:szCs w:val="12"/>
                <w:color w:val="auto"/>
              </w:rPr>
              <w:t>Total investment income</w:t>
            </w:r>
          </w:p>
        </w:tc>
        <w:tc>
          <w:tcPr>
            <w:tcW w:w="28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2"/>
                <w:szCs w:val="12"/>
                <w:color w:val="auto"/>
              </w:rPr>
              <w:t>21,229</w:t>
            </w:r>
          </w:p>
        </w:tc>
        <w:tc>
          <w:tcPr>
            <w:tcW w:w="120" w:type="dxa"/>
            <w:vAlign w:val="bottom"/>
            <w:tcBorders>
              <w:bottom w:val="single" w:sz="8" w:color="CFF0FC"/>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2"/>
                <w:szCs w:val="12"/>
                <w:color w:val="auto"/>
              </w:rPr>
              <w:t>21,077</w:t>
            </w:r>
          </w:p>
        </w:tc>
        <w:tc>
          <w:tcPr>
            <w:tcW w:w="1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2"/>
                <w:szCs w:val="12"/>
                <w:color w:val="auto"/>
              </w:rPr>
              <w:t>66,345</w:t>
            </w:r>
          </w:p>
        </w:tc>
        <w:tc>
          <w:tcPr>
            <w:tcW w:w="10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2"/>
                <w:szCs w:val="12"/>
                <w:color w:val="auto"/>
              </w:rPr>
              <w:t>61,493</w:t>
            </w:r>
          </w:p>
        </w:tc>
      </w:tr>
      <w:tr>
        <w:trPr>
          <w:trHeight w:val="169"/>
        </w:trPr>
        <w:tc>
          <w:tcPr>
            <w:tcW w:w="5720" w:type="dxa"/>
            <w:vAlign w:val="bottom"/>
          </w:tcPr>
          <w:p>
            <w:pPr>
              <w:ind w:left="20"/>
              <w:spacing w:after="0"/>
              <w:rPr>
                <w:sz w:val="20"/>
                <w:szCs w:val="20"/>
                <w:color w:val="auto"/>
              </w:rPr>
            </w:pPr>
            <w:r>
              <w:rPr>
                <w:rFonts w:ascii="Arial" w:cs="Arial" w:eastAsia="Arial" w:hAnsi="Arial"/>
                <w:sz w:val="12"/>
                <w:szCs w:val="12"/>
                <w:b w:val="1"/>
                <w:bCs w:val="1"/>
                <w:color w:val="auto"/>
              </w:rPr>
              <w:t>Expenses:</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6"/>
        </w:trPr>
        <w:tc>
          <w:tcPr>
            <w:tcW w:w="5720" w:type="dxa"/>
            <w:vAlign w:val="bottom"/>
            <w:shd w:val="clear" w:color="auto" w:fill="CFF0FC"/>
          </w:tcPr>
          <w:p>
            <w:pPr>
              <w:ind w:left="140"/>
              <w:spacing w:after="0"/>
              <w:rPr>
                <w:sz w:val="20"/>
                <w:szCs w:val="20"/>
                <w:color w:val="auto"/>
              </w:rPr>
            </w:pPr>
            <w:r>
              <w:rPr>
                <w:rFonts w:ascii="Arial" w:cs="Arial" w:eastAsia="Arial" w:hAnsi="Arial"/>
                <w:sz w:val="12"/>
                <w:szCs w:val="12"/>
                <w:color w:val="auto"/>
              </w:rPr>
              <w:t>Interest and financing expenses</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61"/>
              <w:spacing w:after="0"/>
              <w:rPr>
                <w:sz w:val="20"/>
                <w:szCs w:val="20"/>
                <w:color w:val="auto"/>
              </w:rPr>
            </w:pPr>
            <w:r>
              <w:rPr>
                <w:rFonts w:ascii="Arial" w:cs="Arial" w:eastAsia="Arial" w:hAnsi="Arial"/>
                <w:sz w:val="12"/>
                <w:szCs w:val="12"/>
                <w:color w:val="auto"/>
              </w:rPr>
              <w:t>4,662</w:t>
            </w: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4,878</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14,418</w:t>
            </w:r>
          </w:p>
        </w:tc>
        <w:tc>
          <w:tcPr>
            <w:tcW w:w="1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14,701</w:t>
            </w:r>
          </w:p>
        </w:tc>
      </w:tr>
      <w:tr>
        <w:trPr>
          <w:trHeight w:val="169"/>
        </w:trPr>
        <w:tc>
          <w:tcPr>
            <w:tcW w:w="5720" w:type="dxa"/>
            <w:vAlign w:val="bottom"/>
          </w:tcPr>
          <w:p>
            <w:pPr>
              <w:ind w:left="140"/>
              <w:spacing w:after="0"/>
              <w:rPr>
                <w:sz w:val="20"/>
                <w:szCs w:val="20"/>
                <w:color w:val="auto"/>
              </w:rPr>
            </w:pPr>
            <w:r>
              <w:rPr>
                <w:rFonts w:ascii="Arial" w:cs="Arial" w:eastAsia="Arial" w:hAnsi="Arial"/>
                <w:sz w:val="12"/>
                <w:szCs w:val="12"/>
                <w:color w:val="auto"/>
              </w:rPr>
              <w:t>Base management fee</w:t>
            </w:r>
          </w:p>
        </w:tc>
        <w:tc>
          <w:tcPr>
            <w:tcW w:w="28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3,270</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3,223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41"/>
              <w:spacing w:after="0"/>
              <w:rPr>
                <w:sz w:val="20"/>
                <w:szCs w:val="20"/>
                <w:color w:val="auto"/>
              </w:rPr>
            </w:pPr>
            <w:r>
              <w:rPr>
                <w:rFonts w:ascii="Arial" w:cs="Arial" w:eastAsia="Arial" w:hAnsi="Arial"/>
                <w:sz w:val="12"/>
                <w:szCs w:val="12"/>
                <w:color w:val="auto"/>
              </w:rPr>
              <w:t>9,661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9,688</w:t>
            </w:r>
          </w:p>
        </w:tc>
      </w:tr>
      <w:tr>
        <w:trPr>
          <w:trHeight w:val="186"/>
        </w:trPr>
        <w:tc>
          <w:tcPr>
            <w:tcW w:w="5720" w:type="dxa"/>
            <w:vAlign w:val="bottom"/>
            <w:shd w:val="clear" w:color="auto" w:fill="CFF0FC"/>
          </w:tcPr>
          <w:p>
            <w:pPr>
              <w:ind w:left="140"/>
              <w:spacing w:after="0"/>
              <w:rPr>
                <w:sz w:val="20"/>
                <w:szCs w:val="20"/>
                <w:color w:val="auto"/>
              </w:rPr>
            </w:pPr>
            <w:r>
              <w:rPr>
                <w:rFonts w:ascii="Arial" w:cs="Arial" w:eastAsia="Arial" w:hAnsi="Arial"/>
                <w:sz w:val="12"/>
                <w:szCs w:val="12"/>
                <w:color w:val="auto"/>
              </w:rPr>
              <w:t>Incentive fee - income</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61"/>
              <w:spacing w:after="0"/>
              <w:rPr>
                <w:sz w:val="20"/>
                <w:szCs w:val="20"/>
                <w:color w:val="auto"/>
              </w:rPr>
            </w:pPr>
            <w:r>
              <w:rPr>
                <w:rFonts w:ascii="Arial" w:cs="Arial" w:eastAsia="Arial" w:hAnsi="Arial"/>
                <w:sz w:val="12"/>
                <w:szCs w:val="12"/>
                <w:color w:val="auto"/>
              </w:rPr>
              <w:t>2,425</w:t>
            </w: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2,374</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7,644</w:t>
            </w:r>
          </w:p>
        </w:tc>
        <w:tc>
          <w:tcPr>
            <w:tcW w:w="1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6,342</w:t>
            </w:r>
          </w:p>
        </w:tc>
      </w:tr>
      <w:tr>
        <w:trPr>
          <w:trHeight w:val="169"/>
        </w:trPr>
        <w:tc>
          <w:tcPr>
            <w:tcW w:w="5720" w:type="dxa"/>
            <w:vAlign w:val="bottom"/>
          </w:tcPr>
          <w:p>
            <w:pPr>
              <w:ind w:left="140"/>
              <w:spacing w:after="0"/>
              <w:rPr>
                <w:sz w:val="20"/>
                <w:szCs w:val="20"/>
                <w:color w:val="auto"/>
              </w:rPr>
            </w:pPr>
            <w:r>
              <w:rPr>
                <w:rFonts w:ascii="Arial" w:cs="Arial" w:eastAsia="Arial" w:hAnsi="Arial"/>
                <w:sz w:val="12"/>
                <w:szCs w:val="12"/>
                <w:color w:val="auto"/>
              </w:rPr>
              <w:t>Incentive fee (reversal) - capital gains</w:t>
            </w:r>
          </w:p>
        </w:tc>
        <w:tc>
          <w:tcPr>
            <w:tcW w:w="28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4,664</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2,761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41"/>
              <w:spacing w:after="0"/>
              <w:rPr>
                <w:sz w:val="20"/>
                <w:szCs w:val="20"/>
                <w:color w:val="auto"/>
              </w:rPr>
            </w:pPr>
            <w:r>
              <w:rPr>
                <w:rFonts w:ascii="Arial" w:cs="Arial" w:eastAsia="Arial" w:hAnsi="Arial"/>
                <w:sz w:val="12"/>
                <w:szCs w:val="12"/>
                <w:color w:val="auto"/>
              </w:rPr>
              <w:t>8,638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(6,380 )</w:t>
            </w:r>
          </w:p>
        </w:tc>
      </w:tr>
      <w:tr>
        <w:trPr>
          <w:trHeight w:val="186"/>
        </w:trPr>
        <w:tc>
          <w:tcPr>
            <w:tcW w:w="5720" w:type="dxa"/>
            <w:vAlign w:val="bottom"/>
            <w:shd w:val="clear" w:color="auto" w:fill="CFF0FC"/>
          </w:tcPr>
          <w:p>
            <w:pPr>
              <w:ind w:left="140"/>
              <w:spacing w:after="0"/>
              <w:rPr>
                <w:sz w:val="20"/>
                <w:szCs w:val="20"/>
                <w:color w:val="auto"/>
              </w:rPr>
            </w:pPr>
            <w:r>
              <w:rPr>
                <w:rFonts w:ascii="Arial" w:cs="Arial" w:eastAsia="Arial" w:hAnsi="Arial"/>
                <w:sz w:val="12"/>
                <w:szCs w:val="12"/>
                <w:color w:val="auto"/>
              </w:rPr>
              <w:t>Administrative service expenses</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61"/>
              <w:spacing w:after="0"/>
              <w:rPr>
                <w:sz w:val="20"/>
                <w:szCs w:val="20"/>
                <w:color w:val="auto"/>
              </w:rPr>
            </w:pPr>
            <w:r>
              <w:rPr>
                <w:rFonts w:ascii="Arial" w:cs="Arial" w:eastAsia="Arial" w:hAnsi="Arial"/>
                <w:sz w:val="12"/>
                <w:szCs w:val="12"/>
                <w:color w:val="auto"/>
              </w:rPr>
              <w:t>438</w:t>
            </w: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412</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1,281</w:t>
            </w:r>
          </w:p>
        </w:tc>
        <w:tc>
          <w:tcPr>
            <w:tcW w:w="1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1,242</w:t>
            </w:r>
          </w:p>
        </w:tc>
      </w:tr>
      <w:tr>
        <w:trPr>
          <w:trHeight w:val="169"/>
        </w:trPr>
        <w:tc>
          <w:tcPr>
            <w:tcW w:w="5720" w:type="dxa"/>
            <w:vAlign w:val="bottom"/>
          </w:tcPr>
          <w:p>
            <w:pPr>
              <w:ind w:left="140"/>
              <w:spacing w:after="0"/>
              <w:rPr>
                <w:sz w:val="20"/>
                <w:szCs w:val="20"/>
                <w:color w:val="auto"/>
              </w:rPr>
            </w:pPr>
            <w:r>
              <w:rPr>
                <w:rFonts w:ascii="Arial" w:cs="Arial" w:eastAsia="Arial" w:hAnsi="Arial"/>
                <w:sz w:val="12"/>
                <w:szCs w:val="12"/>
                <w:color w:val="auto"/>
              </w:rPr>
              <w:t>Professional fees</w:t>
            </w:r>
          </w:p>
        </w:tc>
        <w:tc>
          <w:tcPr>
            <w:tcW w:w="28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347</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301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41"/>
              <w:spacing w:after="0"/>
              <w:rPr>
                <w:sz w:val="20"/>
                <w:szCs w:val="20"/>
                <w:color w:val="auto"/>
              </w:rPr>
            </w:pPr>
            <w:r>
              <w:rPr>
                <w:rFonts w:ascii="Arial" w:cs="Arial" w:eastAsia="Arial" w:hAnsi="Arial"/>
                <w:sz w:val="12"/>
                <w:szCs w:val="12"/>
                <w:color w:val="auto"/>
              </w:rPr>
              <w:t>982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1,508</w:t>
            </w:r>
          </w:p>
        </w:tc>
      </w:tr>
      <w:tr>
        <w:trPr>
          <w:trHeight w:val="179"/>
        </w:trPr>
        <w:tc>
          <w:tcPr>
            <w:tcW w:w="57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2"/>
                <w:szCs w:val="12"/>
                <w:color w:val="auto"/>
              </w:rPr>
              <w:t>Other general and administrative expenses</w:t>
            </w:r>
          </w:p>
        </w:tc>
        <w:tc>
          <w:tcPr>
            <w:tcW w:w="28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2"/>
                <w:szCs w:val="12"/>
                <w:color w:val="auto"/>
              </w:rPr>
              <w:t>374</w:t>
            </w:r>
          </w:p>
        </w:tc>
        <w:tc>
          <w:tcPr>
            <w:tcW w:w="12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2"/>
                <w:szCs w:val="12"/>
                <w:color w:val="auto"/>
              </w:rPr>
              <w:t>224</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2"/>
                <w:szCs w:val="12"/>
                <w:color w:val="auto"/>
              </w:rPr>
              <w:t>1,115</w:t>
            </w:r>
          </w:p>
        </w:tc>
        <w:tc>
          <w:tcPr>
            <w:tcW w:w="10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2"/>
                <w:szCs w:val="12"/>
                <w:color w:val="auto"/>
              </w:rPr>
              <w:t>1,059</w:t>
            </w:r>
          </w:p>
        </w:tc>
      </w:tr>
      <w:tr>
        <w:trPr>
          <w:trHeight w:val="170"/>
        </w:trPr>
        <w:tc>
          <w:tcPr>
            <w:tcW w:w="5720" w:type="dxa"/>
            <w:vAlign w:val="bottom"/>
          </w:tcPr>
          <w:p>
            <w:pPr>
              <w:ind w:left="20"/>
              <w:spacing w:after="0"/>
              <w:rPr>
                <w:sz w:val="20"/>
                <w:szCs w:val="20"/>
                <w:color w:val="auto"/>
              </w:rPr>
            </w:pPr>
            <w:r>
              <w:rPr>
                <w:rFonts w:ascii="Arial" w:cs="Arial" w:eastAsia="Arial" w:hAnsi="Arial"/>
                <w:sz w:val="12"/>
                <w:szCs w:val="12"/>
                <w:color w:val="auto"/>
              </w:rPr>
              <w:t>Total expenses before base management and income incentive fee waivers</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16,180</w:t>
            </w:r>
          </w:p>
        </w:tc>
        <w:tc>
          <w:tcPr>
            <w:tcW w:w="1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14,173</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43,739</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28,160</w:t>
            </w:r>
          </w:p>
        </w:tc>
      </w:tr>
      <w:tr>
        <w:trPr>
          <w:trHeight w:val="170"/>
        </w:trPr>
        <w:tc>
          <w:tcPr>
            <w:tcW w:w="57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2"/>
                <w:szCs w:val="12"/>
                <w:color w:val="auto"/>
              </w:rPr>
              <w:t>Base management and income incentive fee waivers</w:t>
            </w:r>
          </w:p>
        </w:tc>
        <w:tc>
          <w:tcPr>
            <w:tcW w:w="28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2"/>
                <w:szCs w:val="12"/>
                <w:color w:val="auto"/>
              </w:rPr>
              <w:t>(69 )</w:t>
            </w:r>
          </w:p>
        </w:tc>
        <w:tc>
          <w:tcPr>
            <w:tcW w:w="120" w:type="dxa"/>
            <w:vAlign w:val="bottom"/>
            <w:tcBorders>
              <w:bottom w:val="single" w:sz="8" w:color="CFF0FC"/>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(98 )</w:t>
            </w:r>
          </w:p>
        </w:tc>
        <w:tc>
          <w:tcPr>
            <w:tcW w:w="10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(423 )</w:t>
            </w:r>
          </w:p>
        </w:tc>
      </w:tr>
      <w:tr>
        <w:trPr>
          <w:trHeight w:val="170"/>
        </w:trPr>
        <w:tc>
          <w:tcPr>
            <w:tcW w:w="5720" w:type="dxa"/>
            <w:vAlign w:val="bottom"/>
          </w:tcPr>
          <w:p>
            <w:pPr>
              <w:ind w:left="20"/>
              <w:spacing w:after="0"/>
              <w:rPr>
                <w:sz w:val="20"/>
                <w:szCs w:val="20"/>
                <w:color w:val="auto"/>
              </w:rPr>
            </w:pPr>
            <w:r>
              <w:rPr>
                <w:rFonts w:ascii="Arial" w:cs="Arial" w:eastAsia="Arial" w:hAnsi="Arial"/>
                <w:sz w:val="12"/>
                <w:szCs w:val="12"/>
                <w:color w:val="auto"/>
              </w:rPr>
              <w:t>Total expenses, net of base management and incentive fee waivers</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16,111</w:t>
            </w:r>
          </w:p>
        </w:tc>
        <w:tc>
          <w:tcPr>
            <w:tcW w:w="1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14,173</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43,641</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27,737</w:t>
            </w:r>
          </w:p>
        </w:tc>
      </w:tr>
      <w:tr>
        <w:trPr>
          <w:trHeight w:val="177"/>
        </w:trPr>
        <w:tc>
          <w:tcPr>
            <w:tcW w:w="5720" w:type="dxa"/>
            <w:vAlign w:val="bottom"/>
            <w:shd w:val="clear" w:color="auto" w:fill="CFF0FC"/>
          </w:tcPr>
          <w:p>
            <w:pPr>
              <w:ind w:left="20"/>
              <w:spacing w:after="0"/>
              <w:rPr>
                <w:sz w:val="20"/>
                <w:szCs w:val="20"/>
                <w:color w:val="auto"/>
              </w:rPr>
            </w:pPr>
            <w:r>
              <w:rPr>
                <w:rFonts w:ascii="Arial" w:cs="Arial" w:eastAsia="Arial" w:hAnsi="Arial"/>
                <w:sz w:val="12"/>
                <w:szCs w:val="12"/>
                <w:color w:val="auto"/>
              </w:rPr>
              <w:t>Net investment income before income taxes</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61"/>
              <w:spacing w:after="0"/>
              <w:rPr>
                <w:sz w:val="20"/>
                <w:szCs w:val="20"/>
                <w:color w:val="auto"/>
              </w:rPr>
            </w:pPr>
            <w:r>
              <w:rPr>
                <w:rFonts w:ascii="Arial" w:cs="Arial" w:eastAsia="Arial" w:hAnsi="Arial"/>
                <w:sz w:val="12"/>
                <w:szCs w:val="12"/>
                <w:color w:val="auto"/>
              </w:rPr>
              <w:t>5,118</w:t>
            </w: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6,904</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22,704</w:t>
            </w: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33,756</w:t>
            </w:r>
          </w:p>
        </w:tc>
      </w:tr>
      <w:tr>
        <w:trPr>
          <w:trHeight w:val="170"/>
        </w:trPr>
        <w:tc>
          <w:tcPr>
            <w:tcW w:w="5720" w:type="dxa"/>
            <w:vAlign w:val="bottom"/>
          </w:tcPr>
          <w:p>
            <w:pPr>
              <w:ind w:left="140"/>
              <w:spacing w:after="0"/>
              <w:rPr>
                <w:sz w:val="20"/>
                <w:szCs w:val="20"/>
                <w:color w:val="auto"/>
              </w:rPr>
            </w:pPr>
            <w:r>
              <w:rPr>
                <w:rFonts w:ascii="Arial" w:cs="Arial" w:eastAsia="Arial" w:hAnsi="Arial"/>
                <w:sz w:val="12"/>
                <w:szCs w:val="12"/>
                <w:color w:val="auto"/>
              </w:rPr>
              <w:t>Income tax provision (benefit)</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146</w:t>
            </w:r>
          </w:p>
        </w:tc>
      </w:tr>
      <w:tr>
        <w:trPr>
          <w:trHeight w:val="170"/>
        </w:trPr>
        <w:tc>
          <w:tcPr>
            <w:tcW w:w="5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2"/>
                <w:szCs w:val="12"/>
                <w:b w:val="1"/>
                <w:bCs w:val="1"/>
                <w:color w:val="auto"/>
              </w:rPr>
              <w:t>Net investment income</w:t>
            </w:r>
          </w:p>
        </w:tc>
        <w:tc>
          <w:tcPr>
            <w:tcW w:w="28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2"/>
                <w:szCs w:val="12"/>
                <w:color w:val="auto"/>
              </w:rPr>
              <w:t>5,118</w:t>
            </w:r>
          </w:p>
        </w:tc>
        <w:tc>
          <w:tcPr>
            <w:tcW w:w="120" w:type="dxa"/>
            <w:vAlign w:val="bottom"/>
            <w:tcBorders>
              <w:bottom w:val="single" w:sz="8" w:color="CFF0FC"/>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2"/>
                <w:szCs w:val="12"/>
                <w:color w:val="auto"/>
              </w:rPr>
              <w:t>6,902</w:t>
            </w:r>
          </w:p>
        </w:tc>
        <w:tc>
          <w:tcPr>
            <w:tcW w:w="1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2"/>
                <w:szCs w:val="12"/>
                <w:color w:val="auto"/>
              </w:rPr>
              <w:t>22,672</w:t>
            </w:r>
          </w:p>
        </w:tc>
        <w:tc>
          <w:tcPr>
            <w:tcW w:w="10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2"/>
                <w:szCs w:val="12"/>
                <w:color w:val="auto"/>
              </w:rPr>
              <w:t>33,610</w:t>
            </w:r>
          </w:p>
        </w:tc>
      </w:tr>
      <w:tr>
        <w:trPr>
          <w:trHeight w:val="169"/>
        </w:trPr>
        <w:tc>
          <w:tcPr>
            <w:tcW w:w="5720" w:type="dxa"/>
            <w:vAlign w:val="bottom"/>
          </w:tcPr>
          <w:p>
            <w:pPr>
              <w:ind w:left="20"/>
              <w:spacing w:after="0"/>
              <w:rPr>
                <w:sz w:val="20"/>
                <w:szCs w:val="20"/>
                <w:color w:val="auto"/>
              </w:rPr>
            </w:pPr>
            <w:r>
              <w:rPr>
                <w:rFonts w:ascii="Arial" w:cs="Arial" w:eastAsia="Arial" w:hAnsi="Arial"/>
                <w:sz w:val="12"/>
                <w:szCs w:val="12"/>
                <w:b w:val="1"/>
                <w:bCs w:val="1"/>
                <w:color w:val="auto"/>
              </w:rPr>
              <w:t>Net realized and unrealized gains (losses) on investments:</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6"/>
        </w:trPr>
        <w:tc>
          <w:tcPr>
            <w:tcW w:w="5720" w:type="dxa"/>
            <w:vAlign w:val="bottom"/>
            <w:shd w:val="clear" w:color="auto" w:fill="CFF0FC"/>
          </w:tcPr>
          <w:p>
            <w:pPr>
              <w:ind w:left="140"/>
              <w:spacing w:after="0"/>
              <w:rPr>
                <w:sz w:val="20"/>
                <w:szCs w:val="20"/>
                <w:color w:val="auto"/>
              </w:rPr>
            </w:pPr>
            <w:r>
              <w:rPr>
                <w:rFonts w:ascii="Arial" w:cs="Arial" w:eastAsia="Arial" w:hAnsi="Arial"/>
                <w:sz w:val="12"/>
                <w:szCs w:val="12"/>
                <w:color w:val="auto"/>
              </w:rPr>
              <w:t>Net realized gains (losses):</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r>
      <w:tr>
        <w:trPr>
          <w:trHeight w:val="169"/>
        </w:trPr>
        <w:tc>
          <w:tcPr>
            <w:tcW w:w="5720" w:type="dxa"/>
            <w:vAlign w:val="bottom"/>
          </w:tcPr>
          <w:p>
            <w:pPr>
              <w:ind w:left="280"/>
              <w:spacing w:after="0"/>
              <w:rPr>
                <w:sz w:val="20"/>
                <w:szCs w:val="20"/>
                <w:color w:val="auto"/>
              </w:rPr>
            </w:pPr>
            <w:r>
              <w:rPr>
                <w:rFonts w:ascii="Arial" w:cs="Arial" w:eastAsia="Arial" w:hAnsi="Arial"/>
                <w:sz w:val="12"/>
                <w:szCs w:val="12"/>
                <w:color w:val="auto"/>
              </w:rPr>
              <w:t>Control investments</w:t>
            </w:r>
          </w:p>
        </w:tc>
        <w:tc>
          <w:tcPr>
            <w:tcW w:w="280" w:type="dxa"/>
            <w:vAlign w:val="bottom"/>
          </w:tcPr>
          <w:p>
            <w:pPr>
              <w:spacing w:after="0"/>
              <w:rPr>
                <w:sz w:val="14"/>
                <w:szCs w:val="14"/>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(990 )</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(33 )</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w:t>
            </w:r>
          </w:p>
        </w:tc>
      </w:tr>
      <w:tr>
        <w:trPr>
          <w:trHeight w:val="186"/>
        </w:trPr>
        <w:tc>
          <w:tcPr>
            <w:tcW w:w="5720" w:type="dxa"/>
            <w:vAlign w:val="bottom"/>
            <w:shd w:val="clear" w:color="auto" w:fill="CFF0FC"/>
          </w:tcPr>
          <w:p>
            <w:pPr>
              <w:ind w:left="280"/>
              <w:spacing w:after="0"/>
              <w:rPr>
                <w:sz w:val="20"/>
                <w:szCs w:val="20"/>
                <w:color w:val="auto"/>
              </w:rPr>
            </w:pPr>
            <w:r>
              <w:rPr>
                <w:rFonts w:ascii="Arial" w:cs="Arial" w:eastAsia="Arial" w:hAnsi="Arial"/>
                <w:sz w:val="12"/>
                <w:szCs w:val="12"/>
                <w:color w:val="auto"/>
              </w:rPr>
              <w:t>Affiliate investments</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61"/>
              <w:spacing w:after="0"/>
              <w:rPr>
                <w:sz w:val="20"/>
                <w:szCs w:val="20"/>
                <w:color w:val="auto"/>
              </w:rPr>
            </w:pPr>
            <w:r>
              <w:rPr>
                <w:rFonts w:ascii="Arial" w:cs="Arial" w:eastAsia="Arial" w:hAnsi="Arial"/>
                <w:sz w:val="12"/>
                <w:szCs w:val="12"/>
                <w:color w:val="auto"/>
              </w:rPr>
              <w:t>30</w:t>
            </w: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(65 )</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30</w:t>
            </w:r>
          </w:p>
        </w:tc>
        <w:tc>
          <w:tcPr>
            <w:tcW w:w="1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24,354</w:t>
            </w:r>
          </w:p>
        </w:tc>
      </w:tr>
      <w:tr>
        <w:trPr>
          <w:trHeight w:val="170"/>
        </w:trPr>
        <w:tc>
          <w:tcPr>
            <w:tcW w:w="5720" w:type="dxa"/>
            <w:vAlign w:val="bottom"/>
          </w:tcPr>
          <w:p>
            <w:pPr>
              <w:ind w:left="280"/>
              <w:spacing w:after="0"/>
              <w:rPr>
                <w:sz w:val="20"/>
                <w:szCs w:val="20"/>
                <w:color w:val="auto"/>
              </w:rPr>
            </w:pPr>
            <w:r>
              <w:rPr>
                <w:rFonts w:ascii="Arial" w:cs="Arial" w:eastAsia="Arial" w:hAnsi="Arial"/>
                <w:sz w:val="12"/>
                <w:szCs w:val="12"/>
                <w:color w:val="auto"/>
              </w:rPr>
              <w:t>Non-control/non-affiliate investments</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9,266</w:t>
            </w:r>
          </w:p>
        </w:tc>
        <w:tc>
          <w:tcPr>
            <w:tcW w:w="1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1,380</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13,675</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8,543</w:t>
            </w:r>
          </w:p>
        </w:tc>
      </w:tr>
      <w:tr>
        <w:trPr>
          <w:trHeight w:val="170"/>
        </w:trPr>
        <w:tc>
          <w:tcPr>
            <w:tcW w:w="57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2"/>
                <w:szCs w:val="12"/>
                <w:color w:val="auto"/>
              </w:rPr>
              <w:t>Total net realized gain (loss) on investments</w:t>
            </w:r>
          </w:p>
        </w:tc>
        <w:tc>
          <w:tcPr>
            <w:tcW w:w="28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2"/>
                <w:szCs w:val="12"/>
                <w:color w:val="auto"/>
              </w:rPr>
              <w:t>8,306</w:t>
            </w:r>
          </w:p>
        </w:tc>
        <w:tc>
          <w:tcPr>
            <w:tcW w:w="120" w:type="dxa"/>
            <w:vAlign w:val="bottom"/>
            <w:tcBorders>
              <w:bottom w:val="single" w:sz="8" w:color="CFF0FC"/>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2"/>
                <w:szCs w:val="12"/>
                <w:color w:val="auto"/>
              </w:rPr>
              <w:t>1,315</w:t>
            </w:r>
          </w:p>
        </w:tc>
        <w:tc>
          <w:tcPr>
            <w:tcW w:w="1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2"/>
                <w:szCs w:val="12"/>
                <w:color w:val="auto"/>
              </w:rPr>
              <w:t>13,672</w:t>
            </w:r>
          </w:p>
        </w:tc>
        <w:tc>
          <w:tcPr>
            <w:tcW w:w="10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2"/>
                <w:szCs w:val="12"/>
                <w:color w:val="auto"/>
              </w:rPr>
              <w:t>32,897</w:t>
            </w:r>
          </w:p>
        </w:tc>
      </w:tr>
      <w:tr>
        <w:trPr>
          <w:trHeight w:val="169"/>
        </w:trPr>
        <w:tc>
          <w:tcPr>
            <w:tcW w:w="5720" w:type="dxa"/>
            <w:vAlign w:val="bottom"/>
          </w:tcPr>
          <w:p>
            <w:pPr>
              <w:ind w:left="140"/>
              <w:spacing w:after="0"/>
              <w:rPr>
                <w:sz w:val="20"/>
                <w:szCs w:val="20"/>
                <w:color w:val="auto"/>
              </w:rPr>
            </w:pPr>
            <w:r>
              <w:rPr>
                <w:rFonts w:ascii="Arial" w:cs="Arial" w:eastAsia="Arial" w:hAnsi="Arial"/>
                <w:sz w:val="12"/>
                <w:szCs w:val="12"/>
                <w:color w:val="auto"/>
              </w:rPr>
              <w:t>Income tax (provision) benefit from realized gains on investments</w:t>
            </w:r>
          </w:p>
        </w:tc>
        <w:tc>
          <w:tcPr>
            <w:tcW w:w="28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143</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41"/>
              <w:spacing w:after="0"/>
              <w:rPr>
                <w:sz w:val="20"/>
                <w:szCs w:val="20"/>
                <w:color w:val="auto"/>
              </w:rPr>
            </w:pPr>
            <w:r>
              <w:rPr>
                <w:rFonts w:ascii="Arial" w:cs="Arial" w:eastAsia="Arial" w:hAnsi="Arial"/>
                <w:sz w:val="12"/>
                <w:szCs w:val="12"/>
                <w:color w:val="auto"/>
              </w:rPr>
              <w:t>143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(1,065 )</w:t>
            </w:r>
          </w:p>
        </w:tc>
      </w:tr>
      <w:tr>
        <w:trPr>
          <w:trHeight w:val="186"/>
        </w:trPr>
        <w:tc>
          <w:tcPr>
            <w:tcW w:w="5720" w:type="dxa"/>
            <w:vAlign w:val="bottom"/>
            <w:shd w:val="clear" w:color="auto" w:fill="CFF0FC"/>
          </w:tcPr>
          <w:p>
            <w:pPr>
              <w:ind w:left="140"/>
              <w:spacing w:after="0"/>
              <w:rPr>
                <w:sz w:val="20"/>
                <w:szCs w:val="20"/>
                <w:color w:val="auto"/>
              </w:rPr>
            </w:pPr>
            <w:r>
              <w:rPr>
                <w:rFonts w:ascii="Arial" w:cs="Arial" w:eastAsia="Arial" w:hAnsi="Arial"/>
                <w:sz w:val="12"/>
                <w:szCs w:val="12"/>
                <w:color w:val="auto"/>
              </w:rPr>
              <w:t>Net change in unrealized appreciation (depreciation):</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r>
      <w:tr>
        <w:trPr>
          <w:trHeight w:val="169"/>
        </w:trPr>
        <w:tc>
          <w:tcPr>
            <w:tcW w:w="5720" w:type="dxa"/>
            <w:vAlign w:val="bottom"/>
          </w:tcPr>
          <w:p>
            <w:pPr>
              <w:ind w:left="280"/>
              <w:spacing w:after="0"/>
              <w:rPr>
                <w:sz w:val="20"/>
                <w:szCs w:val="20"/>
                <w:color w:val="auto"/>
              </w:rPr>
            </w:pPr>
            <w:r>
              <w:rPr>
                <w:rFonts w:ascii="Arial" w:cs="Arial" w:eastAsia="Arial" w:hAnsi="Arial"/>
                <w:sz w:val="12"/>
                <w:szCs w:val="12"/>
                <w:color w:val="auto"/>
              </w:rPr>
              <w:t>Control investments</w:t>
            </w:r>
          </w:p>
        </w:tc>
        <w:tc>
          <w:tcPr>
            <w:tcW w:w="28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1,096</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607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(4,889 )</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(1,157 )</w:t>
            </w:r>
          </w:p>
        </w:tc>
      </w:tr>
      <w:tr>
        <w:trPr>
          <w:trHeight w:val="186"/>
        </w:trPr>
        <w:tc>
          <w:tcPr>
            <w:tcW w:w="5720" w:type="dxa"/>
            <w:vAlign w:val="bottom"/>
            <w:shd w:val="clear" w:color="auto" w:fill="CFF0FC"/>
          </w:tcPr>
          <w:p>
            <w:pPr>
              <w:ind w:left="280"/>
              <w:spacing w:after="0"/>
              <w:rPr>
                <w:sz w:val="20"/>
                <w:szCs w:val="20"/>
                <w:color w:val="auto"/>
              </w:rPr>
            </w:pPr>
            <w:r>
              <w:rPr>
                <w:rFonts w:ascii="Arial" w:cs="Arial" w:eastAsia="Arial" w:hAnsi="Arial"/>
                <w:sz w:val="12"/>
                <w:szCs w:val="12"/>
                <w:color w:val="auto"/>
              </w:rPr>
              <w:t>Affiliate investments</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61"/>
              <w:spacing w:after="0"/>
              <w:rPr>
                <w:sz w:val="20"/>
                <w:szCs w:val="20"/>
                <w:color w:val="auto"/>
              </w:rPr>
            </w:pPr>
            <w:r>
              <w:rPr>
                <w:rFonts w:ascii="Arial" w:cs="Arial" w:eastAsia="Arial" w:hAnsi="Arial"/>
                <w:sz w:val="12"/>
                <w:szCs w:val="12"/>
                <w:color w:val="auto"/>
              </w:rPr>
              <w:t>8,106</w:t>
            </w: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7,158</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24,474</w:t>
            </w:r>
          </w:p>
        </w:tc>
        <w:tc>
          <w:tcPr>
            <w:tcW w:w="1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(28,295 )</w:t>
            </w:r>
          </w:p>
        </w:tc>
      </w:tr>
      <w:tr>
        <w:trPr>
          <w:trHeight w:val="170"/>
        </w:trPr>
        <w:tc>
          <w:tcPr>
            <w:tcW w:w="5720" w:type="dxa"/>
            <w:vAlign w:val="bottom"/>
          </w:tcPr>
          <w:p>
            <w:pPr>
              <w:ind w:left="280"/>
              <w:spacing w:after="0"/>
              <w:rPr>
                <w:sz w:val="20"/>
                <w:szCs w:val="20"/>
                <w:color w:val="auto"/>
              </w:rPr>
            </w:pPr>
            <w:r>
              <w:rPr>
                <w:rFonts w:ascii="Arial" w:cs="Arial" w:eastAsia="Arial" w:hAnsi="Arial"/>
                <w:sz w:val="12"/>
                <w:szCs w:val="12"/>
                <w:color w:val="auto"/>
              </w:rPr>
              <w:t>Non-control/non-affiliate investments</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6,133</w:t>
            </w:r>
          </w:p>
        </w:tc>
        <w:tc>
          <w:tcPr>
            <w:tcW w:w="1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4,899</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12,434</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(33,982 )</w:t>
            </w:r>
          </w:p>
        </w:tc>
      </w:tr>
      <w:tr>
        <w:trPr>
          <w:trHeight w:val="170"/>
        </w:trPr>
        <w:tc>
          <w:tcPr>
            <w:tcW w:w="57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2"/>
                <w:szCs w:val="12"/>
                <w:color w:val="auto"/>
              </w:rPr>
              <w:t>Total net change in unrealized appreciation (depreciation) on investments</w:t>
            </w:r>
          </w:p>
        </w:tc>
        <w:tc>
          <w:tcPr>
            <w:tcW w:w="28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2"/>
                <w:szCs w:val="12"/>
                <w:color w:val="auto"/>
              </w:rPr>
              <w:t>15,335</w:t>
            </w:r>
          </w:p>
        </w:tc>
        <w:tc>
          <w:tcPr>
            <w:tcW w:w="120" w:type="dxa"/>
            <w:vAlign w:val="bottom"/>
            <w:tcBorders>
              <w:bottom w:val="single" w:sz="8" w:color="CFF0FC"/>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2"/>
                <w:szCs w:val="12"/>
                <w:color w:val="auto"/>
              </w:rPr>
              <w:t>12,664</w:t>
            </w:r>
          </w:p>
        </w:tc>
        <w:tc>
          <w:tcPr>
            <w:tcW w:w="1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2"/>
                <w:szCs w:val="12"/>
                <w:color w:val="auto"/>
              </w:rPr>
              <w:t>32,019</w:t>
            </w:r>
          </w:p>
        </w:tc>
        <w:tc>
          <w:tcPr>
            <w:tcW w:w="10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(63,434 )</w:t>
            </w:r>
          </w:p>
        </w:tc>
      </w:tr>
      <w:tr>
        <w:trPr>
          <w:trHeight w:val="169"/>
        </w:trPr>
        <w:tc>
          <w:tcPr>
            <w:tcW w:w="5720" w:type="dxa"/>
            <w:vAlign w:val="bottom"/>
          </w:tcPr>
          <w:p>
            <w:pPr>
              <w:ind w:left="20"/>
              <w:spacing w:after="0"/>
              <w:rPr>
                <w:sz w:val="20"/>
                <w:szCs w:val="20"/>
                <w:color w:val="auto"/>
              </w:rPr>
            </w:pPr>
            <w:r>
              <w:rPr>
                <w:rFonts w:ascii="Arial" w:cs="Arial" w:eastAsia="Arial" w:hAnsi="Arial"/>
                <w:sz w:val="12"/>
                <w:szCs w:val="12"/>
                <w:b w:val="1"/>
                <w:bCs w:val="1"/>
                <w:color w:val="auto"/>
              </w:rPr>
              <w:t>Net gain (loss) on investments</w:t>
            </w:r>
          </w:p>
        </w:tc>
        <w:tc>
          <w:tcPr>
            <w:tcW w:w="28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23,784</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13,979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41"/>
              <w:spacing w:after="0"/>
              <w:rPr>
                <w:sz w:val="20"/>
                <w:szCs w:val="20"/>
                <w:color w:val="auto"/>
              </w:rPr>
            </w:pPr>
            <w:r>
              <w:rPr>
                <w:rFonts w:ascii="Arial" w:cs="Arial" w:eastAsia="Arial" w:hAnsi="Arial"/>
                <w:sz w:val="12"/>
                <w:szCs w:val="12"/>
                <w:color w:val="auto"/>
              </w:rPr>
              <w:t>45,834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(31,602 )</w:t>
            </w:r>
          </w:p>
        </w:tc>
      </w:tr>
      <w:tr>
        <w:trPr>
          <w:trHeight w:val="179"/>
        </w:trPr>
        <w:tc>
          <w:tcPr>
            <w:tcW w:w="5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2"/>
                <w:szCs w:val="12"/>
                <w:b w:val="1"/>
                <w:bCs w:val="1"/>
                <w:color w:val="auto"/>
              </w:rPr>
              <w:t>Realized losses on extinguishment of debt</w:t>
            </w:r>
          </w:p>
        </w:tc>
        <w:tc>
          <w:tcPr>
            <w:tcW w:w="28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2"/>
                <w:szCs w:val="12"/>
                <w:color w:val="auto"/>
              </w:rPr>
              <w:t>(460 )</w:t>
            </w:r>
          </w:p>
        </w:tc>
        <w:tc>
          <w:tcPr>
            <w:tcW w:w="12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(174 )</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(2,640 )</w:t>
            </w:r>
          </w:p>
        </w:tc>
        <w:tc>
          <w:tcPr>
            <w:tcW w:w="10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(299 )</w:t>
            </w:r>
          </w:p>
        </w:tc>
      </w:tr>
      <w:tr>
        <w:trPr>
          <w:trHeight w:val="175"/>
        </w:trPr>
        <w:tc>
          <w:tcPr>
            <w:tcW w:w="5720" w:type="dxa"/>
            <w:vAlign w:val="bottom"/>
          </w:tcPr>
          <w:p>
            <w:pPr>
              <w:ind w:left="20"/>
              <w:spacing w:after="0"/>
              <w:rPr>
                <w:sz w:val="20"/>
                <w:szCs w:val="20"/>
                <w:color w:val="auto"/>
              </w:rPr>
            </w:pPr>
            <w:r>
              <w:rPr>
                <w:rFonts w:ascii="Arial" w:cs="Arial" w:eastAsia="Arial" w:hAnsi="Arial"/>
                <w:sz w:val="12"/>
                <w:szCs w:val="12"/>
                <w:b w:val="1"/>
                <w:bCs w:val="1"/>
                <w:color w:val="auto"/>
              </w:rPr>
              <w:t>Net increase (decrease) in net assets resulting from operations</w:t>
            </w:r>
          </w:p>
        </w:tc>
        <w:tc>
          <w:tcPr>
            <w:tcW w:w="280" w:type="dxa"/>
            <w:vAlign w:val="bottom"/>
          </w:tcPr>
          <w:p>
            <w:pPr>
              <w:jc w:val="right"/>
              <w:ind w:right="141"/>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28,442</w:t>
            </w:r>
          </w:p>
        </w:tc>
        <w:tc>
          <w:tcPr>
            <w:tcW w:w="580" w:type="dxa"/>
            <w:vAlign w:val="bottom"/>
            <w:gridSpan w:val="2"/>
          </w:tcPr>
          <w:p>
            <w:pPr>
              <w:jc w:val="right"/>
              <w:ind w:right="321"/>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20,707</w:t>
            </w:r>
          </w:p>
        </w:tc>
        <w:tc>
          <w:tcPr>
            <w:tcW w:w="380" w:type="dxa"/>
            <w:vAlign w:val="bottom"/>
            <w:gridSpan w:val="2"/>
          </w:tcPr>
          <w:p>
            <w:pPr>
              <w:jc w:val="right"/>
              <w:ind w:right="153"/>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41"/>
              <w:spacing w:after="0"/>
              <w:rPr>
                <w:sz w:val="20"/>
                <w:szCs w:val="20"/>
                <w:color w:val="auto"/>
              </w:rPr>
            </w:pPr>
            <w:r>
              <w:rPr>
                <w:rFonts w:ascii="Arial" w:cs="Arial" w:eastAsia="Arial" w:hAnsi="Arial"/>
                <w:sz w:val="12"/>
                <w:szCs w:val="12"/>
                <w:color w:val="auto"/>
              </w:rPr>
              <w:t>65,866</w:t>
            </w:r>
          </w:p>
        </w:tc>
        <w:tc>
          <w:tcPr>
            <w:tcW w:w="540" w:type="dxa"/>
            <w:vAlign w:val="bottom"/>
            <w:gridSpan w:val="2"/>
          </w:tcPr>
          <w:p>
            <w:pPr>
              <w:jc w:val="right"/>
              <w:ind w:right="301"/>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1,709</w:t>
            </w:r>
          </w:p>
        </w:tc>
      </w:tr>
      <w:tr>
        <w:trPr>
          <w:trHeight w:val="20"/>
        </w:trPr>
        <w:tc>
          <w:tcPr>
            <w:tcW w:w="5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58"/>
        </w:trPr>
        <w:tc>
          <w:tcPr>
            <w:tcW w:w="5720" w:type="dxa"/>
            <w:vAlign w:val="bottom"/>
            <w:shd w:val="clear" w:color="auto" w:fill="CFF0FC"/>
          </w:tcPr>
          <w:p>
            <w:pPr>
              <w:ind w:left="20"/>
              <w:spacing w:after="0"/>
              <w:rPr>
                <w:sz w:val="20"/>
                <w:szCs w:val="20"/>
                <w:color w:val="auto"/>
              </w:rPr>
            </w:pPr>
            <w:r>
              <w:rPr>
                <w:rFonts w:ascii="Arial" w:cs="Arial" w:eastAsia="Arial" w:hAnsi="Arial"/>
                <w:sz w:val="12"/>
                <w:szCs w:val="12"/>
                <w:b w:val="1"/>
                <w:bCs w:val="1"/>
                <w:color w:val="auto"/>
              </w:rPr>
              <w:t>Per common share data:</w:t>
            </w: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r>
      <w:tr>
        <w:trPr>
          <w:trHeight w:val="175"/>
        </w:trPr>
        <w:tc>
          <w:tcPr>
            <w:tcW w:w="5720" w:type="dxa"/>
            <w:vAlign w:val="bottom"/>
          </w:tcPr>
          <w:p>
            <w:pPr>
              <w:ind w:left="20"/>
              <w:spacing w:after="0"/>
              <w:rPr>
                <w:sz w:val="20"/>
                <w:szCs w:val="20"/>
                <w:color w:val="auto"/>
              </w:rPr>
            </w:pPr>
            <w:r>
              <w:rPr>
                <w:rFonts w:ascii="Arial" w:cs="Arial" w:eastAsia="Arial" w:hAnsi="Arial"/>
                <w:sz w:val="12"/>
                <w:szCs w:val="12"/>
                <w:color w:val="auto"/>
              </w:rPr>
              <w:t>Net investment income per share-basic and diluted</w:t>
            </w:r>
          </w:p>
        </w:tc>
        <w:tc>
          <w:tcPr>
            <w:tcW w:w="280" w:type="dxa"/>
            <w:vAlign w:val="bottom"/>
            <w:tcBorders>
              <w:bottom w:val="single" w:sz="8" w:color="auto"/>
            </w:tcBorders>
          </w:tcPr>
          <w:p>
            <w:pPr>
              <w:jc w:val="right"/>
              <w:ind w:right="141"/>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0.21</w:t>
            </w:r>
          </w:p>
        </w:tc>
        <w:tc>
          <w:tcPr>
            <w:tcW w:w="120" w:type="dxa"/>
            <w:vAlign w:val="bottom"/>
          </w:tcPr>
          <w:p>
            <w:pPr>
              <w:spacing w:after="0"/>
              <w:rPr>
                <w:sz w:val="15"/>
                <w:szCs w:val="15"/>
                <w:color w:val="auto"/>
              </w:rPr>
            </w:pPr>
          </w:p>
        </w:tc>
        <w:tc>
          <w:tcPr>
            <w:tcW w:w="460" w:type="dxa"/>
            <w:vAlign w:val="bottom"/>
            <w:tcBorders>
              <w:bottom w:val="single" w:sz="8" w:color="auto"/>
            </w:tcBorders>
          </w:tcPr>
          <w:p>
            <w:pPr>
              <w:jc w:val="right"/>
              <w:ind w:right="321"/>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0.28</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53"/>
              <w:spacing w:after="0"/>
              <w:rPr>
                <w:sz w:val="20"/>
                <w:szCs w:val="20"/>
                <w:color w:val="auto"/>
              </w:rPr>
            </w:pPr>
            <w:r>
              <w:rPr>
                <w:rFonts w:ascii="Arial" w:cs="Arial" w:eastAsia="Arial" w:hAnsi="Arial"/>
                <w:sz w:val="9"/>
                <w:szCs w:val="9"/>
                <w:color w:val="auto"/>
                <w:w w:val="78"/>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0.93</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301"/>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1.37</w:t>
            </w:r>
          </w:p>
        </w:tc>
      </w:tr>
      <w:tr>
        <w:trPr>
          <w:trHeight w:val="20"/>
        </w:trPr>
        <w:tc>
          <w:tcPr>
            <w:tcW w:w="5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6"/>
        </w:trPr>
        <w:tc>
          <w:tcPr>
            <w:tcW w:w="5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2"/>
                <w:szCs w:val="12"/>
                <w:color w:val="auto"/>
              </w:rPr>
              <w:t>Net increase in net assets resulting from operations per share — basic and diluted</w:t>
            </w:r>
          </w:p>
        </w:tc>
        <w:tc>
          <w:tcPr>
            <w:tcW w:w="280" w:type="dxa"/>
            <w:vAlign w:val="bottom"/>
            <w:tcBorders>
              <w:bottom w:val="single" w:sz="8" w:color="auto"/>
            </w:tcBorders>
            <w:shd w:val="clear" w:color="auto" w:fill="CFF0FC"/>
          </w:tcPr>
          <w:p>
            <w:pPr>
              <w:jc w:val="right"/>
              <w:ind w:right="141"/>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2"/>
                <w:szCs w:val="12"/>
                <w:color w:val="auto"/>
              </w:rPr>
              <w:t>1.16</w:t>
            </w:r>
          </w:p>
        </w:tc>
        <w:tc>
          <w:tcPr>
            <w:tcW w:w="1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ind w:right="321"/>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2"/>
                <w:szCs w:val="12"/>
                <w:color w:val="auto"/>
              </w:rPr>
              <w:t>0.85</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53"/>
              <w:spacing w:after="0"/>
              <w:rPr>
                <w:sz w:val="20"/>
                <w:szCs w:val="20"/>
                <w:color w:val="auto"/>
              </w:rPr>
            </w:pPr>
            <w:r>
              <w:rPr>
                <w:rFonts w:ascii="Arial" w:cs="Arial" w:eastAsia="Arial" w:hAnsi="Arial"/>
                <w:sz w:val="9"/>
                <w:szCs w:val="9"/>
                <w:color w:val="auto"/>
                <w:w w:val="78"/>
              </w:rPr>
              <w:t>$</w:t>
            </w:r>
          </w:p>
        </w:tc>
        <w:tc>
          <w:tcPr>
            <w:tcW w:w="10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2"/>
                <w:szCs w:val="12"/>
                <w:color w:val="auto"/>
              </w:rPr>
              <w:t>2.70</w:t>
            </w:r>
          </w:p>
        </w:tc>
        <w:tc>
          <w:tcPr>
            <w:tcW w:w="1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ind w:right="301"/>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2"/>
                <w:szCs w:val="12"/>
                <w:color w:val="auto"/>
              </w:rPr>
              <w:t>0.07</w:t>
            </w:r>
          </w:p>
        </w:tc>
      </w:tr>
      <w:tr>
        <w:trPr>
          <w:trHeight w:val="156"/>
        </w:trPr>
        <w:tc>
          <w:tcPr>
            <w:tcW w:w="5720" w:type="dxa"/>
            <w:vAlign w:val="bottom"/>
          </w:tcPr>
          <w:p>
            <w:pPr>
              <w:ind w:left="20"/>
              <w:spacing w:after="0"/>
              <w:rPr>
                <w:sz w:val="20"/>
                <w:szCs w:val="20"/>
                <w:color w:val="auto"/>
              </w:rPr>
            </w:pPr>
            <w:r>
              <w:rPr>
                <w:rFonts w:ascii="Arial" w:cs="Arial" w:eastAsia="Arial" w:hAnsi="Arial"/>
                <w:sz w:val="12"/>
                <w:szCs w:val="12"/>
                <w:color w:val="auto"/>
              </w:rPr>
              <w:t>Dividends declared per share</w:t>
            </w:r>
          </w:p>
        </w:tc>
        <w:tc>
          <w:tcPr>
            <w:tcW w:w="280" w:type="dxa"/>
            <w:vAlign w:val="bottom"/>
          </w:tcPr>
          <w:p>
            <w:pPr>
              <w:jc w:val="right"/>
              <w:ind w:right="141"/>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0.42</w:t>
            </w:r>
          </w:p>
        </w:tc>
        <w:tc>
          <w:tcPr>
            <w:tcW w:w="580" w:type="dxa"/>
            <w:vAlign w:val="bottom"/>
            <w:gridSpan w:val="2"/>
          </w:tcPr>
          <w:p>
            <w:pPr>
              <w:jc w:val="right"/>
              <w:ind w:right="321"/>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0.30</w:t>
            </w:r>
          </w:p>
        </w:tc>
        <w:tc>
          <w:tcPr>
            <w:tcW w:w="380" w:type="dxa"/>
            <w:vAlign w:val="bottom"/>
            <w:gridSpan w:val="2"/>
          </w:tcPr>
          <w:p>
            <w:pPr>
              <w:jc w:val="right"/>
              <w:ind w:right="153"/>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41"/>
              <w:spacing w:after="0"/>
              <w:rPr>
                <w:sz w:val="20"/>
                <w:szCs w:val="20"/>
                <w:color w:val="auto"/>
              </w:rPr>
            </w:pPr>
            <w:r>
              <w:rPr>
                <w:rFonts w:ascii="Arial" w:cs="Arial" w:eastAsia="Arial" w:hAnsi="Arial"/>
                <w:sz w:val="12"/>
                <w:szCs w:val="12"/>
                <w:color w:val="auto"/>
              </w:rPr>
              <w:t>1.19</w:t>
            </w:r>
          </w:p>
        </w:tc>
        <w:tc>
          <w:tcPr>
            <w:tcW w:w="540" w:type="dxa"/>
            <w:vAlign w:val="bottom"/>
            <w:gridSpan w:val="2"/>
          </w:tcPr>
          <w:p>
            <w:pPr>
              <w:jc w:val="right"/>
              <w:ind w:right="301"/>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0.99</w:t>
            </w:r>
          </w:p>
        </w:tc>
      </w:tr>
      <w:tr>
        <w:trPr>
          <w:trHeight w:val="20"/>
        </w:trPr>
        <w:tc>
          <w:tcPr>
            <w:tcW w:w="5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2"/>
                <w:szCs w:val="12"/>
                <w:color w:val="auto"/>
              </w:rPr>
              <w:t>Weighted average number of shares outstanding — basic and diluted</w:t>
            </w: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2"/>
                <w:szCs w:val="12"/>
                <w:color w:val="auto"/>
              </w:rPr>
              <w:t>24,437,400</w:t>
            </w:r>
          </w:p>
        </w:tc>
        <w:tc>
          <w:tcPr>
            <w:tcW w:w="1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2"/>
                <w:szCs w:val="12"/>
                <w:color w:val="auto"/>
              </w:rPr>
              <w:t>24,437,400</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2"/>
                <w:szCs w:val="12"/>
                <w:color w:val="auto"/>
              </w:rPr>
              <w:t>24,437,400</w:t>
            </w:r>
          </w:p>
        </w:tc>
        <w:tc>
          <w:tcPr>
            <w:tcW w:w="1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2"/>
                <w:szCs w:val="12"/>
                <w:color w:val="auto"/>
              </w:rPr>
              <w:t>24,444,120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-6115050</wp:posOffset>
            </wp:positionV>
            <wp:extent cx="80645" cy="5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0645" cy="5080"/>
                    </a:xfrm>
                    <a:prstGeom prst="rect">
                      <a:avLst/>
                    </a:prstGeom>
                    <a:noFill/>
                  </pic:spPr>
                </pic:pic>
              </a:graphicData>
            </a:graphic>
          </wp:anchor>
        </w:drawing>
        <w:drawing>
          <wp:anchor simplePos="0" relativeHeight="251657728" behindDoc="1" locked="0" layoutInCell="0" allowOverlap="1">
            <wp:simplePos x="0" y="0"/>
            <wp:positionH relativeFrom="column">
              <wp:posOffset>5370195</wp:posOffset>
            </wp:positionH>
            <wp:positionV relativeFrom="paragraph">
              <wp:posOffset>-6115050</wp:posOffset>
            </wp:positionV>
            <wp:extent cx="72390" cy="5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90" cy="5080"/>
                    </a:xfrm>
                    <a:prstGeom prst="rect">
                      <a:avLst/>
                    </a:prstGeom>
                    <a:noFill/>
                  </pic:spPr>
                </pic:pic>
              </a:graphicData>
            </a:graphic>
          </wp:anchor>
        </w:drawing>
        <w:drawing>
          <wp:anchor simplePos="0" relativeHeight="251657728" behindDoc="1" locked="0" layoutInCell="0" allowOverlap="1">
            <wp:simplePos x="0" y="0"/>
            <wp:positionH relativeFrom="column">
              <wp:posOffset>6256020</wp:posOffset>
            </wp:positionH>
            <wp:positionV relativeFrom="paragraph">
              <wp:posOffset>-6115050</wp:posOffset>
            </wp:positionV>
            <wp:extent cx="72390" cy="5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90" cy="5080"/>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-4971415</wp:posOffset>
            </wp:positionV>
            <wp:extent cx="80645" cy="5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0645" cy="5080"/>
                    </a:xfrm>
                    <a:prstGeom prst="rect">
                      <a:avLst/>
                    </a:prstGeom>
                    <a:noFill/>
                  </pic:spPr>
                </pic:pic>
              </a:graphicData>
            </a:graphic>
          </wp:anchor>
        </w:drawing>
        <w:drawing>
          <wp:anchor simplePos="0" relativeHeight="251657728" behindDoc="1" locked="0" layoutInCell="0" allowOverlap="1">
            <wp:simplePos x="0" y="0"/>
            <wp:positionH relativeFrom="column">
              <wp:posOffset>5370195</wp:posOffset>
            </wp:positionH>
            <wp:positionV relativeFrom="paragraph">
              <wp:posOffset>-4971415</wp:posOffset>
            </wp:positionV>
            <wp:extent cx="72390" cy="5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90" cy="5080"/>
                    </a:xfrm>
                    <a:prstGeom prst="rect">
                      <a:avLst/>
                    </a:prstGeom>
                    <a:noFill/>
                  </pic:spPr>
                </pic:pic>
              </a:graphicData>
            </a:graphic>
          </wp:anchor>
        </w:drawing>
        <w:drawing>
          <wp:anchor simplePos="0" relativeHeight="251657728" behindDoc="1" locked="0" layoutInCell="0" allowOverlap="1">
            <wp:simplePos x="0" y="0"/>
            <wp:positionH relativeFrom="column">
              <wp:posOffset>6256020</wp:posOffset>
            </wp:positionH>
            <wp:positionV relativeFrom="paragraph">
              <wp:posOffset>-4971415</wp:posOffset>
            </wp:positionV>
            <wp:extent cx="72390" cy="5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90" cy="5080"/>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-4046220</wp:posOffset>
            </wp:positionV>
            <wp:extent cx="80645" cy="5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0645" cy="5080"/>
                    </a:xfrm>
                    <a:prstGeom prst="rect">
                      <a:avLst/>
                    </a:prstGeom>
                    <a:noFill/>
                  </pic:spPr>
                </pic:pic>
              </a:graphicData>
            </a:graphic>
          </wp:anchor>
        </w:drawing>
        <w:drawing>
          <wp:anchor simplePos="0" relativeHeight="251657728" behindDoc="1" locked="0" layoutInCell="0" allowOverlap="1">
            <wp:simplePos x="0" y="0"/>
            <wp:positionH relativeFrom="column">
              <wp:posOffset>5370195</wp:posOffset>
            </wp:positionH>
            <wp:positionV relativeFrom="paragraph">
              <wp:posOffset>-4046220</wp:posOffset>
            </wp:positionV>
            <wp:extent cx="72390" cy="50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90" cy="5080"/>
                    </a:xfrm>
                    <a:prstGeom prst="rect">
                      <a:avLst/>
                    </a:prstGeom>
                    <a:noFill/>
                  </pic:spPr>
                </pic:pic>
              </a:graphicData>
            </a:graphic>
          </wp:anchor>
        </w:drawing>
        <w:drawing>
          <wp:anchor simplePos="0" relativeHeight="251657728" behindDoc="1" locked="0" layoutInCell="0" allowOverlap="1">
            <wp:simplePos x="0" y="0"/>
            <wp:positionH relativeFrom="column">
              <wp:posOffset>6256020</wp:posOffset>
            </wp:positionH>
            <wp:positionV relativeFrom="paragraph">
              <wp:posOffset>-4046220</wp:posOffset>
            </wp:positionV>
            <wp:extent cx="72390" cy="5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90" cy="5080"/>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-3136265</wp:posOffset>
            </wp:positionV>
            <wp:extent cx="80645" cy="50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0645" cy="5080"/>
                    </a:xfrm>
                    <a:prstGeom prst="rect">
                      <a:avLst/>
                    </a:prstGeom>
                    <a:noFill/>
                  </pic:spPr>
                </pic:pic>
              </a:graphicData>
            </a:graphic>
          </wp:anchor>
        </w:drawing>
        <w:drawing>
          <wp:anchor simplePos="0" relativeHeight="251657728" behindDoc="1" locked="0" layoutInCell="0" allowOverlap="1">
            <wp:simplePos x="0" y="0"/>
            <wp:positionH relativeFrom="column">
              <wp:posOffset>5370195</wp:posOffset>
            </wp:positionH>
            <wp:positionV relativeFrom="paragraph">
              <wp:posOffset>-3136265</wp:posOffset>
            </wp:positionV>
            <wp:extent cx="72390" cy="50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90" cy="5080"/>
                    </a:xfrm>
                    <a:prstGeom prst="rect">
                      <a:avLst/>
                    </a:prstGeom>
                    <a:noFill/>
                  </pic:spPr>
                </pic:pic>
              </a:graphicData>
            </a:graphic>
          </wp:anchor>
        </w:drawing>
        <w:drawing>
          <wp:anchor simplePos="0" relativeHeight="251657728" behindDoc="1" locked="0" layoutInCell="0" allowOverlap="1">
            <wp:simplePos x="0" y="0"/>
            <wp:positionH relativeFrom="column">
              <wp:posOffset>6256020</wp:posOffset>
            </wp:positionH>
            <wp:positionV relativeFrom="paragraph">
              <wp:posOffset>-3136265</wp:posOffset>
            </wp:positionV>
            <wp:extent cx="72390" cy="50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90" cy="5080"/>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-2894965</wp:posOffset>
            </wp:positionV>
            <wp:extent cx="80645" cy="5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0645" cy="5080"/>
                    </a:xfrm>
                    <a:prstGeom prst="rect">
                      <a:avLst/>
                    </a:prstGeom>
                    <a:noFill/>
                  </pic:spPr>
                </pic:pic>
              </a:graphicData>
            </a:graphic>
          </wp:anchor>
        </w:drawing>
        <w:drawing>
          <wp:anchor simplePos="0" relativeHeight="251657728" behindDoc="1" locked="0" layoutInCell="0" allowOverlap="1">
            <wp:simplePos x="0" y="0"/>
            <wp:positionH relativeFrom="column">
              <wp:posOffset>5370195</wp:posOffset>
            </wp:positionH>
            <wp:positionV relativeFrom="paragraph">
              <wp:posOffset>-2894965</wp:posOffset>
            </wp:positionV>
            <wp:extent cx="72390" cy="50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90" cy="5080"/>
                    </a:xfrm>
                    <a:prstGeom prst="rect">
                      <a:avLst/>
                    </a:prstGeom>
                    <a:noFill/>
                  </pic:spPr>
                </pic:pic>
              </a:graphicData>
            </a:graphic>
          </wp:anchor>
        </w:drawing>
        <w:drawing>
          <wp:anchor simplePos="0" relativeHeight="251657728" behindDoc="1" locked="0" layoutInCell="0" allowOverlap="1">
            <wp:simplePos x="0" y="0"/>
            <wp:positionH relativeFrom="column">
              <wp:posOffset>6256020</wp:posOffset>
            </wp:positionH>
            <wp:positionV relativeFrom="paragraph">
              <wp:posOffset>-2894965</wp:posOffset>
            </wp:positionV>
            <wp:extent cx="72390" cy="50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90" cy="5080"/>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-2419985</wp:posOffset>
            </wp:positionV>
            <wp:extent cx="80645" cy="50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0645" cy="5080"/>
                    </a:xfrm>
                    <a:prstGeom prst="rect">
                      <a:avLst/>
                    </a:prstGeom>
                    <a:noFill/>
                  </pic:spPr>
                </pic:pic>
              </a:graphicData>
            </a:graphic>
          </wp:anchor>
        </w:drawing>
        <w:drawing>
          <wp:anchor simplePos="0" relativeHeight="251657728" behindDoc="1" locked="0" layoutInCell="0" allowOverlap="1">
            <wp:simplePos x="0" y="0"/>
            <wp:positionH relativeFrom="column">
              <wp:posOffset>5370195</wp:posOffset>
            </wp:positionH>
            <wp:positionV relativeFrom="paragraph">
              <wp:posOffset>-2419985</wp:posOffset>
            </wp:positionV>
            <wp:extent cx="72390" cy="50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90" cy="5080"/>
                    </a:xfrm>
                    <a:prstGeom prst="rect">
                      <a:avLst/>
                    </a:prstGeom>
                    <a:noFill/>
                  </pic:spPr>
                </pic:pic>
              </a:graphicData>
            </a:graphic>
          </wp:anchor>
        </w:drawing>
        <w:drawing>
          <wp:anchor simplePos="0" relativeHeight="251657728" behindDoc="1" locked="0" layoutInCell="0" allowOverlap="1">
            <wp:simplePos x="0" y="0"/>
            <wp:positionH relativeFrom="column">
              <wp:posOffset>6256020</wp:posOffset>
            </wp:positionH>
            <wp:positionV relativeFrom="paragraph">
              <wp:posOffset>-2419985</wp:posOffset>
            </wp:positionV>
            <wp:extent cx="72390" cy="50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90" cy="5080"/>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-1727200</wp:posOffset>
            </wp:positionV>
            <wp:extent cx="80645" cy="50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0645" cy="5080"/>
                    </a:xfrm>
                    <a:prstGeom prst="rect">
                      <a:avLst/>
                    </a:prstGeom>
                    <a:noFill/>
                  </pic:spPr>
                </pic:pic>
              </a:graphicData>
            </a:graphic>
          </wp:anchor>
        </w:drawing>
        <w:drawing>
          <wp:anchor simplePos="0" relativeHeight="251657728" behindDoc="1" locked="0" layoutInCell="0" allowOverlap="1">
            <wp:simplePos x="0" y="0"/>
            <wp:positionH relativeFrom="column">
              <wp:posOffset>5370195</wp:posOffset>
            </wp:positionH>
            <wp:positionV relativeFrom="paragraph">
              <wp:posOffset>-1727200</wp:posOffset>
            </wp:positionV>
            <wp:extent cx="72390" cy="50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90" cy="5080"/>
                    </a:xfrm>
                    <a:prstGeom prst="rect">
                      <a:avLst/>
                    </a:prstGeom>
                    <a:noFill/>
                  </pic:spPr>
                </pic:pic>
              </a:graphicData>
            </a:graphic>
          </wp:anchor>
        </w:drawing>
        <w:drawing>
          <wp:anchor simplePos="0" relativeHeight="251657728" behindDoc="1" locked="0" layoutInCell="0" allowOverlap="1">
            <wp:simplePos x="0" y="0"/>
            <wp:positionH relativeFrom="column">
              <wp:posOffset>6256020</wp:posOffset>
            </wp:positionH>
            <wp:positionV relativeFrom="paragraph">
              <wp:posOffset>-1727200</wp:posOffset>
            </wp:positionV>
            <wp:extent cx="72390" cy="50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90" cy="5080"/>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-1035050</wp:posOffset>
            </wp:positionV>
            <wp:extent cx="80645" cy="50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0645" cy="5080"/>
                    </a:xfrm>
                    <a:prstGeom prst="rect">
                      <a:avLst/>
                    </a:prstGeom>
                    <a:noFill/>
                  </pic:spPr>
                </pic:pic>
              </a:graphicData>
            </a:graphic>
          </wp:anchor>
        </w:drawing>
        <w:drawing>
          <wp:anchor simplePos="0" relativeHeight="251657728" behindDoc="1" locked="0" layoutInCell="0" allowOverlap="1">
            <wp:simplePos x="0" y="0"/>
            <wp:positionH relativeFrom="column">
              <wp:posOffset>5370195</wp:posOffset>
            </wp:positionH>
            <wp:positionV relativeFrom="paragraph">
              <wp:posOffset>-1035050</wp:posOffset>
            </wp:positionV>
            <wp:extent cx="72390" cy="50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90" cy="5080"/>
                    </a:xfrm>
                    <a:prstGeom prst="rect">
                      <a:avLst/>
                    </a:prstGeom>
                    <a:noFill/>
                  </pic:spPr>
                </pic:pic>
              </a:graphicData>
            </a:graphic>
          </wp:anchor>
        </w:drawing>
        <w:drawing>
          <wp:anchor simplePos="0" relativeHeight="251657728" behindDoc="1" locked="0" layoutInCell="0" allowOverlap="1">
            <wp:simplePos x="0" y="0"/>
            <wp:positionH relativeFrom="column">
              <wp:posOffset>6256020</wp:posOffset>
            </wp:positionH>
            <wp:positionV relativeFrom="paragraph">
              <wp:posOffset>-1035050</wp:posOffset>
            </wp:positionV>
            <wp:extent cx="72390" cy="50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90" cy="5080"/>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-801370</wp:posOffset>
            </wp:positionV>
            <wp:extent cx="80645" cy="50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0645" cy="5080"/>
                    </a:xfrm>
                    <a:prstGeom prst="rect">
                      <a:avLst/>
                    </a:prstGeom>
                    <a:noFill/>
                  </pic:spPr>
                </pic:pic>
              </a:graphicData>
            </a:graphic>
          </wp:anchor>
        </w:drawing>
        <w:drawing>
          <wp:anchor simplePos="0" relativeHeight="251657728" behindDoc="1" locked="0" layoutInCell="0" allowOverlap="1">
            <wp:simplePos x="0" y="0"/>
            <wp:positionH relativeFrom="column">
              <wp:posOffset>5370195</wp:posOffset>
            </wp:positionH>
            <wp:positionV relativeFrom="paragraph">
              <wp:posOffset>-801370</wp:posOffset>
            </wp:positionV>
            <wp:extent cx="72390" cy="50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90" cy="5080"/>
                    </a:xfrm>
                    <a:prstGeom prst="rect">
                      <a:avLst/>
                    </a:prstGeom>
                    <a:noFill/>
                  </pic:spPr>
                </pic:pic>
              </a:graphicData>
            </a:graphic>
          </wp:anchor>
        </w:drawing>
        <w:drawing>
          <wp:anchor simplePos="0" relativeHeight="251657728" behindDoc="1" locked="0" layoutInCell="0" allowOverlap="1">
            <wp:simplePos x="0" y="0"/>
            <wp:positionH relativeFrom="column">
              <wp:posOffset>6256020</wp:posOffset>
            </wp:positionH>
            <wp:positionV relativeFrom="paragraph">
              <wp:posOffset>-801370</wp:posOffset>
            </wp:positionV>
            <wp:extent cx="72390" cy="50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90" cy="5080"/>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-297180</wp:posOffset>
            </wp:positionV>
            <wp:extent cx="806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-281305</wp:posOffset>
            </wp:positionV>
            <wp:extent cx="806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5370195</wp:posOffset>
            </wp:positionH>
            <wp:positionV relativeFrom="paragraph">
              <wp:posOffset>-297180</wp:posOffset>
            </wp:positionV>
            <wp:extent cx="723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5370195</wp:posOffset>
            </wp:positionH>
            <wp:positionV relativeFrom="paragraph">
              <wp:posOffset>-281305</wp:posOffset>
            </wp:positionV>
            <wp:extent cx="723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6256020</wp:posOffset>
            </wp:positionH>
            <wp:positionV relativeFrom="paragraph">
              <wp:posOffset>-297180</wp:posOffset>
            </wp:positionV>
            <wp:extent cx="723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6256020</wp:posOffset>
            </wp:positionH>
            <wp:positionV relativeFrom="paragraph">
              <wp:posOffset>-281305</wp:posOffset>
            </wp:positionV>
            <wp:extent cx="723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-23495</wp:posOffset>
            </wp:positionV>
            <wp:extent cx="806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-7620</wp:posOffset>
            </wp:positionV>
            <wp:extent cx="806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5370195</wp:posOffset>
            </wp:positionH>
            <wp:positionV relativeFrom="paragraph">
              <wp:posOffset>-23495</wp:posOffset>
            </wp:positionV>
            <wp:extent cx="723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5370195</wp:posOffset>
            </wp:positionH>
            <wp:positionV relativeFrom="paragraph">
              <wp:posOffset>-7620</wp:posOffset>
            </wp:positionV>
            <wp:extent cx="723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6256020</wp:posOffset>
            </wp:positionH>
            <wp:positionV relativeFrom="paragraph">
              <wp:posOffset>-23495</wp:posOffset>
            </wp:positionV>
            <wp:extent cx="723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6256020</wp:posOffset>
            </wp:positionH>
            <wp:positionV relativeFrom="paragraph">
              <wp:posOffset>-7620</wp:posOffset>
            </wp:positionV>
            <wp:extent cx="723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390" cy="8255"/>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Notes to Consolidated Financial Statements (unaudited).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Changes in Net Assets (unaudited)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2260" w:type="dxa"/>
            <w:vAlign w:val="bottom"/>
            <w:tcBorders>
              <w:bottom w:val="single" w:sz="8" w:color="auto"/>
            </w:tcBorders>
            <w:gridSpan w:val="3"/>
          </w:tcPr>
          <w:p>
            <w:pPr>
              <w:jc w:val="right"/>
              <w:ind w:right="547"/>
              <w:spacing w:after="0"/>
              <w:rPr>
                <w:sz w:val="20"/>
                <w:szCs w:val="20"/>
                <w:color w:val="auto"/>
              </w:rPr>
            </w:pPr>
            <w:r>
              <w:rPr>
                <w:rFonts w:ascii="Arial" w:cs="Arial" w:eastAsia="Arial" w:hAnsi="Arial"/>
                <w:sz w:val="12"/>
                <w:szCs w:val="12"/>
                <w:b w:val="1"/>
                <w:bCs w:val="1"/>
                <w:color w:val="auto"/>
              </w:rPr>
              <w:t>Common Stock</w:t>
            </w:r>
          </w:p>
        </w:tc>
        <w:tc>
          <w:tcPr>
            <w:tcW w:w="3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221"/>
              <w:spacing w:after="0"/>
              <w:rPr>
                <w:sz w:val="20"/>
                <w:szCs w:val="20"/>
                <w:color w:val="auto"/>
              </w:rPr>
            </w:pPr>
            <w:r>
              <w:rPr>
                <w:rFonts w:ascii="Arial" w:cs="Arial" w:eastAsia="Arial" w:hAnsi="Arial"/>
                <w:sz w:val="12"/>
                <w:szCs w:val="12"/>
                <w:b w:val="1"/>
                <w:bCs w:val="1"/>
                <w:color w:val="auto"/>
                <w:w w:val="91"/>
              </w:rPr>
              <w:t>Additional</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181"/>
              <w:spacing w:after="0"/>
              <w:rPr>
                <w:sz w:val="20"/>
                <w:szCs w:val="20"/>
                <w:color w:val="auto"/>
              </w:rPr>
            </w:pPr>
            <w:r>
              <w:rPr>
                <w:rFonts w:ascii="Arial" w:cs="Arial" w:eastAsia="Arial" w:hAnsi="Arial"/>
                <w:sz w:val="12"/>
                <w:szCs w:val="12"/>
                <w:b w:val="1"/>
                <w:bCs w:val="1"/>
                <w:color w:val="auto"/>
                <w:w w:val="90"/>
              </w:rPr>
              <w:t>Total</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61"/>
        </w:trPr>
        <w:tc>
          <w:tcPr>
            <w:tcW w:w="4600" w:type="dxa"/>
            <w:vAlign w:val="bottom"/>
          </w:tcPr>
          <w:p>
            <w:pPr>
              <w:spacing w:after="0"/>
              <w:rPr>
                <w:sz w:val="13"/>
                <w:szCs w:val="13"/>
                <w:color w:val="auto"/>
              </w:rPr>
            </w:pPr>
          </w:p>
        </w:tc>
        <w:tc>
          <w:tcPr>
            <w:tcW w:w="1240" w:type="dxa"/>
            <w:vAlign w:val="bottom"/>
          </w:tcPr>
          <w:p>
            <w:pPr>
              <w:jc w:val="right"/>
              <w:ind w:right="321"/>
              <w:spacing w:after="0"/>
              <w:rPr>
                <w:sz w:val="20"/>
                <w:szCs w:val="20"/>
                <w:color w:val="auto"/>
              </w:rPr>
            </w:pPr>
            <w:r>
              <w:rPr>
                <w:rFonts w:ascii="Arial" w:cs="Arial" w:eastAsia="Arial" w:hAnsi="Arial"/>
                <w:sz w:val="12"/>
                <w:szCs w:val="12"/>
                <w:b w:val="1"/>
                <w:bCs w:val="1"/>
                <w:color w:val="auto"/>
              </w:rPr>
              <w:t>Number of</w:t>
            </w:r>
          </w:p>
        </w:tc>
        <w:tc>
          <w:tcPr>
            <w:tcW w:w="140" w:type="dxa"/>
            <w:vAlign w:val="bottom"/>
          </w:tcPr>
          <w:p>
            <w:pPr>
              <w:spacing w:after="0"/>
              <w:rPr>
                <w:sz w:val="13"/>
                <w:szCs w:val="13"/>
                <w:color w:val="auto"/>
              </w:rPr>
            </w:pPr>
          </w:p>
        </w:tc>
        <w:tc>
          <w:tcPr>
            <w:tcW w:w="880" w:type="dxa"/>
            <w:vAlign w:val="bottom"/>
          </w:tcPr>
          <w:p>
            <w:pPr>
              <w:jc w:val="right"/>
              <w:ind w:right="147"/>
              <w:spacing w:after="0"/>
              <w:rPr>
                <w:sz w:val="20"/>
                <w:szCs w:val="20"/>
                <w:color w:val="auto"/>
              </w:rPr>
            </w:pPr>
            <w:r>
              <w:rPr>
                <w:rFonts w:ascii="Arial" w:cs="Arial" w:eastAsia="Arial" w:hAnsi="Arial"/>
                <w:sz w:val="12"/>
                <w:szCs w:val="12"/>
                <w:b w:val="1"/>
                <w:bCs w:val="1"/>
                <w:color w:val="auto"/>
              </w:rPr>
              <w:t>Par</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center"/>
              <w:ind w:right="221"/>
              <w:spacing w:after="0"/>
              <w:rPr>
                <w:sz w:val="20"/>
                <w:szCs w:val="20"/>
                <w:color w:val="auto"/>
              </w:rPr>
            </w:pPr>
            <w:r>
              <w:rPr>
                <w:rFonts w:ascii="Arial" w:cs="Arial" w:eastAsia="Arial" w:hAnsi="Arial"/>
                <w:sz w:val="12"/>
                <w:szCs w:val="12"/>
                <w:b w:val="1"/>
                <w:bCs w:val="1"/>
                <w:color w:val="auto"/>
                <w:w w:val="96"/>
              </w:rPr>
              <w:t>paid-in</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center"/>
              <w:ind w:right="181"/>
              <w:spacing w:after="0"/>
              <w:rPr>
                <w:sz w:val="20"/>
                <w:szCs w:val="20"/>
                <w:color w:val="auto"/>
              </w:rPr>
            </w:pPr>
            <w:r>
              <w:rPr>
                <w:rFonts w:ascii="Arial" w:cs="Arial" w:eastAsia="Arial" w:hAnsi="Arial"/>
                <w:sz w:val="12"/>
                <w:szCs w:val="12"/>
                <w:b w:val="1"/>
                <w:bCs w:val="1"/>
                <w:color w:val="auto"/>
                <w:w w:val="91"/>
              </w:rPr>
              <w:t>distributable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321"/>
              <w:spacing w:after="0"/>
              <w:rPr>
                <w:sz w:val="20"/>
                <w:szCs w:val="20"/>
                <w:color w:val="auto"/>
              </w:rPr>
            </w:pPr>
            <w:r>
              <w:rPr>
                <w:rFonts w:ascii="Arial" w:cs="Arial" w:eastAsia="Arial" w:hAnsi="Arial"/>
                <w:sz w:val="12"/>
                <w:szCs w:val="12"/>
                <w:b w:val="1"/>
                <w:bCs w:val="1"/>
                <w:color w:val="auto"/>
              </w:rPr>
              <w:t>Total net</w:t>
            </w:r>
          </w:p>
        </w:tc>
      </w:tr>
      <w:tr>
        <w:trPr>
          <w:trHeight w:val="212"/>
        </w:trPr>
        <w:tc>
          <w:tcPr>
            <w:tcW w:w="4600" w:type="dxa"/>
            <w:vAlign w:val="bottom"/>
          </w:tcPr>
          <w:p>
            <w:pPr>
              <w:spacing w:after="0"/>
              <w:rPr>
                <w:sz w:val="18"/>
                <w:szCs w:val="18"/>
                <w:color w:val="auto"/>
              </w:rPr>
            </w:pPr>
          </w:p>
        </w:tc>
        <w:tc>
          <w:tcPr>
            <w:tcW w:w="1240" w:type="dxa"/>
            <w:vAlign w:val="bottom"/>
            <w:tcBorders>
              <w:bottom w:val="single" w:sz="8" w:color="auto"/>
            </w:tcBorders>
          </w:tcPr>
          <w:p>
            <w:pPr>
              <w:jc w:val="right"/>
              <w:ind w:right="441"/>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8"/>
                <w:szCs w:val="18"/>
                <w:color w:val="auto"/>
              </w:rPr>
            </w:pPr>
          </w:p>
        </w:tc>
        <w:tc>
          <w:tcPr>
            <w:tcW w:w="880" w:type="dxa"/>
            <w:vAlign w:val="bottom"/>
            <w:tcBorders>
              <w:bottom w:val="single" w:sz="8" w:color="auto"/>
            </w:tcBorders>
          </w:tcPr>
          <w:p>
            <w:pPr>
              <w:jc w:val="right"/>
              <w:ind w:right="107"/>
              <w:spacing w:after="0"/>
              <w:rPr>
                <w:sz w:val="20"/>
                <w:szCs w:val="20"/>
                <w:color w:val="auto"/>
              </w:rPr>
            </w:pPr>
            <w:r>
              <w:rPr>
                <w:rFonts w:ascii="Arial" w:cs="Arial" w:eastAsia="Arial" w:hAnsi="Arial"/>
                <w:sz w:val="12"/>
                <w:szCs w:val="12"/>
                <w:b w:val="1"/>
                <w:bCs w:val="1"/>
                <w:color w:val="auto"/>
              </w:rPr>
              <w:t>value</w:t>
            </w:r>
          </w:p>
        </w:tc>
        <w:tc>
          <w:tcPr>
            <w:tcW w:w="3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21"/>
              <w:spacing w:after="0"/>
              <w:rPr>
                <w:sz w:val="20"/>
                <w:szCs w:val="20"/>
                <w:color w:val="auto"/>
              </w:rPr>
            </w:pPr>
            <w:r>
              <w:rPr>
                <w:rFonts w:ascii="Arial" w:cs="Arial" w:eastAsia="Arial" w:hAnsi="Arial"/>
                <w:sz w:val="12"/>
                <w:szCs w:val="12"/>
                <w:b w:val="1"/>
                <w:bCs w:val="1"/>
                <w:color w:val="auto"/>
                <w:w w:val="89"/>
              </w:rPr>
              <w:t>capital</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81"/>
              <w:spacing w:after="0"/>
              <w:rPr>
                <w:sz w:val="20"/>
                <w:szCs w:val="20"/>
                <w:color w:val="auto"/>
              </w:rPr>
            </w:pPr>
            <w:r>
              <w:rPr>
                <w:rFonts w:ascii="Arial" w:cs="Arial" w:eastAsia="Arial" w:hAnsi="Arial"/>
                <w:sz w:val="12"/>
                <w:szCs w:val="12"/>
                <w:b w:val="1"/>
                <w:bCs w:val="1"/>
                <w:color w:val="auto"/>
                <w:w w:val="83"/>
              </w:rPr>
              <w:t>earnings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2"/>
                <w:szCs w:val="12"/>
                <w:b w:val="1"/>
                <w:bCs w:val="1"/>
                <w:color w:val="auto"/>
              </w:rPr>
              <w:t>assets</w:t>
            </w:r>
          </w:p>
        </w:tc>
      </w:tr>
      <w:tr>
        <w:trPr>
          <w:trHeight w:val="177"/>
        </w:trPr>
        <w:tc>
          <w:tcPr>
            <w:tcW w:w="4600" w:type="dxa"/>
            <w:vAlign w:val="bottom"/>
            <w:shd w:val="clear" w:color="auto" w:fill="CFF0FC"/>
          </w:tcPr>
          <w:p>
            <w:pPr>
              <w:ind w:left="20"/>
              <w:spacing w:after="0"/>
              <w:rPr>
                <w:sz w:val="20"/>
                <w:szCs w:val="20"/>
                <w:color w:val="auto"/>
              </w:rPr>
            </w:pPr>
            <w:r>
              <w:rPr>
                <w:rFonts w:ascii="Arial" w:cs="Arial" w:eastAsia="Arial" w:hAnsi="Arial"/>
                <w:sz w:val="12"/>
                <w:szCs w:val="12"/>
                <w:b w:val="1"/>
                <w:bCs w:val="1"/>
                <w:color w:val="auto"/>
              </w:rPr>
              <w:t>Balances at December 31, 2019</w:t>
            </w:r>
          </w:p>
        </w:tc>
        <w:tc>
          <w:tcPr>
            <w:tcW w:w="124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24,463,119</w:t>
            </w:r>
          </w:p>
        </w:tc>
        <w:tc>
          <w:tcPr>
            <w:tcW w:w="1020" w:type="dxa"/>
            <w:vAlign w:val="bottom"/>
            <w:gridSpan w:val="2"/>
            <w:shd w:val="clear" w:color="auto" w:fill="CFF0FC"/>
          </w:tcPr>
          <w:p>
            <w:pPr>
              <w:jc w:val="right"/>
              <w:ind w:right="767"/>
              <w:spacing w:after="0"/>
              <w:rPr>
                <w:sz w:val="20"/>
                <w:szCs w:val="20"/>
                <w:color w:val="auto"/>
              </w:rPr>
            </w:pPr>
            <w:r>
              <w:rPr>
                <w:rFonts w:ascii="Arial" w:cs="Arial" w:eastAsia="Arial" w:hAnsi="Arial"/>
                <w:sz w:val="12"/>
                <w:szCs w:val="12"/>
                <w:color w:val="auto"/>
              </w:rPr>
              <w:t>$</w:t>
            </w:r>
          </w:p>
        </w:tc>
        <w:tc>
          <w:tcPr>
            <w:tcW w:w="36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24</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93"/>
              <w:spacing w:after="0"/>
              <w:rPr>
                <w:sz w:val="20"/>
                <w:szCs w:val="20"/>
                <w:color w:val="auto"/>
              </w:rPr>
            </w:pPr>
            <w:r>
              <w:rPr>
                <w:rFonts w:ascii="Arial" w:cs="Arial" w:eastAsia="Arial" w:hAnsi="Arial"/>
                <w:sz w:val="9"/>
                <w:szCs w:val="9"/>
                <w:color w:val="auto"/>
                <w:w w:val="78"/>
              </w:rPr>
              <w:t>$</w:t>
            </w:r>
          </w:p>
        </w:tc>
        <w:tc>
          <w:tcPr>
            <w:tcW w:w="106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366,061</w:t>
            </w:r>
          </w:p>
        </w:tc>
        <w:tc>
          <w:tcPr>
            <w:tcW w:w="300" w:type="dxa"/>
            <w:vAlign w:val="bottom"/>
            <w:gridSpan w:val="2"/>
            <w:shd w:val="clear" w:color="auto" w:fill="CFF0FC"/>
          </w:tcPr>
          <w:p>
            <w:pPr>
              <w:jc w:val="right"/>
              <w:ind w:right="41"/>
              <w:spacing w:after="0"/>
              <w:rPr>
                <w:sz w:val="20"/>
                <w:szCs w:val="20"/>
                <w:color w:val="auto"/>
              </w:rPr>
            </w:pPr>
            <w:r>
              <w:rPr>
                <w:rFonts w:ascii="Arial" w:cs="Arial" w:eastAsia="Arial" w:hAnsi="Arial"/>
                <w:sz w:val="12"/>
                <w:szCs w:val="12"/>
                <w:color w:val="auto"/>
              </w:rPr>
              <w:t>$</w:t>
            </w:r>
          </w:p>
        </w:tc>
        <w:tc>
          <w:tcPr>
            <w:tcW w:w="106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46,225</w:t>
            </w:r>
          </w:p>
        </w:tc>
        <w:tc>
          <w:tcPr>
            <w:tcW w:w="300" w:type="dxa"/>
            <w:vAlign w:val="bottom"/>
            <w:gridSpan w:val="2"/>
            <w:shd w:val="clear" w:color="auto" w:fill="CFF0FC"/>
          </w:tcPr>
          <w:p>
            <w:pPr>
              <w:jc w:val="right"/>
              <w:ind w:right="61"/>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ind w:right="1"/>
              <w:spacing w:after="0"/>
              <w:rPr>
                <w:sz w:val="20"/>
                <w:szCs w:val="20"/>
                <w:color w:val="auto"/>
              </w:rPr>
            </w:pPr>
            <w:r>
              <w:rPr>
                <w:rFonts w:ascii="Arial" w:cs="Arial" w:eastAsia="Arial" w:hAnsi="Arial"/>
                <w:sz w:val="12"/>
                <w:szCs w:val="12"/>
                <w:color w:val="auto"/>
              </w:rPr>
              <w:t>412,310</w:t>
            </w:r>
          </w:p>
        </w:tc>
      </w:tr>
      <w:tr>
        <w:trPr>
          <w:trHeight w:val="169"/>
        </w:trPr>
        <w:tc>
          <w:tcPr>
            <w:tcW w:w="4600" w:type="dxa"/>
            <w:vAlign w:val="bottom"/>
          </w:tcPr>
          <w:p>
            <w:pPr>
              <w:ind w:left="20"/>
              <w:spacing w:after="0"/>
              <w:rPr>
                <w:sz w:val="20"/>
                <w:szCs w:val="20"/>
                <w:color w:val="auto"/>
              </w:rPr>
            </w:pPr>
            <w:r>
              <w:rPr>
                <w:rFonts w:ascii="Arial" w:cs="Arial" w:eastAsia="Arial" w:hAnsi="Arial"/>
                <w:sz w:val="12"/>
                <w:szCs w:val="12"/>
                <w:color w:val="auto"/>
              </w:rPr>
              <w:t>Repurchases of common stock under Stock Repurchase Program (Note 8)</w:t>
            </w:r>
          </w:p>
        </w:tc>
        <w:tc>
          <w:tcPr>
            <w:tcW w:w="1240" w:type="dxa"/>
            <w:vAlign w:val="bottom"/>
          </w:tcPr>
          <w:p>
            <w:pPr>
              <w:jc w:val="right"/>
              <w:spacing w:after="0"/>
              <w:rPr>
                <w:sz w:val="20"/>
                <w:szCs w:val="20"/>
                <w:color w:val="auto"/>
              </w:rPr>
            </w:pPr>
            <w:r>
              <w:rPr>
                <w:rFonts w:ascii="Arial" w:cs="Arial" w:eastAsia="Arial" w:hAnsi="Arial"/>
                <w:sz w:val="12"/>
                <w:szCs w:val="12"/>
                <w:color w:val="auto"/>
              </w:rPr>
              <w:t>(25,719 )</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2"/>
                <w:szCs w:val="12"/>
                <w:color w:val="auto"/>
              </w:rPr>
              <w:t>(0 ) *</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(268 )</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(268 )</w:t>
            </w:r>
          </w:p>
        </w:tc>
      </w:tr>
      <w:tr>
        <w:trPr>
          <w:trHeight w:val="186"/>
        </w:trPr>
        <w:tc>
          <w:tcPr>
            <w:tcW w:w="4600" w:type="dxa"/>
            <w:vAlign w:val="bottom"/>
            <w:shd w:val="clear" w:color="auto" w:fill="CFF0FC"/>
          </w:tcPr>
          <w:p>
            <w:pPr>
              <w:ind w:left="20"/>
              <w:spacing w:after="0"/>
              <w:rPr>
                <w:sz w:val="20"/>
                <w:szCs w:val="20"/>
                <w:color w:val="auto"/>
              </w:rPr>
            </w:pPr>
            <w:r>
              <w:rPr>
                <w:rFonts w:ascii="Arial" w:cs="Arial" w:eastAsia="Arial" w:hAnsi="Arial"/>
                <w:sz w:val="12"/>
                <w:szCs w:val="12"/>
                <w:color w:val="auto"/>
              </w:rPr>
              <w:t>Net investment income</w:t>
            </w:r>
          </w:p>
        </w:tc>
        <w:tc>
          <w:tcPr>
            <w:tcW w:w="124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17,417</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1"/>
              <w:spacing w:after="0"/>
              <w:rPr>
                <w:sz w:val="20"/>
                <w:szCs w:val="20"/>
                <w:color w:val="auto"/>
              </w:rPr>
            </w:pPr>
            <w:r>
              <w:rPr>
                <w:rFonts w:ascii="Arial" w:cs="Arial" w:eastAsia="Arial" w:hAnsi="Arial"/>
                <w:sz w:val="12"/>
                <w:szCs w:val="12"/>
                <w:color w:val="auto"/>
              </w:rPr>
              <w:t>17,417</w:t>
            </w:r>
          </w:p>
        </w:tc>
      </w:tr>
      <w:tr>
        <w:trPr>
          <w:trHeight w:val="169"/>
        </w:trPr>
        <w:tc>
          <w:tcPr>
            <w:tcW w:w="4600" w:type="dxa"/>
            <w:vAlign w:val="bottom"/>
          </w:tcPr>
          <w:p>
            <w:pPr>
              <w:ind w:left="20"/>
              <w:spacing w:after="0"/>
              <w:rPr>
                <w:sz w:val="20"/>
                <w:szCs w:val="20"/>
                <w:color w:val="auto"/>
              </w:rPr>
            </w:pPr>
            <w:r>
              <w:rPr>
                <w:rFonts w:ascii="Arial" w:cs="Arial" w:eastAsia="Arial" w:hAnsi="Arial"/>
                <w:sz w:val="12"/>
                <w:szCs w:val="12"/>
                <w:color w:val="auto"/>
              </w:rPr>
              <w:t>Net realized gain (loss) on investments, net of taxes</w:t>
            </w:r>
          </w:p>
        </w:tc>
        <w:tc>
          <w:tcPr>
            <w:tcW w:w="124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30,327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30,327</w:t>
            </w:r>
          </w:p>
        </w:tc>
      </w:tr>
      <w:tr>
        <w:trPr>
          <w:trHeight w:val="186"/>
        </w:trPr>
        <w:tc>
          <w:tcPr>
            <w:tcW w:w="4600" w:type="dxa"/>
            <w:vAlign w:val="bottom"/>
            <w:shd w:val="clear" w:color="auto" w:fill="CFF0FC"/>
          </w:tcPr>
          <w:p>
            <w:pPr>
              <w:ind w:left="20"/>
              <w:spacing w:after="0"/>
              <w:rPr>
                <w:sz w:val="20"/>
                <w:szCs w:val="20"/>
                <w:color w:val="auto"/>
              </w:rPr>
            </w:pPr>
            <w:r>
              <w:rPr>
                <w:rFonts w:ascii="Arial" w:cs="Arial" w:eastAsia="Arial" w:hAnsi="Arial"/>
                <w:sz w:val="12"/>
                <w:szCs w:val="12"/>
                <w:color w:val="auto"/>
              </w:rPr>
              <w:t>Net unrealized appreciation (depreciation) on investments</w:t>
            </w:r>
          </w:p>
        </w:tc>
        <w:tc>
          <w:tcPr>
            <w:tcW w:w="124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(74,590 )</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(74,590 )</w:t>
            </w:r>
          </w:p>
        </w:tc>
      </w:tr>
      <w:tr>
        <w:trPr>
          <w:trHeight w:val="169"/>
        </w:trPr>
        <w:tc>
          <w:tcPr>
            <w:tcW w:w="4600" w:type="dxa"/>
            <w:vAlign w:val="bottom"/>
          </w:tcPr>
          <w:p>
            <w:pPr>
              <w:ind w:left="20"/>
              <w:spacing w:after="0"/>
              <w:rPr>
                <w:sz w:val="20"/>
                <w:szCs w:val="20"/>
                <w:color w:val="auto"/>
              </w:rPr>
            </w:pPr>
            <w:r>
              <w:rPr>
                <w:rFonts w:ascii="Arial" w:cs="Arial" w:eastAsia="Arial" w:hAnsi="Arial"/>
                <w:sz w:val="12"/>
                <w:szCs w:val="12"/>
                <w:color w:val="auto"/>
              </w:rPr>
              <w:t>Realized losses on extinguishment of debt</w:t>
            </w:r>
          </w:p>
        </w:tc>
        <w:tc>
          <w:tcPr>
            <w:tcW w:w="124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(125 )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(125 )</w:t>
            </w:r>
          </w:p>
        </w:tc>
      </w:tr>
      <w:tr>
        <w:trPr>
          <w:trHeight w:val="179"/>
        </w:trPr>
        <w:tc>
          <w:tcPr>
            <w:tcW w:w="4600" w:type="dxa"/>
            <w:vAlign w:val="bottom"/>
            <w:shd w:val="clear" w:color="auto" w:fill="CFF0FC"/>
          </w:tcPr>
          <w:p>
            <w:pPr>
              <w:ind w:left="20"/>
              <w:spacing w:after="0"/>
              <w:rPr>
                <w:sz w:val="20"/>
                <w:szCs w:val="20"/>
                <w:color w:val="auto"/>
              </w:rPr>
            </w:pPr>
            <w:r>
              <w:rPr>
                <w:rFonts w:ascii="Arial" w:cs="Arial" w:eastAsia="Arial" w:hAnsi="Arial"/>
                <w:sz w:val="12"/>
                <w:szCs w:val="12"/>
                <w:color w:val="auto"/>
              </w:rPr>
              <w:t>Dividends declared</w:t>
            </w:r>
          </w:p>
        </w:tc>
        <w:tc>
          <w:tcPr>
            <w:tcW w:w="124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(9,537 )</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(9,537 )</w:t>
            </w:r>
          </w:p>
        </w:tc>
      </w:tr>
      <w:tr>
        <w:trPr>
          <w:trHeight w:val="170"/>
        </w:trPr>
        <w:tc>
          <w:tcPr>
            <w:tcW w:w="4600" w:type="dxa"/>
            <w:vAlign w:val="bottom"/>
            <w:tcBorders>
              <w:top w:val="single" w:sz="8" w:color="CFF0FC"/>
            </w:tcBorders>
          </w:tcPr>
          <w:p>
            <w:pPr>
              <w:ind w:left="20"/>
              <w:spacing w:after="0"/>
              <w:rPr>
                <w:sz w:val="20"/>
                <w:szCs w:val="20"/>
                <w:color w:val="auto"/>
              </w:rPr>
            </w:pPr>
            <w:r>
              <w:rPr>
                <w:rFonts w:ascii="Arial" w:cs="Arial" w:eastAsia="Arial" w:hAnsi="Arial"/>
                <w:sz w:val="12"/>
                <w:szCs w:val="12"/>
                <w:b w:val="1"/>
                <w:bCs w:val="1"/>
                <w:color w:val="auto"/>
              </w:rPr>
              <w:t>Balances at March 31, 2020</w:t>
            </w:r>
          </w:p>
        </w:tc>
        <w:tc>
          <w:tcPr>
            <w:tcW w:w="12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24,437,400</w:t>
            </w:r>
          </w:p>
        </w:tc>
        <w:tc>
          <w:tcPr>
            <w:tcW w:w="140" w:type="dxa"/>
            <w:vAlign w:val="bottom"/>
            <w:tcBorders>
              <w:top w:val="single" w:sz="8" w:color="CFF0FC"/>
            </w:tcBorders>
          </w:tcPr>
          <w:p>
            <w:pPr>
              <w:spacing w:after="0"/>
              <w:rPr>
                <w:sz w:val="14"/>
                <w:szCs w:val="14"/>
                <w:color w:val="auto"/>
              </w:rPr>
            </w:pPr>
          </w:p>
        </w:tc>
        <w:tc>
          <w:tcPr>
            <w:tcW w:w="88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24</w:t>
            </w:r>
          </w:p>
        </w:tc>
        <w:tc>
          <w:tcPr>
            <w:tcW w:w="140" w:type="dxa"/>
            <w:vAlign w:val="bottom"/>
            <w:tcBorders>
              <w:top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365,793</w:t>
            </w:r>
          </w:p>
        </w:tc>
        <w:tc>
          <w:tcPr>
            <w:tcW w:w="120" w:type="dxa"/>
            <w:vAlign w:val="bottom"/>
            <w:tcBorders>
              <w:top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9,717</w:t>
            </w:r>
          </w:p>
        </w:tc>
        <w:tc>
          <w:tcPr>
            <w:tcW w:w="100" w:type="dxa"/>
            <w:vAlign w:val="bottom"/>
            <w:tcBorders>
              <w:top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375,534</w:t>
            </w:r>
          </w:p>
        </w:tc>
      </w:tr>
      <w:tr>
        <w:trPr>
          <w:trHeight w:val="177"/>
        </w:trPr>
        <w:tc>
          <w:tcPr>
            <w:tcW w:w="4600" w:type="dxa"/>
            <w:vAlign w:val="bottom"/>
            <w:shd w:val="clear" w:color="auto" w:fill="CFF0FC"/>
          </w:tcPr>
          <w:p>
            <w:pPr>
              <w:ind w:left="20"/>
              <w:spacing w:after="0"/>
              <w:rPr>
                <w:sz w:val="20"/>
                <w:szCs w:val="20"/>
                <w:color w:val="auto"/>
              </w:rPr>
            </w:pPr>
            <w:r>
              <w:rPr>
                <w:rFonts w:ascii="Arial" w:cs="Arial" w:eastAsia="Arial" w:hAnsi="Arial"/>
                <w:sz w:val="12"/>
                <w:szCs w:val="12"/>
                <w:color w:val="auto"/>
              </w:rPr>
              <w:t>Net investment income</w:t>
            </w:r>
          </w:p>
        </w:tc>
        <w:tc>
          <w:tcPr>
            <w:tcW w:w="124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9,291</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1"/>
              <w:spacing w:after="0"/>
              <w:rPr>
                <w:sz w:val="20"/>
                <w:szCs w:val="20"/>
                <w:color w:val="auto"/>
              </w:rPr>
            </w:pPr>
            <w:r>
              <w:rPr>
                <w:rFonts w:ascii="Arial" w:cs="Arial" w:eastAsia="Arial" w:hAnsi="Arial"/>
                <w:sz w:val="12"/>
                <w:szCs w:val="12"/>
                <w:color w:val="auto"/>
              </w:rPr>
              <w:t>9,291</w:t>
            </w:r>
          </w:p>
        </w:tc>
      </w:tr>
      <w:tr>
        <w:trPr>
          <w:trHeight w:val="169"/>
        </w:trPr>
        <w:tc>
          <w:tcPr>
            <w:tcW w:w="4600" w:type="dxa"/>
            <w:vAlign w:val="bottom"/>
          </w:tcPr>
          <w:p>
            <w:pPr>
              <w:ind w:left="20"/>
              <w:spacing w:after="0"/>
              <w:rPr>
                <w:sz w:val="20"/>
                <w:szCs w:val="20"/>
                <w:color w:val="auto"/>
              </w:rPr>
            </w:pPr>
            <w:r>
              <w:rPr>
                <w:rFonts w:ascii="Arial" w:cs="Arial" w:eastAsia="Arial" w:hAnsi="Arial"/>
                <w:sz w:val="12"/>
                <w:szCs w:val="12"/>
                <w:color w:val="auto"/>
              </w:rPr>
              <w:t>Net realized gain (loss) on investments, net of taxes</w:t>
            </w:r>
          </w:p>
        </w:tc>
        <w:tc>
          <w:tcPr>
            <w:tcW w:w="124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190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190</w:t>
            </w:r>
          </w:p>
        </w:tc>
      </w:tr>
      <w:tr>
        <w:trPr>
          <w:trHeight w:val="186"/>
        </w:trPr>
        <w:tc>
          <w:tcPr>
            <w:tcW w:w="4600" w:type="dxa"/>
            <w:vAlign w:val="bottom"/>
            <w:shd w:val="clear" w:color="auto" w:fill="CFF0FC"/>
          </w:tcPr>
          <w:p>
            <w:pPr>
              <w:ind w:left="20"/>
              <w:spacing w:after="0"/>
              <w:rPr>
                <w:sz w:val="20"/>
                <w:szCs w:val="20"/>
                <w:color w:val="auto"/>
              </w:rPr>
            </w:pPr>
            <w:r>
              <w:rPr>
                <w:rFonts w:ascii="Arial" w:cs="Arial" w:eastAsia="Arial" w:hAnsi="Arial"/>
                <w:sz w:val="12"/>
                <w:szCs w:val="12"/>
                <w:color w:val="auto"/>
              </w:rPr>
              <w:t>Net unrealized appreciation (depreciation) on investments</w:t>
            </w:r>
          </w:p>
        </w:tc>
        <w:tc>
          <w:tcPr>
            <w:tcW w:w="124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(1,508 )</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(1,508 )</w:t>
            </w:r>
          </w:p>
        </w:tc>
      </w:tr>
      <w:tr>
        <w:trPr>
          <w:trHeight w:val="169"/>
        </w:trPr>
        <w:tc>
          <w:tcPr>
            <w:tcW w:w="4600" w:type="dxa"/>
            <w:vAlign w:val="bottom"/>
          </w:tcPr>
          <w:p>
            <w:pPr>
              <w:ind w:left="20"/>
              <w:spacing w:after="0"/>
              <w:rPr>
                <w:sz w:val="20"/>
                <w:szCs w:val="20"/>
                <w:color w:val="auto"/>
              </w:rPr>
            </w:pPr>
            <w:r>
              <w:rPr>
                <w:rFonts w:ascii="Arial" w:cs="Arial" w:eastAsia="Arial" w:hAnsi="Arial"/>
                <w:sz w:val="12"/>
                <w:szCs w:val="12"/>
                <w:color w:val="auto"/>
              </w:rPr>
              <w:t>Realized losses on extinguishment of debt</w:t>
            </w:r>
          </w:p>
        </w:tc>
        <w:tc>
          <w:tcPr>
            <w:tcW w:w="124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79"/>
        </w:trPr>
        <w:tc>
          <w:tcPr>
            <w:tcW w:w="4600" w:type="dxa"/>
            <w:vAlign w:val="bottom"/>
            <w:shd w:val="clear" w:color="auto" w:fill="CFF0FC"/>
          </w:tcPr>
          <w:p>
            <w:pPr>
              <w:ind w:left="20"/>
              <w:spacing w:after="0"/>
              <w:rPr>
                <w:sz w:val="20"/>
                <w:szCs w:val="20"/>
                <w:color w:val="auto"/>
              </w:rPr>
            </w:pPr>
            <w:r>
              <w:rPr>
                <w:rFonts w:ascii="Arial" w:cs="Arial" w:eastAsia="Arial" w:hAnsi="Arial"/>
                <w:sz w:val="12"/>
                <w:szCs w:val="12"/>
                <w:color w:val="auto"/>
              </w:rPr>
              <w:t>Dividends declared</w:t>
            </w:r>
          </w:p>
        </w:tc>
        <w:tc>
          <w:tcPr>
            <w:tcW w:w="124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(7,331 )</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(7,331 )</w:t>
            </w:r>
          </w:p>
        </w:tc>
      </w:tr>
      <w:tr>
        <w:trPr>
          <w:trHeight w:val="175"/>
        </w:trPr>
        <w:tc>
          <w:tcPr>
            <w:tcW w:w="4600" w:type="dxa"/>
            <w:vAlign w:val="bottom"/>
            <w:tcBorders>
              <w:top w:val="single" w:sz="8" w:color="CFF0FC"/>
            </w:tcBorders>
          </w:tcPr>
          <w:p>
            <w:pPr>
              <w:ind w:left="20"/>
              <w:spacing w:after="0"/>
              <w:rPr>
                <w:sz w:val="20"/>
                <w:szCs w:val="20"/>
                <w:color w:val="auto"/>
              </w:rPr>
            </w:pPr>
            <w:r>
              <w:rPr>
                <w:rFonts w:ascii="Arial" w:cs="Arial" w:eastAsia="Arial" w:hAnsi="Arial"/>
                <w:sz w:val="12"/>
                <w:szCs w:val="12"/>
                <w:b w:val="1"/>
                <w:bCs w:val="1"/>
                <w:color w:val="auto"/>
              </w:rPr>
              <w:t>Balances at June 30, 2020</w:t>
            </w:r>
          </w:p>
        </w:tc>
        <w:tc>
          <w:tcPr>
            <w:tcW w:w="12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24,437,400</w:t>
            </w:r>
          </w:p>
        </w:tc>
        <w:tc>
          <w:tcPr>
            <w:tcW w:w="140" w:type="dxa"/>
            <w:vAlign w:val="bottom"/>
            <w:tcBorders>
              <w:top w:val="single" w:sz="8" w:color="CFF0FC"/>
            </w:tcBorders>
          </w:tcPr>
          <w:p>
            <w:pPr>
              <w:spacing w:after="0"/>
              <w:rPr>
                <w:sz w:val="15"/>
                <w:szCs w:val="15"/>
                <w:color w:val="auto"/>
              </w:rPr>
            </w:pPr>
          </w:p>
        </w:tc>
        <w:tc>
          <w:tcPr>
            <w:tcW w:w="88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24</w:t>
            </w:r>
          </w:p>
        </w:tc>
        <w:tc>
          <w:tcPr>
            <w:tcW w:w="140" w:type="dxa"/>
            <w:vAlign w:val="bottom"/>
            <w:tcBorders>
              <w:top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365,793</w:t>
            </w:r>
          </w:p>
        </w:tc>
        <w:tc>
          <w:tcPr>
            <w:tcW w:w="120" w:type="dxa"/>
            <w:vAlign w:val="bottom"/>
            <w:tcBorders>
              <w:top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10,359</w:t>
            </w:r>
          </w:p>
        </w:tc>
        <w:tc>
          <w:tcPr>
            <w:tcW w:w="100" w:type="dxa"/>
            <w:vAlign w:val="bottom"/>
            <w:tcBorders>
              <w:top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376,176</w:t>
            </w:r>
          </w:p>
        </w:tc>
      </w:tr>
      <w:tr>
        <w:trPr>
          <w:trHeight w:val="20"/>
        </w:trPr>
        <w:tc>
          <w:tcPr>
            <w:tcW w:w="46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58"/>
        </w:trPr>
        <w:tc>
          <w:tcPr>
            <w:tcW w:w="4600" w:type="dxa"/>
            <w:vAlign w:val="bottom"/>
            <w:shd w:val="clear" w:color="auto" w:fill="CFF0FC"/>
          </w:tcPr>
          <w:p>
            <w:pPr>
              <w:ind w:left="20"/>
              <w:spacing w:after="0"/>
              <w:rPr>
                <w:sz w:val="20"/>
                <w:szCs w:val="20"/>
                <w:color w:val="auto"/>
              </w:rPr>
            </w:pPr>
            <w:r>
              <w:rPr>
                <w:rFonts w:ascii="Arial" w:cs="Arial" w:eastAsia="Arial" w:hAnsi="Arial"/>
                <w:sz w:val="12"/>
                <w:szCs w:val="12"/>
                <w:color w:val="auto"/>
              </w:rPr>
              <w:t>Net investment income</w:t>
            </w:r>
          </w:p>
        </w:tc>
        <w:tc>
          <w:tcPr>
            <w:tcW w:w="124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6,902</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1"/>
              <w:spacing w:after="0"/>
              <w:rPr>
                <w:sz w:val="20"/>
                <w:szCs w:val="20"/>
                <w:color w:val="auto"/>
              </w:rPr>
            </w:pPr>
            <w:r>
              <w:rPr>
                <w:rFonts w:ascii="Arial" w:cs="Arial" w:eastAsia="Arial" w:hAnsi="Arial"/>
                <w:sz w:val="12"/>
                <w:szCs w:val="12"/>
                <w:color w:val="auto"/>
              </w:rPr>
              <w:t>6,902</w:t>
            </w:r>
          </w:p>
        </w:tc>
      </w:tr>
      <w:tr>
        <w:trPr>
          <w:trHeight w:val="169"/>
        </w:trPr>
        <w:tc>
          <w:tcPr>
            <w:tcW w:w="4600" w:type="dxa"/>
            <w:vAlign w:val="bottom"/>
          </w:tcPr>
          <w:p>
            <w:pPr>
              <w:ind w:left="20"/>
              <w:spacing w:after="0"/>
              <w:rPr>
                <w:sz w:val="20"/>
                <w:szCs w:val="20"/>
                <w:color w:val="auto"/>
              </w:rPr>
            </w:pPr>
            <w:r>
              <w:rPr>
                <w:rFonts w:ascii="Arial" w:cs="Arial" w:eastAsia="Arial" w:hAnsi="Arial"/>
                <w:sz w:val="12"/>
                <w:szCs w:val="12"/>
                <w:color w:val="auto"/>
              </w:rPr>
              <w:t>Net realized gain (loss) on investments, net of taxes</w:t>
            </w:r>
          </w:p>
        </w:tc>
        <w:tc>
          <w:tcPr>
            <w:tcW w:w="124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1,315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1,315</w:t>
            </w:r>
          </w:p>
        </w:tc>
      </w:tr>
      <w:tr>
        <w:trPr>
          <w:trHeight w:val="186"/>
        </w:trPr>
        <w:tc>
          <w:tcPr>
            <w:tcW w:w="4600" w:type="dxa"/>
            <w:vAlign w:val="bottom"/>
            <w:shd w:val="clear" w:color="auto" w:fill="CFF0FC"/>
          </w:tcPr>
          <w:p>
            <w:pPr>
              <w:ind w:left="20"/>
              <w:spacing w:after="0"/>
              <w:rPr>
                <w:sz w:val="20"/>
                <w:szCs w:val="20"/>
                <w:color w:val="auto"/>
              </w:rPr>
            </w:pPr>
            <w:r>
              <w:rPr>
                <w:rFonts w:ascii="Arial" w:cs="Arial" w:eastAsia="Arial" w:hAnsi="Arial"/>
                <w:sz w:val="12"/>
                <w:szCs w:val="12"/>
                <w:color w:val="auto"/>
              </w:rPr>
              <w:t>Net unrealized appreciation (depreciation) on investments</w:t>
            </w:r>
          </w:p>
        </w:tc>
        <w:tc>
          <w:tcPr>
            <w:tcW w:w="124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12,664</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1"/>
              <w:spacing w:after="0"/>
              <w:rPr>
                <w:sz w:val="20"/>
                <w:szCs w:val="20"/>
                <w:color w:val="auto"/>
              </w:rPr>
            </w:pPr>
            <w:r>
              <w:rPr>
                <w:rFonts w:ascii="Arial" w:cs="Arial" w:eastAsia="Arial" w:hAnsi="Arial"/>
                <w:sz w:val="12"/>
                <w:szCs w:val="12"/>
                <w:color w:val="auto"/>
              </w:rPr>
              <w:t>12,664</w:t>
            </w:r>
          </w:p>
        </w:tc>
      </w:tr>
      <w:tr>
        <w:trPr>
          <w:trHeight w:val="169"/>
        </w:trPr>
        <w:tc>
          <w:tcPr>
            <w:tcW w:w="4600" w:type="dxa"/>
            <w:vAlign w:val="bottom"/>
          </w:tcPr>
          <w:p>
            <w:pPr>
              <w:ind w:left="20"/>
              <w:spacing w:after="0"/>
              <w:rPr>
                <w:sz w:val="20"/>
                <w:szCs w:val="20"/>
                <w:color w:val="auto"/>
              </w:rPr>
            </w:pPr>
            <w:r>
              <w:rPr>
                <w:rFonts w:ascii="Arial" w:cs="Arial" w:eastAsia="Arial" w:hAnsi="Arial"/>
                <w:sz w:val="12"/>
                <w:szCs w:val="12"/>
                <w:color w:val="auto"/>
              </w:rPr>
              <w:t>Realized losses on extinguishment of debt</w:t>
            </w:r>
          </w:p>
        </w:tc>
        <w:tc>
          <w:tcPr>
            <w:tcW w:w="124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(174 )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(174 )</w:t>
            </w:r>
          </w:p>
        </w:tc>
      </w:tr>
      <w:tr>
        <w:trPr>
          <w:trHeight w:val="179"/>
        </w:trPr>
        <w:tc>
          <w:tcPr>
            <w:tcW w:w="4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2"/>
                <w:szCs w:val="12"/>
                <w:color w:val="auto"/>
              </w:rPr>
              <w:t>Dividends declared</w:t>
            </w:r>
          </w:p>
        </w:tc>
        <w:tc>
          <w:tcPr>
            <w:tcW w:w="124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(7,331 )</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(7,331 )</w:t>
            </w:r>
          </w:p>
        </w:tc>
      </w:tr>
      <w:tr>
        <w:trPr>
          <w:trHeight w:val="175"/>
        </w:trPr>
        <w:tc>
          <w:tcPr>
            <w:tcW w:w="4600" w:type="dxa"/>
            <w:vAlign w:val="bottom"/>
          </w:tcPr>
          <w:p>
            <w:pPr>
              <w:ind w:left="20"/>
              <w:spacing w:after="0"/>
              <w:rPr>
                <w:sz w:val="20"/>
                <w:szCs w:val="20"/>
                <w:color w:val="auto"/>
              </w:rPr>
            </w:pPr>
            <w:r>
              <w:rPr>
                <w:rFonts w:ascii="Arial" w:cs="Arial" w:eastAsia="Arial" w:hAnsi="Arial"/>
                <w:sz w:val="12"/>
                <w:szCs w:val="12"/>
                <w:b w:val="1"/>
                <w:bCs w:val="1"/>
                <w:color w:val="auto"/>
              </w:rPr>
              <w:t>Balances at September 30, 2020</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24,437,400</w:t>
            </w:r>
          </w:p>
        </w:tc>
        <w:tc>
          <w:tcPr>
            <w:tcW w:w="140" w:type="dxa"/>
            <w:vAlign w:val="bottom"/>
          </w:tcPr>
          <w:p>
            <w:pPr>
              <w:spacing w:after="0"/>
              <w:rPr>
                <w:sz w:val="15"/>
                <w:szCs w:val="15"/>
                <w:color w:val="auto"/>
              </w:rPr>
            </w:pPr>
          </w:p>
        </w:tc>
        <w:tc>
          <w:tcPr>
            <w:tcW w:w="880" w:type="dxa"/>
            <w:vAlign w:val="bottom"/>
            <w:tcBorders>
              <w:bottom w:val="single" w:sz="8" w:color="auto"/>
            </w:tcBorders>
          </w:tcPr>
          <w:p>
            <w:pPr>
              <w:jc w:val="right"/>
              <w:ind w:right="767"/>
              <w:spacing w:after="0"/>
              <w:rPr>
                <w:sz w:val="20"/>
                <w:szCs w:val="20"/>
                <w:color w:val="auto"/>
              </w:rPr>
            </w:pPr>
            <w:r>
              <w:rPr>
                <w:rFonts w:ascii="Arial" w:cs="Arial" w:eastAsia="Arial" w:hAnsi="Arial"/>
                <w:sz w:val="9"/>
                <w:szCs w:val="9"/>
                <w:color w:val="auto"/>
                <w:w w:val="78"/>
              </w:rPr>
              <w:t>$</w:t>
            </w:r>
          </w:p>
        </w:tc>
        <w:tc>
          <w:tcPr>
            <w:tcW w:w="3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24</w:t>
            </w:r>
          </w:p>
        </w:tc>
        <w:tc>
          <w:tcPr>
            <w:tcW w:w="140" w:type="dxa"/>
            <w:vAlign w:val="bottom"/>
          </w:tcPr>
          <w:p>
            <w:pPr>
              <w:spacing w:after="0"/>
              <w:rPr>
                <w:sz w:val="15"/>
                <w:szCs w:val="15"/>
                <w:color w:val="auto"/>
              </w:rPr>
            </w:pPr>
          </w:p>
        </w:tc>
        <w:tc>
          <w:tcPr>
            <w:tcW w:w="200" w:type="dxa"/>
            <w:vAlign w:val="bottom"/>
            <w:tcBorders>
              <w:bottom w:val="single" w:sz="8" w:color="auto"/>
            </w:tcBorders>
          </w:tcPr>
          <w:p>
            <w:pPr>
              <w:jc w:val="right"/>
              <w:ind w:right="93"/>
              <w:spacing w:after="0"/>
              <w:rPr>
                <w:sz w:val="20"/>
                <w:szCs w:val="20"/>
                <w:color w:val="auto"/>
              </w:rPr>
            </w:pPr>
            <w:r>
              <w:rPr>
                <w:rFonts w:ascii="Arial" w:cs="Arial" w:eastAsia="Arial" w:hAnsi="Arial"/>
                <w:sz w:val="9"/>
                <w:szCs w:val="9"/>
                <w:color w:val="auto"/>
                <w:w w:val="78"/>
              </w:rPr>
              <w:t>$</w:t>
            </w: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365,793</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23,735</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389,552</w:t>
            </w:r>
          </w:p>
        </w:tc>
      </w:tr>
      <w:tr>
        <w:trPr>
          <w:trHeight w:val="20"/>
        </w:trPr>
        <w:tc>
          <w:tcPr>
            <w:tcW w:w="46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6"/>
        </w:trPr>
        <w:tc>
          <w:tcPr>
            <w:tcW w:w="4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2"/>
                <w:szCs w:val="12"/>
                <w:b w:val="1"/>
                <w:bCs w:val="1"/>
                <w:color w:val="auto"/>
              </w:rPr>
              <w:t>Balances at December 31, 2020</w:t>
            </w:r>
          </w:p>
        </w:tc>
        <w:tc>
          <w:tcPr>
            <w:tcW w:w="124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2"/>
                <w:szCs w:val="12"/>
                <w:color w:val="auto"/>
              </w:rPr>
              <w:t>24,437,400</w:t>
            </w:r>
          </w:p>
        </w:tc>
        <w:tc>
          <w:tcPr>
            <w:tcW w:w="14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767"/>
              <w:spacing w:after="0"/>
              <w:rPr>
                <w:sz w:val="20"/>
                <w:szCs w:val="20"/>
                <w:color w:val="auto"/>
              </w:rPr>
            </w:pPr>
            <w:r>
              <w:rPr>
                <w:rFonts w:ascii="Arial" w:cs="Arial" w:eastAsia="Arial" w:hAnsi="Arial"/>
                <w:sz w:val="9"/>
                <w:szCs w:val="9"/>
                <w:color w:val="auto"/>
                <w:w w:val="78"/>
              </w:rPr>
              <w:t>$</w:t>
            </w:r>
          </w:p>
        </w:tc>
        <w:tc>
          <w:tcPr>
            <w:tcW w:w="36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2"/>
                <w:szCs w:val="12"/>
                <w:color w:val="auto"/>
              </w:rPr>
              <w:t>24</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9"/>
                <w:szCs w:val="9"/>
                <w:color w:val="auto"/>
                <w:w w:val="78"/>
              </w:rPr>
              <w:t>$</w:t>
            </w:r>
          </w:p>
        </w:tc>
        <w:tc>
          <w:tcPr>
            <w:tcW w:w="106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2"/>
                <w:szCs w:val="12"/>
                <w:color w:val="auto"/>
              </w:rPr>
              <w:t>363,751</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2"/>
                <w:szCs w:val="12"/>
                <w:color w:val="auto"/>
              </w:rPr>
              <w:t>46,985</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2"/>
                <w:szCs w:val="12"/>
                <w:color w:val="auto"/>
              </w:rPr>
              <w:t>410,760</w:t>
            </w:r>
          </w:p>
        </w:tc>
      </w:tr>
      <w:tr>
        <w:trPr>
          <w:trHeight w:val="149"/>
        </w:trPr>
        <w:tc>
          <w:tcPr>
            <w:tcW w:w="4600" w:type="dxa"/>
            <w:vAlign w:val="bottom"/>
          </w:tcPr>
          <w:p>
            <w:pPr>
              <w:ind w:left="20"/>
              <w:spacing w:after="0"/>
              <w:rPr>
                <w:sz w:val="20"/>
                <w:szCs w:val="20"/>
                <w:color w:val="auto"/>
              </w:rPr>
            </w:pPr>
            <w:r>
              <w:rPr>
                <w:rFonts w:ascii="Arial" w:cs="Arial" w:eastAsia="Arial" w:hAnsi="Arial"/>
                <w:sz w:val="12"/>
                <w:szCs w:val="12"/>
                <w:color w:val="auto"/>
              </w:rPr>
              <w:t>Net investment income</w:t>
            </w:r>
          </w:p>
        </w:tc>
        <w:tc>
          <w:tcPr>
            <w:tcW w:w="124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11,081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11,081</w:t>
            </w:r>
          </w:p>
        </w:tc>
      </w:tr>
      <w:tr>
        <w:trPr>
          <w:trHeight w:val="186"/>
        </w:trPr>
        <w:tc>
          <w:tcPr>
            <w:tcW w:w="4600" w:type="dxa"/>
            <w:vAlign w:val="bottom"/>
            <w:shd w:val="clear" w:color="auto" w:fill="CFF0FC"/>
          </w:tcPr>
          <w:p>
            <w:pPr>
              <w:ind w:left="20"/>
              <w:spacing w:after="0"/>
              <w:rPr>
                <w:sz w:val="20"/>
                <w:szCs w:val="20"/>
                <w:color w:val="auto"/>
              </w:rPr>
            </w:pPr>
            <w:r>
              <w:rPr>
                <w:rFonts w:ascii="Arial" w:cs="Arial" w:eastAsia="Arial" w:hAnsi="Arial"/>
                <w:sz w:val="12"/>
                <w:szCs w:val="12"/>
                <w:color w:val="auto"/>
              </w:rPr>
              <w:t>Net realized gain (loss) on investments, net of taxes</w:t>
            </w:r>
          </w:p>
        </w:tc>
        <w:tc>
          <w:tcPr>
            <w:tcW w:w="124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3,216</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1"/>
              <w:spacing w:after="0"/>
              <w:rPr>
                <w:sz w:val="20"/>
                <w:szCs w:val="20"/>
                <w:color w:val="auto"/>
              </w:rPr>
            </w:pPr>
            <w:r>
              <w:rPr>
                <w:rFonts w:ascii="Arial" w:cs="Arial" w:eastAsia="Arial" w:hAnsi="Arial"/>
                <w:sz w:val="12"/>
                <w:szCs w:val="12"/>
                <w:color w:val="auto"/>
              </w:rPr>
              <w:t>3,216</w:t>
            </w:r>
          </w:p>
        </w:tc>
      </w:tr>
      <w:tr>
        <w:trPr>
          <w:trHeight w:val="169"/>
        </w:trPr>
        <w:tc>
          <w:tcPr>
            <w:tcW w:w="4600" w:type="dxa"/>
            <w:vAlign w:val="bottom"/>
          </w:tcPr>
          <w:p>
            <w:pPr>
              <w:ind w:left="20"/>
              <w:spacing w:after="0"/>
              <w:rPr>
                <w:sz w:val="20"/>
                <w:szCs w:val="20"/>
                <w:color w:val="auto"/>
              </w:rPr>
            </w:pPr>
            <w:r>
              <w:rPr>
                <w:rFonts w:ascii="Arial" w:cs="Arial" w:eastAsia="Arial" w:hAnsi="Arial"/>
                <w:sz w:val="12"/>
                <w:szCs w:val="12"/>
                <w:color w:val="auto"/>
              </w:rPr>
              <w:t>Net unrealized appreciation (depreciation) on investments</w:t>
            </w:r>
          </w:p>
        </w:tc>
        <w:tc>
          <w:tcPr>
            <w:tcW w:w="124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(579 )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(579 )</w:t>
            </w:r>
          </w:p>
        </w:tc>
      </w:tr>
      <w:tr>
        <w:trPr>
          <w:trHeight w:val="186"/>
        </w:trPr>
        <w:tc>
          <w:tcPr>
            <w:tcW w:w="4600" w:type="dxa"/>
            <w:vAlign w:val="bottom"/>
            <w:shd w:val="clear" w:color="auto" w:fill="CFF0FC"/>
          </w:tcPr>
          <w:p>
            <w:pPr>
              <w:ind w:left="20"/>
              <w:spacing w:after="0"/>
              <w:rPr>
                <w:sz w:val="20"/>
                <w:szCs w:val="20"/>
                <w:color w:val="auto"/>
              </w:rPr>
            </w:pPr>
            <w:r>
              <w:rPr>
                <w:rFonts w:ascii="Arial" w:cs="Arial" w:eastAsia="Arial" w:hAnsi="Arial"/>
                <w:sz w:val="12"/>
                <w:szCs w:val="12"/>
                <w:color w:val="auto"/>
              </w:rPr>
              <w:t>Realized losses on extinguishment of debt</w:t>
            </w:r>
          </w:p>
        </w:tc>
        <w:tc>
          <w:tcPr>
            <w:tcW w:w="124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(2,180 )</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(2,180 )</w:t>
            </w:r>
          </w:p>
        </w:tc>
      </w:tr>
      <w:tr>
        <w:trPr>
          <w:trHeight w:val="170"/>
        </w:trPr>
        <w:tc>
          <w:tcPr>
            <w:tcW w:w="4600" w:type="dxa"/>
            <w:vAlign w:val="bottom"/>
          </w:tcPr>
          <w:p>
            <w:pPr>
              <w:ind w:left="20"/>
              <w:spacing w:after="0"/>
              <w:rPr>
                <w:sz w:val="20"/>
                <w:szCs w:val="20"/>
                <w:color w:val="auto"/>
              </w:rPr>
            </w:pPr>
            <w:r>
              <w:rPr>
                <w:rFonts w:ascii="Arial" w:cs="Arial" w:eastAsia="Arial" w:hAnsi="Arial"/>
                <w:sz w:val="12"/>
                <w:szCs w:val="12"/>
                <w:color w:val="auto"/>
              </w:rPr>
              <w:t>Dividends declared</w:t>
            </w:r>
          </w:p>
        </w:tc>
        <w:tc>
          <w:tcPr>
            <w:tcW w:w="124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(9,286 )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(9,286 )</w:t>
            </w:r>
          </w:p>
        </w:tc>
      </w:tr>
      <w:tr>
        <w:trPr>
          <w:trHeight w:val="215"/>
        </w:trPr>
        <w:tc>
          <w:tcPr>
            <w:tcW w:w="4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2"/>
                <w:szCs w:val="12"/>
                <w:b w:val="1"/>
                <w:bCs w:val="1"/>
                <w:color w:val="auto"/>
              </w:rPr>
              <w:t>Balances at March 31, 2021</w:t>
            </w:r>
          </w:p>
        </w:tc>
        <w:tc>
          <w:tcPr>
            <w:tcW w:w="124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12"/>
                <w:szCs w:val="12"/>
                <w:color w:val="auto"/>
              </w:rPr>
              <w:t>24,437,400</w:t>
            </w:r>
          </w:p>
        </w:tc>
        <w:tc>
          <w:tcPr>
            <w:tcW w:w="1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12"/>
                <w:szCs w:val="12"/>
                <w:color w:val="auto"/>
              </w:rPr>
              <w:t>24</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12"/>
                <w:szCs w:val="12"/>
                <w:color w:val="auto"/>
              </w:rPr>
              <w:t>363,751</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12"/>
                <w:szCs w:val="12"/>
                <w:color w:val="auto"/>
              </w:rPr>
              <w:t>49,237</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Arial" w:cs="Arial" w:eastAsia="Arial" w:hAnsi="Arial"/>
                <w:sz w:val="12"/>
                <w:szCs w:val="12"/>
                <w:color w:val="auto"/>
              </w:rPr>
              <w:t>413,012</w:t>
            </w:r>
          </w:p>
        </w:tc>
      </w:tr>
      <w:tr>
        <w:trPr>
          <w:trHeight w:val="149"/>
        </w:trPr>
        <w:tc>
          <w:tcPr>
            <w:tcW w:w="4600" w:type="dxa"/>
            <w:vAlign w:val="bottom"/>
          </w:tcPr>
          <w:p>
            <w:pPr>
              <w:ind w:left="20"/>
              <w:spacing w:after="0"/>
              <w:rPr>
                <w:sz w:val="20"/>
                <w:szCs w:val="20"/>
                <w:color w:val="auto"/>
              </w:rPr>
            </w:pPr>
            <w:r>
              <w:rPr>
                <w:rFonts w:ascii="Arial" w:cs="Arial" w:eastAsia="Arial" w:hAnsi="Arial"/>
                <w:sz w:val="12"/>
                <w:szCs w:val="12"/>
                <w:color w:val="auto"/>
              </w:rPr>
              <w:t>Net investment income</w:t>
            </w:r>
          </w:p>
        </w:tc>
        <w:tc>
          <w:tcPr>
            <w:tcW w:w="124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6,473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6,473</w:t>
            </w:r>
          </w:p>
        </w:tc>
      </w:tr>
      <w:tr>
        <w:trPr>
          <w:trHeight w:val="186"/>
        </w:trPr>
        <w:tc>
          <w:tcPr>
            <w:tcW w:w="4600" w:type="dxa"/>
            <w:vAlign w:val="bottom"/>
            <w:shd w:val="clear" w:color="auto" w:fill="CFF0FC"/>
          </w:tcPr>
          <w:p>
            <w:pPr>
              <w:ind w:left="20"/>
              <w:spacing w:after="0"/>
              <w:rPr>
                <w:sz w:val="20"/>
                <w:szCs w:val="20"/>
                <w:color w:val="auto"/>
              </w:rPr>
            </w:pPr>
            <w:r>
              <w:rPr>
                <w:rFonts w:ascii="Arial" w:cs="Arial" w:eastAsia="Arial" w:hAnsi="Arial"/>
                <w:sz w:val="12"/>
                <w:szCs w:val="12"/>
                <w:color w:val="auto"/>
              </w:rPr>
              <w:t>Net realized gain (loss) on investments, net of taxes</w:t>
            </w:r>
          </w:p>
        </w:tc>
        <w:tc>
          <w:tcPr>
            <w:tcW w:w="124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2,150</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1"/>
              <w:spacing w:after="0"/>
              <w:rPr>
                <w:sz w:val="20"/>
                <w:szCs w:val="20"/>
                <w:color w:val="auto"/>
              </w:rPr>
            </w:pPr>
            <w:r>
              <w:rPr>
                <w:rFonts w:ascii="Arial" w:cs="Arial" w:eastAsia="Arial" w:hAnsi="Arial"/>
                <w:sz w:val="12"/>
                <w:szCs w:val="12"/>
                <w:color w:val="auto"/>
              </w:rPr>
              <w:t>2,150</w:t>
            </w:r>
          </w:p>
        </w:tc>
      </w:tr>
      <w:tr>
        <w:trPr>
          <w:trHeight w:val="169"/>
        </w:trPr>
        <w:tc>
          <w:tcPr>
            <w:tcW w:w="4600" w:type="dxa"/>
            <w:vAlign w:val="bottom"/>
          </w:tcPr>
          <w:p>
            <w:pPr>
              <w:ind w:left="20"/>
              <w:spacing w:after="0"/>
              <w:rPr>
                <w:sz w:val="20"/>
                <w:szCs w:val="20"/>
                <w:color w:val="auto"/>
              </w:rPr>
            </w:pPr>
            <w:r>
              <w:rPr>
                <w:rFonts w:ascii="Arial" w:cs="Arial" w:eastAsia="Arial" w:hAnsi="Arial"/>
                <w:sz w:val="12"/>
                <w:szCs w:val="12"/>
                <w:color w:val="auto"/>
              </w:rPr>
              <w:t>Net unrealized appreciation (depreciation) on investments</w:t>
            </w:r>
          </w:p>
        </w:tc>
        <w:tc>
          <w:tcPr>
            <w:tcW w:w="124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17,263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17,263</w:t>
            </w:r>
          </w:p>
        </w:tc>
      </w:tr>
      <w:tr>
        <w:trPr>
          <w:trHeight w:val="186"/>
        </w:trPr>
        <w:tc>
          <w:tcPr>
            <w:tcW w:w="4600" w:type="dxa"/>
            <w:vAlign w:val="bottom"/>
            <w:shd w:val="clear" w:color="auto" w:fill="CFF0FC"/>
          </w:tcPr>
          <w:p>
            <w:pPr>
              <w:ind w:left="20"/>
              <w:spacing w:after="0"/>
              <w:rPr>
                <w:sz w:val="20"/>
                <w:szCs w:val="20"/>
                <w:color w:val="auto"/>
              </w:rPr>
            </w:pPr>
            <w:r>
              <w:rPr>
                <w:rFonts w:ascii="Arial" w:cs="Arial" w:eastAsia="Arial" w:hAnsi="Arial"/>
                <w:sz w:val="12"/>
                <w:szCs w:val="12"/>
                <w:color w:val="auto"/>
              </w:rPr>
              <w:t>Realized losses on extinguishment of debt</w:t>
            </w:r>
          </w:p>
        </w:tc>
        <w:tc>
          <w:tcPr>
            <w:tcW w:w="124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1"/>
              <w:spacing w:after="0"/>
              <w:rPr>
                <w:sz w:val="20"/>
                <w:szCs w:val="20"/>
                <w:color w:val="auto"/>
              </w:rPr>
            </w:pPr>
            <w:r>
              <w:rPr>
                <w:rFonts w:ascii="Arial" w:cs="Arial" w:eastAsia="Arial" w:hAnsi="Arial"/>
                <w:sz w:val="12"/>
                <w:szCs w:val="12"/>
                <w:color w:val="auto"/>
              </w:rPr>
              <w:t>—</w:t>
            </w:r>
          </w:p>
        </w:tc>
      </w:tr>
      <w:tr>
        <w:trPr>
          <w:trHeight w:val="170"/>
        </w:trPr>
        <w:tc>
          <w:tcPr>
            <w:tcW w:w="4600" w:type="dxa"/>
            <w:vAlign w:val="bottom"/>
          </w:tcPr>
          <w:p>
            <w:pPr>
              <w:ind w:left="20"/>
              <w:spacing w:after="0"/>
              <w:rPr>
                <w:sz w:val="20"/>
                <w:szCs w:val="20"/>
                <w:color w:val="auto"/>
              </w:rPr>
            </w:pPr>
            <w:r>
              <w:rPr>
                <w:rFonts w:ascii="Arial" w:cs="Arial" w:eastAsia="Arial" w:hAnsi="Arial"/>
                <w:sz w:val="12"/>
                <w:szCs w:val="12"/>
                <w:color w:val="auto"/>
              </w:rPr>
              <w:t>Dividends declared</w:t>
            </w:r>
          </w:p>
        </w:tc>
        <w:tc>
          <w:tcPr>
            <w:tcW w:w="124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(9,531 )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(9,531 )</w:t>
            </w:r>
          </w:p>
        </w:tc>
      </w:tr>
      <w:tr>
        <w:trPr>
          <w:trHeight w:val="215"/>
        </w:trPr>
        <w:tc>
          <w:tcPr>
            <w:tcW w:w="4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2"/>
                <w:szCs w:val="12"/>
                <w:b w:val="1"/>
                <w:bCs w:val="1"/>
                <w:color w:val="auto"/>
              </w:rPr>
              <w:t>Balances at June 30, 2021</w:t>
            </w:r>
          </w:p>
        </w:tc>
        <w:tc>
          <w:tcPr>
            <w:tcW w:w="124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12"/>
                <w:szCs w:val="12"/>
                <w:color w:val="auto"/>
              </w:rPr>
              <w:t>24,437,400</w:t>
            </w:r>
          </w:p>
        </w:tc>
        <w:tc>
          <w:tcPr>
            <w:tcW w:w="1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12"/>
                <w:szCs w:val="12"/>
                <w:color w:val="auto"/>
              </w:rPr>
              <w:t>24</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12"/>
                <w:szCs w:val="12"/>
                <w:color w:val="auto"/>
              </w:rPr>
              <w:t>363,751</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12"/>
                <w:szCs w:val="12"/>
                <w:color w:val="auto"/>
              </w:rPr>
              <w:t>65,592</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Arial" w:cs="Arial" w:eastAsia="Arial" w:hAnsi="Arial"/>
                <w:sz w:val="12"/>
                <w:szCs w:val="12"/>
                <w:color w:val="auto"/>
              </w:rPr>
              <w:t>429,367</w:t>
            </w:r>
          </w:p>
        </w:tc>
      </w:tr>
      <w:tr>
        <w:trPr>
          <w:trHeight w:val="149"/>
        </w:trPr>
        <w:tc>
          <w:tcPr>
            <w:tcW w:w="4600" w:type="dxa"/>
            <w:vAlign w:val="bottom"/>
          </w:tcPr>
          <w:p>
            <w:pPr>
              <w:ind w:left="20"/>
              <w:spacing w:after="0"/>
              <w:rPr>
                <w:sz w:val="20"/>
                <w:szCs w:val="20"/>
                <w:color w:val="auto"/>
              </w:rPr>
            </w:pPr>
            <w:r>
              <w:rPr>
                <w:rFonts w:ascii="Arial" w:cs="Arial" w:eastAsia="Arial" w:hAnsi="Arial"/>
                <w:sz w:val="12"/>
                <w:szCs w:val="12"/>
                <w:color w:val="auto"/>
              </w:rPr>
              <w:t>Net investment income</w:t>
            </w:r>
          </w:p>
        </w:tc>
        <w:tc>
          <w:tcPr>
            <w:tcW w:w="124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5,118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5,118</w:t>
            </w:r>
          </w:p>
        </w:tc>
      </w:tr>
      <w:tr>
        <w:trPr>
          <w:trHeight w:val="186"/>
        </w:trPr>
        <w:tc>
          <w:tcPr>
            <w:tcW w:w="4600" w:type="dxa"/>
            <w:vAlign w:val="bottom"/>
            <w:shd w:val="clear" w:color="auto" w:fill="CFF0FC"/>
          </w:tcPr>
          <w:p>
            <w:pPr>
              <w:ind w:left="20"/>
              <w:spacing w:after="0"/>
              <w:rPr>
                <w:sz w:val="20"/>
                <w:szCs w:val="20"/>
                <w:color w:val="auto"/>
              </w:rPr>
            </w:pPr>
            <w:r>
              <w:rPr>
                <w:rFonts w:ascii="Arial" w:cs="Arial" w:eastAsia="Arial" w:hAnsi="Arial"/>
                <w:sz w:val="12"/>
                <w:szCs w:val="12"/>
                <w:color w:val="auto"/>
              </w:rPr>
              <w:t>Net realized gain (loss) on investments, net of taxes</w:t>
            </w:r>
          </w:p>
        </w:tc>
        <w:tc>
          <w:tcPr>
            <w:tcW w:w="124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8,449</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1"/>
              <w:spacing w:after="0"/>
              <w:rPr>
                <w:sz w:val="20"/>
                <w:szCs w:val="20"/>
                <w:color w:val="auto"/>
              </w:rPr>
            </w:pPr>
            <w:r>
              <w:rPr>
                <w:rFonts w:ascii="Arial" w:cs="Arial" w:eastAsia="Arial" w:hAnsi="Arial"/>
                <w:sz w:val="12"/>
                <w:szCs w:val="12"/>
                <w:color w:val="auto"/>
              </w:rPr>
              <w:t>8,449</w:t>
            </w:r>
          </w:p>
        </w:tc>
      </w:tr>
      <w:tr>
        <w:trPr>
          <w:trHeight w:val="169"/>
        </w:trPr>
        <w:tc>
          <w:tcPr>
            <w:tcW w:w="4600" w:type="dxa"/>
            <w:vAlign w:val="bottom"/>
          </w:tcPr>
          <w:p>
            <w:pPr>
              <w:ind w:left="20"/>
              <w:spacing w:after="0"/>
              <w:rPr>
                <w:sz w:val="20"/>
                <w:szCs w:val="20"/>
                <w:color w:val="auto"/>
              </w:rPr>
            </w:pPr>
            <w:r>
              <w:rPr>
                <w:rFonts w:ascii="Arial" w:cs="Arial" w:eastAsia="Arial" w:hAnsi="Arial"/>
                <w:sz w:val="12"/>
                <w:szCs w:val="12"/>
                <w:color w:val="auto"/>
              </w:rPr>
              <w:t>Net unrealized appreciation (depreciation) on investments</w:t>
            </w:r>
          </w:p>
        </w:tc>
        <w:tc>
          <w:tcPr>
            <w:tcW w:w="124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15,335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15,335</w:t>
            </w:r>
          </w:p>
        </w:tc>
      </w:tr>
      <w:tr>
        <w:trPr>
          <w:trHeight w:val="186"/>
        </w:trPr>
        <w:tc>
          <w:tcPr>
            <w:tcW w:w="4600" w:type="dxa"/>
            <w:vAlign w:val="bottom"/>
            <w:shd w:val="clear" w:color="auto" w:fill="CFF0FC"/>
          </w:tcPr>
          <w:p>
            <w:pPr>
              <w:ind w:left="20"/>
              <w:spacing w:after="0"/>
              <w:rPr>
                <w:sz w:val="20"/>
                <w:szCs w:val="20"/>
                <w:color w:val="auto"/>
              </w:rPr>
            </w:pPr>
            <w:r>
              <w:rPr>
                <w:rFonts w:ascii="Arial" w:cs="Arial" w:eastAsia="Arial" w:hAnsi="Arial"/>
                <w:sz w:val="12"/>
                <w:szCs w:val="12"/>
                <w:color w:val="auto"/>
              </w:rPr>
              <w:t>Realized losses on extinguishment of debt</w:t>
            </w:r>
          </w:p>
        </w:tc>
        <w:tc>
          <w:tcPr>
            <w:tcW w:w="124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(460 )</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(460 )</w:t>
            </w:r>
          </w:p>
        </w:tc>
      </w:tr>
      <w:tr>
        <w:trPr>
          <w:trHeight w:val="170"/>
        </w:trPr>
        <w:tc>
          <w:tcPr>
            <w:tcW w:w="4600" w:type="dxa"/>
            <w:vAlign w:val="bottom"/>
          </w:tcPr>
          <w:p>
            <w:pPr>
              <w:ind w:left="20"/>
              <w:spacing w:after="0"/>
              <w:rPr>
                <w:sz w:val="20"/>
                <w:szCs w:val="20"/>
                <w:color w:val="auto"/>
              </w:rPr>
            </w:pPr>
            <w:r>
              <w:rPr>
                <w:rFonts w:ascii="Arial" w:cs="Arial" w:eastAsia="Arial" w:hAnsi="Arial"/>
                <w:sz w:val="12"/>
                <w:szCs w:val="12"/>
                <w:color w:val="auto"/>
              </w:rPr>
              <w:t>Dividends declared</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(10,264 )</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(10,264 )</w:t>
            </w:r>
          </w:p>
        </w:tc>
      </w:tr>
      <w:tr>
        <w:trPr>
          <w:trHeight w:val="215"/>
        </w:trPr>
        <w:tc>
          <w:tcPr>
            <w:tcW w:w="4600" w:type="dxa"/>
            <w:vAlign w:val="bottom"/>
            <w:shd w:val="clear" w:color="auto" w:fill="CFF0FC"/>
          </w:tcPr>
          <w:p>
            <w:pPr>
              <w:ind w:left="20"/>
              <w:spacing w:after="0"/>
              <w:rPr>
                <w:sz w:val="20"/>
                <w:szCs w:val="20"/>
                <w:color w:val="auto"/>
              </w:rPr>
            </w:pPr>
            <w:r>
              <w:rPr>
                <w:rFonts w:ascii="Arial" w:cs="Arial" w:eastAsia="Arial" w:hAnsi="Arial"/>
                <w:sz w:val="12"/>
                <w:szCs w:val="12"/>
                <w:b w:val="1"/>
                <w:bCs w:val="1"/>
                <w:color w:val="auto"/>
              </w:rPr>
              <w:t>Balances at September 30, 2021</w:t>
            </w:r>
          </w:p>
        </w:tc>
        <w:tc>
          <w:tcPr>
            <w:tcW w:w="124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24,437,400</w:t>
            </w:r>
          </w:p>
        </w:tc>
        <w:tc>
          <w:tcPr>
            <w:tcW w:w="1020" w:type="dxa"/>
            <w:vAlign w:val="bottom"/>
            <w:gridSpan w:val="2"/>
            <w:shd w:val="clear" w:color="auto" w:fill="CFF0FC"/>
          </w:tcPr>
          <w:p>
            <w:pPr>
              <w:jc w:val="right"/>
              <w:ind w:right="767"/>
              <w:spacing w:after="0"/>
              <w:rPr>
                <w:sz w:val="20"/>
                <w:szCs w:val="20"/>
                <w:color w:val="auto"/>
              </w:rPr>
            </w:pPr>
            <w:r>
              <w:rPr>
                <w:rFonts w:ascii="Arial" w:cs="Arial" w:eastAsia="Arial" w:hAnsi="Arial"/>
                <w:sz w:val="12"/>
                <w:szCs w:val="12"/>
                <w:color w:val="auto"/>
              </w:rPr>
              <w:t>$</w:t>
            </w:r>
          </w:p>
        </w:tc>
        <w:tc>
          <w:tcPr>
            <w:tcW w:w="36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24</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93"/>
              <w:spacing w:after="0"/>
              <w:rPr>
                <w:sz w:val="20"/>
                <w:szCs w:val="20"/>
                <w:color w:val="auto"/>
              </w:rPr>
            </w:pPr>
            <w:r>
              <w:rPr>
                <w:rFonts w:ascii="Arial" w:cs="Arial" w:eastAsia="Arial" w:hAnsi="Arial"/>
                <w:sz w:val="9"/>
                <w:szCs w:val="9"/>
                <w:color w:val="auto"/>
                <w:w w:val="78"/>
              </w:rPr>
              <w:t>$</w:t>
            </w:r>
          </w:p>
        </w:tc>
        <w:tc>
          <w:tcPr>
            <w:tcW w:w="106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363,751</w:t>
            </w:r>
          </w:p>
        </w:tc>
        <w:tc>
          <w:tcPr>
            <w:tcW w:w="300" w:type="dxa"/>
            <w:vAlign w:val="bottom"/>
            <w:gridSpan w:val="2"/>
            <w:shd w:val="clear" w:color="auto" w:fill="CFF0FC"/>
          </w:tcPr>
          <w:p>
            <w:pPr>
              <w:jc w:val="right"/>
              <w:ind w:right="41"/>
              <w:spacing w:after="0"/>
              <w:rPr>
                <w:sz w:val="20"/>
                <w:szCs w:val="20"/>
                <w:color w:val="auto"/>
              </w:rPr>
            </w:pPr>
            <w:r>
              <w:rPr>
                <w:rFonts w:ascii="Arial" w:cs="Arial" w:eastAsia="Arial" w:hAnsi="Arial"/>
                <w:sz w:val="12"/>
                <w:szCs w:val="12"/>
                <w:color w:val="auto"/>
              </w:rPr>
              <w:t>$</w:t>
            </w:r>
          </w:p>
        </w:tc>
        <w:tc>
          <w:tcPr>
            <w:tcW w:w="106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83,770</w:t>
            </w:r>
          </w:p>
        </w:tc>
        <w:tc>
          <w:tcPr>
            <w:tcW w:w="300" w:type="dxa"/>
            <w:vAlign w:val="bottom"/>
            <w:gridSpan w:val="2"/>
            <w:shd w:val="clear" w:color="auto" w:fill="CFF0FC"/>
          </w:tcPr>
          <w:p>
            <w:pPr>
              <w:jc w:val="right"/>
              <w:ind w:right="61"/>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ind w:right="1"/>
              <w:spacing w:after="0"/>
              <w:rPr>
                <w:sz w:val="20"/>
                <w:szCs w:val="20"/>
                <w:color w:val="auto"/>
              </w:rPr>
            </w:pPr>
            <w:r>
              <w:rPr>
                <w:rFonts w:ascii="Arial" w:cs="Arial" w:eastAsia="Arial" w:hAnsi="Arial"/>
                <w:sz w:val="12"/>
                <w:szCs w:val="12"/>
                <w:color w:val="auto"/>
              </w:rPr>
              <w:t>447,545</w:t>
            </w:r>
          </w:p>
        </w:tc>
      </w:tr>
      <w:tr>
        <w:trPr>
          <w:trHeight w:val="141"/>
        </w:trPr>
        <w:tc>
          <w:tcPr>
            <w:tcW w:w="4600" w:type="dxa"/>
            <w:vAlign w:val="bottom"/>
            <w:tcBorders>
              <w:top w:val="single" w:sz="8" w:color="CFF0FC"/>
            </w:tcBorders>
          </w:tcPr>
          <w:p>
            <w:pPr>
              <w:ind w:left="20"/>
              <w:spacing w:after="0"/>
              <w:rPr>
                <w:sz w:val="20"/>
                <w:szCs w:val="20"/>
                <w:color w:val="auto"/>
              </w:rPr>
            </w:pPr>
            <w:r>
              <w:rPr>
                <w:rFonts w:ascii="Arial" w:cs="Arial" w:eastAsia="Arial" w:hAnsi="Arial"/>
                <w:sz w:val="12"/>
                <w:szCs w:val="12"/>
                <w:color w:val="auto"/>
              </w:rPr>
              <w:t>*amount is greater than zero but less than one</w:t>
            </w:r>
          </w:p>
        </w:tc>
        <w:tc>
          <w:tcPr>
            <w:tcW w:w="124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3712210</wp:posOffset>
            </wp:positionH>
            <wp:positionV relativeFrom="paragraph">
              <wp:posOffset>-3906520</wp:posOffset>
            </wp:positionV>
            <wp:extent cx="80645" cy="50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0645" cy="5080"/>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-3906520</wp:posOffset>
            </wp:positionV>
            <wp:extent cx="80645" cy="50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0645" cy="5080"/>
                    </a:xfrm>
                    <a:prstGeom prst="rect">
                      <a:avLst/>
                    </a:prstGeom>
                    <a:noFill/>
                  </pic:spPr>
                </pic:pic>
              </a:graphicData>
            </a:graphic>
          </wp:anchor>
        </w:drawing>
        <w:drawing>
          <wp:anchor simplePos="0" relativeHeight="251657728" behindDoc="1" locked="0" layoutInCell="0" allowOverlap="1">
            <wp:simplePos x="0" y="0"/>
            <wp:positionH relativeFrom="column">
              <wp:posOffset>5474970</wp:posOffset>
            </wp:positionH>
            <wp:positionV relativeFrom="paragraph">
              <wp:posOffset>-3906520</wp:posOffset>
            </wp:positionV>
            <wp:extent cx="80645" cy="50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0645" cy="5080"/>
                    </a:xfrm>
                    <a:prstGeom prst="rect">
                      <a:avLst/>
                    </a:prstGeom>
                    <a:noFill/>
                  </pic:spPr>
                </pic:pic>
              </a:graphicData>
            </a:graphic>
          </wp:anchor>
        </w:drawing>
        <w:drawing>
          <wp:anchor simplePos="0" relativeHeight="251657728" behindDoc="1" locked="0" layoutInCell="0" allowOverlap="1">
            <wp:simplePos x="0" y="0"/>
            <wp:positionH relativeFrom="column">
              <wp:posOffset>6336665</wp:posOffset>
            </wp:positionH>
            <wp:positionV relativeFrom="paragraph">
              <wp:posOffset>-3906520</wp:posOffset>
            </wp:positionV>
            <wp:extent cx="64135" cy="50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135" cy="5080"/>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-3214370</wp:posOffset>
            </wp:positionV>
            <wp:extent cx="80645" cy="50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0645" cy="5080"/>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-3214370</wp:posOffset>
            </wp:positionV>
            <wp:extent cx="80645" cy="50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0645" cy="5080"/>
                    </a:xfrm>
                    <a:prstGeom prst="rect">
                      <a:avLst/>
                    </a:prstGeom>
                    <a:noFill/>
                  </pic:spPr>
                </pic:pic>
              </a:graphicData>
            </a:graphic>
          </wp:anchor>
        </w:drawing>
        <w:drawing>
          <wp:anchor simplePos="0" relativeHeight="251657728" behindDoc="1" locked="0" layoutInCell="0" allowOverlap="1">
            <wp:simplePos x="0" y="0"/>
            <wp:positionH relativeFrom="column">
              <wp:posOffset>5474970</wp:posOffset>
            </wp:positionH>
            <wp:positionV relativeFrom="paragraph">
              <wp:posOffset>-3214370</wp:posOffset>
            </wp:positionV>
            <wp:extent cx="80645" cy="50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0645" cy="5080"/>
                    </a:xfrm>
                    <a:prstGeom prst="rect">
                      <a:avLst/>
                    </a:prstGeom>
                    <a:noFill/>
                  </pic:spPr>
                </pic:pic>
              </a:graphicData>
            </a:graphic>
          </wp:anchor>
        </w:drawing>
        <w:drawing>
          <wp:anchor simplePos="0" relativeHeight="251657728" behindDoc="1" locked="0" layoutInCell="0" allowOverlap="1">
            <wp:simplePos x="0" y="0"/>
            <wp:positionH relativeFrom="column">
              <wp:posOffset>6336665</wp:posOffset>
            </wp:positionH>
            <wp:positionV relativeFrom="paragraph">
              <wp:posOffset>-3214370</wp:posOffset>
            </wp:positionV>
            <wp:extent cx="64135" cy="50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135" cy="5080"/>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-2505710</wp:posOffset>
            </wp:positionV>
            <wp:extent cx="80645" cy="50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0645" cy="5080"/>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-2505710</wp:posOffset>
            </wp:positionV>
            <wp:extent cx="80645" cy="50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0645" cy="5080"/>
                    </a:xfrm>
                    <a:prstGeom prst="rect">
                      <a:avLst/>
                    </a:prstGeom>
                    <a:noFill/>
                  </pic:spPr>
                </pic:pic>
              </a:graphicData>
            </a:graphic>
          </wp:anchor>
        </w:drawing>
        <w:drawing>
          <wp:anchor simplePos="0" relativeHeight="251657728" behindDoc="1" locked="0" layoutInCell="0" allowOverlap="1">
            <wp:simplePos x="0" y="0"/>
            <wp:positionH relativeFrom="column">
              <wp:posOffset>5474970</wp:posOffset>
            </wp:positionH>
            <wp:positionV relativeFrom="paragraph">
              <wp:posOffset>-2505710</wp:posOffset>
            </wp:positionV>
            <wp:extent cx="80645" cy="50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0645" cy="5080"/>
                    </a:xfrm>
                    <a:prstGeom prst="rect">
                      <a:avLst/>
                    </a:prstGeom>
                    <a:noFill/>
                  </pic:spPr>
                </pic:pic>
              </a:graphicData>
            </a:graphic>
          </wp:anchor>
        </w:drawing>
        <w:drawing>
          <wp:anchor simplePos="0" relativeHeight="251657728" behindDoc="1" locked="0" layoutInCell="0" allowOverlap="1">
            <wp:simplePos x="0" y="0"/>
            <wp:positionH relativeFrom="column">
              <wp:posOffset>6336665</wp:posOffset>
            </wp:positionH>
            <wp:positionV relativeFrom="paragraph">
              <wp:posOffset>-2505710</wp:posOffset>
            </wp:positionV>
            <wp:extent cx="64135" cy="50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135" cy="5080"/>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-2251075</wp:posOffset>
            </wp:positionV>
            <wp:extent cx="806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-2234565</wp:posOffset>
            </wp:positionV>
            <wp:extent cx="806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-2251075</wp:posOffset>
            </wp:positionV>
            <wp:extent cx="806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-2234565</wp:posOffset>
            </wp:positionV>
            <wp:extent cx="806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5474970</wp:posOffset>
            </wp:positionH>
            <wp:positionV relativeFrom="paragraph">
              <wp:posOffset>-2251075</wp:posOffset>
            </wp:positionV>
            <wp:extent cx="806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5474970</wp:posOffset>
            </wp:positionH>
            <wp:positionV relativeFrom="paragraph">
              <wp:posOffset>-2234565</wp:posOffset>
            </wp:positionV>
            <wp:extent cx="806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6336665</wp:posOffset>
            </wp:positionH>
            <wp:positionV relativeFrom="paragraph">
              <wp:posOffset>-2251075</wp:posOffset>
            </wp:positionV>
            <wp:extent cx="641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6336665</wp:posOffset>
            </wp:positionH>
            <wp:positionV relativeFrom="paragraph">
              <wp:posOffset>-2234565</wp:posOffset>
            </wp:positionV>
            <wp:extent cx="641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-1542415</wp:posOffset>
            </wp:positionV>
            <wp:extent cx="806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-1526540</wp:posOffset>
            </wp:positionV>
            <wp:extent cx="806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-1542415</wp:posOffset>
            </wp:positionV>
            <wp:extent cx="806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-1526540</wp:posOffset>
            </wp:positionV>
            <wp:extent cx="806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5474970</wp:posOffset>
            </wp:positionH>
            <wp:positionV relativeFrom="paragraph">
              <wp:posOffset>-1542415</wp:posOffset>
            </wp:positionV>
            <wp:extent cx="806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5474970</wp:posOffset>
            </wp:positionH>
            <wp:positionV relativeFrom="paragraph">
              <wp:posOffset>-1526540</wp:posOffset>
            </wp:positionV>
            <wp:extent cx="806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6336665</wp:posOffset>
            </wp:positionH>
            <wp:positionV relativeFrom="paragraph">
              <wp:posOffset>-1542415</wp:posOffset>
            </wp:positionV>
            <wp:extent cx="641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6336665</wp:posOffset>
            </wp:positionH>
            <wp:positionV relativeFrom="paragraph">
              <wp:posOffset>-1526540</wp:posOffset>
            </wp:positionV>
            <wp:extent cx="641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-833755</wp:posOffset>
            </wp:positionV>
            <wp:extent cx="806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-817880</wp:posOffset>
            </wp:positionV>
            <wp:extent cx="806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-833755</wp:posOffset>
            </wp:positionV>
            <wp:extent cx="806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-817880</wp:posOffset>
            </wp:positionV>
            <wp:extent cx="806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5474970</wp:posOffset>
            </wp:positionH>
            <wp:positionV relativeFrom="paragraph">
              <wp:posOffset>-833755</wp:posOffset>
            </wp:positionV>
            <wp:extent cx="806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5474970</wp:posOffset>
            </wp:positionH>
            <wp:positionV relativeFrom="paragraph">
              <wp:posOffset>-817880</wp:posOffset>
            </wp:positionV>
            <wp:extent cx="806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6336665</wp:posOffset>
            </wp:positionH>
            <wp:positionV relativeFrom="paragraph">
              <wp:posOffset>-833755</wp:posOffset>
            </wp:positionV>
            <wp:extent cx="641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6336665</wp:posOffset>
            </wp:positionH>
            <wp:positionV relativeFrom="paragraph">
              <wp:posOffset>-817880</wp:posOffset>
            </wp:positionV>
            <wp:extent cx="641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-125730</wp:posOffset>
            </wp:positionV>
            <wp:extent cx="806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-109220</wp:posOffset>
            </wp:positionV>
            <wp:extent cx="806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-125730</wp:posOffset>
            </wp:positionV>
            <wp:extent cx="806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-109220</wp:posOffset>
            </wp:positionV>
            <wp:extent cx="806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5474970</wp:posOffset>
            </wp:positionH>
            <wp:positionV relativeFrom="paragraph">
              <wp:posOffset>-125730</wp:posOffset>
            </wp:positionV>
            <wp:extent cx="806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5474970</wp:posOffset>
            </wp:positionH>
            <wp:positionV relativeFrom="paragraph">
              <wp:posOffset>-109220</wp:posOffset>
            </wp:positionV>
            <wp:extent cx="806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6336665</wp:posOffset>
            </wp:positionH>
            <wp:positionV relativeFrom="paragraph">
              <wp:posOffset>-125730</wp:posOffset>
            </wp:positionV>
            <wp:extent cx="641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6336665</wp:posOffset>
            </wp:positionH>
            <wp:positionV relativeFrom="paragraph">
              <wp:posOffset>-109220</wp:posOffset>
            </wp:positionV>
            <wp:extent cx="641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135" cy="8255"/>
                    </a:xfrm>
                    <a:prstGeom prst="rect">
                      <a:avLst/>
                    </a:prstGeom>
                    <a:noFill/>
                  </pic:spPr>
                </pic:pic>
              </a:graphicData>
            </a:graphic>
          </wp:anchor>
        </w:drawing>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Notes to Consolidated Financial Statements (unaudited).</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 (unaudited)</w:t>
      </w:r>
    </w:p>
    <w:p>
      <w:pPr>
        <w:spacing w:after="0" w:line="20" w:lineRule="exact"/>
        <w:rPr>
          <w:sz w:val="20"/>
          <w:szCs w:val="20"/>
          <w:color w:val="auto"/>
        </w:rPr>
      </w:pPr>
    </w:p>
    <w:p>
      <w:pPr>
        <w:jc w:val="center"/>
        <w:ind w:right="120"/>
        <w:spacing w:after="0"/>
        <w:rPr>
          <w:sz w:val="20"/>
          <w:szCs w:val="20"/>
          <w:color w:val="auto"/>
        </w:rPr>
      </w:pPr>
      <w:r>
        <w:rPr>
          <w:rFonts w:ascii="Arial" w:cs="Arial" w:eastAsia="Arial" w:hAnsi="Arial"/>
          <w:sz w:val="17"/>
          <w:szCs w:val="17"/>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7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0" w:type="dxa"/>
            <w:vAlign w:val="bottom"/>
            <w:gridSpan w:val="3"/>
          </w:tcPr>
          <w:p>
            <w:pPr>
              <w:jc w:val="right"/>
              <w:spacing w:after="0"/>
              <w:rPr>
                <w:sz w:val="20"/>
                <w:szCs w:val="20"/>
                <w:color w:val="auto"/>
              </w:rPr>
            </w:pPr>
            <w:r>
              <w:rPr>
                <w:rFonts w:ascii="Arial" w:cs="Arial" w:eastAsia="Arial" w:hAnsi="Arial"/>
                <w:sz w:val="10"/>
                <w:szCs w:val="10"/>
                <w:b w:val="1"/>
                <w:bCs w:val="1"/>
                <w:color w:val="auto"/>
                <w:w w:val="93"/>
              </w:rPr>
              <w:t>Nine Months Ended September 30,</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39"/>
        </w:trPr>
        <w:tc>
          <w:tcPr>
            <w:tcW w:w="76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31"/>
        </w:trPr>
        <w:tc>
          <w:tcPr>
            <w:tcW w:w="76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b w:val="1"/>
                <w:bCs w:val="1"/>
                <w:color w:val="auto"/>
              </w:rPr>
              <w:t>2021</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jc w:val="right"/>
              <w:ind w:right="649"/>
              <w:spacing w:after="0"/>
              <w:rPr>
                <w:sz w:val="20"/>
                <w:szCs w:val="20"/>
                <w:color w:val="auto"/>
              </w:rPr>
            </w:pPr>
            <w:r>
              <w:rPr>
                <w:rFonts w:ascii="Arial" w:cs="Arial" w:eastAsia="Arial" w:hAnsi="Arial"/>
                <w:sz w:val="10"/>
                <w:szCs w:val="10"/>
                <w:b w:val="1"/>
                <w:bCs w:val="1"/>
                <w:color w:val="auto"/>
                <w:w w:val="98"/>
              </w:rPr>
              <w:t>2020</w:t>
            </w:r>
          </w:p>
        </w:tc>
        <w:tc>
          <w:tcPr>
            <w:tcW w:w="80" w:type="dxa"/>
            <w:vAlign w:val="bottom"/>
          </w:tcPr>
          <w:p>
            <w:pPr>
              <w:spacing w:after="0"/>
              <w:rPr>
                <w:sz w:val="11"/>
                <w:szCs w:val="11"/>
                <w:color w:val="auto"/>
              </w:rPr>
            </w:pPr>
          </w:p>
        </w:tc>
      </w:tr>
      <w:tr>
        <w:trPr>
          <w:trHeight w:val="39"/>
        </w:trPr>
        <w:tc>
          <w:tcPr>
            <w:tcW w:w="76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32"/>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0"/>
                <w:szCs w:val="10"/>
                <w:b w:val="1"/>
                <w:bCs w:val="1"/>
                <w:color w:val="auto"/>
              </w:rPr>
              <w:t>Cash Flows from Operating Activities:</w:t>
            </w:r>
          </w:p>
        </w:tc>
        <w:tc>
          <w:tcPr>
            <w:tcW w:w="94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r>
      <w:tr>
        <w:trPr>
          <w:trHeight w:val="131"/>
        </w:trPr>
        <w:tc>
          <w:tcPr>
            <w:tcW w:w="7680" w:type="dxa"/>
            <w:vAlign w:val="bottom"/>
          </w:tcPr>
          <w:p>
            <w:pPr>
              <w:ind w:left="180"/>
              <w:spacing w:after="0"/>
              <w:rPr>
                <w:sz w:val="20"/>
                <w:szCs w:val="20"/>
                <w:color w:val="auto"/>
              </w:rPr>
            </w:pPr>
            <w:r>
              <w:rPr>
                <w:rFonts w:ascii="Arial" w:cs="Arial" w:eastAsia="Arial" w:hAnsi="Arial"/>
                <w:sz w:val="10"/>
                <w:szCs w:val="10"/>
                <w:color w:val="auto"/>
              </w:rPr>
              <w:t>Net increase (decrease) in net assets resulting from operations</w:t>
            </w:r>
          </w:p>
        </w:tc>
        <w:tc>
          <w:tcPr>
            <w:tcW w:w="940" w:type="dxa"/>
            <w:vAlign w:val="bottom"/>
          </w:tcPr>
          <w:p>
            <w:pPr>
              <w:jc w:val="right"/>
              <w:ind w:right="82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65,866</w:t>
            </w:r>
          </w:p>
        </w:tc>
        <w:tc>
          <w:tcPr>
            <w:tcW w:w="260" w:type="dxa"/>
            <w:vAlign w:val="bottom"/>
          </w:tcPr>
          <w:p>
            <w:pPr>
              <w:spacing w:after="0"/>
              <w:rPr>
                <w:sz w:val="11"/>
                <w:szCs w:val="11"/>
                <w:color w:val="auto"/>
              </w:rPr>
            </w:pPr>
          </w:p>
        </w:tc>
        <w:tc>
          <w:tcPr>
            <w:tcW w:w="660" w:type="dxa"/>
            <w:vAlign w:val="bottom"/>
          </w:tcPr>
          <w:p>
            <w:pPr>
              <w:jc w:val="right"/>
              <w:ind w:right="54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1,709</w:t>
            </w:r>
          </w:p>
        </w:tc>
        <w:tc>
          <w:tcPr>
            <w:tcW w:w="80" w:type="dxa"/>
            <w:vAlign w:val="bottom"/>
          </w:tcPr>
          <w:p>
            <w:pPr>
              <w:spacing w:after="0"/>
              <w:rPr>
                <w:sz w:val="11"/>
                <w:szCs w:val="11"/>
                <w:color w:val="auto"/>
              </w:rPr>
            </w:pPr>
          </w:p>
        </w:tc>
      </w:tr>
      <w:tr>
        <w:trPr>
          <w:trHeight w:val="21"/>
        </w:trPr>
        <w:tc>
          <w:tcPr>
            <w:tcW w:w="7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76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0"/>
                <w:szCs w:val="10"/>
                <w:color w:val="auto"/>
              </w:rPr>
              <w:t>Adjustments to reconcile net increase (decrease) in net assets resulting from operations to net cash provided by (used for) operating activities:</w:t>
            </w:r>
          </w:p>
        </w:tc>
        <w:tc>
          <w:tcPr>
            <w:tcW w:w="94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r>
      <w:tr>
        <w:trPr>
          <w:trHeight w:val="131"/>
        </w:trPr>
        <w:tc>
          <w:tcPr>
            <w:tcW w:w="7680" w:type="dxa"/>
            <w:vAlign w:val="bottom"/>
          </w:tcPr>
          <w:p>
            <w:pPr>
              <w:ind w:left="360"/>
              <w:spacing w:after="0"/>
              <w:rPr>
                <w:sz w:val="20"/>
                <w:szCs w:val="20"/>
                <w:color w:val="auto"/>
              </w:rPr>
            </w:pPr>
            <w:r>
              <w:rPr>
                <w:rFonts w:ascii="Arial" w:cs="Arial" w:eastAsia="Arial" w:hAnsi="Arial"/>
                <w:sz w:val="10"/>
                <w:szCs w:val="10"/>
                <w:color w:val="auto"/>
              </w:rPr>
              <w:t>Net change in unrealized (appreciation) depreciation on investments</w:t>
            </w:r>
          </w:p>
        </w:tc>
        <w:tc>
          <w:tcPr>
            <w:tcW w:w="940" w:type="dxa"/>
            <w:vAlign w:val="bottom"/>
          </w:tcPr>
          <w:p>
            <w:pPr>
              <w:spacing w:after="0"/>
              <w:rPr>
                <w:sz w:val="11"/>
                <w:szCs w:val="1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(32,019 )</w:t>
            </w:r>
          </w:p>
        </w:tc>
        <w:tc>
          <w:tcPr>
            <w:tcW w:w="6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63,434</w:t>
            </w:r>
          </w:p>
        </w:tc>
        <w:tc>
          <w:tcPr>
            <w:tcW w:w="80" w:type="dxa"/>
            <w:vAlign w:val="bottom"/>
          </w:tcPr>
          <w:p>
            <w:pPr>
              <w:spacing w:after="0"/>
              <w:rPr>
                <w:sz w:val="11"/>
                <w:szCs w:val="11"/>
                <w:color w:val="auto"/>
              </w:rPr>
            </w:pPr>
          </w:p>
        </w:tc>
      </w:tr>
      <w:tr>
        <w:trPr>
          <w:trHeight w:val="21"/>
        </w:trPr>
        <w:tc>
          <w:tcPr>
            <w:tcW w:w="7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132"/>
        </w:trPr>
        <w:tc>
          <w:tcPr>
            <w:tcW w:w="76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0"/>
                <w:szCs w:val="10"/>
                <w:color w:val="auto"/>
              </w:rPr>
              <w:t>Net realized (gain) loss on investments</w:t>
            </w:r>
          </w:p>
        </w:tc>
        <w:tc>
          <w:tcPr>
            <w:tcW w:w="94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0"/>
                <w:szCs w:val="10"/>
                <w:color w:val="auto"/>
              </w:rPr>
              <w:t>(13,672 )</w:t>
            </w:r>
          </w:p>
        </w:tc>
        <w:tc>
          <w:tcPr>
            <w:tcW w:w="66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0"/>
                <w:szCs w:val="10"/>
                <w:color w:val="auto"/>
              </w:rPr>
              <w:t>(32,897 )</w:t>
            </w:r>
          </w:p>
        </w:tc>
      </w:tr>
      <w:tr>
        <w:trPr>
          <w:trHeight w:val="131"/>
        </w:trPr>
        <w:tc>
          <w:tcPr>
            <w:tcW w:w="7680" w:type="dxa"/>
            <w:vAlign w:val="bottom"/>
          </w:tcPr>
          <w:p>
            <w:pPr>
              <w:ind w:left="360"/>
              <w:spacing w:after="0"/>
              <w:rPr>
                <w:sz w:val="20"/>
                <w:szCs w:val="20"/>
                <w:color w:val="auto"/>
              </w:rPr>
            </w:pPr>
            <w:r>
              <w:rPr>
                <w:rFonts w:ascii="Arial" w:cs="Arial" w:eastAsia="Arial" w:hAnsi="Arial"/>
                <w:sz w:val="10"/>
                <w:szCs w:val="10"/>
                <w:color w:val="auto"/>
              </w:rPr>
              <w:t>Interest and dividend income paid-in-kind</w:t>
            </w:r>
          </w:p>
        </w:tc>
        <w:tc>
          <w:tcPr>
            <w:tcW w:w="940" w:type="dxa"/>
            <w:vAlign w:val="bottom"/>
          </w:tcPr>
          <w:p>
            <w:pPr>
              <w:spacing w:after="0"/>
              <w:rPr>
                <w:sz w:val="11"/>
                <w:szCs w:val="1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(3,437 )</w:t>
            </w:r>
          </w:p>
        </w:tc>
        <w:tc>
          <w:tcPr>
            <w:tcW w:w="660" w:type="dxa"/>
            <w:vAlign w:val="bottom"/>
          </w:tcPr>
          <w:p>
            <w:pPr>
              <w:spacing w:after="0"/>
              <w:rPr>
                <w:sz w:val="11"/>
                <w:szCs w:val="1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0"/>
                <w:szCs w:val="10"/>
                <w:color w:val="auto"/>
              </w:rPr>
              <w:t>(3,511 )</w:t>
            </w:r>
          </w:p>
        </w:tc>
      </w:tr>
      <w:tr>
        <w:trPr>
          <w:trHeight w:val="21"/>
        </w:trPr>
        <w:tc>
          <w:tcPr>
            <w:tcW w:w="7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132"/>
        </w:trPr>
        <w:tc>
          <w:tcPr>
            <w:tcW w:w="76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0"/>
                <w:szCs w:val="10"/>
                <w:color w:val="auto"/>
              </w:rPr>
              <w:t>Accretion of original issue discount</w:t>
            </w:r>
          </w:p>
        </w:tc>
        <w:tc>
          <w:tcPr>
            <w:tcW w:w="94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0"/>
                <w:szCs w:val="10"/>
                <w:color w:val="auto"/>
              </w:rPr>
              <w:t>(734 )</w:t>
            </w:r>
          </w:p>
        </w:tc>
        <w:tc>
          <w:tcPr>
            <w:tcW w:w="66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0"/>
                <w:szCs w:val="10"/>
                <w:color w:val="auto"/>
              </w:rPr>
              <w:t>(118 )</w:t>
            </w:r>
          </w:p>
        </w:tc>
      </w:tr>
      <w:tr>
        <w:trPr>
          <w:trHeight w:val="131"/>
        </w:trPr>
        <w:tc>
          <w:tcPr>
            <w:tcW w:w="7680" w:type="dxa"/>
            <w:vAlign w:val="bottom"/>
          </w:tcPr>
          <w:p>
            <w:pPr>
              <w:ind w:left="360"/>
              <w:spacing w:after="0"/>
              <w:rPr>
                <w:sz w:val="20"/>
                <w:szCs w:val="20"/>
                <w:color w:val="auto"/>
              </w:rPr>
            </w:pPr>
            <w:r>
              <w:rPr>
                <w:rFonts w:ascii="Arial" w:cs="Arial" w:eastAsia="Arial" w:hAnsi="Arial"/>
                <w:sz w:val="10"/>
                <w:szCs w:val="10"/>
                <w:color w:val="auto"/>
              </w:rPr>
              <w:t>Accretion of loan origination fees</w:t>
            </w:r>
          </w:p>
        </w:tc>
        <w:tc>
          <w:tcPr>
            <w:tcW w:w="940" w:type="dxa"/>
            <w:vAlign w:val="bottom"/>
          </w:tcPr>
          <w:p>
            <w:pPr>
              <w:spacing w:after="0"/>
              <w:rPr>
                <w:sz w:val="11"/>
                <w:szCs w:val="1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(1,832 )</w:t>
            </w:r>
          </w:p>
        </w:tc>
        <w:tc>
          <w:tcPr>
            <w:tcW w:w="660" w:type="dxa"/>
            <w:vAlign w:val="bottom"/>
          </w:tcPr>
          <w:p>
            <w:pPr>
              <w:spacing w:after="0"/>
              <w:rPr>
                <w:sz w:val="11"/>
                <w:szCs w:val="1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0"/>
                <w:szCs w:val="10"/>
                <w:color w:val="auto"/>
              </w:rPr>
              <w:t>(866 )</w:t>
            </w:r>
          </w:p>
        </w:tc>
      </w:tr>
      <w:tr>
        <w:trPr>
          <w:trHeight w:val="21"/>
        </w:trPr>
        <w:tc>
          <w:tcPr>
            <w:tcW w:w="7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132"/>
        </w:trPr>
        <w:tc>
          <w:tcPr>
            <w:tcW w:w="76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0"/>
                <w:szCs w:val="10"/>
                <w:color w:val="auto"/>
              </w:rPr>
              <w:t>Purchase of investments</w:t>
            </w:r>
          </w:p>
        </w:tc>
        <w:tc>
          <w:tcPr>
            <w:tcW w:w="94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0"/>
                <w:szCs w:val="10"/>
                <w:color w:val="auto"/>
              </w:rPr>
              <w:t>(245,546 )</w:t>
            </w:r>
          </w:p>
        </w:tc>
        <w:tc>
          <w:tcPr>
            <w:tcW w:w="66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0"/>
                <w:szCs w:val="10"/>
                <w:color w:val="auto"/>
              </w:rPr>
              <w:t>(86,121 )</w:t>
            </w:r>
          </w:p>
        </w:tc>
      </w:tr>
      <w:tr>
        <w:trPr>
          <w:trHeight w:val="131"/>
        </w:trPr>
        <w:tc>
          <w:tcPr>
            <w:tcW w:w="7680" w:type="dxa"/>
            <w:vAlign w:val="bottom"/>
          </w:tcPr>
          <w:p>
            <w:pPr>
              <w:ind w:left="360"/>
              <w:spacing w:after="0"/>
              <w:rPr>
                <w:sz w:val="20"/>
                <w:szCs w:val="20"/>
                <w:color w:val="auto"/>
              </w:rPr>
            </w:pPr>
            <w:r>
              <w:rPr>
                <w:rFonts w:ascii="Arial" w:cs="Arial" w:eastAsia="Arial" w:hAnsi="Arial"/>
                <w:sz w:val="10"/>
                <w:szCs w:val="10"/>
                <w:color w:val="auto"/>
              </w:rPr>
              <w:t>Proceeds from sales and repayments of investments</w:t>
            </w:r>
          </w:p>
        </w:tc>
        <w:tc>
          <w:tcPr>
            <w:tcW w:w="9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319,036</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110,149</w:t>
            </w:r>
          </w:p>
        </w:tc>
        <w:tc>
          <w:tcPr>
            <w:tcW w:w="80" w:type="dxa"/>
            <w:vAlign w:val="bottom"/>
          </w:tcPr>
          <w:p>
            <w:pPr>
              <w:spacing w:after="0"/>
              <w:rPr>
                <w:sz w:val="11"/>
                <w:szCs w:val="11"/>
                <w:color w:val="auto"/>
              </w:rPr>
            </w:pPr>
          </w:p>
        </w:tc>
      </w:tr>
      <w:tr>
        <w:trPr>
          <w:trHeight w:val="21"/>
        </w:trPr>
        <w:tc>
          <w:tcPr>
            <w:tcW w:w="7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76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0"/>
                <w:szCs w:val="10"/>
                <w:color w:val="auto"/>
              </w:rPr>
              <w:t>Proceeds from loan origination fees</w:t>
            </w:r>
          </w:p>
        </w:tc>
        <w:tc>
          <w:tcPr>
            <w:tcW w:w="94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1,949</w:t>
            </w:r>
          </w:p>
        </w:tc>
        <w:tc>
          <w:tcPr>
            <w:tcW w:w="26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1,444</w:t>
            </w:r>
          </w:p>
        </w:tc>
        <w:tc>
          <w:tcPr>
            <w:tcW w:w="80" w:type="dxa"/>
            <w:vAlign w:val="bottom"/>
            <w:tcBorders>
              <w:bottom w:val="single" w:sz="8" w:color="CFF0FC"/>
            </w:tcBorders>
            <w:shd w:val="clear" w:color="auto" w:fill="CFF0FC"/>
          </w:tcPr>
          <w:p>
            <w:pPr>
              <w:spacing w:after="0"/>
              <w:rPr>
                <w:sz w:val="11"/>
                <w:szCs w:val="11"/>
                <w:color w:val="auto"/>
              </w:rPr>
            </w:pPr>
          </w:p>
        </w:tc>
      </w:tr>
      <w:tr>
        <w:trPr>
          <w:trHeight w:val="131"/>
        </w:trPr>
        <w:tc>
          <w:tcPr>
            <w:tcW w:w="7680" w:type="dxa"/>
            <w:vAlign w:val="bottom"/>
          </w:tcPr>
          <w:p>
            <w:pPr>
              <w:ind w:left="360"/>
              <w:spacing w:after="0"/>
              <w:rPr>
                <w:sz w:val="20"/>
                <w:szCs w:val="20"/>
                <w:color w:val="auto"/>
              </w:rPr>
            </w:pPr>
            <w:r>
              <w:rPr>
                <w:rFonts w:ascii="Arial" w:cs="Arial" w:eastAsia="Arial" w:hAnsi="Arial"/>
                <w:sz w:val="10"/>
                <w:szCs w:val="10"/>
                <w:color w:val="auto"/>
              </w:rPr>
              <w:t>Realized losses on extinguishment of debt</w:t>
            </w:r>
          </w:p>
        </w:tc>
        <w:tc>
          <w:tcPr>
            <w:tcW w:w="9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2,640</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299</w:t>
            </w:r>
          </w:p>
        </w:tc>
        <w:tc>
          <w:tcPr>
            <w:tcW w:w="80" w:type="dxa"/>
            <w:vAlign w:val="bottom"/>
          </w:tcPr>
          <w:p>
            <w:pPr>
              <w:spacing w:after="0"/>
              <w:rPr>
                <w:sz w:val="11"/>
                <w:szCs w:val="11"/>
                <w:color w:val="auto"/>
              </w:rPr>
            </w:pPr>
          </w:p>
        </w:tc>
      </w:tr>
      <w:tr>
        <w:trPr>
          <w:trHeight w:val="21"/>
        </w:trPr>
        <w:tc>
          <w:tcPr>
            <w:tcW w:w="7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76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0"/>
                <w:szCs w:val="10"/>
                <w:color w:val="auto"/>
              </w:rPr>
              <w:t>Amortization of deferred financing costs</w:t>
            </w:r>
          </w:p>
        </w:tc>
        <w:tc>
          <w:tcPr>
            <w:tcW w:w="94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1,655</w:t>
            </w:r>
          </w:p>
        </w:tc>
        <w:tc>
          <w:tcPr>
            <w:tcW w:w="26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1,680</w:t>
            </w:r>
          </w:p>
        </w:tc>
        <w:tc>
          <w:tcPr>
            <w:tcW w:w="80" w:type="dxa"/>
            <w:vAlign w:val="bottom"/>
            <w:tcBorders>
              <w:bottom w:val="single" w:sz="8" w:color="CFF0FC"/>
            </w:tcBorders>
            <w:shd w:val="clear" w:color="auto" w:fill="CFF0FC"/>
          </w:tcPr>
          <w:p>
            <w:pPr>
              <w:spacing w:after="0"/>
              <w:rPr>
                <w:sz w:val="11"/>
                <w:szCs w:val="11"/>
                <w:color w:val="auto"/>
              </w:rPr>
            </w:pPr>
          </w:p>
        </w:tc>
      </w:tr>
      <w:tr>
        <w:trPr>
          <w:trHeight w:val="131"/>
        </w:trPr>
        <w:tc>
          <w:tcPr>
            <w:tcW w:w="7680" w:type="dxa"/>
            <w:vAlign w:val="bottom"/>
          </w:tcPr>
          <w:p>
            <w:pPr>
              <w:ind w:left="360"/>
              <w:spacing w:after="0"/>
              <w:rPr>
                <w:sz w:val="20"/>
                <w:szCs w:val="20"/>
                <w:color w:val="auto"/>
              </w:rPr>
            </w:pPr>
            <w:r>
              <w:rPr>
                <w:rFonts w:ascii="Arial" w:cs="Arial" w:eastAsia="Arial" w:hAnsi="Arial"/>
                <w:sz w:val="10"/>
                <w:szCs w:val="10"/>
                <w:color w:val="auto"/>
              </w:rPr>
              <w:t>Changes in operating assets and liabilities:</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1"/>
        </w:trPr>
        <w:tc>
          <w:tcPr>
            <w:tcW w:w="7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132"/>
        </w:trPr>
        <w:tc>
          <w:tcPr>
            <w:tcW w:w="76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0"/>
                <w:szCs w:val="10"/>
                <w:color w:val="auto"/>
              </w:rPr>
              <w:t>Interest receivable</w:t>
            </w:r>
          </w:p>
        </w:tc>
        <w:tc>
          <w:tcPr>
            <w:tcW w:w="94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0"/>
                <w:szCs w:val="10"/>
                <w:color w:val="auto"/>
              </w:rPr>
              <w:t>(698 )</w:t>
            </w:r>
          </w:p>
        </w:tc>
        <w:tc>
          <w:tcPr>
            <w:tcW w:w="66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0"/>
                <w:szCs w:val="10"/>
                <w:color w:val="auto"/>
              </w:rPr>
              <w:t>(740 )</w:t>
            </w:r>
          </w:p>
        </w:tc>
      </w:tr>
      <w:tr>
        <w:trPr>
          <w:trHeight w:val="131"/>
        </w:trPr>
        <w:tc>
          <w:tcPr>
            <w:tcW w:w="7680" w:type="dxa"/>
            <w:vAlign w:val="bottom"/>
          </w:tcPr>
          <w:p>
            <w:pPr>
              <w:ind w:left="520"/>
              <w:spacing w:after="0"/>
              <w:rPr>
                <w:sz w:val="20"/>
                <w:szCs w:val="20"/>
                <w:color w:val="auto"/>
              </w:rPr>
            </w:pPr>
            <w:r>
              <w:rPr>
                <w:rFonts w:ascii="Arial" w:cs="Arial" w:eastAsia="Arial" w:hAnsi="Arial"/>
                <w:sz w:val="10"/>
                <w:szCs w:val="10"/>
                <w:color w:val="auto"/>
              </w:rPr>
              <w:t>Prepaid expenses and other assets</w:t>
            </w:r>
          </w:p>
        </w:tc>
        <w:tc>
          <w:tcPr>
            <w:tcW w:w="940" w:type="dxa"/>
            <w:vAlign w:val="bottom"/>
          </w:tcPr>
          <w:p>
            <w:pPr>
              <w:spacing w:after="0"/>
              <w:rPr>
                <w:sz w:val="11"/>
                <w:szCs w:val="1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(504 )</w:t>
            </w:r>
          </w:p>
        </w:tc>
        <w:tc>
          <w:tcPr>
            <w:tcW w:w="6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34</w:t>
            </w:r>
          </w:p>
        </w:tc>
        <w:tc>
          <w:tcPr>
            <w:tcW w:w="80" w:type="dxa"/>
            <w:vAlign w:val="bottom"/>
          </w:tcPr>
          <w:p>
            <w:pPr>
              <w:spacing w:after="0"/>
              <w:rPr>
                <w:sz w:val="11"/>
                <w:szCs w:val="11"/>
                <w:color w:val="auto"/>
              </w:rPr>
            </w:pPr>
          </w:p>
        </w:tc>
      </w:tr>
      <w:tr>
        <w:trPr>
          <w:trHeight w:val="21"/>
        </w:trPr>
        <w:tc>
          <w:tcPr>
            <w:tcW w:w="7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132"/>
        </w:trPr>
        <w:tc>
          <w:tcPr>
            <w:tcW w:w="76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0"/>
                <w:szCs w:val="10"/>
                <w:color w:val="auto"/>
              </w:rPr>
              <w:t>Accrued interest and fees payable</w:t>
            </w:r>
          </w:p>
        </w:tc>
        <w:tc>
          <w:tcPr>
            <w:tcW w:w="94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0"/>
                <w:szCs w:val="10"/>
                <w:color w:val="auto"/>
              </w:rPr>
              <w:t>(1,298 )</w:t>
            </w:r>
          </w:p>
        </w:tc>
        <w:tc>
          <w:tcPr>
            <w:tcW w:w="66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0"/>
                <w:szCs w:val="10"/>
                <w:color w:val="auto"/>
              </w:rPr>
              <w:t>(1,383 )</w:t>
            </w:r>
          </w:p>
        </w:tc>
      </w:tr>
      <w:tr>
        <w:trPr>
          <w:trHeight w:val="131"/>
        </w:trPr>
        <w:tc>
          <w:tcPr>
            <w:tcW w:w="7680" w:type="dxa"/>
            <w:vAlign w:val="bottom"/>
          </w:tcPr>
          <w:p>
            <w:pPr>
              <w:ind w:left="520"/>
              <w:spacing w:after="0"/>
              <w:rPr>
                <w:sz w:val="20"/>
                <w:szCs w:val="20"/>
                <w:color w:val="auto"/>
              </w:rPr>
            </w:pPr>
            <w:r>
              <w:rPr>
                <w:rFonts w:ascii="Arial" w:cs="Arial" w:eastAsia="Arial" w:hAnsi="Arial"/>
                <w:sz w:val="10"/>
                <w:szCs w:val="10"/>
                <w:color w:val="auto"/>
              </w:rPr>
              <w:t>Base management fee payable, net of base management fee waiver – due to affiliate</w:t>
            </w:r>
          </w:p>
        </w:tc>
        <w:tc>
          <w:tcPr>
            <w:tcW w:w="940" w:type="dxa"/>
            <w:vAlign w:val="bottom"/>
          </w:tcPr>
          <w:p>
            <w:pPr>
              <w:spacing w:after="0"/>
              <w:rPr>
                <w:sz w:val="11"/>
                <w:szCs w:val="1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(43 )</w:t>
            </w:r>
          </w:p>
        </w:tc>
        <w:tc>
          <w:tcPr>
            <w:tcW w:w="660" w:type="dxa"/>
            <w:vAlign w:val="bottom"/>
          </w:tcPr>
          <w:p>
            <w:pPr>
              <w:spacing w:after="0"/>
              <w:rPr>
                <w:sz w:val="11"/>
                <w:szCs w:val="1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0"/>
                <w:szCs w:val="10"/>
                <w:color w:val="auto"/>
              </w:rPr>
              <w:t>(110 )</w:t>
            </w:r>
          </w:p>
        </w:tc>
      </w:tr>
      <w:tr>
        <w:trPr>
          <w:trHeight w:val="21"/>
        </w:trPr>
        <w:tc>
          <w:tcPr>
            <w:tcW w:w="7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76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0"/>
                <w:szCs w:val="10"/>
                <w:color w:val="auto"/>
              </w:rPr>
              <w:t>Income incentive fee payable, net of income incentive fee waiver – due to affiliate</w:t>
            </w:r>
          </w:p>
        </w:tc>
        <w:tc>
          <w:tcPr>
            <w:tcW w:w="94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0"/>
                <w:szCs w:val="10"/>
                <w:color w:val="auto"/>
              </w:rPr>
              <w:t>(185 )</w:t>
            </w:r>
          </w:p>
        </w:tc>
        <w:tc>
          <w:tcPr>
            <w:tcW w:w="66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877</w:t>
            </w:r>
          </w:p>
        </w:tc>
        <w:tc>
          <w:tcPr>
            <w:tcW w:w="80" w:type="dxa"/>
            <w:vAlign w:val="bottom"/>
            <w:tcBorders>
              <w:bottom w:val="single" w:sz="8" w:color="CFF0FC"/>
            </w:tcBorders>
            <w:shd w:val="clear" w:color="auto" w:fill="CFF0FC"/>
          </w:tcPr>
          <w:p>
            <w:pPr>
              <w:spacing w:after="0"/>
              <w:rPr>
                <w:sz w:val="11"/>
                <w:szCs w:val="11"/>
                <w:color w:val="auto"/>
              </w:rPr>
            </w:pPr>
          </w:p>
        </w:tc>
      </w:tr>
      <w:tr>
        <w:trPr>
          <w:trHeight w:val="131"/>
        </w:trPr>
        <w:tc>
          <w:tcPr>
            <w:tcW w:w="7680" w:type="dxa"/>
            <w:vAlign w:val="bottom"/>
          </w:tcPr>
          <w:p>
            <w:pPr>
              <w:ind w:left="520"/>
              <w:spacing w:after="0"/>
              <w:rPr>
                <w:sz w:val="20"/>
                <w:szCs w:val="20"/>
                <w:color w:val="auto"/>
              </w:rPr>
            </w:pPr>
            <w:r>
              <w:rPr>
                <w:rFonts w:ascii="Arial" w:cs="Arial" w:eastAsia="Arial" w:hAnsi="Arial"/>
                <w:sz w:val="10"/>
                <w:szCs w:val="10"/>
                <w:color w:val="auto"/>
              </w:rPr>
              <w:t>Capital gains incentive fee (reversal) – due to (from) affiliate</w:t>
            </w:r>
          </w:p>
        </w:tc>
        <w:tc>
          <w:tcPr>
            <w:tcW w:w="9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8,638</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0"/>
                <w:szCs w:val="10"/>
                <w:color w:val="auto"/>
              </w:rPr>
              <w:t>(6,380 )</w:t>
            </w:r>
          </w:p>
        </w:tc>
      </w:tr>
      <w:tr>
        <w:trPr>
          <w:trHeight w:val="21"/>
        </w:trPr>
        <w:tc>
          <w:tcPr>
            <w:tcW w:w="7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76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0"/>
                <w:szCs w:val="10"/>
                <w:color w:val="auto"/>
              </w:rPr>
              <w:t>Administration fee payable and other – due to affiliate</w:t>
            </w:r>
          </w:p>
        </w:tc>
        <w:tc>
          <w:tcPr>
            <w:tcW w:w="94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0"/>
                <w:szCs w:val="10"/>
                <w:color w:val="auto"/>
              </w:rPr>
              <w:t>(5 )</w:t>
            </w:r>
          </w:p>
        </w:tc>
        <w:tc>
          <w:tcPr>
            <w:tcW w:w="66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67</w:t>
            </w:r>
          </w:p>
        </w:tc>
        <w:tc>
          <w:tcPr>
            <w:tcW w:w="80" w:type="dxa"/>
            <w:vAlign w:val="bottom"/>
            <w:tcBorders>
              <w:bottom w:val="single" w:sz="8" w:color="CFF0FC"/>
            </w:tcBorders>
            <w:shd w:val="clear" w:color="auto" w:fill="CFF0FC"/>
          </w:tcPr>
          <w:p>
            <w:pPr>
              <w:spacing w:after="0"/>
              <w:rPr>
                <w:sz w:val="11"/>
                <w:szCs w:val="11"/>
                <w:color w:val="auto"/>
              </w:rPr>
            </w:pPr>
          </w:p>
        </w:tc>
      </w:tr>
      <w:tr>
        <w:trPr>
          <w:trHeight w:val="131"/>
        </w:trPr>
        <w:tc>
          <w:tcPr>
            <w:tcW w:w="7680" w:type="dxa"/>
            <w:vAlign w:val="bottom"/>
          </w:tcPr>
          <w:p>
            <w:pPr>
              <w:ind w:left="520"/>
              <w:spacing w:after="0"/>
              <w:rPr>
                <w:sz w:val="20"/>
                <w:szCs w:val="20"/>
                <w:color w:val="auto"/>
              </w:rPr>
            </w:pPr>
            <w:r>
              <w:rPr>
                <w:rFonts w:ascii="Arial" w:cs="Arial" w:eastAsia="Arial" w:hAnsi="Arial"/>
                <w:sz w:val="10"/>
                <w:szCs w:val="10"/>
                <w:color w:val="auto"/>
              </w:rPr>
              <w:t>Taxes payable</w:t>
            </w:r>
          </w:p>
        </w:tc>
        <w:tc>
          <w:tcPr>
            <w:tcW w:w="940" w:type="dxa"/>
            <w:vAlign w:val="bottom"/>
          </w:tcPr>
          <w:p>
            <w:pPr>
              <w:spacing w:after="0"/>
              <w:rPr>
                <w:sz w:val="11"/>
                <w:szCs w:val="1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(1,158 )</w:t>
            </w:r>
          </w:p>
        </w:tc>
        <w:tc>
          <w:tcPr>
            <w:tcW w:w="660" w:type="dxa"/>
            <w:vAlign w:val="bottom"/>
          </w:tcPr>
          <w:p>
            <w:pPr>
              <w:spacing w:after="0"/>
              <w:rPr>
                <w:sz w:val="11"/>
                <w:szCs w:val="1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0"/>
                <w:szCs w:val="10"/>
                <w:color w:val="auto"/>
              </w:rPr>
              <w:t>(424 )</w:t>
            </w:r>
          </w:p>
        </w:tc>
      </w:tr>
      <w:tr>
        <w:trPr>
          <w:trHeight w:val="21"/>
        </w:trPr>
        <w:tc>
          <w:tcPr>
            <w:tcW w:w="7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157"/>
        </w:trPr>
        <w:tc>
          <w:tcPr>
            <w:tcW w:w="76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0"/>
                <w:szCs w:val="10"/>
                <w:color w:val="auto"/>
              </w:rPr>
              <w:t>Accounts payable and other liabilities</w:t>
            </w:r>
          </w:p>
        </w:tc>
        <w:tc>
          <w:tcPr>
            <w:tcW w:w="94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217</w:t>
            </w:r>
          </w:p>
        </w:tc>
        <w:tc>
          <w:tcPr>
            <w:tcW w:w="26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shd w:val="clear" w:color="auto" w:fill="CFF0FC"/>
          </w:tcPr>
          <w:p>
            <w:pPr>
              <w:spacing w:after="0"/>
              <w:rPr>
                <w:sz w:val="13"/>
                <w:szCs w:val="13"/>
                <w:color w:val="auto"/>
              </w:rPr>
            </w:pPr>
          </w:p>
        </w:tc>
        <w:tc>
          <w:tcPr>
            <w:tcW w:w="10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0"/>
                <w:szCs w:val="10"/>
                <w:color w:val="auto"/>
              </w:rPr>
              <w:t>(16 )</w:t>
            </w:r>
          </w:p>
        </w:tc>
      </w:tr>
      <w:tr>
        <w:trPr>
          <w:trHeight w:val="124"/>
        </w:trPr>
        <w:tc>
          <w:tcPr>
            <w:tcW w:w="7680" w:type="dxa"/>
            <w:vAlign w:val="bottom"/>
            <w:tcBorders>
              <w:top w:val="single" w:sz="8" w:color="CFF0FC"/>
            </w:tcBorders>
          </w:tcPr>
          <w:p>
            <w:pPr>
              <w:ind w:left="700"/>
              <w:spacing w:after="0"/>
              <w:rPr>
                <w:sz w:val="20"/>
                <w:szCs w:val="20"/>
                <w:color w:val="auto"/>
              </w:rPr>
            </w:pPr>
            <w:r>
              <w:rPr>
                <w:rFonts w:ascii="Arial" w:cs="Arial" w:eastAsia="Arial" w:hAnsi="Arial"/>
                <w:sz w:val="10"/>
                <w:szCs w:val="10"/>
                <w:b w:val="1"/>
                <w:bCs w:val="1"/>
                <w:color w:val="auto"/>
              </w:rPr>
              <w:t>Net cash provided by (used for) operating activities</w:t>
            </w:r>
          </w:p>
        </w:tc>
        <w:tc>
          <w:tcPr>
            <w:tcW w:w="9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98,870</w:t>
            </w:r>
          </w:p>
        </w:tc>
        <w:tc>
          <w:tcPr>
            <w:tcW w:w="260" w:type="dxa"/>
            <w:vAlign w:val="bottom"/>
            <w:tcBorders>
              <w:top w:val="single" w:sz="8" w:color="CFF0F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47,127</w:t>
            </w:r>
          </w:p>
        </w:tc>
        <w:tc>
          <w:tcPr>
            <w:tcW w:w="80" w:type="dxa"/>
            <w:vAlign w:val="bottom"/>
            <w:tcBorders>
              <w:top w:val="single" w:sz="8" w:color="CFF0FC"/>
            </w:tcBorders>
          </w:tcPr>
          <w:p>
            <w:pPr>
              <w:spacing w:after="0"/>
              <w:rPr>
                <w:sz w:val="10"/>
                <w:szCs w:val="10"/>
                <w:color w:val="auto"/>
              </w:rPr>
            </w:pPr>
          </w:p>
        </w:tc>
      </w:tr>
      <w:tr>
        <w:trPr>
          <w:trHeight w:val="21"/>
        </w:trPr>
        <w:tc>
          <w:tcPr>
            <w:tcW w:w="7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5"/>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0"/>
                <w:szCs w:val="10"/>
                <w:b w:val="1"/>
                <w:bCs w:val="1"/>
                <w:color w:val="auto"/>
              </w:rPr>
              <w:t>Cash Flows from Financing Activities:</w:t>
            </w:r>
          </w:p>
        </w:tc>
        <w:tc>
          <w:tcPr>
            <w:tcW w:w="94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CFF0FC"/>
            </w:tcBorders>
            <w:shd w:val="clear" w:color="auto" w:fill="CFF0FC"/>
          </w:tcPr>
          <w:p>
            <w:pPr>
              <w:spacing w:after="0"/>
              <w:rPr>
                <w:sz w:val="10"/>
                <w:szCs w:val="10"/>
                <w:color w:val="auto"/>
              </w:rPr>
            </w:pPr>
          </w:p>
        </w:tc>
        <w:tc>
          <w:tcPr>
            <w:tcW w:w="26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r>
      <w:tr>
        <w:trPr>
          <w:trHeight w:val="131"/>
        </w:trPr>
        <w:tc>
          <w:tcPr>
            <w:tcW w:w="7680" w:type="dxa"/>
            <w:vAlign w:val="bottom"/>
          </w:tcPr>
          <w:p>
            <w:pPr>
              <w:ind w:left="360"/>
              <w:spacing w:after="0"/>
              <w:rPr>
                <w:sz w:val="20"/>
                <w:szCs w:val="20"/>
                <w:color w:val="auto"/>
              </w:rPr>
            </w:pPr>
            <w:r>
              <w:rPr>
                <w:rFonts w:ascii="Arial" w:cs="Arial" w:eastAsia="Arial" w:hAnsi="Arial"/>
                <w:sz w:val="10"/>
                <w:szCs w:val="10"/>
                <w:color w:val="auto"/>
              </w:rPr>
              <w:t>Proceeds received from SBA debentures</w:t>
            </w:r>
          </w:p>
        </w:tc>
        <w:tc>
          <w:tcPr>
            <w:tcW w:w="9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11,500</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6,000</w:t>
            </w:r>
          </w:p>
        </w:tc>
        <w:tc>
          <w:tcPr>
            <w:tcW w:w="80" w:type="dxa"/>
            <w:vAlign w:val="bottom"/>
          </w:tcPr>
          <w:p>
            <w:pPr>
              <w:spacing w:after="0"/>
              <w:rPr>
                <w:sz w:val="11"/>
                <w:szCs w:val="11"/>
                <w:color w:val="auto"/>
              </w:rPr>
            </w:pPr>
          </w:p>
        </w:tc>
      </w:tr>
      <w:tr>
        <w:trPr>
          <w:trHeight w:val="21"/>
        </w:trPr>
        <w:tc>
          <w:tcPr>
            <w:tcW w:w="7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132"/>
        </w:trPr>
        <w:tc>
          <w:tcPr>
            <w:tcW w:w="76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0"/>
                <w:szCs w:val="10"/>
                <w:color w:val="auto"/>
              </w:rPr>
              <w:t>Repayments of SBA debentures</w:t>
            </w:r>
          </w:p>
        </w:tc>
        <w:tc>
          <w:tcPr>
            <w:tcW w:w="94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0"/>
                <w:szCs w:val="10"/>
                <w:color w:val="auto"/>
              </w:rPr>
              <w:t>(63,500 )</w:t>
            </w:r>
          </w:p>
        </w:tc>
        <w:tc>
          <w:tcPr>
            <w:tcW w:w="66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0"/>
                <w:szCs w:val="10"/>
                <w:color w:val="auto"/>
              </w:rPr>
              <w:t>(16,500 )</w:t>
            </w:r>
          </w:p>
        </w:tc>
      </w:tr>
      <w:tr>
        <w:trPr>
          <w:trHeight w:val="131"/>
        </w:trPr>
        <w:tc>
          <w:tcPr>
            <w:tcW w:w="7680" w:type="dxa"/>
            <w:vAlign w:val="bottom"/>
          </w:tcPr>
          <w:p>
            <w:pPr>
              <w:ind w:left="360"/>
              <w:spacing w:after="0"/>
              <w:rPr>
                <w:sz w:val="20"/>
                <w:szCs w:val="20"/>
                <w:color w:val="auto"/>
              </w:rPr>
            </w:pPr>
            <w:r>
              <w:rPr>
                <w:rFonts w:ascii="Arial" w:cs="Arial" w:eastAsia="Arial" w:hAnsi="Arial"/>
                <w:sz w:val="10"/>
                <w:szCs w:val="10"/>
                <w:color w:val="auto"/>
              </w:rPr>
              <w:t>Principal payments on Notes</w:t>
            </w:r>
          </w:p>
        </w:tc>
        <w:tc>
          <w:tcPr>
            <w:tcW w:w="940" w:type="dxa"/>
            <w:vAlign w:val="bottom"/>
          </w:tcPr>
          <w:p>
            <w:pPr>
              <w:spacing w:after="0"/>
              <w:rPr>
                <w:sz w:val="11"/>
                <w:szCs w:val="1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(100,000 )</w:t>
            </w:r>
          </w:p>
        </w:tc>
        <w:tc>
          <w:tcPr>
            <w:tcW w:w="660" w:type="dxa"/>
            <w:vAlign w:val="bottom"/>
          </w:tcPr>
          <w:p>
            <w:pPr>
              <w:spacing w:after="0"/>
              <w:rPr>
                <w:sz w:val="11"/>
                <w:szCs w:val="1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r>
      <w:tr>
        <w:trPr>
          <w:trHeight w:val="21"/>
        </w:trPr>
        <w:tc>
          <w:tcPr>
            <w:tcW w:w="7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132"/>
        </w:trPr>
        <w:tc>
          <w:tcPr>
            <w:tcW w:w="76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0"/>
                <w:szCs w:val="10"/>
                <w:color w:val="auto"/>
              </w:rPr>
              <w:t>Proceeds received from (repayments of) borrowings under Credit Facility, net</w:t>
            </w:r>
          </w:p>
        </w:tc>
        <w:tc>
          <w:tcPr>
            <w:tcW w:w="94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40,000</w:t>
            </w:r>
          </w:p>
        </w:tc>
        <w:tc>
          <w:tcPr>
            <w:tcW w:w="26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0"/>
                <w:szCs w:val="10"/>
                <w:color w:val="auto"/>
              </w:rPr>
              <w:t>(2,000 )</w:t>
            </w:r>
          </w:p>
        </w:tc>
      </w:tr>
      <w:tr>
        <w:trPr>
          <w:trHeight w:val="131"/>
        </w:trPr>
        <w:tc>
          <w:tcPr>
            <w:tcW w:w="7680" w:type="dxa"/>
            <w:vAlign w:val="bottom"/>
          </w:tcPr>
          <w:p>
            <w:pPr>
              <w:ind w:left="360"/>
              <w:spacing w:after="0"/>
              <w:rPr>
                <w:sz w:val="20"/>
                <w:szCs w:val="20"/>
                <w:color w:val="auto"/>
              </w:rPr>
            </w:pPr>
            <w:r>
              <w:rPr>
                <w:rFonts w:ascii="Arial" w:cs="Arial" w:eastAsia="Arial" w:hAnsi="Arial"/>
                <w:sz w:val="10"/>
                <w:szCs w:val="10"/>
                <w:color w:val="auto"/>
              </w:rPr>
              <w:t>Proceeds from Secured Borrowings</w:t>
            </w:r>
          </w:p>
        </w:tc>
        <w:tc>
          <w:tcPr>
            <w:tcW w:w="9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17,746</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r>
      <w:tr>
        <w:trPr>
          <w:trHeight w:val="21"/>
        </w:trPr>
        <w:tc>
          <w:tcPr>
            <w:tcW w:w="7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132"/>
        </w:trPr>
        <w:tc>
          <w:tcPr>
            <w:tcW w:w="76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0"/>
                <w:szCs w:val="10"/>
                <w:color w:val="auto"/>
              </w:rPr>
              <w:t>Payment of deferred financing costs</w:t>
            </w:r>
          </w:p>
        </w:tc>
        <w:tc>
          <w:tcPr>
            <w:tcW w:w="94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0"/>
                <w:szCs w:val="10"/>
                <w:color w:val="auto"/>
              </w:rPr>
              <w:t>(1,031 )</w:t>
            </w:r>
          </w:p>
        </w:tc>
        <w:tc>
          <w:tcPr>
            <w:tcW w:w="66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0"/>
                <w:szCs w:val="10"/>
                <w:color w:val="auto"/>
              </w:rPr>
              <w:t>(490 )</w:t>
            </w:r>
          </w:p>
        </w:tc>
      </w:tr>
      <w:tr>
        <w:trPr>
          <w:trHeight w:val="131"/>
        </w:trPr>
        <w:tc>
          <w:tcPr>
            <w:tcW w:w="7680" w:type="dxa"/>
            <w:vAlign w:val="bottom"/>
          </w:tcPr>
          <w:p>
            <w:pPr>
              <w:ind w:left="360"/>
              <w:spacing w:after="0"/>
              <w:rPr>
                <w:sz w:val="20"/>
                <w:szCs w:val="20"/>
                <w:color w:val="auto"/>
              </w:rPr>
            </w:pPr>
            <w:r>
              <w:rPr>
                <w:rFonts w:ascii="Arial" w:cs="Arial" w:eastAsia="Arial" w:hAnsi="Arial"/>
                <w:sz w:val="10"/>
                <w:szCs w:val="10"/>
                <w:color w:val="auto"/>
              </w:rPr>
              <w:t>Dividends paid to stockholders, including expenses</w:t>
            </w:r>
          </w:p>
        </w:tc>
        <w:tc>
          <w:tcPr>
            <w:tcW w:w="940" w:type="dxa"/>
            <w:vAlign w:val="bottom"/>
          </w:tcPr>
          <w:p>
            <w:pPr>
              <w:spacing w:after="0"/>
              <w:rPr>
                <w:sz w:val="11"/>
                <w:szCs w:val="1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(29,081 )</w:t>
            </w:r>
          </w:p>
        </w:tc>
        <w:tc>
          <w:tcPr>
            <w:tcW w:w="660" w:type="dxa"/>
            <w:vAlign w:val="bottom"/>
          </w:tcPr>
          <w:p>
            <w:pPr>
              <w:spacing w:after="0"/>
              <w:rPr>
                <w:sz w:val="11"/>
                <w:szCs w:val="1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0"/>
                <w:szCs w:val="10"/>
                <w:color w:val="auto"/>
              </w:rPr>
              <w:t>(24,199 )</w:t>
            </w:r>
          </w:p>
        </w:tc>
      </w:tr>
      <w:tr>
        <w:trPr>
          <w:trHeight w:val="21"/>
        </w:trPr>
        <w:tc>
          <w:tcPr>
            <w:tcW w:w="7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132"/>
        </w:trPr>
        <w:tc>
          <w:tcPr>
            <w:tcW w:w="76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0"/>
                <w:szCs w:val="10"/>
                <w:color w:val="auto"/>
              </w:rPr>
              <w:t>Repurchases of common stock under Stock Repurchase Program</w:t>
            </w:r>
          </w:p>
        </w:tc>
        <w:tc>
          <w:tcPr>
            <w:tcW w:w="94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0"/>
                <w:szCs w:val="10"/>
                <w:color w:val="auto"/>
              </w:rPr>
              <w:t>(268 )</w:t>
            </w:r>
          </w:p>
        </w:tc>
      </w:tr>
      <w:tr>
        <w:trPr>
          <w:trHeight w:val="20"/>
        </w:trPr>
        <w:tc>
          <w:tcPr>
            <w:tcW w:w="76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24"/>
        </w:trPr>
        <w:tc>
          <w:tcPr>
            <w:tcW w:w="7680" w:type="dxa"/>
            <w:vAlign w:val="bottom"/>
          </w:tcPr>
          <w:p>
            <w:pPr>
              <w:ind w:left="700"/>
              <w:spacing w:after="0"/>
              <w:rPr>
                <w:sz w:val="20"/>
                <w:szCs w:val="20"/>
                <w:color w:val="auto"/>
              </w:rPr>
            </w:pPr>
            <w:r>
              <w:rPr>
                <w:rFonts w:ascii="Arial" w:cs="Arial" w:eastAsia="Arial" w:hAnsi="Arial"/>
                <w:sz w:val="10"/>
                <w:szCs w:val="10"/>
                <w:b w:val="1"/>
                <w:bCs w:val="1"/>
                <w:color w:val="auto"/>
              </w:rPr>
              <w:t>Net cash provided by (used for) financing activities</w:t>
            </w:r>
          </w:p>
        </w:tc>
        <w:tc>
          <w:tcPr>
            <w:tcW w:w="940" w:type="dxa"/>
            <w:vAlign w:val="bottom"/>
          </w:tcPr>
          <w:p>
            <w:pPr>
              <w:spacing w:after="0"/>
              <w:rPr>
                <w:sz w:val="10"/>
                <w:szCs w:val="1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(124,366 )</w:t>
            </w:r>
          </w:p>
        </w:tc>
        <w:tc>
          <w:tcPr>
            <w:tcW w:w="660" w:type="dxa"/>
            <w:vAlign w:val="bottom"/>
          </w:tcPr>
          <w:p>
            <w:pPr>
              <w:spacing w:after="0"/>
              <w:rPr>
                <w:sz w:val="10"/>
                <w:szCs w:val="1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0"/>
                <w:szCs w:val="10"/>
                <w:color w:val="auto"/>
              </w:rPr>
              <w:t>(37,457 )</w:t>
            </w:r>
          </w:p>
        </w:tc>
      </w:tr>
      <w:tr>
        <w:trPr>
          <w:trHeight w:val="21"/>
        </w:trPr>
        <w:tc>
          <w:tcPr>
            <w:tcW w:w="7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5"/>
        </w:trPr>
        <w:tc>
          <w:tcPr>
            <w:tcW w:w="768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10"/>
                <w:szCs w:val="10"/>
                <w:b w:val="1"/>
                <w:bCs w:val="1"/>
                <w:color w:val="auto"/>
              </w:rPr>
              <w:t>Net increase (decrease) in cash and cash equivalents</w:t>
            </w:r>
          </w:p>
        </w:tc>
        <w:tc>
          <w:tcPr>
            <w:tcW w:w="94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0"/>
                <w:szCs w:val="10"/>
                <w:color w:val="auto"/>
              </w:rPr>
              <w:t>(25,496 )</w:t>
            </w:r>
          </w:p>
        </w:tc>
        <w:tc>
          <w:tcPr>
            <w:tcW w:w="66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9,670</w:t>
            </w:r>
          </w:p>
        </w:tc>
        <w:tc>
          <w:tcPr>
            <w:tcW w:w="80" w:type="dxa"/>
            <w:vAlign w:val="bottom"/>
            <w:tcBorders>
              <w:bottom w:val="single" w:sz="8" w:color="CFF0FC"/>
            </w:tcBorders>
            <w:shd w:val="clear" w:color="auto" w:fill="CFF0FC"/>
          </w:tcPr>
          <w:p>
            <w:pPr>
              <w:spacing w:after="0"/>
              <w:rPr>
                <w:sz w:val="10"/>
                <w:szCs w:val="10"/>
                <w:color w:val="auto"/>
              </w:rPr>
            </w:pPr>
          </w:p>
        </w:tc>
      </w:tr>
      <w:tr>
        <w:trPr>
          <w:trHeight w:val="131"/>
        </w:trPr>
        <w:tc>
          <w:tcPr>
            <w:tcW w:w="7680" w:type="dxa"/>
            <w:vAlign w:val="bottom"/>
          </w:tcPr>
          <w:p>
            <w:pPr>
              <w:ind w:left="20"/>
              <w:spacing w:after="0"/>
              <w:rPr>
                <w:sz w:val="20"/>
                <w:szCs w:val="20"/>
                <w:color w:val="auto"/>
              </w:rPr>
            </w:pPr>
            <w:r>
              <w:rPr>
                <w:rFonts w:ascii="Arial" w:cs="Arial" w:eastAsia="Arial" w:hAnsi="Arial"/>
                <w:sz w:val="10"/>
                <w:szCs w:val="10"/>
                <w:b w:val="1"/>
                <w:bCs w:val="1"/>
                <w:color w:val="auto"/>
              </w:rPr>
              <w:t>Cash and cash equivalents:</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1"/>
        </w:trPr>
        <w:tc>
          <w:tcPr>
            <w:tcW w:w="7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7"/>
        </w:trPr>
        <w:tc>
          <w:tcPr>
            <w:tcW w:w="76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0"/>
                <w:szCs w:val="10"/>
                <w:color w:val="auto"/>
              </w:rPr>
              <w:t>Beginning of period</w:t>
            </w:r>
          </w:p>
        </w:tc>
        <w:tc>
          <w:tcPr>
            <w:tcW w:w="94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124,308</w:t>
            </w:r>
          </w:p>
        </w:tc>
        <w:tc>
          <w:tcPr>
            <w:tcW w:w="26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15,012</w:t>
            </w:r>
          </w:p>
        </w:tc>
        <w:tc>
          <w:tcPr>
            <w:tcW w:w="80" w:type="dxa"/>
            <w:vAlign w:val="bottom"/>
            <w:tcBorders>
              <w:bottom w:val="single" w:sz="8" w:color="CFF0FC"/>
            </w:tcBorders>
            <w:shd w:val="clear" w:color="auto" w:fill="CFF0FC"/>
          </w:tcPr>
          <w:p>
            <w:pPr>
              <w:spacing w:after="0"/>
              <w:rPr>
                <w:sz w:val="13"/>
                <w:szCs w:val="13"/>
                <w:color w:val="auto"/>
              </w:rPr>
            </w:pPr>
          </w:p>
        </w:tc>
      </w:tr>
      <w:tr>
        <w:trPr>
          <w:trHeight w:val="141"/>
        </w:trPr>
        <w:tc>
          <w:tcPr>
            <w:tcW w:w="7680" w:type="dxa"/>
            <w:vAlign w:val="bottom"/>
            <w:tcBorders>
              <w:top w:val="single" w:sz="8" w:color="CFF0FC"/>
            </w:tcBorders>
          </w:tcPr>
          <w:p>
            <w:pPr>
              <w:ind w:left="360"/>
              <w:spacing w:after="0"/>
              <w:rPr>
                <w:sz w:val="20"/>
                <w:szCs w:val="20"/>
                <w:color w:val="auto"/>
              </w:rPr>
            </w:pPr>
            <w:r>
              <w:rPr>
                <w:rFonts w:ascii="Arial" w:cs="Arial" w:eastAsia="Arial" w:hAnsi="Arial"/>
                <w:sz w:val="10"/>
                <w:szCs w:val="10"/>
                <w:color w:val="auto"/>
              </w:rPr>
              <w:t>End of period</w:t>
            </w:r>
          </w:p>
        </w:tc>
        <w:tc>
          <w:tcPr>
            <w:tcW w:w="940" w:type="dxa"/>
            <w:vAlign w:val="bottom"/>
            <w:tcBorders>
              <w:top w:val="single" w:sz="8" w:color="auto"/>
              <w:bottom w:val="single" w:sz="8" w:color="auto"/>
            </w:tcBorders>
          </w:tcPr>
          <w:p>
            <w:pPr>
              <w:jc w:val="right"/>
              <w:ind w:right="82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98,812</w:t>
            </w:r>
          </w:p>
        </w:tc>
        <w:tc>
          <w:tcPr>
            <w:tcW w:w="260" w:type="dxa"/>
            <w:vAlign w:val="bottom"/>
            <w:tcBorders>
              <w:top w:val="single" w:sz="8" w:color="CFF0FC"/>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24,682</w:t>
            </w:r>
          </w:p>
        </w:tc>
        <w:tc>
          <w:tcPr>
            <w:tcW w:w="80" w:type="dxa"/>
            <w:vAlign w:val="bottom"/>
            <w:tcBorders>
              <w:top w:val="single" w:sz="8" w:color="CFF0FC"/>
            </w:tcBorders>
          </w:tcPr>
          <w:p>
            <w:pPr>
              <w:spacing w:after="0"/>
              <w:rPr>
                <w:sz w:val="12"/>
                <w:szCs w:val="12"/>
                <w:color w:val="auto"/>
              </w:rPr>
            </w:pPr>
          </w:p>
        </w:tc>
      </w:tr>
      <w:tr>
        <w:trPr>
          <w:trHeight w:val="20"/>
        </w:trPr>
        <w:tc>
          <w:tcPr>
            <w:tcW w:w="7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4"/>
        </w:trPr>
        <w:tc>
          <w:tcPr>
            <w:tcW w:w="7680" w:type="dxa"/>
            <w:vAlign w:val="bottom"/>
            <w:tcBorders>
              <w:bottom w:val="single" w:sz="8" w:color="CFF0FC"/>
            </w:tcBorders>
            <w:shd w:val="clear" w:color="auto" w:fill="CFF0FC"/>
          </w:tcPr>
          <w:p>
            <w:pPr>
              <w:ind w:left="20"/>
              <w:spacing w:after="0" w:line="114" w:lineRule="exact"/>
              <w:rPr>
                <w:sz w:val="20"/>
                <w:szCs w:val="20"/>
                <w:color w:val="auto"/>
              </w:rPr>
            </w:pPr>
            <w:r>
              <w:rPr>
                <w:rFonts w:ascii="Arial" w:cs="Arial" w:eastAsia="Arial" w:hAnsi="Arial"/>
                <w:sz w:val="10"/>
                <w:szCs w:val="10"/>
                <w:b w:val="1"/>
                <w:bCs w:val="1"/>
                <w:color w:val="auto"/>
              </w:rPr>
              <w:t>Supplemental disclosure of cash flow information</w:t>
            </w:r>
            <w:r>
              <w:rPr>
                <w:rFonts w:ascii="Arial" w:cs="Arial" w:eastAsia="Arial" w:hAnsi="Arial"/>
                <w:sz w:val="10"/>
                <w:szCs w:val="10"/>
                <w:color w:val="auto"/>
              </w:rPr>
              <w:t>:</w:t>
            </w:r>
          </w:p>
        </w:tc>
        <w:tc>
          <w:tcPr>
            <w:tcW w:w="940" w:type="dxa"/>
            <w:vAlign w:val="bottom"/>
            <w:tcBorders>
              <w:bottom w:val="single" w:sz="8" w:color="CFF0FC"/>
            </w:tcBorders>
            <w:shd w:val="clear" w:color="auto" w:fill="CFF0FC"/>
          </w:tcPr>
          <w:p>
            <w:pPr>
              <w:spacing w:after="0"/>
              <w:rPr>
                <w:sz w:val="9"/>
                <w:szCs w:val="9"/>
                <w:color w:val="auto"/>
              </w:rPr>
            </w:pPr>
          </w:p>
        </w:tc>
        <w:tc>
          <w:tcPr>
            <w:tcW w:w="680" w:type="dxa"/>
            <w:vAlign w:val="bottom"/>
            <w:tcBorders>
              <w:bottom w:val="single" w:sz="8" w:color="CFF0FC"/>
            </w:tcBorders>
            <w:shd w:val="clear" w:color="auto" w:fill="CFF0FC"/>
          </w:tcPr>
          <w:p>
            <w:pPr>
              <w:spacing w:after="0"/>
              <w:rPr>
                <w:sz w:val="9"/>
                <w:szCs w:val="9"/>
                <w:color w:val="auto"/>
              </w:rPr>
            </w:pPr>
          </w:p>
        </w:tc>
        <w:tc>
          <w:tcPr>
            <w:tcW w:w="260" w:type="dxa"/>
            <w:vAlign w:val="bottom"/>
            <w:tcBorders>
              <w:bottom w:val="single" w:sz="8" w:color="CFF0FC"/>
            </w:tcBorders>
            <w:shd w:val="clear" w:color="auto" w:fill="CFF0FC"/>
          </w:tcPr>
          <w:p>
            <w:pPr>
              <w:spacing w:after="0"/>
              <w:rPr>
                <w:sz w:val="9"/>
                <w:szCs w:val="9"/>
                <w:color w:val="auto"/>
              </w:rPr>
            </w:pPr>
          </w:p>
        </w:tc>
        <w:tc>
          <w:tcPr>
            <w:tcW w:w="660" w:type="dxa"/>
            <w:vAlign w:val="bottom"/>
            <w:tcBorders>
              <w:bottom w:val="single" w:sz="8" w:color="CFF0FC"/>
            </w:tcBorders>
            <w:shd w:val="clear" w:color="auto" w:fill="CFF0FC"/>
          </w:tcPr>
          <w:p>
            <w:pPr>
              <w:spacing w:after="0"/>
              <w:rPr>
                <w:sz w:val="9"/>
                <w:szCs w:val="9"/>
                <w:color w:val="auto"/>
              </w:rPr>
            </w:pPr>
          </w:p>
        </w:tc>
        <w:tc>
          <w:tcPr>
            <w:tcW w:w="94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r>
      <w:tr>
        <w:trPr>
          <w:trHeight w:val="131"/>
        </w:trPr>
        <w:tc>
          <w:tcPr>
            <w:tcW w:w="7680" w:type="dxa"/>
            <w:vAlign w:val="bottom"/>
          </w:tcPr>
          <w:p>
            <w:pPr>
              <w:ind w:left="360"/>
              <w:spacing w:after="0"/>
              <w:rPr>
                <w:sz w:val="20"/>
                <w:szCs w:val="20"/>
                <w:color w:val="auto"/>
              </w:rPr>
            </w:pPr>
            <w:r>
              <w:rPr>
                <w:rFonts w:ascii="Arial" w:cs="Arial" w:eastAsia="Arial" w:hAnsi="Arial"/>
                <w:sz w:val="10"/>
                <w:szCs w:val="10"/>
                <w:color w:val="auto"/>
              </w:rPr>
              <w:t>Cash payments for interest</w:t>
            </w:r>
          </w:p>
        </w:tc>
        <w:tc>
          <w:tcPr>
            <w:tcW w:w="940" w:type="dxa"/>
            <w:vAlign w:val="bottom"/>
          </w:tcPr>
          <w:p>
            <w:pPr>
              <w:jc w:val="right"/>
              <w:ind w:right="82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14,061</w:t>
            </w:r>
          </w:p>
        </w:tc>
        <w:tc>
          <w:tcPr>
            <w:tcW w:w="260" w:type="dxa"/>
            <w:vAlign w:val="bottom"/>
          </w:tcPr>
          <w:p>
            <w:pPr>
              <w:spacing w:after="0"/>
              <w:rPr>
                <w:sz w:val="11"/>
                <w:szCs w:val="11"/>
                <w:color w:val="auto"/>
              </w:rPr>
            </w:pPr>
          </w:p>
        </w:tc>
        <w:tc>
          <w:tcPr>
            <w:tcW w:w="660" w:type="dxa"/>
            <w:vAlign w:val="bottom"/>
          </w:tcPr>
          <w:p>
            <w:pPr>
              <w:jc w:val="right"/>
              <w:ind w:right="54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14,404</w:t>
            </w:r>
          </w:p>
        </w:tc>
        <w:tc>
          <w:tcPr>
            <w:tcW w:w="80" w:type="dxa"/>
            <w:vAlign w:val="bottom"/>
          </w:tcPr>
          <w:p>
            <w:pPr>
              <w:spacing w:after="0"/>
              <w:rPr>
                <w:sz w:val="11"/>
                <w:szCs w:val="11"/>
                <w:color w:val="auto"/>
              </w:rPr>
            </w:pPr>
          </w:p>
        </w:tc>
      </w:tr>
      <w:tr>
        <w:trPr>
          <w:trHeight w:val="21"/>
        </w:trPr>
        <w:tc>
          <w:tcPr>
            <w:tcW w:w="7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1"/>
        </w:trPr>
        <w:tc>
          <w:tcPr>
            <w:tcW w:w="7680" w:type="dxa"/>
            <w:vAlign w:val="bottom"/>
            <w:shd w:val="clear" w:color="auto" w:fill="CFF0FC"/>
          </w:tcPr>
          <w:p>
            <w:pPr>
              <w:ind w:left="360"/>
              <w:spacing w:after="0"/>
              <w:rPr>
                <w:sz w:val="20"/>
                <w:szCs w:val="20"/>
                <w:color w:val="auto"/>
              </w:rPr>
            </w:pPr>
            <w:r>
              <w:rPr>
                <w:rFonts w:ascii="Arial" w:cs="Arial" w:eastAsia="Arial" w:hAnsi="Arial"/>
                <w:sz w:val="10"/>
                <w:szCs w:val="10"/>
                <w:color w:val="auto"/>
              </w:rPr>
              <w:t>Cash payments for taxes, net of tax refunds received</w:t>
            </w:r>
          </w:p>
        </w:tc>
        <w:tc>
          <w:tcPr>
            <w:tcW w:w="940" w:type="dxa"/>
            <w:vAlign w:val="bottom"/>
            <w:shd w:val="clear" w:color="auto" w:fill="CFF0FC"/>
          </w:tcPr>
          <w:p>
            <w:pPr>
              <w:jc w:val="right"/>
              <w:ind w:right="82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1,047</w:t>
            </w: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4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1,635</w:t>
            </w:r>
          </w:p>
        </w:tc>
        <w:tc>
          <w:tcPr>
            <w:tcW w:w="80" w:type="dxa"/>
            <w:vAlign w:val="bottom"/>
            <w:shd w:val="clear" w:color="auto" w:fill="CFF0FC"/>
          </w:tcPr>
          <w:p>
            <w:pPr>
              <w:spacing w:after="0"/>
              <w:rPr>
                <w:sz w:val="11"/>
                <w:szCs w:val="11"/>
                <w:color w:val="auto"/>
              </w:rPr>
            </w:pPr>
          </w:p>
        </w:tc>
      </w:tr>
      <w:tr>
        <w:trPr>
          <w:trHeight w:val="21"/>
        </w:trPr>
        <w:tc>
          <w:tcPr>
            <w:tcW w:w="768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5901690</wp:posOffset>
            </wp:positionH>
            <wp:positionV relativeFrom="paragraph">
              <wp:posOffset>-1799590</wp:posOffset>
            </wp:positionV>
            <wp:extent cx="168910" cy="50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68910" cy="508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-1799590</wp:posOffset>
            </wp:positionV>
            <wp:extent cx="56515" cy="50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15" cy="5080"/>
                    </a:xfrm>
                    <a:prstGeom prst="rect">
                      <a:avLst/>
                    </a:prstGeom>
                    <a:noFill/>
                  </pic:spPr>
                </pic:pic>
              </a:graphicData>
            </a:graphic>
          </wp:anchor>
        </w:drawing>
        <w:drawing>
          <wp:anchor simplePos="0" relativeHeight="251657728" behindDoc="1" locked="0" layoutInCell="0" allowOverlap="1">
            <wp:simplePos x="0" y="0"/>
            <wp:positionH relativeFrom="column">
              <wp:posOffset>5901690</wp:posOffset>
            </wp:positionH>
            <wp:positionV relativeFrom="paragraph">
              <wp:posOffset>-817880</wp:posOffset>
            </wp:positionV>
            <wp:extent cx="168910" cy="50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68910" cy="508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-817880</wp:posOffset>
            </wp:positionV>
            <wp:extent cx="56515" cy="50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15" cy="5080"/>
                    </a:xfrm>
                    <a:prstGeom prst="rect">
                      <a:avLst/>
                    </a:prstGeom>
                    <a:noFill/>
                  </pic:spPr>
                </pic:pic>
              </a:graphicData>
            </a:graphic>
          </wp:anchor>
        </w:drawing>
        <w:drawing>
          <wp:anchor simplePos="0" relativeHeight="251657728" behindDoc="1" locked="0" layoutInCell="0" allowOverlap="1">
            <wp:simplePos x="0" y="0"/>
            <wp:positionH relativeFrom="column">
              <wp:posOffset>5901690</wp:posOffset>
            </wp:positionH>
            <wp:positionV relativeFrom="paragraph">
              <wp:posOffset>-415290</wp:posOffset>
            </wp:positionV>
            <wp:extent cx="168910" cy="50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8910" cy="508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-415290</wp:posOffset>
            </wp:positionV>
            <wp:extent cx="56515" cy="50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15" cy="5080"/>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Notes to Consolidated Financial Statements (unaudited).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Schedule of Investments (unaudited)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620" w:type="dxa"/>
            <w:vAlign w:val="bottom"/>
            <w:gridSpan w:val="4"/>
          </w:tcPr>
          <w:p>
            <w:pPr>
              <w:ind w:left="20"/>
              <w:spacing w:after="0"/>
              <w:rPr>
                <w:sz w:val="20"/>
                <w:szCs w:val="20"/>
                <w:color w:val="auto"/>
              </w:rPr>
            </w:pPr>
            <w:r>
              <w:rPr>
                <w:rFonts w:ascii="Arial" w:cs="Arial" w:eastAsia="Arial" w:hAnsi="Arial"/>
                <w:sz w:val="8"/>
                <w:szCs w:val="8"/>
                <w:b w:val="1"/>
                <w:bCs w:val="1"/>
                <w:color w:val="auto"/>
              </w:rPr>
              <w:t>Portfolio Company (a)(b)</w:t>
            </w:r>
          </w:p>
        </w:tc>
        <w:tc>
          <w:tcPr>
            <w:tcW w:w="1820" w:type="dxa"/>
            <w:vAlign w:val="bottom"/>
          </w:tcPr>
          <w:p>
            <w:pPr>
              <w:spacing w:after="0"/>
              <w:rPr>
                <w:sz w:val="9"/>
                <w:szCs w:val="9"/>
                <w:color w:val="auto"/>
              </w:rPr>
            </w:pPr>
          </w:p>
        </w:tc>
        <w:tc>
          <w:tcPr>
            <w:tcW w:w="1240" w:type="dxa"/>
            <w:vAlign w:val="bottom"/>
          </w:tcPr>
          <w:p>
            <w:pPr>
              <w:ind w:left="240"/>
              <w:spacing w:after="0"/>
              <w:rPr>
                <w:sz w:val="20"/>
                <w:szCs w:val="20"/>
                <w:color w:val="auto"/>
              </w:rPr>
            </w:pPr>
            <w:r>
              <w:rPr>
                <w:rFonts w:ascii="Arial" w:cs="Arial" w:eastAsia="Arial" w:hAnsi="Arial"/>
                <w:sz w:val="8"/>
                <w:szCs w:val="8"/>
                <w:b w:val="1"/>
                <w:bCs w:val="1"/>
                <w:color w:val="auto"/>
              </w:rPr>
              <w:t>Variable Index</w:t>
            </w:r>
          </w:p>
        </w:tc>
        <w:tc>
          <w:tcPr>
            <w:tcW w:w="940" w:type="dxa"/>
            <w:vAlign w:val="bottom"/>
          </w:tcPr>
          <w:p>
            <w:pPr>
              <w:ind w:left="220"/>
              <w:spacing w:after="0"/>
              <w:rPr>
                <w:sz w:val="20"/>
                <w:szCs w:val="20"/>
                <w:color w:val="auto"/>
              </w:rPr>
            </w:pPr>
            <w:r>
              <w:rPr>
                <w:rFonts w:ascii="Arial" w:cs="Arial" w:eastAsia="Arial" w:hAnsi="Arial"/>
                <w:sz w:val="8"/>
                <w:szCs w:val="8"/>
                <w:b w:val="1"/>
                <w:bCs w:val="1"/>
                <w:color w:val="auto"/>
              </w:rPr>
              <w:t>Rate (e)</w:t>
            </w:r>
          </w:p>
        </w:tc>
        <w:tc>
          <w:tcPr>
            <w:tcW w:w="820" w:type="dxa"/>
            <w:vAlign w:val="bottom"/>
          </w:tcPr>
          <w:p>
            <w:pPr>
              <w:ind w:left="220"/>
              <w:spacing w:after="0"/>
              <w:rPr>
                <w:sz w:val="20"/>
                <w:szCs w:val="20"/>
                <w:color w:val="auto"/>
              </w:rPr>
            </w:pPr>
            <w:r>
              <w:rPr>
                <w:rFonts w:ascii="Arial" w:cs="Arial" w:eastAsia="Arial" w:hAnsi="Arial"/>
                <w:sz w:val="8"/>
                <w:szCs w:val="8"/>
                <w:b w:val="1"/>
                <w:bCs w:val="1"/>
                <w:color w:val="auto"/>
              </w:rPr>
              <w:t>Investment</w:t>
            </w: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jc w:val="right"/>
              <w:ind w:right="218"/>
              <w:spacing w:after="0"/>
              <w:rPr>
                <w:sz w:val="20"/>
                <w:szCs w:val="20"/>
                <w:color w:val="auto"/>
              </w:rPr>
            </w:pPr>
            <w:r>
              <w:rPr>
                <w:rFonts w:ascii="Arial" w:cs="Arial" w:eastAsia="Arial" w:hAnsi="Arial"/>
                <w:sz w:val="8"/>
                <w:szCs w:val="8"/>
                <w:b w:val="1"/>
                <w:bCs w:val="1"/>
                <w:color w:val="auto"/>
              </w:rPr>
              <w:t>Principal</w:t>
            </w: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right"/>
              <w:ind w:right="238"/>
              <w:spacing w:after="0"/>
              <w:rPr>
                <w:sz w:val="20"/>
                <w:szCs w:val="20"/>
                <w:color w:val="auto"/>
              </w:rPr>
            </w:pPr>
            <w:r>
              <w:rPr>
                <w:rFonts w:ascii="Arial" w:cs="Arial" w:eastAsia="Arial" w:hAnsi="Arial"/>
                <w:sz w:val="8"/>
                <w:szCs w:val="8"/>
                <w:b w:val="1"/>
                <w:bCs w:val="1"/>
                <w:color w:val="auto"/>
              </w:rPr>
              <w:t>Fair</w:t>
            </w:r>
          </w:p>
        </w:tc>
        <w:tc>
          <w:tcPr>
            <w:tcW w:w="660" w:type="dxa"/>
            <w:vAlign w:val="bottom"/>
          </w:tcPr>
          <w:p>
            <w:pPr>
              <w:jc w:val="right"/>
              <w:ind w:right="158"/>
              <w:spacing w:after="0"/>
              <w:rPr>
                <w:sz w:val="20"/>
                <w:szCs w:val="20"/>
                <w:color w:val="auto"/>
              </w:rPr>
            </w:pPr>
            <w:r>
              <w:rPr>
                <w:rFonts w:ascii="Arial" w:cs="Arial" w:eastAsia="Arial" w:hAnsi="Arial"/>
                <w:sz w:val="8"/>
                <w:szCs w:val="8"/>
                <w:b w:val="1"/>
                <w:bCs w:val="1"/>
                <w:color w:val="auto"/>
              </w:rPr>
              <w:t>Percent of</w:t>
            </w:r>
          </w:p>
        </w:tc>
      </w:tr>
      <w:tr>
        <w:trPr>
          <w:trHeight w:val="134"/>
        </w:trPr>
        <w:tc>
          <w:tcPr>
            <w:tcW w:w="2620" w:type="dxa"/>
            <w:vAlign w:val="bottom"/>
            <w:tcBorders>
              <w:bottom w:val="single" w:sz="8" w:color="auto"/>
            </w:tcBorders>
            <w:gridSpan w:val="4"/>
          </w:tcPr>
          <w:p>
            <w:pPr>
              <w:ind w:left="20"/>
              <w:spacing w:after="0"/>
              <w:rPr>
                <w:sz w:val="20"/>
                <w:szCs w:val="20"/>
                <w:color w:val="auto"/>
              </w:rPr>
            </w:pPr>
            <w:r>
              <w:rPr>
                <w:rFonts w:ascii="Arial" w:cs="Arial" w:eastAsia="Arial" w:hAnsi="Arial"/>
                <w:sz w:val="8"/>
                <w:szCs w:val="8"/>
                <w:b w:val="1"/>
                <w:bCs w:val="1"/>
                <w:color w:val="auto"/>
              </w:rPr>
              <w:t>Investment Type (c)</w:t>
            </w:r>
          </w:p>
        </w:tc>
        <w:tc>
          <w:tcPr>
            <w:tcW w:w="1820" w:type="dxa"/>
            <w:vAlign w:val="bottom"/>
            <w:tcBorders>
              <w:bottom w:val="single" w:sz="8" w:color="auto"/>
            </w:tcBorders>
          </w:tcPr>
          <w:p>
            <w:pPr>
              <w:ind w:left="320"/>
              <w:spacing w:after="0"/>
              <w:rPr>
                <w:sz w:val="20"/>
                <w:szCs w:val="20"/>
                <w:color w:val="auto"/>
              </w:rPr>
            </w:pPr>
            <w:r>
              <w:rPr>
                <w:rFonts w:ascii="Arial" w:cs="Arial" w:eastAsia="Arial" w:hAnsi="Arial"/>
                <w:sz w:val="8"/>
                <w:szCs w:val="8"/>
                <w:b w:val="1"/>
                <w:bCs w:val="1"/>
                <w:color w:val="auto"/>
              </w:rPr>
              <w:t>Industry</w:t>
            </w:r>
          </w:p>
        </w:tc>
        <w:tc>
          <w:tcPr>
            <w:tcW w:w="1240" w:type="dxa"/>
            <w:vAlign w:val="bottom"/>
            <w:tcBorders>
              <w:bottom w:val="single" w:sz="8" w:color="auto"/>
            </w:tcBorders>
          </w:tcPr>
          <w:p>
            <w:pPr>
              <w:ind w:left="240"/>
              <w:spacing w:after="0"/>
              <w:rPr>
                <w:sz w:val="20"/>
                <w:szCs w:val="20"/>
                <w:color w:val="auto"/>
              </w:rPr>
            </w:pPr>
            <w:r>
              <w:rPr>
                <w:rFonts w:ascii="Arial" w:cs="Arial" w:eastAsia="Arial" w:hAnsi="Arial"/>
                <w:sz w:val="8"/>
                <w:szCs w:val="8"/>
                <w:b w:val="1"/>
                <w:bCs w:val="1"/>
                <w:color w:val="auto"/>
              </w:rPr>
              <w:t>Spread / Floor (d)</w:t>
            </w: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8"/>
                <w:szCs w:val="8"/>
                <w:b w:val="1"/>
                <w:bCs w:val="1"/>
                <w:color w:val="auto"/>
              </w:rPr>
              <w:t>Cash/PIK</w:t>
            </w: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8"/>
                <w:szCs w:val="8"/>
                <w:b w:val="1"/>
                <w:bCs w:val="1"/>
                <w:color w:val="auto"/>
              </w:rPr>
              <w:t>Date (f)</w:t>
            </w: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8"/>
                <w:szCs w:val="8"/>
                <w:b w:val="1"/>
                <w:bCs w:val="1"/>
                <w:color w:val="auto"/>
              </w:rPr>
              <w:t>Maturity</w:t>
            </w:r>
          </w:p>
        </w:tc>
        <w:tc>
          <w:tcPr>
            <w:tcW w:w="3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38"/>
              <w:spacing w:after="0"/>
              <w:rPr>
                <w:sz w:val="20"/>
                <w:szCs w:val="20"/>
                <w:color w:val="auto"/>
              </w:rPr>
            </w:pPr>
            <w:r>
              <w:rPr>
                <w:rFonts w:ascii="Arial" w:cs="Arial" w:eastAsia="Arial" w:hAnsi="Arial"/>
                <w:sz w:val="8"/>
                <w:szCs w:val="8"/>
                <w:b w:val="1"/>
                <w:bCs w:val="1"/>
                <w:color w:val="auto"/>
              </w:rPr>
              <w:t>Amount</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218"/>
              <w:spacing w:after="0"/>
              <w:rPr>
                <w:sz w:val="20"/>
                <w:szCs w:val="20"/>
                <w:color w:val="auto"/>
              </w:rPr>
            </w:pPr>
            <w:r>
              <w:rPr>
                <w:rFonts w:ascii="Arial" w:cs="Arial" w:eastAsia="Arial" w:hAnsi="Arial"/>
                <w:sz w:val="8"/>
                <w:szCs w:val="8"/>
                <w:b w:val="1"/>
                <w:bCs w:val="1"/>
                <w:color w:val="auto"/>
              </w:rPr>
              <w:t>Cost</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58"/>
              <w:spacing w:after="0"/>
              <w:rPr>
                <w:sz w:val="20"/>
                <w:szCs w:val="20"/>
                <w:color w:val="auto"/>
              </w:rPr>
            </w:pPr>
            <w:r>
              <w:rPr>
                <w:rFonts w:ascii="Arial" w:cs="Arial" w:eastAsia="Arial" w:hAnsi="Arial"/>
                <w:sz w:val="8"/>
                <w:szCs w:val="8"/>
                <w:b w:val="1"/>
                <w:bCs w:val="1"/>
                <w:color w:val="auto"/>
              </w:rPr>
              <w:t>Value (g)</w:t>
            </w:r>
          </w:p>
        </w:tc>
        <w:tc>
          <w:tcPr>
            <w:tcW w:w="660" w:type="dxa"/>
            <w:vAlign w:val="bottom"/>
            <w:tcBorders>
              <w:bottom w:val="single" w:sz="8" w:color="auto"/>
            </w:tcBorders>
          </w:tcPr>
          <w:p>
            <w:pPr>
              <w:jc w:val="right"/>
              <w:ind w:right="158"/>
              <w:spacing w:after="0"/>
              <w:rPr>
                <w:sz w:val="20"/>
                <w:szCs w:val="20"/>
                <w:color w:val="auto"/>
              </w:rPr>
            </w:pPr>
            <w:r>
              <w:rPr>
                <w:rFonts w:ascii="Arial" w:cs="Arial" w:eastAsia="Arial" w:hAnsi="Arial"/>
                <w:sz w:val="8"/>
                <w:szCs w:val="8"/>
                <w:b w:val="1"/>
                <w:bCs w:val="1"/>
                <w:color w:val="auto"/>
              </w:rPr>
              <w:t>Net Assets</w:t>
            </w:r>
          </w:p>
        </w:tc>
      </w:tr>
      <w:tr>
        <w:trPr>
          <w:trHeight w:val="126"/>
        </w:trPr>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01"/>
        </w:trPr>
        <w:tc>
          <w:tcPr>
            <w:tcW w:w="2620" w:type="dxa"/>
            <w:vAlign w:val="bottom"/>
            <w:gridSpan w:val="4"/>
            <w:shd w:val="clear" w:color="auto" w:fill="CFF0FC"/>
          </w:tcPr>
          <w:p>
            <w:pPr>
              <w:ind w:left="20"/>
              <w:spacing w:after="0"/>
              <w:rPr>
                <w:sz w:val="20"/>
                <w:szCs w:val="20"/>
                <w:color w:val="auto"/>
              </w:rPr>
            </w:pPr>
            <w:r>
              <w:rPr>
                <w:rFonts w:ascii="Arial" w:cs="Arial" w:eastAsia="Arial" w:hAnsi="Arial"/>
                <w:sz w:val="8"/>
                <w:szCs w:val="8"/>
                <w:b w:val="1"/>
                <w:bCs w:val="1"/>
                <w:color w:val="auto"/>
              </w:rPr>
              <w:t>Control Investments (t)</w:t>
            </w:r>
          </w:p>
        </w:tc>
        <w:tc>
          <w:tcPr>
            <w:tcW w:w="1820" w:type="dxa"/>
            <w:vAlign w:val="bottom"/>
            <w:shd w:val="clear" w:color="auto" w:fill="CFF0FC"/>
          </w:tcPr>
          <w:p>
            <w:pPr>
              <w:spacing w:after="0"/>
              <w:rPr>
                <w:sz w:val="8"/>
                <w:szCs w:val="8"/>
                <w:color w:val="auto"/>
              </w:rPr>
            </w:pPr>
          </w:p>
        </w:tc>
        <w:tc>
          <w:tcPr>
            <w:tcW w:w="124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r>
      <w:tr>
        <w:trPr>
          <w:trHeight w:val="25"/>
        </w:trPr>
        <w:tc>
          <w:tcPr>
            <w:tcW w:w="20" w:type="dxa"/>
            <w:vAlign w:val="bottom"/>
            <w:shd w:val="clear" w:color="auto" w:fill="CFF0FC"/>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shd w:val="clear" w:color="auto" w:fill="CFF0FC"/>
          </w:tcPr>
          <w:p>
            <w:pPr>
              <w:spacing w:after="0"/>
              <w:rPr>
                <w:sz w:val="2"/>
                <w:szCs w:val="2"/>
                <w:color w:val="auto"/>
              </w:rPr>
            </w:pPr>
          </w:p>
        </w:tc>
        <w:tc>
          <w:tcPr>
            <w:tcW w:w="1240" w:type="dxa"/>
            <w:vAlign w:val="bottom"/>
            <w:shd w:val="clear" w:color="auto" w:fill="CFF0FC"/>
          </w:tcPr>
          <w:p>
            <w:pPr>
              <w:spacing w:after="0"/>
              <w:rPr>
                <w:sz w:val="2"/>
                <w:szCs w:val="2"/>
                <w:color w:val="auto"/>
              </w:rPr>
            </w:pPr>
          </w:p>
        </w:tc>
        <w:tc>
          <w:tcPr>
            <w:tcW w:w="1820" w:type="dxa"/>
            <w:vAlign w:val="bottom"/>
            <w:shd w:val="clear" w:color="auto" w:fill="CFF0FC"/>
          </w:tcPr>
          <w:p>
            <w:pPr>
              <w:spacing w:after="0"/>
              <w:rPr>
                <w:sz w:val="2"/>
                <w:szCs w:val="2"/>
                <w:color w:val="auto"/>
              </w:rPr>
            </w:pPr>
          </w:p>
        </w:tc>
        <w:tc>
          <w:tcPr>
            <w:tcW w:w="124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5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660" w:type="dxa"/>
            <w:vAlign w:val="bottom"/>
            <w:shd w:val="clear" w:color="auto" w:fill="CFF0FC"/>
          </w:tcPr>
          <w:p>
            <w:pPr>
              <w:spacing w:after="0"/>
              <w:rPr>
                <w:sz w:val="2"/>
                <w:szCs w:val="2"/>
                <w:color w:val="auto"/>
              </w:rPr>
            </w:pPr>
          </w:p>
        </w:tc>
      </w:tr>
      <w:tr>
        <w:trPr>
          <w:trHeight w:val="120"/>
        </w:trPr>
        <w:tc>
          <w:tcPr>
            <w:tcW w:w="2620" w:type="dxa"/>
            <w:vAlign w:val="bottom"/>
            <w:gridSpan w:val="4"/>
          </w:tcPr>
          <w:p>
            <w:pPr>
              <w:ind w:left="20"/>
              <w:spacing w:after="0"/>
              <w:rPr>
                <w:sz w:val="20"/>
                <w:szCs w:val="20"/>
                <w:color w:val="auto"/>
              </w:rPr>
            </w:pPr>
            <w:r>
              <w:rPr>
                <w:rFonts w:ascii="Arial" w:cs="Arial" w:eastAsia="Arial" w:hAnsi="Arial"/>
                <w:sz w:val="8"/>
                <w:szCs w:val="8"/>
                <w:i w:val="1"/>
                <w:iCs w:val="1"/>
                <w:color w:val="auto"/>
              </w:rPr>
              <w:t>Hilco Plastics Holdings, LLC (dba Hilco Technologies) (n)</w:t>
            </w:r>
          </w:p>
        </w:tc>
        <w:tc>
          <w:tcPr>
            <w:tcW w:w="1820" w:type="dxa"/>
            <w:vAlign w:val="bottom"/>
          </w:tcPr>
          <w:p>
            <w:pPr>
              <w:ind w:left="320"/>
              <w:spacing w:after="0"/>
              <w:rPr>
                <w:sz w:val="20"/>
                <w:szCs w:val="20"/>
                <w:color w:val="auto"/>
              </w:rPr>
            </w:pPr>
            <w:r>
              <w:rPr>
                <w:rFonts w:ascii="Arial" w:cs="Arial" w:eastAsia="Arial" w:hAnsi="Arial"/>
                <w:sz w:val="8"/>
                <w:szCs w:val="8"/>
                <w:color w:val="auto"/>
              </w:rPr>
              <w:t>Component Manufacturing</w:t>
            </w:r>
          </w:p>
        </w:tc>
        <w:tc>
          <w:tcPr>
            <w:tcW w:w="1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4"/>
        </w:trPr>
        <w:tc>
          <w:tcPr>
            <w:tcW w:w="20" w:type="dxa"/>
            <w:vAlign w:val="bottom"/>
            <w:shd w:val="clear" w:color="auto" w:fill="CFF0FC"/>
          </w:tcPr>
          <w:p>
            <w:pPr>
              <w:spacing w:after="0"/>
              <w:rPr>
                <w:sz w:val="11"/>
                <w:szCs w:val="11"/>
                <w:color w:val="auto"/>
              </w:rPr>
            </w:pPr>
          </w:p>
        </w:tc>
        <w:tc>
          <w:tcPr>
            <w:tcW w:w="2600" w:type="dxa"/>
            <w:vAlign w:val="bottom"/>
            <w:gridSpan w:val="3"/>
            <w:shd w:val="clear" w:color="auto" w:fill="CFF0FC"/>
          </w:tcPr>
          <w:p>
            <w:pPr>
              <w:ind w:left="120"/>
              <w:spacing w:after="0"/>
              <w:rPr>
                <w:sz w:val="20"/>
                <w:szCs w:val="20"/>
                <w:color w:val="auto"/>
              </w:rPr>
            </w:pPr>
            <w:r>
              <w:rPr>
                <w:rFonts w:ascii="Arial" w:cs="Arial" w:eastAsia="Arial" w:hAnsi="Arial"/>
                <w:sz w:val="8"/>
                <w:szCs w:val="8"/>
                <w:color w:val="auto"/>
              </w:rPr>
              <w:t>Common Equity (Units N/A)</w:t>
            </w:r>
          </w:p>
        </w:tc>
        <w:tc>
          <w:tcPr>
            <w:tcW w:w="18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4/6/2021</w:t>
            </w: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38"/>
              <w:spacing w:after="0"/>
              <w:rPr>
                <w:sz w:val="20"/>
                <w:szCs w:val="20"/>
                <w:color w:val="auto"/>
              </w:rPr>
            </w:pPr>
            <w:r>
              <w:rPr>
                <w:rFonts w:ascii="Arial" w:cs="Arial" w:eastAsia="Arial" w:hAnsi="Arial"/>
                <w:sz w:val="8"/>
                <w:szCs w:val="8"/>
                <w:color w:val="auto"/>
                <w:w w:val="88"/>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8"/>
                <w:szCs w:val="8"/>
                <w:color w:val="auto"/>
              </w:rPr>
              <w:t>$</w:t>
            </w:r>
          </w:p>
        </w:tc>
        <w:tc>
          <w:tcPr>
            <w:tcW w:w="5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50</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0 %</w:t>
            </w:r>
          </w:p>
        </w:tc>
      </w:tr>
      <w:tr>
        <w:trPr>
          <w:trHeight w:val="127"/>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27"/>
        </w:trPr>
        <w:tc>
          <w:tcPr>
            <w:tcW w:w="2620" w:type="dxa"/>
            <w:vAlign w:val="bottom"/>
            <w:gridSpan w:val="4"/>
            <w:shd w:val="clear" w:color="auto" w:fill="CFF0FC"/>
          </w:tcPr>
          <w:p>
            <w:pPr>
              <w:ind w:left="20"/>
              <w:spacing w:after="0"/>
              <w:rPr>
                <w:sz w:val="20"/>
                <w:szCs w:val="20"/>
                <w:color w:val="auto"/>
              </w:rPr>
            </w:pPr>
            <w:r>
              <w:rPr>
                <w:rFonts w:ascii="Arial" w:cs="Arial" w:eastAsia="Arial" w:hAnsi="Arial"/>
                <w:sz w:val="8"/>
                <w:szCs w:val="8"/>
                <w:i w:val="1"/>
                <w:iCs w:val="1"/>
                <w:color w:val="auto"/>
              </w:rPr>
              <w:t>Mesa Line Services, LLC</w:t>
            </w:r>
          </w:p>
        </w:tc>
        <w:tc>
          <w:tcPr>
            <w:tcW w:w="1820" w:type="dxa"/>
            <w:vAlign w:val="bottom"/>
            <w:shd w:val="clear" w:color="auto" w:fill="CFF0FC"/>
          </w:tcPr>
          <w:p>
            <w:pPr>
              <w:ind w:left="320"/>
              <w:spacing w:after="0"/>
              <w:rPr>
                <w:sz w:val="20"/>
                <w:szCs w:val="20"/>
                <w:color w:val="auto"/>
              </w:rPr>
            </w:pPr>
            <w:r>
              <w:rPr>
                <w:rFonts w:ascii="Arial" w:cs="Arial" w:eastAsia="Arial" w:hAnsi="Arial"/>
                <w:sz w:val="8"/>
                <w:szCs w:val="8"/>
                <w:color w:val="auto"/>
              </w:rPr>
              <w:t>Utilities: Services</w:t>
            </w:r>
          </w:p>
        </w:tc>
        <w:tc>
          <w:tcPr>
            <w:tcW w:w="1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0" w:type="dxa"/>
            <w:vAlign w:val="bottom"/>
          </w:tcPr>
          <w:p>
            <w:pPr>
              <w:spacing w:after="0"/>
              <w:rPr>
                <w:sz w:val="10"/>
                <w:szCs w:val="10"/>
                <w:color w:val="auto"/>
              </w:rPr>
            </w:pPr>
          </w:p>
        </w:tc>
        <w:tc>
          <w:tcPr>
            <w:tcW w:w="2600" w:type="dxa"/>
            <w:vAlign w:val="bottom"/>
            <w:gridSpan w:val="3"/>
          </w:tcPr>
          <w:p>
            <w:pPr>
              <w:ind w:left="120"/>
              <w:spacing w:after="0"/>
              <w:rPr>
                <w:sz w:val="20"/>
                <w:szCs w:val="20"/>
                <w:color w:val="auto"/>
              </w:rPr>
            </w:pPr>
            <w:r>
              <w:rPr>
                <w:rFonts w:ascii="Arial" w:cs="Arial" w:eastAsia="Arial" w:hAnsi="Arial"/>
                <w:sz w:val="8"/>
                <w:szCs w:val="8"/>
                <w:color w:val="auto"/>
              </w:rPr>
              <w:t>Second Lien Debt (j)</w:t>
            </w:r>
          </w:p>
        </w:tc>
        <w:tc>
          <w:tcPr>
            <w:tcW w:w="1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40" w:type="dxa"/>
            <w:vAlign w:val="bottom"/>
          </w:tcPr>
          <w:p>
            <w:pPr>
              <w:ind w:left="220"/>
              <w:spacing w:after="0"/>
              <w:rPr>
                <w:sz w:val="20"/>
                <w:szCs w:val="20"/>
                <w:color w:val="auto"/>
              </w:rPr>
            </w:pPr>
            <w:r>
              <w:rPr>
                <w:rFonts w:ascii="Arial" w:cs="Arial" w:eastAsia="Arial" w:hAnsi="Arial"/>
                <w:sz w:val="8"/>
                <w:szCs w:val="8"/>
                <w:color w:val="auto"/>
              </w:rPr>
              <w:t>5.00%/7.00%</w:t>
            </w:r>
          </w:p>
        </w:tc>
        <w:tc>
          <w:tcPr>
            <w:tcW w:w="820" w:type="dxa"/>
            <w:vAlign w:val="bottom"/>
          </w:tcPr>
          <w:p>
            <w:pPr>
              <w:ind w:left="220"/>
              <w:spacing w:after="0"/>
              <w:rPr>
                <w:sz w:val="20"/>
                <w:szCs w:val="20"/>
                <w:color w:val="auto"/>
              </w:rPr>
            </w:pPr>
            <w:r>
              <w:rPr>
                <w:rFonts w:ascii="Arial" w:cs="Arial" w:eastAsia="Arial" w:hAnsi="Arial"/>
                <w:sz w:val="8"/>
                <w:szCs w:val="8"/>
                <w:color w:val="auto"/>
              </w:rPr>
              <w:t>11/30/2017</w:t>
            </w:r>
          </w:p>
        </w:tc>
        <w:tc>
          <w:tcPr>
            <w:tcW w:w="780" w:type="dxa"/>
            <w:vAlign w:val="bottom"/>
          </w:tcPr>
          <w:p>
            <w:pPr>
              <w:ind w:left="200"/>
              <w:spacing w:after="0"/>
              <w:rPr>
                <w:sz w:val="20"/>
                <w:szCs w:val="20"/>
                <w:color w:val="auto"/>
              </w:rPr>
            </w:pPr>
            <w:r>
              <w:rPr>
                <w:rFonts w:ascii="Arial" w:cs="Arial" w:eastAsia="Arial" w:hAnsi="Arial"/>
                <w:sz w:val="8"/>
                <w:szCs w:val="8"/>
                <w:color w:val="auto"/>
              </w:rPr>
              <w:t>2/1/2024</w:t>
            </w:r>
          </w:p>
        </w:tc>
        <w:tc>
          <w:tcPr>
            <w:tcW w:w="300" w:type="dxa"/>
            <w:vAlign w:val="bottom"/>
          </w:tcPr>
          <w:p>
            <w:pPr>
              <w:spacing w:after="0"/>
              <w:rPr>
                <w:sz w:val="10"/>
                <w:szCs w:val="10"/>
                <w:color w:val="auto"/>
              </w:rPr>
            </w:pPr>
          </w:p>
        </w:tc>
        <w:tc>
          <w:tcPr>
            <w:tcW w:w="640" w:type="dxa"/>
            <w:vAlign w:val="bottom"/>
          </w:tcPr>
          <w:p>
            <w:pPr>
              <w:jc w:val="right"/>
              <w:ind w:right="78"/>
              <w:spacing w:after="0"/>
              <w:rPr>
                <w:sz w:val="20"/>
                <w:szCs w:val="20"/>
                <w:color w:val="auto"/>
              </w:rPr>
            </w:pPr>
            <w:r>
              <w:rPr>
                <w:rFonts w:ascii="Arial" w:cs="Arial" w:eastAsia="Arial" w:hAnsi="Arial"/>
                <w:sz w:val="8"/>
                <w:szCs w:val="8"/>
                <w:color w:val="auto"/>
              </w:rPr>
              <w:t>21,179</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21,125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18"/>
              <w:spacing w:after="0"/>
              <w:rPr>
                <w:sz w:val="20"/>
                <w:szCs w:val="20"/>
                <w:color w:val="auto"/>
              </w:rPr>
            </w:pPr>
            <w:r>
              <w:rPr>
                <w:rFonts w:ascii="Arial" w:cs="Arial" w:eastAsia="Arial" w:hAnsi="Arial"/>
                <w:sz w:val="8"/>
                <w:szCs w:val="8"/>
                <w:color w:val="auto"/>
              </w:rPr>
              <w:t>16,678</w:t>
            </w:r>
          </w:p>
        </w:tc>
        <w:tc>
          <w:tcPr>
            <w:tcW w:w="660" w:type="dxa"/>
            <w:vAlign w:val="bottom"/>
          </w:tcPr>
          <w:p>
            <w:pPr>
              <w:spacing w:after="0"/>
              <w:rPr>
                <w:sz w:val="10"/>
                <w:szCs w:val="10"/>
                <w:color w:val="auto"/>
              </w:rPr>
            </w:pPr>
          </w:p>
        </w:tc>
      </w:tr>
      <w:tr>
        <w:trPr>
          <w:trHeight w:val="134"/>
        </w:trPr>
        <w:tc>
          <w:tcPr>
            <w:tcW w:w="20" w:type="dxa"/>
            <w:vAlign w:val="bottom"/>
            <w:shd w:val="clear" w:color="auto" w:fill="CFF0FC"/>
          </w:tcPr>
          <w:p>
            <w:pPr>
              <w:spacing w:after="0"/>
              <w:rPr>
                <w:sz w:val="11"/>
                <w:szCs w:val="11"/>
                <w:color w:val="auto"/>
              </w:rPr>
            </w:pPr>
          </w:p>
        </w:tc>
        <w:tc>
          <w:tcPr>
            <w:tcW w:w="2600" w:type="dxa"/>
            <w:vAlign w:val="bottom"/>
            <w:gridSpan w:val="3"/>
            <w:shd w:val="clear" w:color="auto" w:fill="CFF0FC"/>
          </w:tcPr>
          <w:p>
            <w:pPr>
              <w:ind w:left="120"/>
              <w:spacing w:after="0"/>
              <w:rPr>
                <w:sz w:val="20"/>
                <w:szCs w:val="20"/>
                <w:color w:val="auto"/>
              </w:rPr>
            </w:pPr>
            <w:r>
              <w:rPr>
                <w:rFonts w:ascii="Arial" w:cs="Arial" w:eastAsia="Arial" w:hAnsi="Arial"/>
                <w:sz w:val="8"/>
                <w:szCs w:val="8"/>
                <w:color w:val="auto"/>
              </w:rPr>
              <w:t>Delayed Draw Commitment ($1,500 unfunded commitment) (j)</w:t>
            </w:r>
          </w:p>
        </w:tc>
        <w:tc>
          <w:tcPr>
            <w:tcW w:w="18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940" w:type="dxa"/>
            <w:vAlign w:val="bottom"/>
            <w:shd w:val="clear" w:color="auto" w:fill="CFF0FC"/>
          </w:tcPr>
          <w:p>
            <w:pPr>
              <w:ind w:left="220"/>
              <w:spacing w:after="0"/>
              <w:rPr>
                <w:sz w:val="20"/>
                <w:szCs w:val="20"/>
                <w:color w:val="auto"/>
              </w:rPr>
            </w:pPr>
            <w:r>
              <w:rPr>
                <w:rFonts w:ascii="Arial" w:cs="Arial" w:eastAsia="Arial" w:hAnsi="Arial"/>
                <w:sz w:val="8"/>
                <w:szCs w:val="8"/>
                <w:color w:val="auto"/>
              </w:rPr>
              <w:t>5.00%/7.00%</w:t>
            </w: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9/3/2021</w:t>
            </w:r>
          </w:p>
        </w:tc>
        <w:tc>
          <w:tcPr>
            <w:tcW w:w="780" w:type="dxa"/>
            <w:vAlign w:val="bottom"/>
            <w:shd w:val="clear" w:color="auto" w:fill="CFF0FC"/>
          </w:tcPr>
          <w:p>
            <w:pPr>
              <w:ind w:left="200"/>
              <w:spacing w:after="0"/>
              <w:rPr>
                <w:sz w:val="20"/>
                <w:szCs w:val="20"/>
                <w:color w:val="auto"/>
              </w:rPr>
            </w:pPr>
            <w:r>
              <w:rPr>
                <w:rFonts w:ascii="Arial" w:cs="Arial" w:eastAsia="Arial" w:hAnsi="Arial"/>
                <w:sz w:val="8"/>
                <w:szCs w:val="8"/>
                <w:color w:val="auto"/>
              </w:rPr>
              <w:t>2/1/2024</w:t>
            </w: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78"/>
              <w:spacing w:after="0"/>
              <w:rPr>
                <w:sz w:val="20"/>
                <w:szCs w:val="20"/>
                <w:color w:val="auto"/>
              </w:rPr>
            </w:pPr>
            <w:r>
              <w:rPr>
                <w:rFonts w:ascii="Arial" w:cs="Arial" w:eastAsia="Arial" w:hAnsi="Arial"/>
                <w:sz w:val="8"/>
                <w:szCs w:val="8"/>
                <w:color w:val="auto"/>
              </w:rPr>
              <w:t>2,505</w:t>
            </w: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2,505</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2,505</w:t>
            </w:r>
          </w:p>
        </w:tc>
        <w:tc>
          <w:tcPr>
            <w:tcW w:w="660" w:type="dxa"/>
            <w:vAlign w:val="bottom"/>
            <w:shd w:val="clear" w:color="auto" w:fill="CFF0FC"/>
          </w:tcPr>
          <w:p>
            <w:pPr>
              <w:spacing w:after="0"/>
              <w:rPr>
                <w:sz w:val="11"/>
                <w:szCs w:val="11"/>
                <w:color w:val="auto"/>
              </w:rPr>
            </w:pPr>
          </w:p>
        </w:tc>
      </w:tr>
      <w:tr>
        <w:trPr>
          <w:trHeight w:val="120"/>
        </w:trPr>
        <w:tc>
          <w:tcPr>
            <w:tcW w:w="20" w:type="dxa"/>
            <w:vAlign w:val="bottom"/>
          </w:tcPr>
          <w:p>
            <w:pPr>
              <w:spacing w:after="0"/>
              <w:rPr>
                <w:sz w:val="10"/>
                <w:szCs w:val="10"/>
                <w:color w:val="auto"/>
              </w:rPr>
            </w:pPr>
          </w:p>
        </w:tc>
        <w:tc>
          <w:tcPr>
            <w:tcW w:w="2600" w:type="dxa"/>
            <w:vAlign w:val="bottom"/>
            <w:gridSpan w:val="3"/>
          </w:tcPr>
          <w:p>
            <w:pPr>
              <w:ind w:left="120"/>
              <w:spacing w:after="0"/>
              <w:rPr>
                <w:sz w:val="20"/>
                <w:szCs w:val="20"/>
                <w:color w:val="auto"/>
              </w:rPr>
            </w:pPr>
            <w:r>
              <w:rPr>
                <w:rFonts w:ascii="Arial" w:cs="Arial" w:eastAsia="Arial" w:hAnsi="Arial"/>
                <w:sz w:val="8"/>
                <w:szCs w:val="8"/>
                <w:color w:val="auto"/>
              </w:rPr>
              <w:t>Common Equity (981 shares) (j)</w:t>
            </w:r>
          </w:p>
        </w:tc>
        <w:tc>
          <w:tcPr>
            <w:tcW w:w="1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11/30/2017</w:t>
            </w: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1,148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660" w:type="dxa"/>
            <w:vAlign w:val="bottom"/>
          </w:tcPr>
          <w:p>
            <w:pPr>
              <w:spacing w:after="0"/>
              <w:rPr>
                <w:sz w:val="10"/>
                <w:szCs w:val="10"/>
                <w:color w:val="auto"/>
              </w:rPr>
            </w:pPr>
          </w:p>
        </w:tc>
      </w:tr>
      <w:tr>
        <w:trPr>
          <w:trHeight w:val="133"/>
        </w:trPr>
        <w:tc>
          <w:tcPr>
            <w:tcW w:w="20" w:type="dxa"/>
            <w:vAlign w:val="bottom"/>
            <w:tcBorders>
              <w:bottom w:val="single" w:sz="8" w:color="CFF0FC"/>
            </w:tcBorders>
            <w:shd w:val="clear" w:color="auto" w:fill="CFF0FC"/>
          </w:tcPr>
          <w:p>
            <w:pPr>
              <w:spacing w:after="0"/>
              <w:rPr>
                <w:sz w:val="11"/>
                <w:szCs w:val="11"/>
                <w:color w:val="auto"/>
              </w:rPr>
            </w:pPr>
          </w:p>
        </w:tc>
        <w:tc>
          <w:tcPr>
            <w:tcW w:w="2600" w:type="dxa"/>
            <w:vAlign w:val="bottom"/>
            <w:tcBorders>
              <w:bottom w:val="single" w:sz="8" w:color="CFF0FC"/>
            </w:tcBorders>
            <w:gridSpan w:val="3"/>
            <w:shd w:val="clear" w:color="auto" w:fill="CFF0FC"/>
          </w:tcPr>
          <w:p>
            <w:pPr>
              <w:ind w:left="120"/>
              <w:spacing w:after="0"/>
              <w:rPr>
                <w:sz w:val="20"/>
                <w:szCs w:val="20"/>
                <w:color w:val="auto"/>
              </w:rPr>
            </w:pPr>
            <w:r>
              <w:rPr>
                <w:rFonts w:ascii="Arial" w:cs="Arial" w:eastAsia="Arial" w:hAnsi="Arial"/>
                <w:sz w:val="8"/>
                <w:szCs w:val="8"/>
                <w:color w:val="auto"/>
              </w:rPr>
              <w:t>Common Equity (10 shares) (j)</w:t>
            </w:r>
          </w:p>
        </w:tc>
        <w:tc>
          <w:tcPr>
            <w:tcW w:w="1820" w:type="dxa"/>
            <w:vAlign w:val="bottom"/>
            <w:tcBorders>
              <w:bottom w:val="single" w:sz="8" w:color="CFF0FC"/>
            </w:tcBorders>
            <w:shd w:val="clear" w:color="auto" w:fill="CFF0FC"/>
          </w:tcPr>
          <w:p>
            <w:pPr>
              <w:spacing w:after="0"/>
              <w:rPr>
                <w:sz w:val="11"/>
                <w:szCs w:val="11"/>
                <w:color w:val="auto"/>
              </w:rPr>
            </w:pPr>
          </w:p>
        </w:tc>
        <w:tc>
          <w:tcPr>
            <w:tcW w:w="124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8"/>
                <w:szCs w:val="8"/>
                <w:color w:val="auto"/>
              </w:rPr>
              <w:t>4/22/2021</w:t>
            </w:r>
          </w:p>
        </w:tc>
        <w:tc>
          <w:tcPr>
            <w:tcW w:w="78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8"/>
                <w:szCs w:val="8"/>
                <w:color w:val="auto"/>
              </w:rPr>
              <w:t>—</w:t>
            </w:r>
          </w:p>
        </w:tc>
        <w:tc>
          <w:tcPr>
            <w:tcW w:w="660" w:type="dxa"/>
            <w:vAlign w:val="bottom"/>
            <w:tcBorders>
              <w:bottom w:val="single" w:sz="8" w:color="CFF0FC"/>
            </w:tcBorders>
            <w:shd w:val="clear" w:color="auto" w:fill="CFF0FC"/>
          </w:tcPr>
          <w:p>
            <w:pPr>
              <w:spacing w:after="0"/>
              <w:rPr>
                <w:sz w:val="11"/>
                <w:szCs w:val="11"/>
                <w:color w:val="auto"/>
              </w:rPr>
            </w:pPr>
          </w:p>
        </w:tc>
      </w:tr>
      <w:tr>
        <w:trPr>
          <w:trHeight w:val="113"/>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24,778</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right"/>
              <w:ind w:right="18"/>
              <w:spacing w:after="0"/>
              <w:rPr>
                <w:sz w:val="20"/>
                <w:szCs w:val="20"/>
                <w:color w:val="auto"/>
              </w:rPr>
            </w:pPr>
            <w:r>
              <w:rPr>
                <w:rFonts w:ascii="Arial" w:cs="Arial" w:eastAsia="Arial" w:hAnsi="Arial"/>
                <w:sz w:val="8"/>
                <w:szCs w:val="8"/>
                <w:color w:val="auto"/>
              </w:rPr>
              <w:t>19,183</w:t>
            </w:r>
          </w:p>
        </w:tc>
        <w:tc>
          <w:tcPr>
            <w:tcW w:w="660" w:type="dxa"/>
            <w:vAlign w:val="bottom"/>
          </w:tcPr>
          <w:p>
            <w:pPr>
              <w:jc w:val="right"/>
              <w:spacing w:after="0"/>
              <w:rPr>
                <w:sz w:val="20"/>
                <w:szCs w:val="20"/>
                <w:color w:val="auto"/>
              </w:rPr>
            </w:pPr>
            <w:r>
              <w:rPr>
                <w:rFonts w:ascii="Arial" w:cs="Arial" w:eastAsia="Arial" w:hAnsi="Arial"/>
                <w:sz w:val="8"/>
                <w:szCs w:val="8"/>
                <w:color w:val="auto"/>
              </w:rPr>
              <w:t>4 %</w:t>
            </w:r>
          </w:p>
        </w:tc>
      </w:tr>
      <w:tr>
        <w:trPr>
          <w:trHeight w:val="134"/>
        </w:trPr>
        <w:tc>
          <w:tcPr>
            <w:tcW w:w="2620" w:type="dxa"/>
            <w:vAlign w:val="bottom"/>
            <w:gridSpan w:val="4"/>
            <w:shd w:val="clear" w:color="auto" w:fill="CFF0FC"/>
          </w:tcPr>
          <w:p>
            <w:pPr>
              <w:ind w:left="20"/>
              <w:spacing w:after="0"/>
              <w:rPr>
                <w:sz w:val="20"/>
                <w:szCs w:val="20"/>
                <w:color w:val="auto"/>
              </w:rPr>
            </w:pPr>
            <w:r>
              <w:rPr>
                <w:rFonts w:ascii="Arial" w:cs="Arial" w:eastAsia="Arial" w:hAnsi="Arial"/>
                <w:sz w:val="8"/>
                <w:szCs w:val="8"/>
                <w:i w:val="1"/>
                <w:iCs w:val="1"/>
                <w:color w:val="auto"/>
              </w:rPr>
              <w:t>US GreenFiber, LLC</w:t>
            </w:r>
          </w:p>
        </w:tc>
        <w:tc>
          <w:tcPr>
            <w:tcW w:w="1820" w:type="dxa"/>
            <w:vAlign w:val="bottom"/>
            <w:shd w:val="clear" w:color="auto" w:fill="CFF0FC"/>
          </w:tcPr>
          <w:p>
            <w:pPr>
              <w:ind w:left="320"/>
              <w:spacing w:after="0"/>
              <w:rPr>
                <w:sz w:val="20"/>
                <w:szCs w:val="20"/>
                <w:color w:val="auto"/>
              </w:rPr>
            </w:pPr>
            <w:r>
              <w:rPr>
                <w:rFonts w:ascii="Arial" w:cs="Arial" w:eastAsia="Arial" w:hAnsi="Arial"/>
                <w:sz w:val="8"/>
                <w:szCs w:val="8"/>
                <w:color w:val="auto"/>
              </w:rPr>
              <w:t>Building Products Manufacturing</w:t>
            </w:r>
          </w:p>
        </w:tc>
        <w:tc>
          <w:tcPr>
            <w:tcW w:w="1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0" w:type="dxa"/>
            <w:vAlign w:val="bottom"/>
          </w:tcPr>
          <w:p>
            <w:pPr>
              <w:spacing w:after="0"/>
              <w:rPr>
                <w:sz w:val="10"/>
                <w:szCs w:val="10"/>
                <w:color w:val="auto"/>
              </w:rPr>
            </w:pPr>
          </w:p>
        </w:tc>
        <w:tc>
          <w:tcPr>
            <w:tcW w:w="2600" w:type="dxa"/>
            <w:vAlign w:val="bottom"/>
            <w:gridSpan w:val="3"/>
          </w:tcPr>
          <w:p>
            <w:pPr>
              <w:ind w:left="120"/>
              <w:spacing w:after="0"/>
              <w:rPr>
                <w:sz w:val="20"/>
                <w:szCs w:val="20"/>
                <w:color w:val="auto"/>
              </w:rPr>
            </w:pPr>
            <w:r>
              <w:rPr>
                <w:rFonts w:ascii="Arial" w:cs="Arial" w:eastAsia="Arial" w:hAnsi="Arial"/>
                <w:sz w:val="8"/>
                <w:szCs w:val="8"/>
                <w:color w:val="auto"/>
              </w:rPr>
              <w:t>Second Lien Debt (j)</w:t>
            </w:r>
          </w:p>
        </w:tc>
        <w:tc>
          <w:tcPr>
            <w:tcW w:w="1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40" w:type="dxa"/>
            <w:vAlign w:val="bottom"/>
          </w:tcPr>
          <w:p>
            <w:pPr>
              <w:ind w:left="220"/>
              <w:spacing w:after="0"/>
              <w:rPr>
                <w:sz w:val="20"/>
                <w:szCs w:val="20"/>
                <w:color w:val="auto"/>
              </w:rPr>
            </w:pPr>
            <w:r>
              <w:rPr>
                <w:rFonts w:ascii="Arial" w:cs="Arial" w:eastAsia="Arial" w:hAnsi="Arial"/>
                <w:sz w:val="8"/>
                <w:szCs w:val="8"/>
                <w:color w:val="auto"/>
              </w:rPr>
              <w:t>10.00%/3.00%</w:t>
            </w:r>
          </w:p>
        </w:tc>
        <w:tc>
          <w:tcPr>
            <w:tcW w:w="820" w:type="dxa"/>
            <w:vAlign w:val="bottom"/>
          </w:tcPr>
          <w:p>
            <w:pPr>
              <w:ind w:left="220"/>
              <w:spacing w:after="0"/>
              <w:rPr>
                <w:sz w:val="20"/>
                <w:szCs w:val="20"/>
                <w:color w:val="auto"/>
              </w:rPr>
            </w:pPr>
            <w:r>
              <w:rPr>
                <w:rFonts w:ascii="Arial" w:cs="Arial" w:eastAsia="Arial" w:hAnsi="Arial"/>
                <w:sz w:val="8"/>
                <w:szCs w:val="8"/>
                <w:color w:val="auto"/>
              </w:rPr>
              <w:t>7/3/2014</w:t>
            </w:r>
          </w:p>
        </w:tc>
        <w:tc>
          <w:tcPr>
            <w:tcW w:w="780" w:type="dxa"/>
            <w:vAlign w:val="bottom"/>
          </w:tcPr>
          <w:p>
            <w:pPr>
              <w:ind w:left="200"/>
              <w:spacing w:after="0"/>
              <w:rPr>
                <w:sz w:val="20"/>
                <w:szCs w:val="20"/>
                <w:color w:val="auto"/>
              </w:rPr>
            </w:pPr>
            <w:r>
              <w:rPr>
                <w:rFonts w:ascii="Arial" w:cs="Arial" w:eastAsia="Arial" w:hAnsi="Arial"/>
                <w:sz w:val="8"/>
                <w:szCs w:val="8"/>
                <w:color w:val="auto"/>
              </w:rPr>
              <w:t>8/30/2024</w:t>
            </w:r>
          </w:p>
        </w:tc>
        <w:tc>
          <w:tcPr>
            <w:tcW w:w="300" w:type="dxa"/>
            <w:vAlign w:val="bottom"/>
          </w:tcPr>
          <w:p>
            <w:pPr>
              <w:spacing w:after="0"/>
              <w:rPr>
                <w:sz w:val="10"/>
                <w:szCs w:val="10"/>
                <w:color w:val="auto"/>
              </w:rPr>
            </w:pPr>
          </w:p>
        </w:tc>
        <w:tc>
          <w:tcPr>
            <w:tcW w:w="640" w:type="dxa"/>
            <w:vAlign w:val="bottom"/>
          </w:tcPr>
          <w:p>
            <w:pPr>
              <w:jc w:val="right"/>
              <w:ind w:right="78"/>
              <w:spacing w:after="0"/>
              <w:rPr>
                <w:sz w:val="20"/>
                <w:szCs w:val="20"/>
                <w:color w:val="auto"/>
              </w:rPr>
            </w:pPr>
            <w:r>
              <w:rPr>
                <w:rFonts w:ascii="Arial" w:cs="Arial" w:eastAsia="Arial" w:hAnsi="Arial"/>
                <w:sz w:val="8"/>
                <w:szCs w:val="8"/>
                <w:color w:val="auto"/>
              </w:rPr>
              <w:t>15,965</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15,961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18"/>
              <w:spacing w:after="0"/>
              <w:rPr>
                <w:sz w:val="20"/>
                <w:szCs w:val="20"/>
                <w:color w:val="auto"/>
              </w:rPr>
            </w:pPr>
            <w:r>
              <w:rPr>
                <w:rFonts w:ascii="Arial" w:cs="Arial" w:eastAsia="Arial" w:hAnsi="Arial"/>
                <w:sz w:val="8"/>
                <w:szCs w:val="8"/>
                <w:color w:val="auto"/>
              </w:rPr>
              <w:t>13,960</w:t>
            </w:r>
          </w:p>
        </w:tc>
        <w:tc>
          <w:tcPr>
            <w:tcW w:w="660" w:type="dxa"/>
            <w:vAlign w:val="bottom"/>
          </w:tcPr>
          <w:p>
            <w:pPr>
              <w:spacing w:after="0"/>
              <w:rPr>
                <w:sz w:val="10"/>
                <w:szCs w:val="10"/>
                <w:color w:val="auto"/>
              </w:rPr>
            </w:pPr>
          </w:p>
        </w:tc>
      </w:tr>
      <w:tr>
        <w:trPr>
          <w:trHeight w:val="134"/>
        </w:trPr>
        <w:tc>
          <w:tcPr>
            <w:tcW w:w="20" w:type="dxa"/>
            <w:vAlign w:val="bottom"/>
            <w:shd w:val="clear" w:color="auto" w:fill="CFF0FC"/>
          </w:tcPr>
          <w:p>
            <w:pPr>
              <w:spacing w:after="0"/>
              <w:rPr>
                <w:sz w:val="11"/>
                <w:szCs w:val="11"/>
                <w:color w:val="auto"/>
              </w:rPr>
            </w:pPr>
          </w:p>
        </w:tc>
        <w:tc>
          <w:tcPr>
            <w:tcW w:w="2600" w:type="dxa"/>
            <w:vAlign w:val="bottom"/>
            <w:gridSpan w:val="3"/>
            <w:shd w:val="clear" w:color="auto" w:fill="CFF0FC"/>
          </w:tcPr>
          <w:p>
            <w:pPr>
              <w:ind w:left="120"/>
              <w:spacing w:after="0"/>
              <w:rPr>
                <w:sz w:val="20"/>
                <w:szCs w:val="20"/>
                <w:color w:val="auto"/>
              </w:rPr>
            </w:pPr>
            <w:r>
              <w:rPr>
                <w:rFonts w:ascii="Arial" w:cs="Arial" w:eastAsia="Arial" w:hAnsi="Arial"/>
                <w:sz w:val="8"/>
                <w:szCs w:val="8"/>
                <w:color w:val="auto"/>
              </w:rPr>
              <w:t>Second Lien Debt (j)</w:t>
            </w:r>
          </w:p>
        </w:tc>
        <w:tc>
          <w:tcPr>
            <w:tcW w:w="18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940" w:type="dxa"/>
            <w:vAlign w:val="bottom"/>
            <w:shd w:val="clear" w:color="auto" w:fill="CFF0FC"/>
          </w:tcPr>
          <w:p>
            <w:pPr>
              <w:ind w:left="220"/>
              <w:spacing w:after="0"/>
              <w:rPr>
                <w:sz w:val="20"/>
                <w:szCs w:val="20"/>
                <w:color w:val="auto"/>
              </w:rPr>
            </w:pPr>
            <w:r>
              <w:rPr>
                <w:rFonts w:ascii="Arial" w:cs="Arial" w:eastAsia="Arial" w:hAnsi="Arial"/>
                <w:sz w:val="8"/>
                <w:szCs w:val="8"/>
                <w:color w:val="auto"/>
              </w:rPr>
              <w:t>10.00%/5.00%</w:t>
            </w: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11/9/2018</w:t>
            </w:r>
          </w:p>
        </w:tc>
        <w:tc>
          <w:tcPr>
            <w:tcW w:w="780" w:type="dxa"/>
            <w:vAlign w:val="bottom"/>
            <w:shd w:val="clear" w:color="auto" w:fill="CFF0FC"/>
          </w:tcPr>
          <w:p>
            <w:pPr>
              <w:ind w:left="200"/>
              <w:spacing w:after="0"/>
              <w:rPr>
                <w:sz w:val="20"/>
                <w:szCs w:val="20"/>
                <w:color w:val="auto"/>
              </w:rPr>
            </w:pPr>
            <w:r>
              <w:rPr>
                <w:rFonts w:ascii="Arial" w:cs="Arial" w:eastAsia="Arial" w:hAnsi="Arial"/>
                <w:sz w:val="8"/>
                <w:szCs w:val="8"/>
                <w:color w:val="auto"/>
              </w:rPr>
              <w:t>8/30/2024</w:t>
            </w: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78"/>
              <w:spacing w:after="0"/>
              <w:rPr>
                <w:sz w:val="20"/>
                <w:szCs w:val="20"/>
                <w:color w:val="auto"/>
              </w:rPr>
            </w:pPr>
            <w:r>
              <w:rPr>
                <w:rFonts w:ascii="Arial" w:cs="Arial" w:eastAsia="Arial" w:hAnsi="Arial"/>
                <w:sz w:val="8"/>
                <w:szCs w:val="8"/>
                <w:color w:val="auto"/>
              </w:rPr>
              <w:t>5,287</w:t>
            </w: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5,287</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5,034</w:t>
            </w:r>
          </w:p>
        </w:tc>
        <w:tc>
          <w:tcPr>
            <w:tcW w:w="660" w:type="dxa"/>
            <w:vAlign w:val="bottom"/>
            <w:shd w:val="clear" w:color="auto" w:fill="CFF0FC"/>
          </w:tcPr>
          <w:p>
            <w:pPr>
              <w:spacing w:after="0"/>
              <w:rPr>
                <w:sz w:val="11"/>
                <w:szCs w:val="11"/>
                <w:color w:val="auto"/>
              </w:rPr>
            </w:pPr>
          </w:p>
        </w:tc>
      </w:tr>
      <w:tr>
        <w:trPr>
          <w:trHeight w:val="120"/>
        </w:trPr>
        <w:tc>
          <w:tcPr>
            <w:tcW w:w="20" w:type="dxa"/>
            <w:vAlign w:val="bottom"/>
          </w:tcPr>
          <w:p>
            <w:pPr>
              <w:spacing w:after="0"/>
              <w:rPr>
                <w:sz w:val="10"/>
                <w:szCs w:val="10"/>
                <w:color w:val="auto"/>
              </w:rPr>
            </w:pPr>
          </w:p>
        </w:tc>
        <w:tc>
          <w:tcPr>
            <w:tcW w:w="2600" w:type="dxa"/>
            <w:vAlign w:val="bottom"/>
            <w:gridSpan w:val="3"/>
          </w:tcPr>
          <w:p>
            <w:pPr>
              <w:ind w:left="120"/>
              <w:spacing w:after="0"/>
              <w:rPr>
                <w:sz w:val="20"/>
                <w:szCs w:val="20"/>
                <w:color w:val="auto"/>
              </w:rPr>
            </w:pPr>
            <w:r>
              <w:rPr>
                <w:rFonts w:ascii="Arial" w:cs="Arial" w:eastAsia="Arial" w:hAnsi="Arial"/>
                <w:sz w:val="8"/>
                <w:szCs w:val="8"/>
                <w:color w:val="auto"/>
              </w:rPr>
              <w:t>Second Lien Debt (j)</w:t>
            </w:r>
          </w:p>
        </w:tc>
        <w:tc>
          <w:tcPr>
            <w:tcW w:w="1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40" w:type="dxa"/>
            <w:vAlign w:val="bottom"/>
          </w:tcPr>
          <w:p>
            <w:pPr>
              <w:ind w:left="220"/>
              <w:spacing w:after="0"/>
              <w:rPr>
                <w:sz w:val="20"/>
                <w:szCs w:val="20"/>
                <w:color w:val="auto"/>
              </w:rPr>
            </w:pPr>
            <w:r>
              <w:rPr>
                <w:rFonts w:ascii="Arial" w:cs="Arial" w:eastAsia="Arial" w:hAnsi="Arial"/>
                <w:sz w:val="8"/>
                <w:szCs w:val="8"/>
                <w:color w:val="auto"/>
              </w:rPr>
              <w:t>10.00%/5.00%</w:t>
            </w:r>
          </w:p>
        </w:tc>
        <w:tc>
          <w:tcPr>
            <w:tcW w:w="820" w:type="dxa"/>
            <w:vAlign w:val="bottom"/>
          </w:tcPr>
          <w:p>
            <w:pPr>
              <w:ind w:left="220"/>
              <w:spacing w:after="0"/>
              <w:rPr>
                <w:sz w:val="20"/>
                <w:szCs w:val="20"/>
                <w:color w:val="auto"/>
              </w:rPr>
            </w:pPr>
            <w:r>
              <w:rPr>
                <w:rFonts w:ascii="Arial" w:cs="Arial" w:eastAsia="Arial" w:hAnsi="Arial"/>
                <w:sz w:val="8"/>
                <w:szCs w:val="8"/>
                <w:color w:val="auto"/>
              </w:rPr>
              <w:t>8/10/2020</w:t>
            </w:r>
          </w:p>
        </w:tc>
        <w:tc>
          <w:tcPr>
            <w:tcW w:w="780" w:type="dxa"/>
            <w:vAlign w:val="bottom"/>
          </w:tcPr>
          <w:p>
            <w:pPr>
              <w:ind w:left="200"/>
              <w:spacing w:after="0"/>
              <w:rPr>
                <w:sz w:val="20"/>
                <w:szCs w:val="20"/>
                <w:color w:val="auto"/>
              </w:rPr>
            </w:pPr>
            <w:r>
              <w:rPr>
                <w:rFonts w:ascii="Arial" w:cs="Arial" w:eastAsia="Arial" w:hAnsi="Arial"/>
                <w:sz w:val="8"/>
                <w:szCs w:val="8"/>
                <w:color w:val="auto"/>
              </w:rPr>
              <w:t>8/30/2024</w:t>
            </w:r>
          </w:p>
        </w:tc>
        <w:tc>
          <w:tcPr>
            <w:tcW w:w="300" w:type="dxa"/>
            <w:vAlign w:val="bottom"/>
          </w:tcPr>
          <w:p>
            <w:pPr>
              <w:spacing w:after="0"/>
              <w:rPr>
                <w:sz w:val="10"/>
                <w:szCs w:val="10"/>
                <w:color w:val="auto"/>
              </w:rPr>
            </w:pPr>
          </w:p>
        </w:tc>
        <w:tc>
          <w:tcPr>
            <w:tcW w:w="640" w:type="dxa"/>
            <w:vAlign w:val="bottom"/>
          </w:tcPr>
          <w:p>
            <w:pPr>
              <w:jc w:val="right"/>
              <w:ind w:right="78"/>
              <w:spacing w:after="0"/>
              <w:rPr>
                <w:sz w:val="20"/>
                <w:szCs w:val="20"/>
                <w:color w:val="auto"/>
              </w:rPr>
            </w:pPr>
            <w:r>
              <w:rPr>
                <w:rFonts w:ascii="Arial" w:cs="Arial" w:eastAsia="Arial" w:hAnsi="Arial"/>
                <w:sz w:val="8"/>
                <w:szCs w:val="8"/>
                <w:color w:val="auto"/>
              </w:rPr>
              <w:t>5,253</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5,253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18"/>
              <w:spacing w:after="0"/>
              <w:rPr>
                <w:sz w:val="20"/>
                <w:szCs w:val="20"/>
                <w:color w:val="auto"/>
              </w:rPr>
            </w:pPr>
            <w:r>
              <w:rPr>
                <w:rFonts w:ascii="Arial" w:cs="Arial" w:eastAsia="Arial" w:hAnsi="Arial"/>
                <w:sz w:val="8"/>
                <w:szCs w:val="8"/>
                <w:color w:val="auto"/>
              </w:rPr>
              <w:t>5,057</w:t>
            </w:r>
          </w:p>
        </w:tc>
        <w:tc>
          <w:tcPr>
            <w:tcW w:w="660" w:type="dxa"/>
            <w:vAlign w:val="bottom"/>
          </w:tcPr>
          <w:p>
            <w:pPr>
              <w:spacing w:after="0"/>
              <w:rPr>
                <w:sz w:val="10"/>
                <w:szCs w:val="10"/>
                <w:color w:val="auto"/>
              </w:rPr>
            </w:pPr>
          </w:p>
        </w:tc>
      </w:tr>
      <w:tr>
        <w:trPr>
          <w:trHeight w:val="134"/>
        </w:trPr>
        <w:tc>
          <w:tcPr>
            <w:tcW w:w="20" w:type="dxa"/>
            <w:vAlign w:val="bottom"/>
            <w:shd w:val="clear" w:color="auto" w:fill="CFF0FC"/>
          </w:tcPr>
          <w:p>
            <w:pPr>
              <w:spacing w:after="0"/>
              <w:rPr>
                <w:sz w:val="11"/>
                <w:szCs w:val="11"/>
                <w:color w:val="auto"/>
              </w:rPr>
            </w:pPr>
          </w:p>
        </w:tc>
        <w:tc>
          <w:tcPr>
            <w:tcW w:w="2600" w:type="dxa"/>
            <w:vAlign w:val="bottom"/>
            <w:gridSpan w:val="3"/>
            <w:shd w:val="clear" w:color="auto" w:fill="CFF0FC"/>
          </w:tcPr>
          <w:p>
            <w:pPr>
              <w:ind w:left="120"/>
              <w:spacing w:after="0"/>
              <w:rPr>
                <w:sz w:val="20"/>
                <w:szCs w:val="20"/>
                <w:color w:val="auto"/>
              </w:rPr>
            </w:pPr>
            <w:r>
              <w:rPr>
                <w:rFonts w:ascii="Arial" w:cs="Arial" w:eastAsia="Arial" w:hAnsi="Arial"/>
                <w:sz w:val="8"/>
                <w:szCs w:val="8"/>
                <w:color w:val="auto"/>
              </w:rPr>
              <w:t>Common Equity (2,522 units) (h)(j)</w:t>
            </w:r>
          </w:p>
        </w:tc>
        <w:tc>
          <w:tcPr>
            <w:tcW w:w="18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7/3/2014</w:t>
            </w: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586</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w:t>
            </w:r>
          </w:p>
        </w:tc>
        <w:tc>
          <w:tcPr>
            <w:tcW w:w="660" w:type="dxa"/>
            <w:vAlign w:val="bottom"/>
            <w:shd w:val="clear" w:color="auto" w:fill="CFF0FC"/>
          </w:tcPr>
          <w:p>
            <w:pPr>
              <w:spacing w:after="0"/>
              <w:rPr>
                <w:sz w:val="11"/>
                <w:szCs w:val="11"/>
                <w:color w:val="auto"/>
              </w:rPr>
            </w:pPr>
          </w:p>
        </w:tc>
      </w:tr>
      <w:tr>
        <w:trPr>
          <w:trHeight w:val="120"/>
        </w:trPr>
        <w:tc>
          <w:tcPr>
            <w:tcW w:w="20" w:type="dxa"/>
            <w:vAlign w:val="bottom"/>
          </w:tcPr>
          <w:p>
            <w:pPr>
              <w:spacing w:after="0"/>
              <w:rPr>
                <w:sz w:val="10"/>
                <w:szCs w:val="10"/>
                <w:color w:val="auto"/>
              </w:rPr>
            </w:pPr>
          </w:p>
        </w:tc>
        <w:tc>
          <w:tcPr>
            <w:tcW w:w="2600" w:type="dxa"/>
            <w:vAlign w:val="bottom"/>
            <w:gridSpan w:val="3"/>
          </w:tcPr>
          <w:p>
            <w:pPr>
              <w:ind w:left="120"/>
              <w:spacing w:after="0"/>
              <w:rPr>
                <w:sz w:val="20"/>
                <w:szCs w:val="20"/>
                <w:color w:val="auto"/>
              </w:rPr>
            </w:pPr>
            <w:r>
              <w:rPr>
                <w:rFonts w:ascii="Arial" w:cs="Arial" w:eastAsia="Arial" w:hAnsi="Arial"/>
                <w:sz w:val="8"/>
                <w:szCs w:val="8"/>
                <w:color w:val="auto"/>
              </w:rPr>
              <w:t>Common Equity (425,508 units) (j)</w:t>
            </w:r>
          </w:p>
        </w:tc>
        <w:tc>
          <w:tcPr>
            <w:tcW w:w="1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8/30/2019</w:t>
            </w: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660" w:type="dxa"/>
            <w:vAlign w:val="bottom"/>
          </w:tcPr>
          <w:p>
            <w:pPr>
              <w:spacing w:after="0"/>
              <w:rPr>
                <w:sz w:val="10"/>
                <w:szCs w:val="10"/>
                <w:color w:val="auto"/>
              </w:rPr>
            </w:pPr>
          </w:p>
        </w:tc>
      </w:tr>
      <w:tr>
        <w:trPr>
          <w:trHeight w:val="133"/>
        </w:trPr>
        <w:tc>
          <w:tcPr>
            <w:tcW w:w="20" w:type="dxa"/>
            <w:vAlign w:val="bottom"/>
            <w:tcBorders>
              <w:bottom w:val="single" w:sz="8" w:color="CFF0FC"/>
            </w:tcBorders>
            <w:shd w:val="clear" w:color="auto" w:fill="CFF0FC"/>
          </w:tcPr>
          <w:p>
            <w:pPr>
              <w:spacing w:after="0"/>
              <w:rPr>
                <w:sz w:val="11"/>
                <w:szCs w:val="11"/>
                <w:color w:val="auto"/>
              </w:rPr>
            </w:pPr>
          </w:p>
        </w:tc>
        <w:tc>
          <w:tcPr>
            <w:tcW w:w="2600" w:type="dxa"/>
            <w:vAlign w:val="bottom"/>
            <w:tcBorders>
              <w:bottom w:val="single" w:sz="8" w:color="CFF0FC"/>
            </w:tcBorders>
            <w:gridSpan w:val="3"/>
            <w:shd w:val="clear" w:color="auto" w:fill="CFF0FC"/>
          </w:tcPr>
          <w:p>
            <w:pPr>
              <w:ind w:left="120"/>
              <w:spacing w:after="0"/>
              <w:rPr>
                <w:sz w:val="20"/>
                <w:szCs w:val="20"/>
                <w:color w:val="auto"/>
              </w:rPr>
            </w:pPr>
            <w:r>
              <w:rPr>
                <w:rFonts w:ascii="Arial" w:cs="Arial" w:eastAsia="Arial" w:hAnsi="Arial"/>
                <w:sz w:val="8"/>
                <w:szCs w:val="8"/>
                <w:color w:val="auto"/>
              </w:rPr>
              <w:t>Common Equity (1,022,813 units) (h)(j)</w:t>
            </w:r>
          </w:p>
        </w:tc>
        <w:tc>
          <w:tcPr>
            <w:tcW w:w="1820" w:type="dxa"/>
            <w:vAlign w:val="bottom"/>
            <w:tcBorders>
              <w:bottom w:val="single" w:sz="8" w:color="CFF0FC"/>
            </w:tcBorders>
            <w:shd w:val="clear" w:color="auto" w:fill="CFF0FC"/>
          </w:tcPr>
          <w:p>
            <w:pPr>
              <w:spacing w:after="0"/>
              <w:rPr>
                <w:sz w:val="11"/>
                <w:szCs w:val="11"/>
                <w:color w:val="auto"/>
              </w:rPr>
            </w:pPr>
          </w:p>
        </w:tc>
        <w:tc>
          <w:tcPr>
            <w:tcW w:w="124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8"/>
                <w:szCs w:val="8"/>
                <w:color w:val="auto"/>
              </w:rPr>
              <w:t>7/1/2020</w:t>
            </w:r>
          </w:p>
        </w:tc>
        <w:tc>
          <w:tcPr>
            <w:tcW w:w="78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1,023</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8"/>
                <w:szCs w:val="8"/>
                <w:color w:val="auto"/>
              </w:rPr>
              <w:t>—</w:t>
            </w:r>
          </w:p>
        </w:tc>
        <w:tc>
          <w:tcPr>
            <w:tcW w:w="660" w:type="dxa"/>
            <w:vAlign w:val="bottom"/>
            <w:tcBorders>
              <w:bottom w:val="single" w:sz="8" w:color="CFF0FC"/>
            </w:tcBorders>
            <w:shd w:val="clear" w:color="auto" w:fill="CFF0FC"/>
          </w:tcPr>
          <w:p>
            <w:pPr>
              <w:spacing w:after="0"/>
              <w:rPr>
                <w:sz w:val="11"/>
                <w:szCs w:val="11"/>
                <w:color w:val="auto"/>
              </w:rPr>
            </w:pPr>
          </w:p>
        </w:tc>
      </w:tr>
      <w:tr>
        <w:trPr>
          <w:trHeight w:val="113"/>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28,111</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right"/>
              <w:ind w:right="18"/>
              <w:spacing w:after="0"/>
              <w:rPr>
                <w:sz w:val="20"/>
                <w:szCs w:val="20"/>
                <w:color w:val="auto"/>
              </w:rPr>
            </w:pPr>
            <w:r>
              <w:rPr>
                <w:rFonts w:ascii="Arial" w:cs="Arial" w:eastAsia="Arial" w:hAnsi="Arial"/>
                <w:sz w:val="8"/>
                <w:szCs w:val="8"/>
                <w:color w:val="auto"/>
              </w:rPr>
              <w:t>24,051</w:t>
            </w:r>
          </w:p>
        </w:tc>
        <w:tc>
          <w:tcPr>
            <w:tcW w:w="660" w:type="dxa"/>
            <w:vAlign w:val="bottom"/>
          </w:tcPr>
          <w:p>
            <w:pPr>
              <w:jc w:val="right"/>
              <w:spacing w:after="0"/>
              <w:rPr>
                <w:sz w:val="20"/>
                <w:szCs w:val="20"/>
                <w:color w:val="auto"/>
              </w:rPr>
            </w:pPr>
            <w:r>
              <w:rPr>
                <w:rFonts w:ascii="Arial" w:cs="Arial" w:eastAsia="Arial" w:hAnsi="Arial"/>
                <w:sz w:val="8"/>
                <w:szCs w:val="8"/>
                <w:color w:val="auto"/>
              </w:rPr>
              <w:t>6 %</w:t>
            </w:r>
          </w:p>
        </w:tc>
      </w:tr>
      <w:tr>
        <w:trPr>
          <w:trHeight w:val="134"/>
        </w:trPr>
        <w:tc>
          <w:tcPr>
            <w:tcW w:w="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1240" w:type="dxa"/>
            <w:vAlign w:val="bottom"/>
            <w:tcBorders>
              <w:bottom w:val="single" w:sz="8" w:color="CFF0FC"/>
            </w:tcBorders>
            <w:shd w:val="clear" w:color="auto" w:fill="CFF0FC"/>
          </w:tcPr>
          <w:p>
            <w:pPr>
              <w:spacing w:after="0"/>
              <w:rPr>
                <w:sz w:val="11"/>
                <w:szCs w:val="11"/>
                <w:color w:val="auto"/>
              </w:rPr>
            </w:pPr>
          </w:p>
        </w:tc>
        <w:tc>
          <w:tcPr>
            <w:tcW w:w="1820" w:type="dxa"/>
            <w:vAlign w:val="bottom"/>
            <w:tcBorders>
              <w:bottom w:val="single" w:sz="8" w:color="CFF0FC"/>
            </w:tcBorders>
            <w:shd w:val="clear" w:color="auto" w:fill="CFF0FC"/>
          </w:tcPr>
          <w:p>
            <w:pPr>
              <w:spacing w:after="0"/>
              <w:rPr>
                <w:sz w:val="11"/>
                <w:szCs w:val="11"/>
                <w:color w:val="auto"/>
              </w:rPr>
            </w:pPr>
          </w:p>
        </w:tc>
        <w:tc>
          <w:tcPr>
            <w:tcW w:w="124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spacing w:after="0"/>
              <w:rPr>
                <w:sz w:val="11"/>
                <w:szCs w:val="11"/>
                <w:color w:val="auto"/>
              </w:rPr>
            </w:pPr>
          </w:p>
        </w:tc>
        <w:tc>
          <w:tcPr>
            <w:tcW w:w="78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r>
      <w:tr>
        <w:trPr>
          <w:trHeight w:val="119"/>
        </w:trPr>
        <w:tc>
          <w:tcPr>
            <w:tcW w:w="2620" w:type="dxa"/>
            <w:vAlign w:val="bottom"/>
            <w:gridSpan w:val="4"/>
          </w:tcPr>
          <w:p>
            <w:pPr>
              <w:ind w:left="20"/>
              <w:spacing w:after="0"/>
              <w:rPr>
                <w:sz w:val="20"/>
                <w:szCs w:val="20"/>
                <w:color w:val="auto"/>
              </w:rPr>
            </w:pPr>
            <w:r>
              <w:rPr>
                <w:rFonts w:ascii="Arial" w:cs="Arial" w:eastAsia="Arial" w:hAnsi="Arial"/>
                <w:sz w:val="8"/>
                <w:szCs w:val="8"/>
                <w:b w:val="1"/>
                <w:bCs w:val="1"/>
                <w:color w:val="auto"/>
              </w:rPr>
              <w:t>Total Control Investments</w:t>
            </w:r>
          </w:p>
        </w:tc>
        <w:tc>
          <w:tcPr>
            <w:tcW w:w="1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jc w:val="right"/>
              <w:ind w:right="38"/>
              <w:spacing w:after="0"/>
              <w:rPr>
                <w:sz w:val="20"/>
                <w:szCs w:val="20"/>
                <w:color w:val="auto"/>
              </w:rPr>
            </w:pPr>
            <w:r>
              <w:rPr>
                <w:rFonts w:ascii="Arial" w:cs="Arial" w:eastAsia="Arial" w:hAnsi="Arial"/>
                <w:sz w:val="8"/>
                <w:szCs w:val="8"/>
                <w:color w:val="auto"/>
                <w:w w:val="88"/>
              </w:rPr>
              <w:t>$</w:t>
            </w:r>
          </w:p>
        </w:tc>
        <w:tc>
          <w:tcPr>
            <w:tcW w:w="520" w:type="dxa"/>
            <w:vAlign w:val="bottom"/>
          </w:tcPr>
          <w:p>
            <w:pPr>
              <w:jc w:val="right"/>
              <w:spacing w:after="0"/>
              <w:rPr>
                <w:sz w:val="20"/>
                <w:szCs w:val="20"/>
                <w:color w:val="auto"/>
              </w:rPr>
            </w:pPr>
            <w:r>
              <w:rPr>
                <w:rFonts w:ascii="Arial" w:cs="Arial" w:eastAsia="Arial" w:hAnsi="Arial"/>
                <w:sz w:val="8"/>
                <w:szCs w:val="8"/>
                <w:color w:val="auto"/>
              </w:rPr>
              <w:t>52,889</w:t>
            </w:r>
          </w:p>
        </w:tc>
        <w:tc>
          <w:tcPr>
            <w:tcW w:w="200" w:type="dxa"/>
            <w:vAlign w:val="bottom"/>
            <w:gridSpan w:val="2"/>
          </w:tcPr>
          <w:p>
            <w:pPr>
              <w:jc w:val="right"/>
              <w:ind w:right="40"/>
              <w:spacing w:after="0"/>
              <w:rPr>
                <w:sz w:val="20"/>
                <w:szCs w:val="20"/>
                <w:color w:val="auto"/>
              </w:rPr>
            </w:pPr>
            <w:r>
              <w:rPr>
                <w:rFonts w:ascii="Arial" w:cs="Arial" w:eastAsia="Arial" w:hAnsi="Arial"/>
                <w:sz w:val="8"/>
                <w:szCs w:val="8"/>
                <w:color w:val="auto"/>
              </w:rPr>
              <w:t>$</w:t>
            </w:r>
          </w:p>
        </w:tc>
        <w:tc>
          <w:tcPr>
            <w:tcW w:w="560" w:type="dxa"/>
            <w:vAlign w:val="bottom"/>
          </w:tcPr>
          <w:p>
            <w:pPr>
              <w:jc w:val="right"/>
              <w:ind w:right="18"/>
              <w:spacing w:after="0"/>
              <w:rPr>
                <w:sz w:val="20"/>
                <w:szCs w:val="20"/>
                <w:color w:val="auto"/>
              </w:rPr>
            </w:pPr>
            <w:r>
              <w:rPr>
                <w:rFonts w:ascii="Arial" w:cs="Arial" w:eastAsia="Arial" w:hAnsi="Arial"/>
                <w:sz w:val="8"/>
                <w:szCs w:val="8"/>
                <w:color w:val="auto"/>
              </w:rPr>
              <w:t>43,284</w:t>
            </w:r>
          </w:p>
        </w:tc>
        <w:tc>
          <w:tcPr>
            <w:tcW w:w="660" w:type="dxa"/>
            <w:vAlign w:val="bottom"/>
          </w:tcPr>
          <w:p>
            <w:pPr>
              <w:jc w:val="right"/>
              <w:spacing w:after="0"/>
              <w:rPr>
                <w:sz w:val="20"/>
                <w:szCs w:val="20"/>
                <w:color w:val="auto"/>
              </w:rPr>
            </w:pPr>
            <w:r>
              <w:rPr>
                <w:rFonts w:ascii="Arial" w:cs="Arial" w:eastAsia="Arial" w:hAnsi="Arial"/>
                <w:sz w:val="8"/>
                <w:szCs w:val="8"/>
                <w:color w:val="auto"/>
              </w:rPr>
              <w:t>10 %</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05"/>
        </w:trPr>
        <w:tc>
          <w:tcPr>
            <w:tcW w:w="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82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r>
      <w:tr>
        <w:trPr>
          <w:trHeight w:val="101"/>
        </w:trPr>
        <w:tc>
          <w:tcPr>
            <w:tcW w:w="2620" w:type="dxa"/>
            <w:vAlign w:val="bottom"/>
            <w:gridSpan w:val="4"/>
          </w:tcPr>
          <w:p>
            <w:pPr>
              <w:ind w:left="20"/>
              <w:spacing w:after="0"/>
              <w:rPr>
                <w:sz w:val="20"/>
                <w:szCs w:val="20"/>
                <w:color w:val="auto"/>
              </w:rPr>
            </w:pPr>
            <w:r>
              <w:rPr>
                <w:rFonts w:ascii="Arial" w:cs="Arial" w:eastAsia="Arial" w:hAnsi="Arial"/>
                <w:sz w:val="8"/>
                <w:szCs w:val="8"/>
                <w:b w:val="1"/>
                <w:bCs w:val="1"/>
                <w:color w:val="auto"/>
              </w:rPr>
              <w:t>Affiliate Investments (l)</w:t>
            </w:r>
          </w:p>
        </w:tc>
        <w:tc>
          <w:tcPr>
            <w:tcW w:w="18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25"/>
        </w:trPr>
        <w:tc>
          <w:tcPr>
            <w:tcW w:w="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27"/>
        </w:trPr>
        <w:tc>
          <w:tcPr>
            <w:tcW w:w="2620" w:type="dxa"/>
            <w:vAlign w:val="bottom"/>
            <w:gridSpan w:val="4"/>
            <w:shd w:val="clear" w:color="auto" w:fill="CFF0FC"/>
          </w:tcPr>
          <w:p>
            <w:pPr>
              <w:ind w:left="20"/>
              <w:spacing w:after="0"/>
              <w:rPr>
                <w:sz w:val="20"/>
                <w:szCs w:val="20"/>
                <w:color w:val="auto"/>
              </w:rPr>
            </w:pPr>
            <w:r>
              <w:rPr>
                <w:rFonts w:ascii="Arial" w:cs="Arial" w:eastAsia="Arial" w:hAnsi="Arial"/>
                <w:sz w:val="8"/>
                <w:szCs w:val="8"/>
                <w:i w:val="1"/>
                <w:iCs w:val="1"/>
                <w:color w:val="auto"/>
              </w:rPr>
              <w:t>FAR Research Inc. (n)</w:t>
            </w:r>
          </w:p>
        </w:tc>
        <w:tc>
          <w:tcPr>
            <w:tcW w:w="1820" w:type="dxa"/>
            <w:vAlign w:val="bottom"/>
            <w:shd w:val="clear" w:color="auto" w:fill="CFF0FC"/>
          </w:tcPr>
          <w:p>
            <w:pPr>
              <w:ind w:left="320"/>
              <w:spacing w:after="0"/>
              <w:rPr>
                <w:sz w:val="20"/>
                <w:szCs w:val="20"/>
                <w:color w:val="auto"/>
              </w:rPr>
            </w:pPr>
            <w:r>
              <w:rPr>
                <w:rFonts w:ascii="Arial" w:cs="Arial" w:eastAsia="Arial" w:hAnsi="Arial"/>
                <w:sz w:val="8"/>
                <w:szCs w:val="8"/>
                <w:color w:val="auto"/>
              </w:rPr>
              <w:t>Specialty Chemicals</w:t>
            </w:r>
          </w:p>
        </w:tc>
        <w:tc>
          <w:tcPr>
            <w:tcW w:w="1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0" w:type="dxa"/>
            <w:vAlign w:val="bottom"/>
          </w:tcPr>
          <w:p>
            <w:pPr>
              <w:spacing w:after="0"/>
              <w:rPr>
                <w:sz w:val="10"/>
                <w:szCs w:val="10"/>
                <w:color w:val="auto"/>
              </w:rPr>
            </w:pPr>
          </w:p>
        </w:tc>
        <w:tc>
          <w:tcPr>
            <w:tcW w:w="2600" w:type="dxa"/>
            <w:vAlign w:val="bottom"/>
            <w:gridSpan w:val="3"/>
          </w:tcPr>
          <w:p>
            <w:pPr>
              <w:ind w:left="120"/>
              <w:spacing w:after="0"/>
              <w:rPr>
                <w:sz w:val="20"/>
                <w:szCs w:val="20"/>
                <w:color w:val="auto"/>
              </w:rPr>
            </w:pPr>
            <w:r>
              <w:rPr>
                <w:rFonts w:ascii="Arial" w:cs="Arial" w:eastAsia="Arial" w:hAnsi="Arial"/>
                <w:sz w:val="8"/>
                <w:szCs w:val="8"/>
                <w:color w:val="auto"/>
              </w:rPr>
              <w:t>Common Equity (1,396 units)</w:t>
            </w:r>
          </w:p>
        </w:tc>
        <w:tc>
          <w:tcPr>
            <w:tcW w:w="1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3/31/2014</w:t>
            </w: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jc w:val="right"/>
              <w:ind w:right="38"/>
              <w:spacing w:after="0"/>
              <w:rPr>
                <w:sz w:val="20"/>
                <w:szCs w:val="20"/>
                <w:color w:val="auto"/>
              </w:rPr>
            </w:pPr>
            <w:r>
              <w:rPr>
                <w:rFonts w:ascii="Arial" w:cs="Arial" w:eastAsia="Arial" w:hAnsi="Arial"/>
                <w:sz w:val="8"/>
                <w:szCs w:val="8"/>
                <w:color w:val="auto"/>
                <w:w w:val="88"/>
              </w:rPr>
              <w:t>$</w:t>
            </w:r>
          </w:p>
        </w:tc>
        <w:tc>
          <w:tcPr>
            <w:tcW w:w="520" w:type="dxa"/>
            <w:vAlign w:val="bottom"/>
          </w:tcPr>
          <w:p>
            <w:pPr>
              <w:jc w:val="right"/>
              <w:spacing w:after="0"/>
              <w:rPr>
                <w:sz w:val="20"/>
                <w:szCs w:val="20"/>
                <w:color w:val="auto"/>
              </w:rPr>
            </w:pPr>
            <w:r>
              <w:rPr>
                <w:rFonts w:ascii="Arial" w:cs="Arial" w:eastAsia="Arial" w:hAnsi="Arial"/>
                <w:sz w:val="8"/>
                <w:szCs w:val="8"/>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8"/>
                <w:szCs w:val="8"/>
                <w:color w:val="auto"/>
              </w:rPr>
              <w:t>$</w:t>
            </w:r>
          </w:p>
        </w:tc>
        <w:tc>
          <w:tcPr>
            <w:tcW w:w="560" w:type="dxa"/>
            <w:vAlign w:val="bottom"/>
          </w:tcPr>
          <w:p>
            <w:pPr>
              <w:jc w:val="right"/>
              <w:ind w:right="18"/>
              <w:spacing w:after="0"/>
              <w:rPr>
                <w:sz w:val="20"/>
                <w:szCs w:val="20"/>
                <w:color w:val="auto"/>
              </w:rPr>
            </w:pPr>
            <w:r>
              <w:rPr>
                <w:rFonts w:ascii="Arial" w:cs="Arial" w:eastAsia="Arial" w:hAnsi="Arial"/>
                <w:sz w:val="8"/>
                <w:szCs w:val="8"/>
                <w:color w:val="auto"/>
              </w:rPr>
              <w:t>28</w:t>
            </w:r>
          </w:p>
        </w:tc>
        <w:tc>
          <w:tcPr>
            <w:tcW w:w="660" w:type="dxa"/>
            <w:vAlign w:val="bottom"/>
          </w:tcPr>
          <w:p>
            <w:pPr>
              <w:jc w:val="right"/>
              <w:spacing w:after="0"/>
              <w:rPr>
                <w:sz w:val="20"/>
                <w:szCs w:val="20"/>
                <w:color w:val="auto"/>
              </w:rPr>
            </w:pPr>
            <w:r>
              <w:rPr>
                <w:rFonts w:ascii="Arial" w:cs="Arial" w:eastAsia="Arial" w:hAnsi="Arial"/>
                <w:sz w:val="8"/>
                <w:szCs w:val="8"/>
                <w:color w:val="auto"/>
              </w:rPr>
              <w:t>0 %</w:t>
            </w:r>
          </w:p>
        </w:tc>
      </w:tr>
      <w:tr>
        <w:trPr>
          <w:trHeight w:val="134"/>
        </w:trPr>
        <w:tc>
          <w:tcPr>
            <w:tcW w:w="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8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620" w:type="dxa"/>
            <w:vAlign w:val="bottom"/>
            <w:gridSpan w:val="4"/>
          </w:tcPr>
          <w:p>
            <w:pPr>
              <w:ind w:left="20"/>
              <w:spacing w:after="0"/>
              <w:rPr>
                <w:sz w:val="20"/>
                <w:szCs w:val="20"/>
                <w:color w:val="auto"/>
              </w:rPr>
            </w:pPr>
            <w:r>
              <w:rPr>
                <w:rFonts w:ascii="Arial" w:cs="Arial" w:eastAsia="Arial" w:hAnsi="Arial"/>
                <w:sz w:val="8"/>
                <w:szCs w:val="8"/>
                <w:i w:val="1"/>
                <w:iCs w:val="1"/>
                <w:color w:val="auto"/>
              </w:rPr>
              <w:t>Fiber Materials, Inc. (n)</w:t>
            </w:r>
          </w:p>
        </w:tc>
        <w:tc>
          <w:tcPr>
            <w:tcW w:w="1820" w:type="dxa"/>
            <w:vAlign w:val="bottom"/>
          </w:tcPr>
          <w:p>
            <w:pPr>
              <w:ind w:left="320"/>
              <w:spacing w:after="0"/>
              <w:rPr>
                <w:sz w:val="20"/>
                <w:szCs w:val="20"/>
                <w:color w:val="auto"/>
              </w:rPr>
            </w:pPr>
            <w:r>
              <w:rPr>
                <w:rFonts w:ascii="Arial" w:cs="Arial" w:eastAsia="Arial" w:hAnsi="Arial"/>
                <w:sz w:val="8"/>
                <w:szCs w:val="8"/>
                <w:color w:val="auto"/>
              </w:rPr>
              <w:t>Aerospace &amp; Defense Manufacturing</w:t>
            </w:r>
          </w:p>
        </w:tc>
        <w:tc>
          <w:tcPr>
            <w:tcW w:w="1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4"/>
        </w:trPr>
        <w:tc>
          <w:tcPr>
            <w:tcW w:w="20" w:type="dxa"/>
            <w:vAlign w:val="bottom"/>
            <w:shd w:val="clear" w:color="auto" w:fill="CFF0FC"/>
          </w:tcPr>
          <w:p>
            <w:pPr>
              <w:spacing w:after="0"/>
              <w:rPr>
                <w:sz w:val="11"/>
                <w:szCs w:val="11"/>
                <w:color w:val="auto"/>
              </w:rPr>
            </w:pPr>
          </w:p>
        </w:tc>
        <w:tc>
          <w:tcPr>
            <w:tcW w:w="2600" w:type="dxa"/>
            <w:vAlign w:val="bottom"/>
            <w:gridSpan w:val="3"/>
            <w:shd w:val="clear" w:color="auto" w:fill="CFF0FC"/>
          </w:tcPr>
          <w:p>
            <w:pPr>
              <w:ind w:left="120"/>
              <w:spacing w:after="0"/>
              <w:rPr>
                <w:sz w:val="20"/>
                <w:szCs w:val="20"/>
                <w:color w:val="auto"/>
              </w:rPr>
            </w:pPr>
            <w:r>
              <w:rPr>
                <w:rFonts w:ascii="Arial" w:cs="Arial" w:eastAsia="Arial" w:hAnsi="Arial"/>
                <w:sz w:val="8"/>
                <w:szCs w:val="8"/>
                <w:color w:val="auto"/>
              </w:rPr>
              <w:t>Common Equity (10 units)</w:t>
            </w:r>
          </w:p>
        </w:tc>
        <w:tc>
          <w:tcPr>
            <w:tcW w:w="18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11/30/2016</w:t>
            </w: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41</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0 %</w:t>
            </w:r>
          </w:p>
        </w:tc>
      </w:tr>
      <w:tr>
        <w:trPr>
          <w:trHeight w:val="127"/>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27"/>
        </w:trPr>
        <w:tc>
          <w:tcPr>
            <w:tcW w:w="2620" w:type="dxa"/>
            <w:vAlign w:val="bottom"/>
            <w:gridSpan w:val="4"/>
            <w:shd w:val="clear" w:color="auto" w:fill="CFF0FC"/>
          </w:tcPr>
          <w:p>
            <w:pPr>
              <w:ind w:left="20"/>
              <w:spacing w:after="0"/>
              <w:rPr>
                <w:sz w:val="20"/>
                <w:szCs w:val="20"/>
                <w:color w:val="auto"/>
              </w:rPr>
            </w:pPr>
            <w:r>
              <w:rPr>
                <w:rFonts w:ascii="Arial" w:cs="Arial" w:eastAsia="Arial" w:hAnsi="Arial"/>
                <w:sz w:val="8"/>
                <w:szCs w:val="8"/>
                <w:i w:val="1"/>
                <w:iCs w:val="1"/>
                <w:color w:val="auto"/>
              </w:rPr>
              <w:t>Medsurant Holdings, LLC</w:t>
            </w:r>
          </w:p>
        </w:tc>
        <w:tc>
          <w:tcPr>
            <w:tcW w:w="1820" w:type="dxa"/>
            <w:vAlign w:val="bottom"/>
            <w:shd w:val="clear" w:color="auto" w:fill="CFF0FC"/>
          </w:tcPr>
          <w:p>
            <w:pPr>
              <w:ind w:left="320"/>
              <w:spacing w:after="0"/>
              <w:rPr>
                <w:sz w:val="20"/>
                <w:szCs w:val="20"/>
                <w:color w:val="auto"/>
              </w:rPr>
            </w:pPr>
            <w:r>
              <w:rPr>
                <w:rFonts w:ascii="Arial" w:cs="Arial" w:eastAsia="Arial" w:hAnsi="Arial"/>
                <w:sz w:val="8"/>
                <w:szCs w:val="8"/>
                <w:color w:val="auto"/>
              </w:rPr>
              <w:t>Healthcare Services</w:t>
            </w:r>
          </w:p>
        </w:tc>
        <w:tc>
          <w:tcPr>
            <w:tcW w:w="1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0" w:type="dxa"/>
            <w:vAlign w:val="bottom"/>
          </w:tcPr>
          <w:p>
            <w:pPr>
              <w:spacing w:after="0"/>
              <w:rPr>
                <w:sz w:val="10"/>
                <w:szCs w:val="10"/>
                <w:color w:val="auto"/>
              </w:rPr>
            </w:pPr>
          </w:p>
        </w:tc>
        <w:tc>
          <w:tcPr>
            <w:tcW w:w="2600" w:type="dxa"/>
            <w:vAlign w:val="bottom"/>
            <w:gridSpan w:val="3"/>
          </w:tcPr>
          <w:p>
            <w:pPr>
              <w:ind w:left="120"/>
              <w:spacing w:after="0"/>
              <w:rPr>
                <w:sz w:val="20"/>
                <w:szCs w:val="20"/>
                <w:color w:val="auto"/>
              </w:rPr>
            </w:pPr>
            <w:r>
              <w:rPr>
                <w:rFonts w:ascii="Arial" w:cs="Arial" w:eastAsia="Arial" w:hAnsi="Arial"/>
                <w:sz w:val="8"/>
                <w:szCs w:val="8"/>
                <w:color w:val="auto"/>
              </w:rPr>
              <w:t>Preferred Equity (84,997 units) (h)(j)</w:t>
            </w:r>
          </w:p>
        </w:tc>
        <w:tc>
          <w:tcPr>
            <w:tcW w:w="1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4/12/2011</w:t>
            </w: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716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18"/>
              <w:spacing w:after="0"/>
              <w:rPr>
                <w:sz w:val="20"/>
                <w:szCs w:val="20"/>
                <w:color w:val="auto"/>
              </w:rPr>
            </w:pPr>
            <w:r>
              <w:rPr>
                <w:rFonts w:ascii="Arial" w:cs="Arial" w:eastAsia="Arial" w:hAnsi="Arial"/>
                <w:sz w:val="8"/>
                <w:szCs w:val="8"/>
                <w:color w:val="auto"/>
              </w:rPr>
              <w:t>918</w:t>
            </w:r>
          </w:p>
        </w:tc>
        <w:tc>
          <w:tcPr>
            <w:tcW w:w="660" w:type="dxa"/>
            <w:vAlign w:val="bottom"/>
          </w:tcPr>
          <w:p>
            <w:pPr>
              <w:spacing w:after="0"/>
              <w:rPr>
                <w:sz w:val="10"/>
                <w:szCs w:val="10"/>
                <w:color w:val="auto"/>
              </w:rPr>
            </w:pPr>
          </w:p>
        </w:tc>
      </w:tr>
      <w:tr>
        <w:trPr>
          <w:trHeight w:val="133"/>
        </w:trPr>
        <w:tc>
          <w:tcPr>
            <w:tcW w:w="20" w:type="dxa"/>
            <w:vAlign w:val="bottom"/>
            <w:tcBorders>
              <w:bottom w:val="single" w:sz="8" w:color="CFF0FC"/>
            </w:tcBorders>
            <w:shd w:val="clear" w:color="auto" w:fill="CFF0FC"/>
          </w:tcPr>
          <w:p>
            <w:pPr>
              <w:spacing w:after="0"/>
              <w:rPr>
                <w:sz w:val="11"/>
                <w:szCs w:val="11"/>
                <w:color w:val="auto"/>
              </w:rPr>
            </w:pPr>
          </w:p>
        </w:tc>
        <w:tc>
          <w:tcPr>
            <w:tcW w:w="2600" w:type="dxa"/>
            <w:vAlign w:val="bottom"/>
            <w:tcBorders>
              <w:bottom w:val="single" w:sz="8" w:color="CFF0FC"/>
            </w:tcBorders>
            <w:gridSpan w:val="3"/>
            <w:shd w:val="clear" w:color="auto" w:fill="CFF0FC"/>
          </w:tcPr>
          <w:p>
            <w:pPr>
              <w:ind w:left="120"/>
              <w:spacing w:after="0"/>
              <w:rPr>
                <w:sz w:val="20"/>
                <w:szCs w:val="20"/>
                <w:color w:val="auto"/>
              </w:rPr>
            </w:pPr>
            <w:r>
              <w:rPr>
                <w:rFonts w:ascii="Arial" w:cs="Arial" w:eastAsia="Arial" w:hAnsi="Arial"/>
                <w:sz w:val="8"/>
                <w:szCs w:val="8"/>
                <w:color w:val="auto"/>
              </w:rPr>
              <w:t>Warrant (252,588 units) (h)(j)(m)</w:t>
            </w:r>
          </w:p>
        </w:tc>
        <w:tc>
          <w:tcPr>
            <w:tcW w:w="1820" w:type="dxa"/>
            <w:vAlign w:val="bottom"/>
            <w:tcBorders>
              <w:bottom w:val="single" w:sz="8" w:color="CFF0FC"/>
            </w:tcBorders>
            <w:shd w:val="clear" w:color="auto" w:fill="CFF0FC"/>
          </w:tcPr>
          <w:p>
            <w:pPr>
              <w:spacing w:after="0"/>
              <w:rPr>
                <w:sz w:val="11"/>
                <w:szCs w:val="11"/>
                <w:color w:val="auto"/>
              </w:rPr>
            </w:pPr>
          </w:p>
        </w:tc>
        <w:tc>
          <w:tcPr>
            <w:tcW w:w="124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8"/>
                <w:szCs w:val="8"/>
                <w:color w:val="auto"/>
              </w:rPr>
              <w:t>4/12/2011</w:t>
            </w:r>
          </w:p>
        </w:tc>
        <w:tc>
          <w:tcPr>
            <w:tcW w:w="78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2,258</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8"/>
                <w:szCs w:val="8"/>
                <w:color w:val="auto"/>
              </w:rPr>
              <w:t>3,162</w:t>
            </w:r>
          </w:p>
        </w:tc>
        <w:tc>
          <w:tcPr>
            <w:tcW w:w="660" w:type="dxa"/>
            <w:vAlign w:val="bottom"/>
            <w:tcBorders>
              <w:bottom w:val="single" w:sz="8" w:color="CFF0FC"/>
            </w:tcBorders>
            <w:shd w:val="clear" w:color="auto" w:fill="CFF0FC"/>
          </w:tcPr>
          <w:p>
            <w:pPr>
              <w:spacing w:after="0"/>
              <w:rPr>
                <w:sz w:val="11"/>
                <w:szCs w:val="11"/>
                <w:color w:val="auto"/>
              </w:rPr>
            </w:pPr>
          </w:p>
        </w:tc>
      </w:tr>
      <w:tr>
        <w:trPr>
          <w:trHeight w:val="113"/>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2,974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right"/>
              <w:ind w:right="18"/>
              <w:spacing w:after="0"/>
              <w:rPr>
                <w:sz w:val="20"/>
                <w:szCs w:val="20"/>
                <w:color w:val="auto"/>
              </w:rPr>
            </w:pPr>
            <w:r>
              <w:rPr>
                <w:rFonts w:ascii="Arial" w:cs="Arial" w:eastAsia="Arial" w:hAnsi="Arial"/>
                <w:sz w:val="8"/>
                <w:szCs w:val="8"/>
                <w:color w:val="auto"/>
              </w:rPr>
              <w:t>4,080</w:t>
            </w:r>
          </w:p>
        </w:tc>
        <w:tc>
          <w:tcPr>
            <w:tcW w:w="660" w:type="dxa"/>
            <w:vAlign w:val="bottom"/>
          </w:tcPr>
          <w:p>
            <w:pPr>
              <w:jc w:val="right"/>
              <w:spacing w:after="0"/>
              <w:rPr>
                <w:sz w:val="20"/>
                <w:szCs w:val="20"/>
                <w:color w:val="auto"/>
              </w:rPr>
            </w:pPr>
            <w:r>
              <w:rPr>
                <w:rFonts w:ascii="Arial" w:cs="Arial" w:eastAsia="Arial" w:hAnsi="Arial"/>
                <w:sz w:val="8"/>
                <w:szCs w:val="8"/>
                <w:color w:val="auto"/>
              </w:rPr>
              <w:t>1 %</w:t>
            </w:r>
          </w:p>
        </w:tc>
      </w:tr>
      <w:tr>
        <w:trPr>
          <w:trHeight w:val="134"/>
        </w:trPr>
        <w:tc>
          <w:tcPr>
            <w:tcW w:w="2620" w:type="dxa"/>
            <w:vAlign w:val="bottom"/>
            <w:gridSpan w:val="4"/>
            <w:shd w:val="clear" w:color="auto" w:fill="CFF0FC"/>
          </w:tcPr>
          <w:p>
            <w:pPr>
              <w:ind w:left="20"/>
              <w:spacing w:after="0"/>
              <w:rPr>
                <w:sz w:val="20"/>
                <w:szCs w:val="20"/>
                <w:color w:val="auto"/>
              </w:rPr>
            </w:pPr>
            <w:r>
              <w:rPr>
                <w:rFonts w:ascii="Arial" w:cs="Arial" w:eastAsia="Arial" w:hAnsi="Arial"/>
                <w:sz w:val="8"/>
                <w:szCs w:val="8"/>
                <w:i w:val="1"/>
                <w:iCs w:val="1"/>
                <w:color w:val="auto"/>
              </w:rPr>
              <w:t>Mirage Trailers LLC</w:t>
            </w:r>
          </w:p>
        </w:tc>
        <w:tc>
          <w:tcPr>
            <w:tcW w:w="1820" w:type="dxa"/>
            <w:vAlign w:val="bottom"/>
            <w:shd w:val="clear" w:color="auto" w:fill="CFF0FC"/>
          </w:tcPr>
          <w:p>
            <w:pPr>
              <w:ind w:left="320"/>
              <w:spacing w:after="0"/>
              <w:rPr>
                <w:sz w:val="20"/>
                <w:szCs w:val="20"/>
                <w:color w:val="auto"/>
              </w:rPr>
            </w:pPr>
            <w:r>
              <w:rPr>
                <w:rFonts w:ascii="Arial" w:cs="Arial" w:eastAsia="Arial" w:hAnsi="Arial"/>
                <w:sz w:val="8"/>
                <w:szCs w:val="8"/>
                <w:color w:val="auto"/>
              </w:rPr>
              <w:t>Utility Equipment Manufacturing</w:t>
            </w:r>
          </w:p>
        </w:tc>
        <w:tc>
          <w:tcPr>
            <w:tcW w:w="1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0" w:type="dxa"/>
            <w:vAlign w:val="bottom"/>
          </w:tcPr>
          <w:p>
            <w:pPr>
              <w:spacing w:after="0"/>
              <w:rPr>
                <w:sz w:val="10"/>
                <w:szCs w:val="10"/>
                <w:color w:val="auto"/>
              </w:rPr>
            </w:pPr>
          </w:p>
        </w:tc>
        <w:tc>
          <w:tcPr>
            <w:tcW w:w="2600" w:type="dxa"/>
            <w:vAlign w:val="bottom"/>
            <w:gridSpan w:val="3"/>
          </w:tcPr>
          <w:p>
            <w:pPr>
              <w:ind w:left="120"/>
              <w:spacing w:after="0"/>
              <w:rPr>
                <w:sz w:val="20"/>
                <w:szCs w:val="20"/>
                <w:color w:val="auto"/>
              </w:rPr>
            </w:pPr>
            <w:r>
              <w:rPr>
                <w:rFonts w:ascii="Arial" w:cs="Arial" w:eastAsia="Arial" w:hAnsi="Arial"/>
                <w:sz w:val="8"/>
                <w:szCs w:val="8"/>
                <w:color w:val="auto"/>
              </w:rPr>
              <w:t>Second Lien Debt (k)</w:t>
            </w:r>
          </w:p>
        </w:tc>
        <w:tc>
          <w:tcPr>
            <w:tcW w:w="1820" w:type="dxa"/>
            <w:vAlign w:val="bottom"/>
          </w:tcPr>
          <w:p>
            <w:pPr>
              <w:spacing w:after="0"/>
              <w:rPr>
                <w:sz w:val="10"/>
                <w:szCs w:val="10"/>
                <w:color w:val="auto"/>
              </w:rPr>
            </w:pPr>
          </w:p>
        </w:tc>
        <w:tc>
          <w:tcPr>
            <w:tcW w:w="1240" w:type="dxa"/>
            <w:vAlign w:val="bottom"/>
          </w:tcPr>
          <w:p>
            <w:pPr>
              <w:ind w:left="240"/>
              <w:spacing w:after="0"/>
              <w:rPr>
                <w:sz w:val="20"/>
                <w:szCs w:val="20"/>
                <w:color w:val="auto"/>
              </w:rPr>
            </w:pPr>
            <w:r>
              <w:rPr>
                <w:rFonts w:ascii="Arial" w:cs="Arial" w:eastAsia="Arial" w:hAnsi="Arial"/>
                <w:sz w:val="8"/>
                <w:szCs w:val="8"/>
                <w:color w:val="auto"/>
              </w:rPr>
              <w:t>(L + 10.00%) / (1.00%)</w:t>
            </w:r>
          </w:p>
        </w:tc>
        <w:tc>
          <w:tcPr>
            <w:tcW w:w="940" w:type="dxa"/>
            <w:vAlign w:val="bottom"/>
          </w:tcPr>
          <w:p>
            <w:pPr>
              <w:ind w:left="220"/>
              <w:spacing w:after="0"/>
              <w:rPr>
                <w:sz w:val="20"/>
                <w:szCs w:val="20"/>
                <w:color w:val="auto"/>
              </w:rPr>
            </w:pPr>
            <w:r>
              <w:rPr>
                <w:rFonts w:ascii="Arial" w:cs="Arial" w:eastAsia="Arial" w:hAnsi="Arial"/>
                <w:sz w:val="8"/>
                <w:szCs w:val="8"/>
                <w:color w:val="auto"/>
              </w:rPr>
              <w:t>11.00%/5.00%</w:t>
            </w:r>
          </w:p>
        </w:tc>
        <w:tc>
          <w:tcPr>
            <w:tcW w:w="820" w:type="dxa"/>
            <w:vAlign w:val="bottom"/>
          </w:tcPr>
          <w:p>
            <w:pPr>
              <w:ind w:left="220"/>
              <w:spacing w:after="0"/>
              <w:rPr>
                <w:sz w:val="20"/>
                <w:szCs w:val="20"/>
                <w:color w:val="auto"/>
              </w:rPr>
            </w:pPr>
            <w:r>
              <w:rPr>
                <w:rFonts w:ascii="Arial" w:cs="Arial" w:eastAsia="Arial" w:hAnsi="Arial"/>
                <w:sz w:val="8"/>
                <w:szCs w:val="8"/>
                <w:color w:val="auto"/>
              </w:rPr>
              <w:t>11/25/2015</w:t>
            </w:r>
          </w:p>
        </w:tc>
        <w:tc>
          <w:tcPr>
            <w:tcW w:w="780" w:type="dxa"/>
            <w:vAlign w:val="bottom"/>
          </w:tcPr>
          <w:p>
            <w:pPr>
              <w:ind w:left="200"/>
              <w:spacing w:after="0"/>
              <w:rPr>
                <w:sz w:val="20"/>
                <w:szCs w:val="20"/>
                <w:color w:val="auto"/>
              </w:rPr>
            </w:pPr>
            <w:r>
              <w:rPr>
                <w:rFonts w:ascii="Arial" w:cs="Arial" w:eastAsia="Arial" w:hAnsi="Arial"/>
                <w:sz w:val="8"/>
                <w:szCs w:val="8"/>
                <w:color w:val="auto"/>
              </w:rPr>
              <w:t>4/30/2022</w:t>
            </w:r>
          </w:p>
        </w:tc>
        <w:tc>
          <w:tcPr>
            <w:tcW w:w="300" w:type="dxa"/>
            <w:vAlign w:val="bottom"/>
          </w:tcPr>
          <w:p>
            <w:pPr>
              <w:spacing w:after="0"/>
              <w:rPr>
                <w:sz w:val="10"/>
                <w:szCs w:val="10"/>
                <w:color w:val="auto"/>
              </w:rPr>
            </w:pPr>
          </w:p>
        </w:tc>
        <w:tc>
          <w:tcPr>
            <w:tcW w:w="640" w:type="dxa"/>
            <w:vAlign w:val="bottom"/>
          </w:tcPr>
          <w:p>
            <w:pPr>
              <w:jc w:val="right"/>
              <w:ind w:right="78"/>
              <w:spacing w:after="0"/>
              <w:rPr>
                <w:sz w:val="20"/>
                <w:szCs w:val="20"/>
                <w:color w:val="auto"/>
              </w:rPr>
            </w:pPr>
            <w:r>
              <w:rPr>
                <w:rFonts w:ascii="Arial" w:cs="Arial" w:eastAsia="Arial" w:hAnsi="Arial"/>
                <w:sz w:val="8"/>
                <w:szCs w:val="8"/>
                <w:color w:val="auto"/>
              </w:rPr>
              <w:t>6,618</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6,705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18"/>
              <w:spacing w:after="0"/>
              <w:rPr>
                <w:sz w:val="20"/>
                <w:szCs w:val="20"/>
                <w:color w:val="auto"/>
              </w:rPr>
            </w:pPr>
            <w:r>
              <w:rPr>
                <w:rFonts w:ascii="Arial" w:cs="Arial" w:eastAsia="Arial" w:hAnsi="Arial"/>
                <w:sz w:val="8"/>
                <w:szCs w:val="8"/>
                <w:color w:val="auto"/>
              </w:rPr>
              <w:t>6,619</w:t>
            </w:r>
          </w:p>
        </w:tc>
        <w:tc>
          <w:tcPr>
            <w:tcW w:w="660" w:type="dxa"/>
            <w:vAlign w:val="bottom"/>
          </w:tcPr>
          <w:p>
            <w:pPr>
              <w:spacing w:after="0"/>
              <w:rPr>
                <w:sz w:val="10"/>
                <w:szCs w:val="10"/>
                <w:color w:val="auto"/>
              </w:rPr>
            </w:pPr>
          </w:p>
        </w:tc>
      </w:tr>
      <w:tr>
        <w:trPr>
          <w:trHeight w:val="133"/>
        </w:trPr>
        <w:tc>
          <w:tcPr>
            <w:tcW w:w="20" w:type="dxa"/>
            <w:vAlign w:val="bottom"/>
            <w:tcBorders>
              <w:bottom w:val="single" w:sz="8" w:color="CFF0FC"/>
            </w:tcBorders>
            <w:shd w:val="clear" w:color="auto" w:fill="CFF0FC"/>
          </w:tcPr>
          <w:p>
            <w:pPr>
              <w:spacing w:after="0"/>
              <w:rPr>
                <w:sz w:val="11"/>
                <w:szCs w:val="11"/>
                <w:color w:val="auto"/>
              </w:rPr>
            </w:pPr>
          </w:p>
        </w:tc>
        <w:tc>
          <w:tcPr>
            <w:tcW w:w="2600" w:type="dxa"/>
            <w:vAlign w:val="bottom"/>
            <w:tcBorders>
              <w:bottom w:val="single" w:sz="8" w:color="CFF0FC"/>
            </w:tcBorders>
            <w:gridSpan w:val="3"/>
            <w:shd w:val="clear" w:color="auto" w:fill="CFF0FC"/>
          </w:tcPr>
          <w:p>
            <w:pPr>
              <w:ind w:left="120"/>
              <w:spacing w:after="0"/>
              <w:rPr>
                <w:sz w:val="20"/>
                <w:szCs w:val="20"/>
                <w:color w:val="auto"/>
              </w:rPr>
            </w:pPr>
            <w:r>
              <w:rPr>
                <w:rFonts w:ascii="Arial" w:cs="Arial" w:eastAsia="Arial" w:hAnsi="Arial"/>
                <w:sz w:val="8"/>
                <w:szCs w:val="8"/>
                <w:color w:val="auto"/>
              </w:rPr>
              <w:t>Common Equity (2,500,000 shares)</w:t>
            </w:r>
          </w:p>
        </w:tc>
        <w:tc>
          <w:tcPr>
            <w:tcW w:w="1820" w:type="dxa"/>
            <w:vAlign w:val="bottom"/>
            <w:tcBorders>
              <w:bottom w:val="single" w:sz="8" w:color="CFF0FC"/>
            </w:tcBorders>
            <w:shd w:val="clear" w:color="auto" w:fill="CFF0FC"/>
          </w:tcPr>
          <w:p>
            <w:pPr>
              <w:spacing w:after="0"/>
              <w:rPr>
                <w:sz w:val="11"/>
                <w:szCs w:val="11"/>
                <w:color w:val="auto"/>
              </w:rPr>
            </w:pPr>
          </w:p>
        </w:tc>
        <w:tc>
          <w:tcPr>
            <w:tcW w:w="124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8"/>
                <w:szCs w:val="8"/>
                <w:color w:val="auto"/>
              </w:rPr>
              <w:t>11/25/2015</w:t>
            </w:r>
          </w:p>
        </w:tc>
        <w:tc>
          <w:tcPr>
            <w:tcW w:w="78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2,188</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8"/>
                <w:szCs w:val="8"/>
                <w:color w:val="auto"/>
              </w:rPr>
              <w:t>3,922</w:t>
            </w:r>
          </w:p>
        </w:tc>
        <w:tc>
          <w:tcPr>
            <w:tcW w:w="660" w:type="dxa"/>
            <w:vAlign w:val="bottom"/>
            <w:tcBorders>
              <w:bottom w:val="single" w:sz="8" w:color="CFF0FC"/>
            </w:tcBorders>
            <w:shd w:val="clear" w:color="auto" w:fill="CFF0FC"/>
          </w:tcPr>
          <w:p>
            <w:pPr>
              <w:spacing w:after="0"/>
              <w:rPr>
                <w:sz w:val="11"/>
                <w:szCs w:val="11"/>
                <w:color w:val="auto"/>
              </w:rPr>
            </w:pPr>
          </w:p>
        </w:tc>
      </w:tr>
      <w:tr>
        <w:trPr>
          <w:trHeight w:val="113"/>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8,893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right"/>
              <w:ind w:right="18"/>
              <w:spacing w:after="0"/>
              <w:rPr>
                <w:sz w:val="20"/>
                <w:szCs w:val="20"/>
                <w:color w:val="auto"/>
              </w:rPr>
            </w:pPr>
            <w:r>
              <w:rPr>
                <w:rFonts w:ascii="Arial" w:cs="Arial" w:eastAsia="Arial" w:hAnsi="Arial"/>
                <w:sz w:val="8"/>
                <w:szCs w:val="8"/>
                <w:color w:val="auto"/>
              </w:rPr>
              <w:t>10,541</w:t>
            </w:r>
          </w:p>
        </w:tc>
        <w:tc>
          <w:tcPr>
            <w:tcW w:w="660" w:type="dxa"/>
            <w:vAlign w:val="bottom"/>
          </w:tcPr>
          <w:p>
            <w:pPr>
              <w:jc w:val="right"/>
              <w:spacing w:after="0"/>
              <w:rPr>
                <w:sz w:val="20"/>
                <w:szCs w:val="20"/>
                <w:color w:val="auto"/>
              </w:rPr>
            </w:pPr>
            <w:r>
              <w:rPr>
                <w:rFonts w:ascii="Arial" w:cs="Arial" w:eastAsia="Arial" w:hAnsi="Arial"/>
                <w:sz w:val="8"/>
                <w:szCs w:val="8"/>
                <w:color w:val="auto"/>
              </w:rPr>
              <w:t>2 %</w:t>
            </w:r>
          </w:p>
        </w:tc>
      </w:tr>
      <w:tr>
        <w:trPr>
          <w:trHeight w:val="134"/>
        </w:trPr>
        <w:tc>
          <w:tcPr>
            <w:tcW w:w="2620" w:type="dxa"/>
            <w:vAlign w:val="bottom"/>
            <w:gridSpan w:val="4"/>
            <w:shd w:val="clear" w:color="auto" w:fill="CFF0FC"/>
          </w:tcPr>
          <w:p>
            <w:pPr>
              <w:ind w:left="20"/>
              <w:spacing w:after="0"/>
              <w:rPr>
                <w:sz w:val="20"/>
                <w:szCs w:val="20"/>
                <w:color w:val="auto"/>
              </w:rPr>
            </w:pPr>
            <w:r>
              <w:rPr>
                <w:rFonts w:ascii="Arial" w:cs="Arial" w:eastAsia="Arial" w:hAnsi="Arial"/>
                <w:sz w:val="8"/>
                <w:szCs w:val="8"/>
                <w:i w:val="1"/>
                <w:iCs w:val="1"/>
                <w:color w:val="auto"/>
              </w:rPr>
              <w:t>Pfanstiehl, Inc.</w:t>
            </w:r>
          </w:p>
        </w:tc>
        <w:tc>
          <w:tcPr>
            <w:tcW w:w="1820" w:type="dxa"/>
            <w:vAlign w:val="bottom"/>
            <w:shd w:val="clear" w:color="auto" w:fill="CFF0FC"/>
          </w:tcPr>
          <w:p>
            <w:pPr>
              <w:ind w:left="320"/>
              <w:spacing w:after="0"/>
              <w:rPr>
                <w:sz w:val="20"/>
                <w:szCs w:val="20"/>
                <w:color w:val="auto"/>
              </w:rPr>
            </w:pPr>
            <w:r>
              <w:rPr>
                <w:rFonts w:ascii="Arial" w:cs="Arial" w:eastAsia="Arial" w:hAnsi="Arial"/>
                <w:sz w:val="8"/>
                <w:szCs w:val="8"/>
                <w:color w:val="auto"/>
              </w:rPr>
              <w:t>Healthcare Products</w:t>
            </w:r>
          </w:p>
        </w:tc>
        <w:tc>
          <w:tcPr>
            <w:tcW w:w="1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0" w:type="dxa"/>
            <w:vAlign w:val="bottom"/>
          </w:tcPr>
          <w:p>
            <w:pPr>
              <w:spacing w:after="0"/>
              <w:rPr>
                <w:sz w:val="10"/>
                <w:szCs w:val="10"/>
                <w:color w:val="auto"/>
              </w:rPr>
            </w:pPr>
          </w:p>
        </w:tc>
        <w:tc>
          <w:tcPr>
            <w:tcW w:w="2600" w:type="dxa"/>
            <w:vAlign w:val="bottom"/>
            <w:gridSpan w:val="3"/>
          </w:tcPr>
          <w:p>
            <w:pPr>
              <w:ind w:left="120"/>
              <w:spacing w:after="0"/>
              <w:rPr>
                <w:sz w:val="20"/>
                <w:szCs w:val="20"/>
                <w:color w:val="auto"/>
              </w:rPr>
            </w:pPr>
            <w:r>
              <w:rPr>
                <w:rFonts w:ascii="Arial" w:cs="Arial" w:eastAsia="Arial" w:hAnsi="Arial"/>
                <w:sz w:val="8"/>
                <w:szCs w:val="8"/>
                <w:color w:val="auto"/>
              </w:rPr>
              <w:t>Common Equity (4,250 units) (j)</w:t>
            </w:r>
          </w:p>
        </w:tc>
        <w:tc>
          <w:tcPr>
            <w:tcW w:w="1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3/29/2013</w:t>
            </w: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425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18"/>
              <w:spacing w:after="0"/>
              <w:rPr>
                <w:sz w:val="20"/>
                <w:szCs w:val="20"/>
                <w:color w:val="auto"/>
              </w:rPr>
            </w:pPr>
            <w:r>
              <w:rPr>
                <w:rFonts w:ascii="Arial" w:cs="Arial" w:eastAsia="Arial" w:hAnsi="Arial"/>
                <w:sz w:val="8"/>
                <w:szCs w:val="8"/>
                <w:color w:val="auto"/>
              </w:rPr>
              <w:t>50,126</w:t>
            </w:r>
          </w:p>
        </w:tc>
        <w:tc>
          <w:tcPr>
            <w:tcW w:w="660" w:type="dxa"/>
            <w:vAlign w:val="bottom"/>
          </w:tcPr>
          <w:p>
            <w:pPr>
              <w:jc w:val="right"/>
              <w:spacing w:after="0"/>
              <w:rPr>
                <w:sz w:val="20"/>
                <w:szCs w:val="20"/>
                <w:color w:val="auto"/>
              </w:rPr>
            </w:pPr>
            <w:r>
              <w:rPr>
                <w:rFonts w:ascii="Arial" w:cs="Arial" w:eastAsia="Arial" w:hAnsi="Arial"/>
                <w:sz w:val="8"/>
                <w:szCs w:val="8"/>
                <w:color w:val="auto"/>
              </w:rPr>
              <w:t>11 %</w:t>
            </w:r>
          </w:p>
        </w:tc>
      </w:tr>
      <w:tr>
        <w:trPr>
          <w:trHeight w:val="134"/>
        </w:trPr>
        <w:tc>
          <w:tcPr>
            <w:tcW w:w="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8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620" w:type="dxa"/>
            <w:vAlign w:val="bottom"/>
            <w:gridSpan w:val="4"/>
          </w:tcPr>
          <w:p>
            <w:pPr>
              <w:ind w:left="20"/>
              <w:spacing w:after="0"/>
              <w:rPr>
                <w:sz w:val="20"/>
                <w:szCs w:val="20"/>
                <w:color w:val="auto"/>
              </w:rPr>
            </w:pPr>
            <w:r>
              <w:rPr>
                <w:rFonts w:ascii="Arial" w:cs="Arial" w:eastAsia="Arial" w:hAnsi="Arial"/>
                <w:sz w:val="8"/>
                <w:szCs w:val="8"/>
                <w:i w:val="1"/>
                <w:iCs w:val="1"/>
                <w:color w:val="auto"/>
              </w:rPr>
              <w:t>Pinnergy, Ltd.</w:t>
            </w:r>
          </w:p>
        </w:tc>
        <w:tc>
          <w:tcPr>
            <w:tcW w:w="1820" w:type="dxa"/>
            <w:vAlign w:val="bottom"/>
          </w:tcPr>
          <w:p>
            <w:pPr>
              <w:ind w:left="320"/>
              <w:spacing w:after="0"/>
              <w:rPr>
                <w:sz w:val="20"/>
                <w:szCs w:val="20"/>
                <w:color w:val="auto"/>
              </w:rPr>
            </w:pPr>
            <w:r>
              <w:rPr>
                <w:rFonts w:ascii="Arial" w:cs="Arial" w:eastAsia="Arial" w:hAnsi="Arial"/>
                <w:sz w:val="8"/>
                <w:szCs w:val="8"/>
                <w:color w:val="auto"/>
              </w:rPr>
              <w:t>Oil &amp; Gas Services</w:t>
            </w:r>
          </w:p>
        </w:tc>
        <w:tc>
          <w:tcPr>
            <w:tcW w:w="1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4"/>
        </w:trPr>
        <w:tc>
          <w:tcPr>
            <w:tcW w:w="20" w:type="dxa"/>
            <w:vAlign w:val="bottom"/>
            <w:shd w:val="clear" w:color="auto" w:fill="CFF0FC"/>
          </w:tcPr>
          <w:p>
            <w:pPr>
              <w:spacing w:after="0"/>
              <w:rPr>
                <w:sz w:val="11"/>
                <w:szCs w:val="11"/>
                <w:color w:val="auto"/>
              </w:rPr>
            </w:pPr>
          </w:p>
        </w:tc>
        <w:tc>
          <w:tcPr>
            <w:tcW w:w="2600" w:type="dxa"/>
            <w:vAlign w:val="bottom"/>
            <w:gridSpan w:val="3"/>
            <w:shd w:val="clear" w:color="auto" w:fill="CFF0FC"/>
          </w:tcPr>
          <w:p>
            <w:pPr>
              <w:ind w:left="120"/>
              <w:spacing w:after="0"/>
              <w:rPr>
                <w:sz w:val="20"/>
                <w:szCs w:val="20"/>
                <w:color w:val="auto"/>
              </w:rPr>
            </w:pPr>
            <w:r>
              <w:rPr>
                <w:rFonts w:ascii="Arial" w:cs="Arial" w:eastAsia="Arial" w:hAnsi="Arial"/>
                <w:sz w:val="8"/>
                <w:szCs w:val="8"/>
                <w:color w:val="auto"/>
              </w:rPr>
              <w:t>Common Equity - Class A-2 (42,500 units) (j)</w:t>
            </w:r>
          </w:p>
        </w:tc>
        <w:tc>
          <w:tcPr>
            <w:tcW w:w="18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10/13/2016</w:t>
            </w: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3,000</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20,693</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5 %</w:t>
            </w:r>
          </w:p>
        </w:tc>
      </w:tr>
      <w:tr>
        <w:trPr>
          <w:trHeight w:val="127"/>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27"/>
        </w:trPr>
        <w:tc>
          <w:tcPr>
            <w:tcW w:w="2620" w:type="dxa"/>
            <w:vAlign w:val="bottom"/>
            <w:gridSpan w:val="4"/>
            <w:shd w:val="clear" w:color="auto" w:fill="CFF0FC"/>
          </w:tcPr>
          <w:p>
            <w:pPr>
              <w:ind w:left="20"/>
              <w:spacing w:after="0"/>
              <w:rPr>
                <w:sz w:val="20"/>
                <w:szCs w:val="20"/>
                <w:color w:val="auto"/>
              </w:rPr>
            </w:pPr>
            <w:r>
              <w:rPr>
                <w:rFonts w:ascii="Arial" w:cs="Arial" w:eastAsia="Arial" w:hAnsi="Arial"/>
                <w:sz w:val="8"/>
                <w:szCs w:val="8"/>
                <w:i w:val="1"/>
                <w:iCs w:val="1"/>
                <w:color w:val="auto"/>
              </w:rPr>
              <w:t>Spectra A&amp;D Acquisition, Inc. (fka FDS Avionics Corp.)</w:t>
            </w:r>
          </w:p>
        </w:tc>
        <w:tc>
          <w:tcPr>
            <w:tcW w:w="1820" w:type="dxa"/>
            <w:vAlign w:val="bottom"/>
            <w:shd w:val="clear" w:color="auto" w:fill="CFF0FC"/>
          </w:tcPr>
          <w:p>
            <w:pPr>
              <w:ind w:left="320"/>
              <w:spacing w:after="0"/>
              <w:rPr>
                <w:sz w:val="20"/>
                <w:szCs w:val="20"/>
                <w:color w:val="auto"/>
              </w:rPr>
            </w:pPr>
            <w:r>
              <w:rPr>
                <w:rFonts w:ascii="Arial" w:cs="Arial" w:eastAsia="Arial" w:hAnsi="Arial"/>
                <w:sz w:val="8"/>
                <w:szCs w:val="8"/>
                <w:color w:val="auto"/>
              </w:rPr>
              <w:t>Aerospace &amp; Defense Manufacturing</w:t>
            </w:r>
          </w:p>
        </w:tc>
        <w:tc>
          <w:tcPr>
            <w:tcW w:w="1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0" w:type="dxa"/>
            <w:vAlign w:val="bottom"/>
          </w:tcPr>
          <w:p>
            <w:pPr>
              <w:spacing w:after="0"/>
              <w:rPr>
                <w:sz w:val="10"/>
                <w:szCs w:val="10"/>
                <w:color w:val="auto"/>
              </w:rPr>
            </w:pPr>
          </w:p>
        </w:tc>
        <w:tc>
          <w:tcPr>
            <w:tcW w:w="2600" w:type="dxa"/>
            <w:vAlign w:val="bottom"/>
            <w:gridSpan w:val="3"/>
          </w:tcPr>
          <w:p>
            <w:pPr>
              <w:ind w:left="120"/>
              <w:spacing w:after="0"/>
              <w:rPr>
                <w:sz w:val="20"/>
                <w:szCs w:val="20"/>
                <w:color w:val="auto"/>
              </w:rPr>
            </w:pPr>
            <w:r>
              <w:rPr>
                <w:rFonts w:ascii="Arial" w:cs="Arial" w:eastAsia="Arial" w:hAnsi="Arial"/>
                <w:sz w:val="8"/>
                <w:szCs w:val="8"/>
                <w:color w:val="auto"/>
              </w:rPr>
              <w:t>First Lien Debt (ag)(k)</w:t>
            </w:r>
          </w:p>
        </w:tc>
        <w:tc>
          <w:tcPr>
            <w:tcW w:w="1820" w:type="dxa"/>
            <w:vAlign w:val="bottom"/>
          </w:tcPr>
          <w:p>
            <w:pPr>
              <w:spacing w:after="0"/>
              <w:rPr>
                <w:sz w:val="10"/>
                <w:szCs w:val="10"/>
                <w:color w:val="auto"/>
              </w:rPr>
            </w:pPr>
          </w:p>
        </w:tc>
        <w:tc>
          <w:tcPr>
            <w:tcW w:w="1240" w:type="dxa"/>
            <w:vAlign w:val="bottom"/>
          </w:tcPr>
          <w:p>
            <w:pPr>
              <w:ind w:left="240"/>
              <w:spacing w:after="0"/>
              <w:rPr>
                <w:sz w:val="20"/>
                <w:szCs w:val="20"/>
                <w:color w:val="auto"/>
              </w:rPr>
            </w:pPr>
            <w:r>
              <w:rPr>
                <w:rFonts w:ascii="Arial" w:cs="Arial" w:eastAsia="Arial" w:hAnsi="Arial"/>
                <w:sz w:val="8"/>
                <w:szCs w:val="8"/>
                <w:color w:val="auto"/>
              </w:rPr>
              <w:t>(L + 5.50%) / (1.00%)</w:t>
            </w:r>
          </w:p>
        </w:tc>
        <w:tc>
          <w:tcPr>
            <w:tcW w:w="940" w:type="dxa"/>
            <w:vAlign w:val="bottom"/>
          </w:tcPr>
          <w:p>
            <w:pPr>
              <w:ind w:left="220"/>
              <w:spacing w:after="0"/>
              <w:rPr>
                <w:sz w:val="20"/>
                <w:szCs w:val="20"/>
                <w:color w:val="auto"/>
              </w:rPr>
            </w:pPr>
            <w:r>
              <w:rPr>
                <w:rFonts w:ascii="Arial" w:cs="Arial" w:eastAsia="Arial" w:hAnsi="Arial"/>
                <w:sz w:val="8"/>
                <w:szCs w:val="8"/>
                <w:color w:val="auto"/>
              </w:rPr>
              <w:t>6.50%/0.00%</w:t>
            </w:r>
          </w:p>
        </w:tc>
        <w:tc>
          <w:tcPr>
            <w:tcW w:w="820" w:type="dxa"/>
            <w:vAlign w:val="bottom"/>
          </w:tcPr>
          <w:p>
            <w:pPr>
              <w:ind w:left="220"/>
              <w:spacing w:after="0"/>
              <w:rPr>
                <w:sz w:val="20"/>
                <w:szCs w:val="20"/>
                <w:color w:val="auto"/>
              </w:rPr>
            </w:pPr>
            <w:r>
              <w:rPr>
                <w:rFonts w:ascii="Arial" w:cs="Arial" w:eastAsia="Arial" w:hAnsi="Arial"/>
                <w:sz w:val="8"/>
                <w:szCs w:val="8"/>
                <w:color w:val="auto"/>
              </w:rPr>
              <w:t>2/12/2021</w:t>
            </w:r>
          </w:p>
        </w:tc>
        <w:tc>
          <w:tcPr>
            <w:tcW w:w="780" w:type="dxa"/>
            <w:vAlign w:val="bottom"/>
          </w:tcPr>
          <w:p>
            <w:pPr>
              <w:ind w:left="200"/>
              <w:spacing w:after="0"/>
              <w:rPr>
                <w:sz w:val="20"/>
                <w:szCs w:val="20"/>
                <w:color w:val="auto"/>
              </w:rPr>
            </w:pPr>
            <w:r>
              <w:rPr>
                <w:rFonts w:ascii="Arial" w:cs="Arial" w:eastAsia="Arial" w:hAnsi="Arial"/>
                <w:sz w:val="8"/>
                <w:szCs w:val="8"/>
                <w:color w:val="auto"/>
              </w:rPr>
              <w:t>2/11/2026</w:t>
            </w:r>
          </w:p>
        </w:tc>
        <w:tc>
          <w:tcPr>
            <w:tcW w:w="300" w:type="dxa"/>
            <w:vAlign w:val="bottom"/>
          </w:tcPr>
          <w:p>
            <w:pPr>
              <w:spacing w:after="0"/>
              <w:rPr>
                <w:sz w:val="10"/>
                <w:szCs w:val="10"/>
                <w:color w:val="auto"/>
              </w:rPr>
            </w:pPr>
          </w:p>
        </w:tc>
        <w:tc>
          <w:tcPr>
            <w:tcW w:w="640" w:type="dxa"/>
            <w:vAlign w:val="bottom"/>
          </w:tcPr>
          <w:p>
            <w:pPr>
              <w:jc w:val="right"/>
              <w:ind w:right="78"/>
              <w:spacing w:after="0"/>
              <w:rPr>
                <w:sz w:val="20"/>
                <w:szCs w:val="20"/>
                <w:color w:val="auto"/>
              </w:rPr>
            </w:pPr>
            <w:r>
              <w:rPr>
                <w:rFonts w:ascii="Arial" w:cs="Arial" w:eastAsia="Arial" w:hAnsi="Arial"/>
                <w:sz w:val="8"/>
                <w:szCs w:val="8"/>
                <w:color w:val="auto"/>
              </w:rPr>
              <w:t>13,000</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12,916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18"/>
              <w:spacing w:after="0"/>
              <w:rPr>
                <w:sz w:val="20"/>
                <w:szCs w:val="20"/>
                <w:color w:val="auto"/>
              </w:rPr>
            </w:pPr>
            <w:r>
              <w:rPr>
                <w:rFonts w:ascii="Arial" w:cs="Arial" w:eastAsia="Arial" w:hAnsi="Arial"/>
                <w:sz w:val="8"/>
                <w:szCs w:val="8"/>
                <w:color w:val="auto"/>
              </w:rPr>
              <w:t>13,000</w:t>
            </w:r>
          </w:p>
        </w:tc>
        <w:tc>
          <w:tcPr>
            <w:tcW w:w="660" w:type="dxa"/>
            <w:vAlign w:val="bottom"/>
          </w:tcPr>
          <w:p>
            <w:pPr>
              <w:spacing w:after="0"/>
              <w:rPr>
                <w:sz w:val="10"/>
                <w:szCs w:val="10"/>
                <w:color w:val="auto"/>
              </w:rPr>
            </w:pPr>
          </w:p>
        </w:tc>
      </w:tr>
      <w:tr>
        <w:trPr>
          <w:trHeight w:val="134"/>
        </w:trPr>
        <w:tc>
          <w:tcPr>
            <w:tcW w:w="20" w:type="dxa"/>
            <w:vAlign w:val="bottom"/>
            <w:shd w:val="clear" w:color="auto" w:fill="CFF0FC"/>
          </w:tcPr>
          <w:p>
            <w:pPr>
              <w:spacing w:after="0"/>
              <w:rPr>
                <w:sz w:val="11"/>
                <w:szCs w:val="11"/>
                <w:color w:val="auto"/>
              </w:rPr>
            </w:pPr>
          </w:p>
        </w:tc>
        <w:tc>
          <w:tcPr>
            <w:tcW w:w="2600" w:type="dxa"/>
            <w:vAlign w:val="bottom"/>
            <w:gridSpan w:val="3"/>
            <w:shd w:val="clear" w:color="auto" w:fill="CFF0FC"/>
          </w:tcPr>
          <w:p>
            <w:pPr>
              <w:ind w:left="120"/>
              <w:spacing w:after="0"/>
              <w:rPr>
                <w:sz w:val="20"/>
                <w:szCs w:val="20"/>
                <w:color w:val="auto"/>
              </w:rPr>
            </w:pPr>
            <w:r>
              <w:rPr>
                <w:rFonts w:ascii="Arial" w:cs="Arial" w:eastAsia="Arial" w:hAnsi="Arial"/>
                <w:sz w:val="8"/>
                <w:szCs w:val="8"/>
                <w:color w:val="auto"/>
              </w:rPr>
              <w:t>Common Equity (41,290 units) (j)</w:t>
            </w:r>
          </w:p>
        </w:tc>
        <w:tc>
          <w:tcPr>
            <w:tcW w:w="18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2/12/2021</w:t>
            </w: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2,609</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4,129</w:t>
            </w:r>
          </w:p>
        </w:tc>
        <w:tc>
          <w:tcPr>
            <w:tcW w:w="660" w:type="dxa"/>
            <w:vAlign w:val="bottom"/>
            <w:shd w:val="clear" w:color="auto" w:fill="CFF0FC"/>
          </w:tcPr>
          <w:p>
            <w:pPr>
              <w:spacing w:after="0"/>
              <w:rPr>
                <w:sz w:val="11"/>
                <w:szCs w:val="11"/>
                <w:color w:val="auto"/>
              </w:rPr>
            </w:pPr>
          </w:p>
        </w:tc>
      </w:tr>
      <w:tr>
        <w:trPr>
          <w:trHeight w:val="126"/>
        </w:trPr>
        <w:tc>
          <w:tcPr>
            <w:tcW w:w="20" w:type="dxa"/>
            <w:vAlign w:val="bottom"/>
          </w:tcPr>
          <w:p>
            <w:pPr>
              <w:spacing w:after="0"/>
              <w:rPr>
                <w:sz w:val="10"/>
                <w:szCs w:val="10"/>
                <w:color w:val="auto"/>
              </w:rPr>
            </w:pPr>
          </w:p>
        </w:tc>
        <w:tc>
          <w:tcPr>
            <w:tcW w:w="2600" w:type="dxa"/>
            <w:vAlign w:val="bottom"/>
            <w:gridSpan w:val="3"/>
          </w:tcPr>
          <w:p>
            <w:pPr>
              <w:ind w:left="120"/>
              <w:spacing w:after="0"/>
              <w:rPr>
                <w:sz w:val="20"/>
                <w:szCs w:val="20"/>
                <w:color w:val="auto"/>
              </w:rPr>
            </w:pPr>
            <w:r>
              <w:rPr>
                <w:rFonts w:ascii="Arial" w:cs="Arial" w:eastAsia="Arial" w:hAnsi="Arial"/>
                <w:sz w:val="8"/>
                <w:szCs w:val="8"/>
                <w:color w:val="auto"/>
              </w:rPr>
              <w:t>Common Equity (12,035 units) (j)</w:t>
            </w:r>
          </w:p>
        </w:tc>
        <w:tc>
          <w:tcPr>
            <w:tcW w:w="1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8/25/2021</w:t>
            </w: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1,204</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1,242</w:t>
            </w:r>
          </w:p>
        </w:tc>
        <w:tc>
          <w:tcPr>
            <w:tcW w:w="660" w:type="dxa"/>
            <w:vAlign w:val="bottom"/>
          </w:tcPr>
          <w:p>
            <w:pPr>
              <w:spacing w:after="0"/>
              <w:rPr>
                <w:sz w:val="10"/>
                <w:szCs w:val="10"/>
                <w:color w:val="auto"/>
              </w:rPr>
            </w:pPr>
          </w:p>
        </w:tc>
      </w:tr>
      <w:tr>
        <w:trPr>
          <w:trHeight w:val="120"/>
        </w:trPr>
        <w:tc>
          <w:tcPr>
            <w:tcW w:w="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16,729</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18,371</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4 %</w:t>
            </w:r>
          </w:p>
        </w:tc>
      </w:tr>
      <w:tr>
        <w:trPr>
          <w:trHeight w:val="120"/>
        </w:trPr>
        <w:tc>
          <w:tcPr>
            <w:tcW w:w="2620" w:type="dxa"/>
            <w:vAlign w:val="bottom"/>
            <w:gridSpan w:val="4"/>
          </w:tcPr>
          <w:p>
            <w:pPr>
              <w:ind w:left="20"/>
              <w:spacing w:after="0"/>
              <w:rPr>
                <w:sz w:val="20"/>
                <w:szCs w:val="20"/>
                <w:color w:val="auto"/>
              </w:rPr>
            </w:pPr>
            <w:r>
              <w:rPr>
                <w:rFonts w:ascii="Arial" w:cs="Arial" w:eastAsia="Arial" w:hAnsi="Arial"/>
                <w:sz w:val="8"/>
                <w:szCs w:val="8"/>
                <w:i w:val="1"/>
                <w:iCs w:val="1"/>
                <w:color w:val="auto"/>
              </w:rPr>
              <w:t>Steward Holding LLC (dba Steward Advanced Materials)</w:t>
            </w:r>
          </w:p>
        </w:tc>
        <w:tc>
          <w:tcPr>
            <w:tcW w:w="1820" w:type="dxa"/>
            <w:vAlign w:val="bottom"/>
          </w:tcPr>
          <w:p>
            <w:pPr>
              <w:ind w:left="320"/>
              <w:spacing w:after="0"/>
              <w:rPr>
                <w:sz w:val="20"/>
                <w:szCs w:val="20"/>
                <w:color w:val="auto"/>
              </w:rPr>
            </w:pPr>
            <w:r>
              <w:rPr>
                <w:rFonts w:ascii="Arial" w:cs="Arial" w:eastAsia="Arial" w:hAnsi="Arial"/>
                <w:sz w:val="8"/>
                <w:szCs w:val="8"/>
                <w:color w:val="auto"/>
              </w:rPr>
              <w:t>Aerospace &amp; Defense Manufacturing</w:t>
            </w:r>
          </w:p>
        </w:tc>
        <w:tc>
          <w:tcPr>
            <w:tcW w:w="1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4"/>
        </w:trPr>
        <w:tc>
          <w:tcPr>
            <w:tcW w:w="20" w:type="dxa"/>
            <w:vAlign w:val="bottom"/>
            <w:shd w:val="clear" w:color="auto" w:fill="CFF0FC"/>
          </w:tcPr>
          <w:p>
            <w:pPr>
              <w:spacing w:after="0"/>
              <w:rPr>
                <w:sz w:val="11"/>
                <w:szCs w:val="11"/>
                <w:color w:val="auto"/>
              </w:rPr>
            </w:pPr>
          </w:p>
        </w:tc>
        <w:tc>
          <w:tcPr>
            <w:tcW w:w="2600" w:type="dxa"/>
            <w:vAlign w:val="bottom"/>
            <w:gridSpan w:val="3"/>
            <w:shd w:val="clear" w:color="auto" w:fill="CFF0FC"/>
          </w:tcPr>
          <w:p>
            <w:pPr>
              <w:ind w:left="120"/>
              <w:spacing w:after="0"/>
              <w:rPr>
                <w:sz w:val="20"/>
                <w:szCs w:val="20"/>
                <w:color w:val="auto"/>
              </w:rPr>
            </w:pPr>
            <w:r>
              <w:rPr>
                <w:rFonts w:ascii="Arial" w:cs="Arial" w:eastAsia="Arial" w:hAnsi="Arial"/>
                <w:sz w:val="8"/>
                <w:szCs w:val="8"/>
                <w:color w:val="auto"/>
              </w:rPr>
              <w:t>Common Equity (1,000,000 units)</w:t>
            </w:r>
          </w:p>
        </w:tc>
        <w:tc>
          <w:tcPr>
            <w:tcW w:w="18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11/12/2015</w:t>
            </w: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1,000</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3,173</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1 %</w:t>
            </w:r>
          </w:p>
        </w:tc>
      </w:tr>
      <w:tr>
        <w:trPr>
          <w:trHeight w:val="127"/>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r>
      <w:tr>
        <w:trPr>
          <w:trHeight w:val="159"/>
        </w:trPr>
        <w:tc>
          <w:tcPr>
            <w:tcW w:w="2620" w:type="dxa"/>
            <w:vAlign w:val="bottom"/>
            <w:gridSpan w:val="4"/>
            <w:shd w:val="clear" w:color="auto" w:fill="CFF0FC"/>
          </w:tcPr>
          <w:p>
            <w:pPr>
              <w:ind w:left="20"/>
              <w:spacing w:after="0"/>
              <w:rPr>
                <w:sz w:val="20"/>
                <w:szCs w:val="20"/>
                <w:color w:val="auto"/>
              </w:rPr>
            </w:pPr>
            <w:r>
              <w:rPr>
                <w:rFonts w:ascii="Arial" w:cs="Arial" w:eastAsia="Arial" w:hAnsi="Arial"/>
                <w:sz w:val="8"/>
                <w:szCs w:val="8"/>
                <w:b w:val="1"/>
                <w:bCs w:val="1"/>
                <w:color w:val="auto"/>
              </w:rPr>
              <w:t>Total Affiliate Investments</w:t>
            </w:r>
          </w:p>
        </w:tc>
        <w:tc>
          <w:tcPr>
            <w:tcW w:w="18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38"/>
              <w:spacing w:after="0"/>
              <w:rPr>
                <w:sz w:val="20"/>
                <w:szCs w:val="20"/>
                <w:color w:val="auto"/>
              </w:rPr>
            </w:pPr>
            <w:r>
              <w:rPr>
                <w:rFonts w:ascii="Arial" w:cs="Arial" w:eastAsia="Arial" w:hAnsi="Arial"/>
                <w:sz w:val="8"/>
                <w:szCs w:val="8"/>
                <w:color w:val="auto"/>
                <w:w w:val="88"/>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33,021</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8"/>
                <w:szCs w:val="8"/>
                <w:color w:val="auto"/>
              </w:rPr>
              <w:t>$</w:t>
            </w:r>
          </w:p>
        </w:tc>
        <w:tc>
          <w:tcPr>
            <w:tcW w:w="5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107,053</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24 %</w:t>
            </w:r>
          </w:p>
        </w:tc>
      </w:tr>
      <w:tr>
        <w:trPr>
          <w:trHeight w:val="105"/>
        </w:trPr>
        <w:tc>
          <w:tcPr>
            <w:tcW w:w="20" w:type="dxa"/>
            <w:vAlign w:val="bottom"/>
            <w:tcBorders>
              <w:top w:val="single" w:sz="8" w:color="CFF0FC"/>
            </w:tcBorders>
          </w:tcPr>
          <w:p>
            <w:pPr>
              <w:spacing w:after="0"/>
              <w:rPr>
                <w:sz w:val="9"/>
                <w:szCs w:val="9"/>
                <w:color w:val="auto"/>
              </w:rPr>
            </w:pPr>
          </w:p>
        </w:tc>
        <w:tc>
          <w:tcPr>
            <w:tcW w:w="840" w:type="dxa"/>
            <w:vAlign w:val="bottom"/>
            <w:tcBorders>
              <w:top w:val="single" w:sz="8" w:color="CFF0FC"/>
            </w:tcBorders>
          </w:tcPr>
          <w:p>
            <w:pPr>
              <w:spacing w:after="0"/>
              <w:rPr>
                <w:sz w:val="9"/>
                <w:szCs w:val="9"/>
                <w:color w:val="auto"/>
              </w:rPr>
            </w:pPr>
          </w:p>
        </w:tc>
        <w:tc>
          <w:tcPr>
            <w:tcW w:w="520" w:type="dxa"/>
            <w:vAlign w:val="bottom"/>
            <w:tcBorders>
              <w:top w:val="single" w:sz="8" w:color="CFF0FC"/>
            </w:tcBorders>
          </w:tcPr>
          <w:p>
            <w:pPr>
              <w:spacing w:after="0"/>
              <w:rPr>
                <w:sz w:val="9"/>
                <w:szCs w:val="9"/>
                <w:color w:val="auto"/>
              </w:rPr>
            </w:pPr>
          </w:p>
        </w:tc>
        <w:tc>
          <w:tcPr>
            <w:tcW w:w="1240" w:type="dxa"/>
            <w:vAlign w:val="bottom"/>
            <w:tcBorders>
              <w:top w:val="single" w:sz="8" w:color="CFF0FC"/>
            </w:tcBorders>
          </w:tcPr>
          <w:p>
            <w:pPr>
              <w:spacing w:after="0"/>
              <w:rPr>
                <w:sz w:val="9"/>
                <w:szCs w:val="9"/>
                <w:color w:val="auto"/>
              </w:rPr>
            </w:pPr>
          </w:p>
        </w:tc>
        <w:tc>
          <w:tcPr>
            <w:tcW w:w="1820" w:type="dxa"/>
            <w:vAlign w:val="bottom"/>
            <w:tcBorders>
              <w:top w:val="single" w:sz="8" w:color="CFF0FC"/>
            </w:tcBorders>
          </w:tcPr>
          <w:p>
            <w:pPr>
              <w:spacing w:after="0"/>
              <w:rPr>
                <w:sz w:val="9"/>
                <w:szCs w:val="9"/>
                <w:color w:val="auto"/>
              </w:rPr>
            </w:pPr>
          </w:p>
        </w:tc>
        <w:tc>
          <w:tcPr>
            <w:tcW w:w="1240" w:type="dxa"/>
            <w:vAlign w:val="bottom"/>
            <w:tcBorders>
              <w:top w:val="single" w:sz="8" w:color="CFF0FC"/>
            </w:tcBorders>
          </w:tcPr>
          <w:p>
            <w:pPr>
              <w:spacing w:after="0"/>
              <w:rPr>
                <w:sz w:val="9"/>
                <w:szCs w:val="9"/>
                <w:color w:val="auto"/>
              </w:rPr>
            </w:pPr>
          </w:p>
        </w:tc>
        <w:tc>
          <w:tcPr>
            <w:tcW w:w="940" w:type="dxa"/>
            <w:vAlign w:val="bottom"/>
            <w:tcBorders>
              <w:top w:val="single" w:sz="8" w:color="CFF0FC"/>
            </w:tcBorders>
          </w:tcPr>
          <w:p>
            <w:pPr>
              <w:spacing w:after="0"/>
              <w:rPr>
                <w:sz w:val="9"/>
                <w:szCs w:val="9"/>
                <w:color w:val="auto"/>
              </w:rPr>
            </w:pPr>
          </w:p>
        </w:tc>
        <w:tc>
          <w:tcPr>
            <w:tcW w:w="820" w:type="dxa"/>
            <w:vAlign w:val="bottom"/>
            <w:tcBorders>
              <w:top w:val="single" w:sz="8" w:color="CFF0FC"/>
            </w:tcBorders>
          </w:tcPr>
          <w:p>
            <w:pPr>
              <w:spacing w:after="0"/>
              <w:rPr>
                <w:sz w:val="9"/>
                <w:szCs w:val="9"/>
                <w:color w:val="auto"/>
              </w:rPr>
            </w:pPr>
          </w:p>
        </w:tc>
        <w:tc>
          <w:tcPr>
            <w:tcW w:w="780" w:type="dxa"/>
            <w:vAlign w:val="bottom"/>
            <w:tcBorders>
              <w:top w:val="single" w:sz="8" w:color="CFF0FC"/>
            </w:tcBorders>
          </w:tcPr>
          <w:p>
            <w:pPr>
              <w:spacing w:after="0"/>
              <w:rPr>
                <w:sz w:val="9"/>
                <w:szCs w:val="9"/>
                <w:color w:val="auto"/>
              </w:rPr>
            </w:pPr>
          </w:p>
        </w:tc>
        <w:tc>
          <w:tcPr>
            <w:tcW w:w="300" w:type="dxa"/>
            <w:vAlign w:val="bottom"/>
            <w:tcBorders>
              <w:top w:val="single" w:sz="8" w:color="CFF0FC"/>
            </w:tcBorders>
          </w:tcPr>
          <w:p>
            <w:pPr>
              <w:spacing w:after="0"/>
              <w:rPr>
                <w:sz w:val="9"/>
                <w:szCs w:val="9"/>
                <w:color w:val="auto"/>
              </w:rPr>
            </w:pPr>
          </w:p>
        </w:tc>
        <w:tc>
          <w:tcPr>
            <w:tcW w:w="64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660" w:type="dxa"/>
            <w:vAlign w:val="bottom"/>
            <w:tcBorders>
              <w:top w:val="single" w:sz="8" w:color="CFF0FC"/>
            </w:tcBorders>
          </w:tcPr>
          <w:p>
            <w:pPr>
              <w:spacing w:after="0"/>
              <w:rPr>
                <w:sz w:val="9"/>
                <w:szCs w:val="9"/>
                <w:color w:val="auto"/>
              </w:rPr>
            </w:pPr>
          </w:p>
        </w:tc>
      </w:tr>
      <w:tr>
        <w:trPr>
          <w:trHeight w:val="101"/>
        </w:trPr>
        <w:tc>
          <w:tcPr>
            <w:tcW w:w="2620" w:type="dxa"/>
            <w:vAlign w:val="bottom"/>
            <w:gridSpan w:val="4"/>
            <w:shd w:val="clear" w:color="auto" w:fill="CFF0FC"/>
          </w:tcPr>
          <w:p>
            <w:pPr>
              <w:ind w:left="20"/>
              <w:spacing w:after="0"/>
              <w:rPr>
                <w:sz w:val="20"/>
                <w:szCs w:val="20"/>
                <w:color w:val="auto"/>
              </w:rPr>
            </w:pPr>
            <w:r>
              <w:rPr>
                <w:rFonts w:ascii="Arial" w:cs="Arial" w:eastAsia="Arial" w:hAnsi="Arial"/>
                <w:sz w:val="8"/>
                <w:szCs w:val="8"/>
                <w:b w:val="1"/>
                <w:bCs w:val="1"/>
                <w:color w:val="auto"/>
              </w:rPr>
              <w:t>Non-control/Non-affiliate Investments</w:t>
            </w:r>
          </w:p>
        </w:tc>
        <w:tc>
          <w:tcPr>
            <w:tcW w:w="1820" w:type="dxa"/>
            <w:vAlign w:val="bottom"/>
            <w:shd w:val="clear" w:color="auto" w:fill="CFF0FC"/>
          </w:tcPr>
          <w:p>
            <w:pPr>
              <w:spacing w:after="0"/>
              <w:rPr>
                <w:sz w:val="8"/>
                <w:szCs w:val="8"/>
                <w:color w:val="auto"/>
              </w:rPr>
            </w:pPr>
          </w:p>
        </w:tc>
        <w:tc>
          <w:tcPr>
            <w:tcW w:w="124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r>
      <w:tr>
        <w:trPr>
          <w:trHeight w:val="25"/>
        </w:trPr>
        <w:tc>
          <w:tcPr>
            <w:tcW w:w="20" w:type="dxa"/>
            <w:vAlign w:val="bottom"/>
            <w:shd w:val="clear" w:color="auto" w:fill="CFF0FC"/>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40" w:type="dxa"/>
            <w:vAlign w:val="bottom"/>
            <w:shd w:val="clear" w:color="auto" w:fill="CFF0FC"/>
          </w:tcPr>
          <w:p>
            <w:pPr>
              <w:spacing w:after="0"/>
              <w:rPr>
                <w:sz w:val="2"/>
                <w:szCs w:val="2"/>
                <w:color w:val="auto"/>
              </w:rPr>
            </w:pPr>
          </w:p>
        </w:tc>
        <w:tc>
          <w:tcPr>
            <w:tcW w:w="1820" w:type="dxa"/>
            <w:vAlign w:val="bottom"/>
            <w:shd w:val="clear" w:color="auto" w:fill="CFF0FC"/>
          </w:tcPr>
          <w:p>
            <w:pPr>
              <w:spacing w:after="0"/>
              <w:rPr>
                <w:sz w:val="2"/>
                <w:szCs w:val="2"/>
                <w:color w:val="auto"/>
              </w:rPr>
            </w:pPr>
          </w:p>
        </w:tc>
        <w:tc>
          <w:tcPr>
            <w:tcW w:w="124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5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660" w:type="dxa"/>
            <w:vAlign w:val="bottom"/>
            <w:shd w:val="clear" w:color="auto" w:fill="CFF0FC"/>
          </w:tcPr>
          <w:p>
            <w:pPr>
              <w:spacing w:after="0"/>
              <w:rPr>
                <w:sz w:val="2"/>
                <w:szCs w:val="2"/>
                <w:color w:val="auto"/>
              </w:rPr>
            </w:pPr>
          </w:p>
        </w:tc>
      </w:tr>
      <w:tr>
        <w:trPr>
          <w:trHeight w:val="120"/>
        </w:trPr>
        <w:tc>
          <w:tcPr>
            <w:tcW w:w="2620" w:type="dxa"/>
            <w:vAlign w:val="bottom"/>
            <w:gridSpan w:val="4"/>
          </w:tcPr>
          <w:p>
            <w:pPr>
              <w:ind w:left="20"/>
              <w:spacing w:after="0"/>
              <w:rPr>
                <w:sz w:val="20"/>
                <w:szCs w:val="20"/>
                <w:color w:val="auto"/>
              </w:rPr>
            </w:pPr>
            <w:r>
              <w:rPr>
                <w:rFonts w:ascii="Arial" w:cs="Arial" w:eastAsia="Arial" w:hAnsi="Arial"/>
                <w:sz w:val="8"/>
                <w:szCs w:val="8"/>
                <w:i w:val="1"/>
                <w:iCs w:val="1"/>
                <w:color w:val="auto"/>
              </w:rPr>
              <w:t>2KDirect, Inc. (dba iPromote)</w:t>
            </w:r>
          </w:p>
        </w:tc>
        <w:tc>
          <w:tcPr>
            <w:tcW w:w="1820" w:type="dxa"/>
            <w:vAlign w:val="bottom"/>
          </w:tcPr>
          <w:p>
            <w:pPr>
              <w:ind w:left="320"/>
              <w:spacing w:after="0"/>
              <w:rPr>
                <w:sz w:val="20"/>
                <w:szCs w:val="20"/>
                <w:color w:val="auto"/>
              </w:rPr>
            </w:pPr>
            <w:r>
              <w:rPr>
                <w:rFonts w:ascii="Arial" w:cs="Arial" w:eastAsia="Arial" w:hAnsi="Arial"/>
                <w:sz w:val="8"/>
                <w:szCs w:val="8"/>
                <w:color w:val="auto"/>
              </w:rPr>
              <w:t>Information Technology Services</w:t>
            </w:r>
          </w:p>
        </w:tc>
        <w:tc>
          <w:tcPr>
            <w:tcW w:w="1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4"/>
        </w:trPr>
        <w:tc>
          <w:tcPr>
            <w:tcW w:w="20" w:type="dxa"/>
            <w:vAlign w:val="bottom"/>
            <w:shd w:val="clear" w:color="auto" w:fill="CFF0FC"/>
          </w:tcPr>
          <w:p>
            <w:pPr>
              <w:spacing w:after="0"/>
              <w:rPr>
                <w:sz w:val="11"/>
                <w:szCs w:val="11"/>
                <w:color w:val="auto"/>
              </w:rPr>
            </w:pPr>
          </w:p>
        </w:tc>
        <w:tc>
          <w:tcPr>
            <w:tcW w:w="2600" w:type="dxa"/>
            <w:vAlign w:val="bottom"/>
            <w:gridSpan w:val="3"/>
            <w:shd w:val="clear" w:color="auto" w:fill="CFF0FC"/>
          </w:tcPr>
          <w:p>
            <w:pPr>
              <w:ind w:left="120"/>
              <w:spacing w:after="0"/>
              <w:rPr>
                <w:sz w:val="20"/>
                <w:szCs w:val="20"/>
                <w:color w:val="auto"/>
              </w:rPr>
            </w:pPr>
            <w:r>
              <w:rPr>
                <w:rFonts w:ascii="Arial" w:cs="Arial" w:eastAsia="Arial" w:hAnsi="Arial"/>
                <w:sz w:val="8"/>
                <w:szCs w:val="8"/>
                <w:color w:val="auto"/>
              </w:rPr>
              <w:t>First Lien Debt (k)</w:t>
            </w:r>
          </w:p>
        </w:tc>
        <w:tc>
          <w:tcPr>
            <w:tcW w:w="1820" w:type="dxa"/>
            <w:vAlign w:val="bottom"/>
            <w:shd w:val="clear" w:color="auto" w:fill="CFF0FC"/>
          </w:tcPr>
          <w:p>
            <w:pPr>
              <w:spacing w:after="0"/>
              <w:rPr>
                <w:sz w:val="11"/>
                <w:szCs w:val="11"/>
                <w:color w:val="auto"/>
              </w:rPr>
            </w:pPr>
          </w:p>
        </w:tc>
        <w:tc>
          <w:tcPr>
            <w:tcW w:w="1240" w:type="dxa"/>
            <w:vAlign w:val="bottom"/>
            <w:shd w:val="clear" w:color="auto" w:fill="CFF0FC"/>
          </w:tcPr>
          <w:p>
            <w:pPr>
              <w:ind w:left="240"/>
              <w:spacing w:after="0"/>
              <w:rPr>
                <w:sz w:val="20"/>
                <w:szCs w:val="20"/>
                <w:color w:val="auto"/>
              </w:rPr>
            </w:pPr>
            <w:r>
              <w:rPr>
                <w:rFonts w:ascii="Arial" w:cs="Arial" w:eastAsia="Arial" w:hAnsi="Arial"/>
                <w:sz w:val="8"/>
                <w:szCs w:val="8"/>
                <w:color w:val="auto"/>
              </w:rPr>
              <w:t>(L + 6.75%) / (0.50%)</w:t>
            </w:r>
          </w:p>
        </w:tc>
        <w:tc>
          <w:tcPr>
            <w:tcW w:w="940" w:type="dxa"/>
            <w:vAlign w:val="bottom"/>
            <w:shd w:val="clear" w:color="auto" w:fill="CFF0FC"/>
          </w:tcPr>
          <w:p>
            <w:pPr>
              <w:ind w:left="220"/>
              <w:spacing w:after="0"/>
              <w:rPr>
                <w:sz w:val="20"/>
                <w:szCs w:val="20"/>
                <w:color w:val="auto"/>
              </w:rPr>
            </w:pPr>
            <w:r>
              <w:rPr>
                <w:rFonts w:ascii="Arial" w:cs="Arial" w:eastAsia="Arial" w:hAnsi="Arial"/>
                <w:sz w:val="8"/>
                <w:szCs w:val="8"/>
                <w:color w:val="auto"/>
              </w:rPr>
              <w:t>7.25%/0.00%</w:t>
            </w: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6/25/2021</w:t>
            </w:r>
          </w:p>
        </w:tc>
        <w:tc>
          <w:tcPr>
            <w:tcW w:w="780" w:type="dxa"/>
            <w:vAlign w:val="bottom"/>
            <w:shd w:val="clear" w:color="auto" w:fill="CFF0FC"/>
          </w:tcPr>
          <w:p>
            <w:pPr>
              <w:ind w:left="200"/>
              <w:spacing w:after="0"/>
              <w:rPr>
                <w:sz w:val="20"/>
                <w:szCs w:val="20"/>
                <w:color w:val="auto"/>
              </w:rPr>
            </w:pPr>
            <w:r>
              <w:rPr>
                <w:rFonts w:ascii="Arial" w:cs="Arial" w:eastAsia="Arial" w:hAnsi="Arial"/>
                <w:sz w:val="8"/>
                <w:szCs w:val="8"/>
                <w:color w:val="auto"/>
              </w:rPr>
              <w:t>6/25/2026</w:t>
            </w:r>
          </w:p>
        </w:tc>
        <w:tc>
          <w:tcPr>
            <w:tcW w:w="30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w:t>
            </w:r>
          </w:p>
        </w:tc>
        <w:tc>
          <w:tcPr>
            <w:tcW w:w="640" w:type="dxa"/>
            <w:vAlign w:val="bottom"/>
            <w:shd w:val="clear" w:color="auto" w:fill="CFF0FC"/>
          </w:tcPr>
          <w:p>
            <w:pPr>
              <w:jc w:val="right"/>
              <w:ind w:right="78"/>
              <w:spacing w:after="0"/>
              <w:rPr>
                <w:sz w:val="20"/>
                <w:szCs w:val="20"/>
                <w:color w:val="auto"/>
              </w:rPr>
            </w:pPr>
            <w:r>
              <w:rPr>
                <w:rFonts w:ascii="Arial" w:cs="Arial" w:eastAsia="Arial" w:hAnsi="Arial"/>
                <w:sz w:val="8"/>
                <w:szCs w:val="8"/>
                <w:color w:val="auto"/>
              </w:rPr>
              <w:t>13,000</w:t>
            </w:r>
          </w:p>
        </w:tc>
        <w:tc>
          <w:tcPr>
            <w:tcW w:w="140" w:type="dxa"/>
            <w:vAlign w:val="bottom"/>
            <w:shd w:val="clear" w:color="auto" w:fill="CFF0FC"/>
          </w:tcPr>
          <w:p>
            <w:pPr>
              <w:jc w:val="right"/>
              <w:ind w:right="38"/>
              <w:spacing w:after="0"/>
              <w:rPr>
                <w:sz w:val="20"/>
                <w:szCs w:val="20"/>
                <w:color w:val="auto"/>
              </w:rPr>
            </w:pPr>
            <w:r>
              <w:rPr>
                <w:rFonts w:ascii="Arial" w:cs="Arial" w:eastAsia="Arial" w:hAnsi="Arial"/>
                <w:sz w:val="8"/>
                <w:szCs w:val="8"/>
                <w:color w:val="auto"/>
                <w:w w:val="88"/>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12,917</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8"/>
                <w:szCs w:val="8"/>
                <w:color w:val="auto"/>
              </w:rPr>
              <w:t>$</w:t>
            </w:r>
          </w:p>
        </w:tc>
        <w:tc>
          <w:tcPr>
            <w:tcW w:w="5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12,917</w:t>
            </w:r>
          </w:p>
        </w:tc>
        <w:tc>
          <w:tcPr>
            <w:tcW w:w="660" w:type="dxa"/>
            <w:vAlign w:val="bottom"/>
            <w:shd w:val="clear" w:color="auto" w:fill="CFF0FC"/>
          </w:tcPr>
          <w:p>
            <w:pPr>
              <w:spacing w:after="0"/>
              <w:rPr>
                <w:sz w:val="11"/>
                <w:szCs w:val="11"/>
                <w:color w:val="auto"/>
              </w:rPr>
            </w:pPr>
          </w:p>
        </w:tc>
      </w:tr>
      <w:tr>
        <w:trPr>
          <w:trHeight w:val="120"/>
        </w:trPr>
        <w:tc>
          <w:tcPr>
            <w:tcW w:w="20" w:type="dxa"/>
            <w:vAlign w:val="bottom"/>
          </w:tcPr>
          <w:p>
            <w:pPr>
              <w:spacing w:after="0"/>
              <w:rPr>
                <w:sz w:val="10"/>
                <w:szCs w:val="10"/>
                <w:color w:val="auto"/>
              </w:rPr>
            </w:pPr>
          </w:p>
        </w:tc>
        <w:tc>
          <w:tcPr>
            <w:tcW w:w="2600" w:type="dxa"/>
            <w:vAlign w:val="bottom"/>
            <w:gridSpan w:val="3"/>
          </w:tcPr>
          <w:p>
            <w:pPr>
              <w:ind w:left="120"/>
              <w:spacing w:after="0"/>
              <w:rPr>
                <w:sz w:val="20"/>
                <w:szCs w:val="20"/>
                <w:color w:val="auto"/>
              </w:rPr>
            </w:pPr>
            <w:r>
              <w:rPr>
                <w:rFonts w:ascii="Arial" w:cs="Arial" w:eastAsia="Arial" w:hAnsi="Arial"/>
                <w:sz w:val="8"/>
                <w:szCs w:val="8"/>
                <w:color w:val="auto"/>
              </w:rPr>
              <w:t>First Lien Debt (aa)(j)</w:t>
            </w:r>
          </w:p>
        </w:tc>
        <w:tc>
          <w:tcPr>
            <w:tcW w:w="1820" w:type="dxa"/>
            <w:vAlign w:val="bottom"/>
          </w:tcPr>
          <w:p>
            <w:pPr>
              <w:spacing w:after="0"/>
              <w:rPr>
                <w:sz w:val="10"/>
                <w:szCs w:val="10"/>
                <w:color w:val="auto"/>
              </w:rPr>
            </w:pPr>
          </w:p>
        </w:tc>
        <w:tc>
          <w:tcPr>
            <w:tcW w:w="1240" w:type="dxa"/>
            <w:vAlign w:val="bottom"/>
          </w:tcPr>
          <w:p>
            <w:pPr>
              <w:ind w:left="240"/>
              <w:spacing w:after="0"/>
              <w:rPr>
                <w:sz w:val="20"/>
                <w:szCs w:val="20"/>
                <w:color w:val="auto"/>
              </w:rPr>
            </w:pPr>
            <w:r>
              <w:rPr>
                <w:rFonts w:ascii="Arial" w:cs="Arial" w:eastAsia="Arial" w:hAnsi="Arial"/>
                <w:sz w:val="8"/>
                <w:szCs w:val="8"/>
                <w:color w:val="auto"/>
              </w:rPr>
              <w:t>(L + 6.75%) / (0.50%)</w:t>
            </w:r>
          </w:p>
        </w:tc>
        <w:tc>
          <w:tcPr>
            <w:tcW w:w="940" w:type="dxa"/>
            <w:vAlign w:val="bottom"/>
          </w:tcPr>
          <w:p>
            <w:pPr>
              <w:ind w:left="220"/>
              <w:spacing w:after="0"/>
              <w:rPr>
                <w:sz w:val="20"/>
                <w:szCs w:val="20"/>
                <w:color w:val="auto"/>
              </w:rPr>
            </w:pPr>
            <w:r>
              <w:rPr>
                <w:rFonts w:ascii="Arial" w:cs="Arial" w:eastAsia="Arial" w:hAnsi="Arial"/>
                <w:sz w:val="8"/>
                <w:szCs w:val="8"/>
                <w:color w:val="auto"/>
              </w:rPr>
              <w:t>7.25%/0.00%</w:t>
            </w:r>
          </w:p>
        </w:tc>
        <w:tc>
          <w:tcPr>
            <w:tcW w:w="820" w:type="dxa"/>
            <w:vAlign w:val="bottom"/>
          </w:tcPr>
          <w:p>
            <w:pPr>
              <w:ind w:left="220"/>
              <w:spacing w:after="0"/>
              <w:rPr>
                <w:sz w:val="20"/>
                <w:szCs w:val="20"/>
                <w:color w:val="auto"/>
              </w:rPr>
            </w:pPr>
            <w:r>
              <w:rPr>
                <w:rFonts w:ascii="Arial" w:cs="Arial" w:eastAsia="Arial" w:hAnsi="Arial"/>
                <w:sz w:val="8"/>
                <w:szCs w:val="8"/>
                <w:color w:val="auto"/>
              </w:rPr>
              <w:t>7/30/2021</w:t>
            </w:r>
          </w:p>
        </w:tc>
        <w:tc>
          <w:tcPr>
            <w:tcW w:w="780" w:type="dxa"/>
            <w:vAlign w:val="bottom"/>
          </w:tcPr>
          <w:p>
            <w:pPr>
              <w:ind w:left="200"/>
              <w:spacing w:after="0"/>
              <w:rPr>
                <w:sz w:val="20"/>
                <w:szCs w:val="20"/>
                <w:color w:val="auto"/>
              </w:rPr>
            </w:pPr>
            <w:r>
              <w:rPr>
                <w:rFonts w:ascii="Arial" w:cs="Arial" w:eastAsia="Arial" w:hAnsi="Arial"/>
                <w:sz w:val="8"/>
                <w:szCs w:val="8"/>
                <w:color w:val="auto"/>
              </w:rPr>
              <w:t>6/25/2026</w:t>
            </w:r>
          </w:p>
        </w:tc>
        <w:tc>
          <w:tcPr>
            <w:tcW w:w="300" w:type="dxa"/>
            <w:vAlign w:val="bottom"/>
          </w:tcPr>
          <w:p>
            <w:pPr>
              <w:spacing w:after="0"/>
              <w:rPr>
                <w:sz w:val="10"/>
                <w:szCs w:val="10"/>
                <w:color w:val="auto"/>
              </w:rPr>
            </w:pPr>
          </w:p>
        </w:tc>
        <w:tc>
          <w:tcPr>
            <w:tcW w:w="640" w:type="dxa"/>
            <w:vAlign w:val="bottom"/>
          </w:tcPr>
          <w:p>
            <w:pPr>
              <w:jc w:val="right"/>
              <w:ind w:right="78"/>
              <w:spacing w:after="0"/>
              <w:rPr>
                <w:sz w:val="20"/>
                <w:szCs w:val="20"/>
                <w:color w:val="auto"/>
              </w:rPr>
            </w:pPr>
            <w:r>
              <w:rPr>
                <w:rFonts w:ascii="Arial" w:cs="Arial" w:eastAsia="Arial" w:hAnsi="Arial"/>
                <w:sz w:val="8"/>
                <w:szCs w:val="8"/>
                <w:color w:val="auto"/>
              </w:rPr>
              <w:t>4,000</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4,000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18"/>
              <w:spacing w:after="0"/>
              <w:rPr>
                <w:sz w:val="20"/>
                <w:szCs w:val="20"/>
                <w:color w:val="auto"/>
              </w:rPr>
            </w:pPr>
            <w:r>
              <w:rPr>
                <w:rFonts w:ascii="Arial" w:cs="Arial" w:eastAsia="Arial" w:hAnsi="Arial"/>
                <w:sz w:val="8"/>
                <w:szCs w:val="8"/>
                <w:color w:val="auto"/>
              </w:rPr>
              <w:t>4,000</w:t>
            </w:r>
          </w:p>
        </w:tc>
        <w:tc>
          <w:tcPr>
            <w:tcW w:w="660" w:type="dxa"/>
            <w:vAlign w:val="bottom"/>
          </w:tcPr>
          <w:p>
            <w:pPr>
              <w:spacing w:after="0"/>
              <w:rPr>
                <w:sz w:val="10"/>
                <w:szCs w:val="10"/>
                <w:color w:val="auto"/>
              </w:rPr>
            </w:pPr>
          </w:p>
        </w:tc>
      </w:tr>
      <w:tr>
        <w:trPr>
          <w:trHeight w:val="133"/>
        </w:trPr>
        <w:tc>
          <w:tcPr>
            <w:tcW w:w="20" w:type="dxa"/>
            <w:vAlign w:val="bottom"/>
            <w:tcBorders>
              <w:bottom w:val="single" w:sz="8" w:color="CFF0FC"/>
            </w:tcBorders>
            <w:shd w:val="clear" w:color="auto" w:fill="CFF0FC"/>
          </w:tcPr>
          <w:p>
            <w:pPr>
              <w:spacing w:after="0"/>
              <w:rPr>
                <w:sz w:val="11"/>
                <w:szCs w:val="11"/>
                <w:color w:val="auto"/>
              </w:rPr>
            </w:pPr>
          </w:p>
        </w:tc>
        <w:tc>
          <w:tcPr>
            <w:tcW w:w="2600" w:type="dxa"/>
            <w:vAlign w:val="bottom"/>
            <w:tcBorders>
              <w:bottom w:val="single" w:sz="8" w:color="CFF0FC"/>
            </w:tcBorders>
            <w:gridSpan w:val="3"/>
            <w:shd w:val="clear" w:color="auto" w:fill="CFF0FC"/>
          </w:tcPr>
          <w:p>
            <w:pPr>
              <w:ind w:left="120"/>
              <w:spacing w:after="0"/>
              <w:rPr>
                <w:sz w:val="20"/>
                <w:szCs w:val="20"/>
                <w:color w:val="auto"/>
              </w:rPr>
            </w:pPr>
            <w:r>
              <w:rPr>
                <w:rFonts w:ascii="Arial" w:cs="Arial" w:eastAsia="Arial" w:hAnsi="Arial"/>
                <w:sz w:val="8"/>
                <w:szCs w:val="8"/>
                <w:color w:val="auto"/>
              </w:rPr>
              <w:t>Common Equity (1,000,000 units)</w:t>
            </w:r>
          </w:p>
        </w:tc>
        <w:tc>
          <w:tcPr>
            <w:tcW w:w="1820" w:type="dxa"/>
            <w:vAlign w:val="bottom"/>
            <w:tcBorders>
              <w:bottom w:val="single" w:sz="8" w:color="CFF0FC"/>
            </w:tcBorders>
            <w:shd w:val="clear" w:color="auto" w:fill="CFF0FC"/>
          </w:tcPr>
          <w:p>
            <w:pPr>
              <w:spacing w:after="0"/>
              <w:rPr>
                <w:sz w:val="11"/>
                <w:szCs w:val="11"/>
                <w:color w:val="auto"/>
              </w:rPr>
            </w:pPr>
          </w:p>
        </w:tc>
        <w:tc>
          <w:tcPr>
            <w:tcW w:w="124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8"/>
                <w:szCs w:val="8"/>
                <w:color w:val="auto"/>
              </w:rPr>
              <w:t>6/25/2021</w:t>
            </w:r>
          </w:p>
        </w:tc>
        <w:tc>
          <w:tcPr>
            <w:tcW w:w="78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1,000</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8"/>
                <w:szCs w:val="8"/>
                <w:color w:val="auto"/>
              </w:rPr>
              <w:t>1,000</w:t>
            </w:r>
          </w:p>
        </w:tc>
        <w:tc>
          <w:tcPr>
            <w:tcW w:w="660" w:type="dxa"/>
            <w:vAlign w:val="bottom"/>
            <w:tcBorders>
              <w:bottom w:val="single" w:sz="8" w:color="CFF0FC"/>
            </w:tcBorders>
            <w:shd w:val="clear" w:color="auto" w:fill="CFF0FC"/>
          </w:tcPr>
          <w:p>
            <w:pPr>
              <w:spacing w:after="0"/>
              <w:rPr>
                <w:sz w:val="11"/>
                <w:szCs w:val="11"/>
                <w:color w:val="auto"/>
              </w:rPr>
            </w:pPr>
          </w:p>
        </w:tc>
      </w:tr>
      <w:tr>
        <w:trPr>
          <w:trHeight w:val="113"/>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17,917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right"/>
              <w:ind w:right="18"/>
              <w:spacing w:after="0"/>
              <w:rPr>
                <w:sz w:val="20"/>
                <w:szCs w:val="20"/>
                <w:color w:val="auto"/>
              </w:rPr>
            </w:pPr>
            <w:r>
              <w:rPr>
                <w:rFonts w:ascii="Arial" w:cs="Arial" w:eastAsia="Arial" w:hAnsi="Arial"/>
                <w:sz w:val="8"/>
                <w:szCs w:val="8"/>
                <w:color w:val="auto"/>
              </w:rPr>
              <w:t>17,917</w:t>
            </w:r>
          </w:p>
        </w:tc>
        <w:tc>
          <w:tcPr>
            <w:tcW w:w="660" w:type="dxa"/>
            <w:vAlign w:val="bottom"/>
          </w:tcPr>
          <w:p>
            <w:pPr>
              <w:jc w:val="right"/>
              <w:spacing w:after="0"/>
              <w:rPr>
                <w:sz w:val="20"/>
                <w:szCs w:val="20"/>
                <w:color w:val="auto"/>
              </w:rPr>
            </w:pPr>
            <w:r>
              <w:rPr>
                <w:rFonts w:ascii="Arial" w:cs="Arial" w:eastAsia="Arial" w:hAnsi="Arial"/>
                <w:sz w:val="8"/>
                <w:szCs w:val="8"/>
                <w:color w:val="auto"/>
              </w:rPr>
              <w:t>4 %</w:t>
            </w:r>
          </w:p>
        </w:tc>
      </w:tr>
      <w:tr>
        <w:trPr>
          <w:trHeight w:val="134"/>
        </w:trPr>
        <w:tc>
          <w:tcPr>
            <w:tcW w:w="2620" w:type="dxa"/>
            <w:vAlign w:val="bottom"/>
            <w:gridSpan w:val="4"/>
            <w:shd w:val="clear" w:color="auto" w:fill="CFF0FC"/>
          </w:tcPr>
          <w:p>
            <w:pPr>
              <w:ind w:left="20"/>
              <w:spacing w:after="0"/>
              <w:rPr>
                <w:sz w:val="20"/>
                <w:szCs w:val="20"/>
                <w:color w:val="auto"/>
              </w:rPr>
            </w:pPr>
            <w:r>
              <w:rPr>
                <w:rFonts w:ascii="Arial" w:cs="Arial" w:eastAsia="Arial" w:hAnsi="Arial"/>
                <w:sz w:val="8"/>
                <w:szCs w:val="8"/>
                <w:i w:val="1"/>
                <w:iCs w:val="1"/>
                <w:color w:val="auto"/>
              </w:rPr>
              <w:t>Aeronix Inc.</w:t>
            </w:r>
          </w:p>
        </w:tc>
        <w:tc>
          <w:tcPr>
            <w:tcW w:w="1820" w:type="dxa"/>
            <w:vAlign w:val="bottom"/>
            <w:shd w:val="clear" w:color="auto" w:fill="CFF0FC"/>
          </w:tcPr>
          <w:p>
            <w:pPr>
              <w:ind w:left="320"/>
              <w:spacing w:after="0"/>
              <w:rPr>
                <w:sz w:val="20"/>
                <w:szCs w:val="20"/>
                <w:color w:val="auto"/>
              </w:rPr>
            </w:pPr>
            <w:r>
              <w:rPr>
                <w:rFonts w:ascii="Arial" w:cs="Arial" w:eastAsia="Arial" w:hAnsi="Arial"/>
                <w:sz w:val="8"/>
                <w:szCs w:val="8"/>
                <w:color w:val="auto"/>
              </w:rPr>
              <w:t>Aerospace &amp; Defense Manufacturing</w:t>
            </w:r>
          </w:p>
        </w:tc>
        <w:tc>
          <w:tcPr>
            <w:tcW w:w="1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0" w:type="dxa"/>
            <w:vAlign w:val="bottom"/>
          </w:tcPr>
          <w:p>
            <w:pPr>
              <w:spacing w:after="0"/>
              <w:rPr>
                <w:sz w:val="10"/>
                <w:szCs w:val="10"/>
                <w:color w:val="auto"/>
              </w:rPr>
            </w:pPr>
          </w:p>
        </w:tc>
        <w:tc>
          <w:tcPr>
            <w:tcW w:w="2600" w:type="dxa"/>
            <w:vAlign w:val="bottom"/>
            <w:gridSpan w:val="3"/>
          </w:tcPr>
          <w:p>
            <w:pPr>
              <w:ind w:left="120"/>
              <w:spacing w:after="0"/>
              <w:rPr>
                <w:sz w:val="20"/>
                <w:szCs w:val="20"/>
                <w:color w:val="auto"/>
              </w:rPr>
            </w:pPr>
            <w:r>
              <w:rPr>
                <w:rFonts w:ascii="Arial" w:cs="Arial" w:eastAsia="Arial" w:hAnsi="Arial"/>
                <w:sz w:val="8"/>
                <w:szCs w:val="8"/>
                <w:color w:val="auto"/>
              </w:rPr>
              <w:t>First Lien Debt (ai)</w:t>
            </w:r>
          </w:p>
        </w:tc>
        <w:tc>
          <w:tcPr>
            <w:tcW w:w="1820" w:type="dxa"/>
            <w:vAlign w:val="bottom"/>
          </w:tcPr>
          <w:p>
            <w:pPr>
              <w:spacing w:after="0"/>
              <w:rPr>
                <w:sz w:val="10"/>
                <w:szCs w:val="10"/>
                <w:color w:val="auto"/>
              </w:rPr>
            </w:pPr>
          </w:p>
        </w:tc>
        <w:tc>
          <w:tcPr>
            <w:tcW w:w="1240" w:type="dxa"/>
            <w:vAlign w:val="bottom"/>
          </w:tcPr>
          <w:p>
            <w:pPr>
              <w:ind w:left="240"/>
              <w:spacing w:after="0"/>
              <w:rPr>
                <w:sz w:val="20"/>
                <w:szCs w:val="20"/>
                <w:color w:val="auto"/>
              </w:rPr>
            </w:pPr>
            <w:r>
              <w:rPr>
                <w:rFonts w:ascii="Arial" w:cs="Arial" w:eastAsia="Arial" w:hAnsi="Arial"/>
                <w:sz w:val="8"/>
                <w:szCs w:val="8"/>
                <w:color w:val="auto"/>
              </w:rPr>
              <w:t>(L + 5.88%) / (0.50%)</w:t>
            </w:r>
          </w:p>
        </w:tc>
        <w:tc>
          <w:tcPr>
            <w:tcW w:w="940" w:type="dxa"/>
            <w:vAlign w:val="bottom"/>
          </w:tcPr>
          <w:p>
            <w:pPr>
              <w:ind w:left="220"/>
              <w:spacing w:after="0"/>
              <w:rPr>
                <w:sz w:val="20"/>
                <w:szCs w:val="20"/>
                <w:color w:val="auto"/>
              </w:rPr>
            </w:pPr>
            <w:r>
              <w:rPr>
                <w:rFonts w:ascii="Arial" w:cs="Arial" w:eastAsia="Arial" w:hAnsi="Arial"/>
                <w:sz w:val="8"/>
                <w:szCs w:val="8"/>
                <w:color w:val="auto"/>
              </w:rPr>
              <w:t>6.38%/0.00%</w:t>
            </w:r>
          </w:p>
        </w:tc>
        <w:tc>
          <w:tcPr>
            <w:tcW w:w="820" w:type="dxa"/>
            <w:vAlign w:val="bottom"/>
          </w:tcPr>
          <w:p>
            <w:pPr>
              <w:ind w:left="220"/>
              <w:spacing w:after="0"/>
              <w:rPr>
                <w:sz w:val="20"/>
                <w:szCs w:val="20"/>
                <w:color w:val="auto"/>
              </w:rPr>
            </w:pPr>
            <w:r>
              <w:rPr>
                <w:rFonts w:ascii="Arial" w:cs="Arial" w:eastAsia="Arial" w:hAnsi="Arial"/>
                <w:sz w:val="8"/>
                <w:szCs w:val="8"/>
                <w:color w:val="auto"/>
              </w:rPr>
              <w:t>6/11/2021</w:t>
            </w:r>
          </w:p>
        </w:tc>
        <w:tc>
          <w:tcPr>
            <w:tcW w:w="780" w:type="dxa"/>
            <w:vAlign w:val="bottom"/>
          </w:tcPr>
          <w:p>
            <w:pPr>
              <w:ind w:left="200"/>
              <w:spacing w:after="0"/>
              <w:rPr>
                <w:sz w:val="20"/>
                <w:szCs w:val="20"/>
                <w:color w:val="auto"/>
              </w:rPr>
            </w:pPr>
            <w:r>
              <w:rPr>
                <w:rFonts w:ascii="Arial" w:cs="Arial" w:eastAsia="Arial" w:hAnsi="Arial"/>
                <w:sz w:val="8"/>
                <w:szCs w:val="8"/>
                <w:color w:val="auto"/>
              </w:rPr>
              <w:t>6/11/2026</w:t>
            </w:r>
          </w:p>
        </w:tc>
        <w:tc>
          <w:tcPr>
            <w:tcW w:w="300" w:type="dxa"/>
            <w:vAlign w:val="bottom"/>
          </w:tcPr>
          <w:p>
            <w:pPr>
              <w:spacing w:after="0"/>
              <w:rPr>
                <w:sz w:val="10"/>
                <w:szCs w:val="10"/>
                <w:color w:val="auto"/>
              </w:rPr>
            </w:pPr>
          </w:p>
        </w:tc>
        <w:tc>
          <w:tcPr>
            <w:tcW w:w="640" w:type="dxa"/>
            <w:vAlign w:val="bottom"/>
          </w:tcPr>
          <w:p>
            <w:pPr>
              <w:jc w:val="right"/>
              <w:ind w:right="78"/>
              <w:spacing w:after="0"/>
              <w:rPr>
                <w:sz w:val="20"/>
                <w:szCs w:val="20"/>
                <w:color w:val="auto"/>
              </w:rPr>
            </w:pPr>
            <w:r>
              <w:rPr>
                <w:rFonts w:ascii="Arial" w:cs="Arial" w:eastAsia="Arial" w:hAnsi="Arial"/>
                <w:sz w:val="8"/>
                <w:szCs w:val="8"/>
                <w:color w:val="auto"/>
              </w:rPr>
              <w:t>6,500</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6,457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18"/>
              <w:spacing w:after="0"/>
              <w:rPr>
                <w:sz w:val="20"/>
                <w:szCs w:val="20"/>
                <w:color w:val="auto"/>
              </w:rPr>
            </w:pPr>
            <w:r>
              <w:rPr>
                <w:rFonts w:ascii="Arial" w:cs="Arial" w:eastAsia="Arial" w:hAnsi="Arial"/>
                <w:sz w:val="8"/>
                <w:szCs w:val="8"/>
                <w:color w:val="auto"/>
              </w:rPr>
              <w:t>6,457</w:t>
            </w:r>
          </w:p>
        </w:tc>
        <w:tc>
          <w:tcPr>
            <w:tcW w:w="660" w:type="dxa"/>
            <w:vAlign w:val="bottom"/>
          </w:tcPr>
          <w:p>
            <w:pPr>
              <w:spacing w:after="0"/>
              <w:rPr>
                <w:sz w:val="10"/>
                <w:szCs w:val="10"/>
                <w:color w:val="auto"/>
              </w:rPr>
            </w:pPr>
          </w:p>
        </w:tc>
      </w:tr>
      <w:tr>
        <w:trPr>
          <w:trHeight w:val="133"/>
        </w:trPr>
        <w:tc>
          <w:tcPr>
            <w:tcW w:w="20" w:type="dxa"/>
            <w:vAlign w:val="bottom"/>
            <w:tcBorders>
              <w:bottom w:val="single" w:sz="8" w:color="CFF0FC"/>
            </w:tcBorders>
            <w:shd w:val="clear" w:color="auto" w:fill="CFF0FC"/>
          </w:tcPr>
          <w:p>
            <w:pPr>
              <w:spacing w:after="0"/>
              <w:rPr>
                <w:sz w:val="11"/>
                <w:szCs w:val="11"/>
                <w:color w:val="auto"/>
              </w:rPr>
            </w:pPr>
          </w:p>
        </w:tc>
        <w:tc>
          <w:tcPr>
            <w:tcW w:w="2600" w:type="dxa"/>
            <w:vAlign w:val="bottom"/>
            <w:tcBorders>
              <w:bottom w:val="single" w:sz="8" w:color="CFF0FC"/>
            </w:tcBorders>
            <w:gridSpan w:val="3"/>
            <w:shd w:val="clear" w:color="auto" w:fill="CFF0FC"/>
          </w:tcPr>
          <w:p>
            <w:pPr>
              <w:ind w:left="120"/>
              <w:spacing w:after="0"/>
              <w:rPr>
                <w:sz w:val="20"/>
                <w:szCs w:val="20"/>
                <w:color w:val="auto"/>
              </w:rPr>
            </w:pPr>
            <w:r>
              <w:rPr>
                <w:rFonts w:ascii="Arial" w:cs="Arial" w:eastAsia="Arial" w:hAnsi="Arial"/>
                <w:sz w:val="8"/>
                <w:szCs w:val="8"/>
                <w:color w:val="auto"/>
              </w:rPr>
              <w:t>Common Equity (500 units)</w:t>
            </w:r>
          </w:p>
        </w:tc>
        <w:tc>
          <w:tcPr>
            <w:tcW w:w="1820" w:type="dxa"/>
            <w:vAlign w:val="bottom"/>
            <w:tcBorders>
              <w:bottom w:val="single" w:sz="8" w:color="CFF0FC"/>
            </w:tcBorders>
            <w:shd w:val="clear" w:color="auto" w:fill="CFF0FC"/>
          </w:tcPr>
          <w:p>
            <w:pPr>
              <w:spacing w:after="0"/>
              <w:rPr>
                <w:sz w:val="11"/>
                <w:szCs w:val="11"/>
                <w:color w:val="auto"/>
              </w:rPr>
            </w:pPr>
          </w:p>
        </w:tc>
        <w:tc>
          <w:tcPr>
            <w:tcW w:w="124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8"/>
                <w:szCs w:val="8"/>
                <w:color w:val="auto"/>
              </w:rPr>
              <w:t>6/11/2021</w:t>
            </w:r>
          </w:p>
        </w:tc>
        <w:tc>
          <w:tcPr>
            <w:tcW w:w="78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500</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8"/>
                <w:szCs w:val="8"/>
                <w:color w:val="auto"/>
              </w:rPr>
              <w:t>500</w:t>
            </w:r>
          </w:p>
        </w:tc>
        <w:tc>
          <w:tcPr>
            <w:tcW w:w="660" w:type="dxa"/>
            <w:vAlign w:val="bottom"/>
            <w:tcBorders>
              <w:bottom w:val="single" w:sz="8" w:color="CFF0FC"/>
            </w:tcBorders>
            <w:shd w:val="clear" w:color="auto" w:fill="CFF0FC"/>
          </w:tcPr>
          <w:p>
            <w:pPr>
              <w:spacing w:after="0"/>
              <w:rPr>
                <w:sz w:val="11"/>
                <w:szCs w:val="11"/>
                <w:color w:val="auto"/>
              </w:rPr>
            </w:pPr>
          </w:p>
        </w:tc>
      </w:tr>
      <w:tr>
        <w:trPr>
          <w:trHeight w:val="113"/>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6,957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right"/>
              <w:ind w:right="18"/>
              <w:spacing w:after="0"/>
              <w:rPr>
                <w:sz w:val="20"/>
                <w:szCs w:val="20"/>
                <w:color w:val="auto"/>
              </w:rPr>
            </w:pPr>
            <w:r>
              <w:rPr>
                <w:rFonts w:ascii="Arial" w:cs="Arial" w:eastAsia="Arial" w:hAnsi="Arial"/>
                <w:sz w:val="8"/>
                <w:szCs w:val="8"/>
                <w:color w:val="auto"/>
              </w:rPr>
              <w:t>6,957</w:t>
            </w:r>
          </w:p>
        </w:tc>
        <w:tc>
          <w:tcPr>
            <w:tcW w:w="660" w:type="dxa"/>
            <w:vAlign w:val="bottom"/>
          </w:tcPr>
          <w:p>
            <w:pPr>
              <w:jc w:val="right"/>
              <w:spacing w:after="0"/>
              <w:rPr>
                <w:sz w:val="20"/>
                <w:szCs w:val="20"/>
                <w:color w:val="auto"/>
              </w:rPr>
            </w:pPr>
            <w:r>
              <w:rPr>
                <w:rFonts w:ascii="Arial" w:cs="Arial" w:eastAsia="Arial" w:hAnsi="Arial"/>
                <w:sz w:val="8"/>
                <w:szCs w:val="8"/>
                <w:color w:val="auto"/>
              </w:rPr>
              <w:t>2 %</w:t>
            </w:r>
          </w:p>
        </w:tc>
      </w:tr>
      <w:tr>
        <w:trPr>
          <w:trHeight w:val="134"/>
        </w:trPr>
        <w:tc>
          <w:tcPr>
            <w:tcW w:w="2620" w:type="dxa"/>
            <w:vAlign w:val="bottom"/>
            <w:gridSpan w:val="4"/>
            <w:shd w:val="clear" w:color="auto" w:fill="CFF0FC"/>
          </w:tcPr>
          <w:p>
            <w:pPr>
              <w:ind w:left="20"/>
              <w:spacing w:after="0"/>
              <w:rPr>
                <w:sz w:val="20"/>
                <w:szCs w:val="20"/>
                <w:color w:val="auto"/>
              </w:rPr>
            </w:pPr>
            <w:r>
              <w:rPr>
                <w:rFonts w:ascii="Arial" w:cs="Arial" w:eastAsia="Arial" w:hAnsi="Arial"/>
                <w:sz w:val="8"/>
                <w:szCs w:val="8"/>
                <w:i w:val="1"/>
                <w:iCs w:val="1"/>
                <w:color w:val="auto"/>
              </w:rPr>
              <w:t>Allredi, LLC (fka Marco Group International OpCo, LLC)</w:t>
            </w:r>
          </w:p>
        </w:tc>
        <w:tc>
          <w:tcPr>
            <w:tcW w:w="1820" w:type="dxa"/>
            <w:vAlign w:val="bottom"/>
            <w:shd w:val="clear" w:color="auto" w:fill="CFF0FC"/>
          </w:tcPr>
          <w:p>
            <w:pPr>
              <w:ind w:left="320"/>
              <w:spacing w:after="0"/>
              <w:rPr>
                <w:sz w:val="20"/>
                <w:szCs w:val="20"/>
                <w:color w:val="auto"/>
              </w:rPr>
            </w:pPr>
            <w:r>
              <w:rPr>
                <w:rFonts w:ascii="Arial" w:cs="Arial" w:eastAsia="Arial" w:hAnsi="Arial"/>
                <w:sz w:val="8"/>
                <w:szCs w:val="8"/>
                <w:color w:val="auto"/>
              </w:rPr>
              <w:t>Industrial Cleaning &amp; Coatings</w:t>
            </w:r>
          </w:p>
        </w:tc>
        <w:tc>
          <w:tcPr>
            <w:tcW w:w="1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0" w:type="dxa"/>
            <w:vAlign w:val="bottom"/>
          </w:tcPr>
          <w:p>
            <w:pPr>
              <w:spacing w:after="0"/>
              <w:rPr>
                <w:sz w:val="10"/>
                <w:szCs w:val="10"/>
                <w:color w:val="auto"/>
              </w:rPr>
            </w:pPr>
          </w:p>
        </w:tc>
        <w:tc>
          <w:tcPr>
            <w:tcW w:w="2600" w:type="dxa"/>
            <w:vAlign w:val="bottom"/>
            <w:gridSpan w:val="3"/>
          </w:tcPr>
          <w:p>
            <w:pPr>
              <w:ind w:left="120"/>
              <w:spacing w:after="0"/>
              <w:rPr>
                <w:sz w:val="20"/>
                <w:szCs w:val="20"/>
                <w:color w:val="auto"/>
              </w:rPr>
            </w:pPr>
            <w:r>
              <w:rPr>
                <w:rFonts w:ascii="Arial" w:cs="Arial" w:eastAsia="Arial" w:hAnsi="Arial"/>
                <w:sz w:val="8"/>
                <w:szCs w:val="8"/>
                <w:color w:val="auto"/>
              </w:rPr>
              <w:t>Second Lien Debt</w:t>
            </w:r>
          </w:p>
        </w:tc>
        <w:tc>
          <w:tcPr>
            <w:tcW w:w="1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40" w:type="dxa"/>
            <w:vAlign w:val="bottom"/>
          </w:tcPr>
          <w:p>
            <w:pPr>
              <w:ind w:left="220"/>
              <w:spacing w:after="0"/>
              <w:rPr>
                <w:sz w:val="20"/>
                <w:szCs w:val="20"/>
                <w:color w:val="auto"/>
              </w:rPr>
            </w:pPr>
            <w:r>
              <w:rPr>
                <w:rFonts w:ascii="Arial" w:cs="Arial" w:eastAsia="Arial" w:hAnsi="Arial"/>
                <w:sz w:val="8"/>
                <w:szCs w:val="8"/>
                <w:color w:val="auto"/>
              </w:rPr>
              <w:t>10.50%/1.75%</w:t>
            </w:r>
          </w:p>
        </w:tc>
        <w:tc>
          <w:tcPr>
            <w:tcW w:w="820" w:type="dxa"/>
            <w:vAlign w:val="bottom"/>
          </w:tcPr>
          <w:p>
            <w:pPr>
              <w:ind w:left="220"/>
              <w:spacing w:after="0"/>
              <w:rPr>
                <w:sz w:val="20"/>
                <w:szCs w:val="20"/>
                <w:color w:val="auto"/>
              </w:rPr>
            </w:pPr>
            <w:r>
              <w:rPr>
                <w:rFonts w:ascii="Arial" w:cs="Arial" w:eastAsia="Arial" w:hAnsi="Arial"/>
                <w:sz w:val="8"/>
                <w:szCs w:val="8"/>
                <w:color w:val="auto"/>
              </w:rPr>
              <w:t>3/2/2020</w:t>
            </w:r>
          </w:p>
        </w:tc>
        <w:tc>
          <w:tcPr>
            <w:tcW w:w="780" w:type="dxa"/>
            <w:vAlign w:val="bottom"/>
          </w:tcPr>
          <w:p>
            <w:pPr>
              <w:ind w:left="200"/>
              <w:spacing w:after="0"/>
              <w:rPr>
                <w:sz w:val="20"/>
                <w:szCs w:val="20"/>
                <w:color w:val="auto"/>
              </w:rPr>
            </w:pPr>
            <w:r>
              <w:rPr>
                <w:rFonts w:ascii="Arial" w:cs="Arial" w:eastAsia="Arial" w:hAnsi="Arial"/>
                <w:sz w:val="8"/>
                <w:szCs w:val="8"/>
                <w:color w:val="auto"/>
              </w:rPr>
              <w:t>9/2/2026</w:t>
            </w:r>
          </w:p>
        </w:tc>
        <w:tc>
          <w:tcPr>
            <w:tcW w:w="300" w:type="dxa"/>
            <w:vAlign w:val="bottom"/>
          </w:tcPr>
          <w:p>
            <w:pPr>
              <w:spacing w:after="0"/>
              <w:rPr>
                <w:sz w:val="10"/>
                <w:szCs w:val="10"/>
                <w:color w:val="auto"/>
              </w:rPr>
            </w:pPr>
          </w:p>
        </w:tc>
        <w:tc>
          <w:tcPr>
            <w:tcW w:w="640" w:type="dxa"/>
            <w:vAlign w:val="bottom"/>
          </w:tcPr>
          <w:p>
            <w:pPr>
              <w:jc w:val="right"/>
              <w:ind w:right="78"/>
              <w:spacing w:after="0"/>
              <w:rPr>
                <w:sz w:val="20"/>
                <w:szCs w:val="20"/>
                <w:color w:val="auto"/>
              </w:rPr>
            </w:pPr>
            <w:r>
              <w:rPr>
                <w:rFonts w:ascii="Arial" w:cs="Arial" w:eastAsia="Arial" w:hAnsi="Arial"/>
                <w:sz w:val="8"/>
                <w:szCs w:val="8"/>
                <w:color w:val="auto"/>
              </w:rPr>
              <w:t>10,215</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10,139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18"/>
              <w:spacing w:after="0"/>
              <w:rPr>
                <w:sz w:val="20"/>
                <w:szCs w:val="20"/>
                <w:color w:val="auto"/>
              </w:rPr>
            </w:pPr>
            <w:r>
              <w:rPr>
                <w:rFonts w:ascii="Arial" w:cs="Arial" w:eastAsia="Arial" w:hAnsi="Arial"/>
                <w:sz w:val="8"/>
                <w:szCs w:val="8"/>
                <w:color w:val="auto"/>
              </w:rPr>
              <w:t>8,491</w:t>
            </w:r>
          </w:p>
        </w:tc>
        <w:tc>
          <w:tcPr>
            <w:tcW w:w="660" w:type="dxa"/>
            <w:vAlign w:val="bottom"/>
          </w:tcPr>
          <w:p>
            <w:pPr>
              <w:spacing w:after="0"/>
              <w:rPr>
                <w:sz w:val="10"/>
                <w:szCs w:val="10"/>
                <w:color w:val="auto"/>
              </w:rPr>
            </w:pPr>
          </w:p>
        </w:tc>
      </w:tr>
      <w:tr>
        <w:trPr>
          <w:trHeight w:val="133"/>
        </w:trPr>
        <w:tc>
          <w:tcPr>
            <w:tcW w:w="20" w:type="dxa"/>
            <w:vAlign w:val="bottom"/>
            <w:tcBorders>
              <w:bottom w:val="single" w:sz="8" w:color="CFF0FC"/>
            </w:tcBorders>
            <w:shd w:val="clear" w:color="auto" w:fill="CFF0FC"/>
          </w:tcPr>
          <w:p>
            <w:pPr>
              <w:spacing w:after="0"/>
              <w:rPr>
                <w:sz w:val="11"/>
                <w:szCs w:val="11"/>
                <w:color w:val="auto"/>
              </w:rPr>
            </w:pPr>
          </w:p>
        </w:tc>
        <w:tc>
          <w:tcPr>
            <w:tcW w:w="2600" w:type="dxa"/>
            <w:vAlign w:val="bottom"/>
            <w:tcBorders>
              <w:bottom w:val="single" w:sz="8" w:color="CFF0FC"/>
            </w:tcBorders>
            <w:gridSpan w:val="3"/>
            <w:shd w:val="clear" w:color="auto" w:fill="CFF0FC"/>
          </w:tcPr>
          <w:p>
            <w:pPr>
              <w:ind w:left="120"/>
              <w:spacing w:after="0"/>
              <w:rPr>
                <w:sz w:val="20"/>
                <w:szCs w:val="20"/>
                <w:color w:val="auto"/>
              </w:rPr>
            </w:pPr>
            <w:r>
              <w:rPr>
                <w:rFonts w:ascii="Arial" w:cs="Arial" w:eastAsia="Arial" w:hAnsi="Arial"/>
                <w:sz w:val="8"/>
                <w:szCs w:val="8"/>
                <w:color w:val="auto"/>
              </w:rPr>
              <w:t>Common Equity (570,636 units) (h)(j)</w:t>
            </w:r>
          </w:p>
        </w:tc>
        <w:tc>
          <w:tcPr>
            <w:tcW w:w="1820" w:type="dxa"/>
            <w:vAlign w:val="bottom"/>
            <w:tcBorders>
              <w:bottom w:val="single" w:sz="8" w:color="CFF0FC"/>
            </w:tcBorders>
            <w:shd w:val="clear" w:color="auto" w:fill="CFF0FC"/>
          </w:tcPr>
          <w:p>
            <w:pPr>
              <w:spacing w:after="0"/>
              <w:rPr>
                <w:sz w:val="11"/>
                <w:szCs w:val="11"/>
                <w:color w:val="auto"/>
              </w:rPr>
            </w:pPr>
          </w:p>
        </w:tc>
        <w:tc>
          <w:tcPr>
            <w:tcW w:w="124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8"/>
                <w:szCs w:val="8"/>
                <w:color w:val="auto"/>
              </w:rPr>
              <w:t>7/21/2017</w:t>
            </w:r>
          </w:p>
        </w:tc>
        <w:tc>
          <w:tcPr>
            <w:tcW w:w="78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637</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8"/>
                <w:szCs w:val="8"/>
                <w:color w:val="auto"/>
              </w:rPr>
              <w:t>211</w:t>
            </w:r>
          </w:p>
        </w:tc>
        <w:tc>
          <w:tcPr>
            <w:tcW w:w="660" w:type="dxa"/>
            <w:vAlign w:val="bottom"/>
            <w:tcBorders>
              <w:bottom w:val="single" w:sz="8" w:color="CFF0FC"/>
            </w:tcBorders>
            <w:shd w:val="clear" w:color="auto" w:fill="CFF0FC"/>
          </w:tcPr>
          <w:p>
            <w:pPr>
              <w:spacing w:after="0"/>
              <w:rPr>
                <w:sz w:val="11"/>
                <w:szCs w:val="11"/>
                <w:color w:val="auto"/>
              </w:rPr>
            </w:pPr>
          </w:p>
        </w:tc>
      </w:tr>
      <w:tr>
        <w:trPr>
          <w:trHeight w:val="113"/>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10,776</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right"/>
              <w:ind w:right="18"/>
              <w:spacing w:after="0"/>
              <w:rPr>
                <w:sz w:val="20"/>
                <w:szCs w:val="20"/>
                <w:color w:val="auto"/>
              </w:rPr>
            </w:pPr>
            <w:r>
              <w:rPr>
                <w:rFonts w:ascii="Arial" w:cs="Arial" w:eastAsia="Arial" w:hAnsi="Arial"/>
                <w:sz w:val="8"/>
                <w:szCs w:val="8"/>
                <w:color w:val="auto"/>
              </w:rPr>
              <w:t>8,702</w:t>
            </w:r>
          </w:p>
        </w:tc>
        <w:tc>
          <w:tcPr>
            <w:tcW w:w="660" w:type="dxa"/>
            <w:vAlign w:val="bottom"/>
          </w:tcPr>
          <w:p>
            <w:pPr>
              <w:jc w:val="right"/>
              <w:spacing w:after="0"/>
              <w:rPr>
                <w:sz w:val="20"/>
                <w:szCs w:val="20"/>
                <w:color w:val="auto"/>
              </w:rPr>
            </w:pPr>
            <w:r>
              <w:rPr>
                <w:rFonts w:ascii="Arial" w:cs="Arial" w:eastAsia="Arial" w:hAnsi="Arial"/>
                <w:sz w:val="8"/>
                <w:szCs w:val="8"/>
                <w:color w:val="auto"/>
              </w:rPr>
              <w:t>2 %</w:t>
            </w:r>
          </w:p>
        </w:tc>
      </w:tr>
      <w:tr>
        <w:trPr>
          <w:trHeight w:val="134"/>
        </w:trPr>
        <w:tc>
          <w:tcPr>
            <w:tcW w:w="2620" w:type="dxa"/>
            <w:vAlign w:val="bottom"/>
            <w:gridSpan w:val="4"/>
            <w:shd w:val="clear" w:color="auto" w:fill="CFF0FC"/>
          </w:tcPr>
          <w:p>
            <w:pPr>
              <w:ind w:left="20"/>
              <w:spacing w:after="0"/>
              <w:rPr>
                <w:sz w:val="20"/>
                <w:szCs w:val="20"/>
                <w:color w:val="auto"/>
              </w:rPr>
            </w:pPr>
            <w:r>
              <w:rPr>
                <w:rFonts w:ascii="Arial" w:cs="Arial" w:eastAsia="Arial" w:hAnsi="Arial"/>
                <w:sz w:val="8"/>
                <w:szCs w:val="8"/>
                <w:i w:val="1"/>
                <w:iCs w:val="1"/>
                <w:color w:val="auto"/>
              </w:rPr>
              <w:t>Alzheimer's Research and Treatment Center, LLC</w:t>
            </w:r>
          </w:p>
        </w:tc>
        <w:tc>
          <w:tcPr>
            <w:tcW w:w="1820" w:type="dxa"/>
            <w:vAlign w:val="bottom"/>
            <w:shd w:val="clear" w:color="auto" w:fill="CFF0FC"/>
          </w:tcPr>
          <w:p>
            <w:pPr>
              <w:ind w:left="320"/>
              <w:spacing w:after="0"/>
              <w:rPr>
                <w:sz w:val="20"/>
                <w:szCs w:val="20"/>
                <w:color w:val="auto"/>
              </w:rPr>
            </w:pPr>
            <w:r>
              <w:rPr>
                <w:rFonts w:ascii="Arial" w:cs="Arial" w:eastAsia="Arial" w:hAnsi="Arial"/>
                <w:sz w:val="8"/>
                <w:szCs w:val="8"/>
                <w:color w:val="auto"/>
              </w:rPr>
              <w:t>Healthcare Services</w:t>
            </w:r>
          </w:p>
        </w:tc>
        <w:tc>
          <w:tcPr>
            <w:tcW w:w="1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0" w:type="dxa"/>
            <w:vAlign w:val="bottom"/>
          </w:tcPr>
          <w:p>
            <w:pPr>
              <w:spacing w:after="0"/>
              <w:rPr>
                <w:sz w:val="10"/>
                <w:szCs w:val="10"/>
                <w:color w:val="auto"/>
              </w:rPr>
            </w:pPr>
          </w:p>
        </w:tc>
        <w:tc>
          <w:tcPr>
            <w:tcW w:w="2600" w:type="dxa"/>
            <w:vAlign w:val="bottom"/>
            <w:gridSpan w:val="3"/>
          </w:tcPr>
          <w:p>
            <w:pPr>
              <w:ind w:left="120"/>
              <w:spacing w:after="0"/>
              <w:rPr>
                <w:sz w:val="20"/>
                <w:szCs w:val="20"/>
                <w:color w:val="auto"/>
              </w:rPr>
            </w:pPr>
            <w:r>
              <w:rPr>
                <w:rFonts w:ascii="Arial" w:cs="Arial" w:eastAsia="Arial" w:hAnsi="Arial"/>
                <w:sz w:val="8"/>
                <w:szCs w:val="8"/>
                <w:color w:val="auto"/>
              </w:rPr>
              <w:t>Common Equity (500 units) (h)(j)</w:t>
            </w:r>
          </w:p>
        </w:tc>
        <w:tc>
          <w:tcPr>
            <w:tcW w:w="1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10/23/2018</w:t>
            </w: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500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18"/>
              <w:spacing w:after="0"/>
              <w:rPr>
                <w:sz w:val="20"/>
                <w:szCs w:val="20"/>
                <w:color w:val="auto"/>
              </w:rPr>
            </w:pPr>
            <w:r>
              <w:rPr>
                <w:rFonts w:ascii="Arial" w:cs="Arial" w:eastAsia="Arial" w:hAnsi="Arial"/>
                <w:sz w:val="8"/>
                <w:szCs w:val="8"/>
                <w:color w:val="auto"/>
              </w:rPr>
              <w:t>1,207</w:t>
            </w:r>
          </w:p>
        </w:tc>
        <w:tc>
          <w:tcPr>
            <w:tcW w:w="660" w:type="dxa"/>
            <w:vAlign w:val="bottom"/>
          </w:tcPr>
          <w:p>
            <w:pPr>
              <w:jc w:val="right"/>
              <w:spacing w:after="0"/>
              <w:rPr>
                <w:sz w:val="20"/>
                <w:szCs w:val="20"/>
                <w:color w:val="auto"/>
              </w:rPr>
            </w:pPr>
            <w:r>
              <w:rPr>
                <w:rFonts w:ascii="Arial" w:cs="Arial" w:eastAsia="Arial" w:hAnsi="Arial"/>
                <w:sz w:val="8"/>
                <w:szCs w:val="8"/>
                <w:color w:val="auto"/>
              </w:rPr>
              <w:t>0 %</w:t>
            </w:r>
          </w:p>
        </w:tc>
      </w:tr>
      <w:tr>
        <w:trPr>
          <w:trHeight w:val="134"/>
        </w:trPr>
        <w:tc>
          <w:tcPr>
            <w:tcW w:w="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8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620" w:type="dxa"/>
            <w:vAlign w:val="bottom"/>
            <w:gridSpan w:val="4"/>
          </w:tcPr>
          <w:p>
            <w:pPr>
              <w:ind w:left="20"/>
              <w:spacing w:after="0"/>
              <w:rPr>
                <w:sz w:val="20"/>
                <w:szCs w:val="20"/>
                <w:color w:val="auto"/>
              </w:rPr>
            </w:pPr>
            <w:r>
              <w:rPr>
                <w:rFonts w:ascii="Arial" w:cs="Arial" w:eastAsia="Arial" w:hAnsi="Arial"/>
                <w:sz w:val="8"/>
                <w:szCs w:val="8"/>
                <w:i w:val="1"/>
                <w:iCs w:val="1"/>
                <w:color w:val="auto"/>
              </w:rPr>
              <w:t>American AllWaste LLC (dba WasteWater Transport Services)</w:t>
            </w:r>
          </w:p>
        </w:tc>
        <w:tc>
          <w:tcPr>
            <w:tcW w:w="1820" w:type="dxa"/>
            <w:vAlign w:val="bottom"/>
          </w:tcPr>
          <w:p>
            <w:pPr>
              <w:ind w:left="320"/>
              <w:spacing w:after="0"/>
              <w:rPr>
                <w:sz w:val="20"/>
                <w:szCs w:val="20"/>
                <w:color w:val="auto"/>
              </w:rPr>
            </w:pPr>
            <w:r>
              <w:rPr>
                <w:rFonts w:ascii="Arial" w:cs="Arial" w:eastAsia="Arial" w:hAnsi="Arial"/>
                <w:sz w:val="8"/>
                <w:szCs w:val="8"/>
                <w:color w:val="auto"/>
              </w:rPr>
              <w:t>Environmental Industries</w:t>
            </w:r>
          </w:p>
        </w:tc>
        <w:tc>
          <w:tcPr>
            <w:tcW w:w="1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4"/>
        </w:trPr>
        <w:tc>
          <w:tcPr>
            <w:tcW w:w="20" w:type="dxa"/>
            <w:vAlign w:val="bottom"/>
            <w:shd w:val="clear" w:color="auto" w:fill="CFF0FC"/>
          </w:tcPr>
          <w:p>
            <w:pPr>
              <w:spacing w:after="0"/>
              <w:rPr>
                <w:sz w:val="11"/>
                <w:szCs w:val="11"/>
                <w:color w:val="auto"/>
              </w:rPr>
            </w:pPr>
          </w:p>
        </w:tc>
        <w:tc>
          <w:tcPr>
            <w:tcW w:w="2600" w:type="dxa"/>
            <w:vAlign w:val="bottom"/>
            <w:gridSpan w:val="3"/>
            <w:shd w:val="clear" w:color="auto" w:fill="CFF0FC"/>
          </w:tcPr>
          <w:p>
            <w:pPr>
              <w:ind w:left="120"/>
              <w:spacing w:after="0"/>
              <w:rPr>
                <w:sz w:val="20"/>
                <w:szCs w:val="20"/>
                <w:color w:val="auto"/>
              </w:rPr>
            </w:pPr>
            <w:r>
              <w:rPr>
                <w:rFonts w:ascii="Arial" w:cs="Arial" w:eastAsia="Arial" w:hAnsi="Arial"/>
                <w:sz w:val="8"/>
                <w:szCs w:val="8"/>
                <w:color w:val="auto"/>
              </w:rPr>
              <w:t>First Lien Debt (j)(p)</w:t>
            </w:r>
          </w:p>
        </w:tc>
        <w:tc>
          <w:tcPr>
            <w:tcW w:w="1820" w:type="dxa"/>
            <w:vAlign w:val="bottom"/>
            <w:shd w:val="clear" w:color="auto" w:fill="CFF0FC"/>
          </w:tcPr>
          <w:p>
            <w:pPr>
              <w:spacing w:after="0"/>
              <w:rPr>
                <w:sz w:val="11"/>
                <w:szCs w:val="11"/>
                <w:color w:val="auto"/>
              </w:rPr>
            </w:pPr>
          </w:p>
        </w:tc>
        <w:tc>
          <w:tcPr>
            <w:tcW w:w="1240" w:type="dxa"/>
            <w:vAlign w:val="bottom"/>
            <w:shd w:val="clear" w:color="auto" w:fill="CFF0FC"/>
          </w:tcPr>
          <w:p>
            <w:pPr>
              <w:ind w:left="240"/>
              <w:spacing w:after="0"/>
              <w:rPr>
                <w:sz w:val="20"/>
                <w:szCs w:val="20"/>
                <w:color w:val="auto"/>
              </w:rPr>
            </w:pPr>
            <w:r>
              <w:rPr>
                <w:rFonts w:ascii="Arial" w:cs="Arial" w:eastAsia="Arial" w:hAnsi="Arial"/>
                <w:sz w:val="8"/>
                <w:szCs w:val="8"/>
                <w:color w:val="auto"/>
              </w:rPr>
              <w:t>(L + 6.15%) / (1.00%)</w:t>
            </w:r>
          </w:p>
        </w:tc>
        <w:tc>
          <w:tcPr>
            <w:tcW w:w="940" w:type="dxa"/>
            <w:vAlign w:val="bottom"/>
            <w:shd w:val="clear" w:color="auto" w:fill="CFF0FC"/>
          </w:tcPr>
          <w:p>
            <w:pPr>
              <w:ind w:left="220"/>
              <w:spacing w:after="0"/>
              <w:rPr>
                <w:sz w:val="20"/>
                <w:szCs w:val="20"/>
                <w:color w:val="auto"/>
              </w:rPr>
            </w:pPr>
            <w:r>
              <w:rPr>
                <w:rFonts w:ascii="Arial" w:cs="Arial" w:eastAsia="Arial" w:hAnsi="Arial"/>
                <w:sz w:val="8"/>
                <w:szCs w:val="8"/>
                <w:color w:val="auto"/>
              </w:rPr>
              <w:t>7.15%/0.00%</w:t>
            </w: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6/28/2021</w:t>
            </w:r>
          </w:p>
        </w:tc>
        <w:tc>
          <w:tcPr>
            <w:tcW w:w="780" w:type="dxa"/>
            <w:vAlign w:val="bottom"/>
            <w:shd w:val="clear" w:color="auto" w:fill="CFF0FC"/>
          </w:tcPr>
          <w:p>
            <w:pPr>
              <w:ind w:left="200"/>
              <w:spacing w:after="0"/>
              <w:rPr>
                <w:sz w:val="20"/>
                <w:szCs w:val="20"/>
                <w:color w:val="auto"/>
              </w:rPr>
            </w:pPr>
            <w:r>
              <w:rPr>
                <w:rFonts w:ascii="Arial" w:cs="Arial" w:eastAsia="Arial" w:hAnsi="Arial"/>
                <w:sz w:val="8"/>
                <w:szCs w:val="8"/>
                <w:color w:val="auto"/>
              </w:rPr>
              <w:t>6/28/2026</w:t>
            </w: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78"/>
              <w:spacing w:after="0"/>
              <w:rPr>
                <w:sz w:val="20"/>
                <w:szCs w:val="20"/>
                <w:color w:val="auto"/>
              </w:rPr>
            </w:pPr>
            <w:r>
              <w:rPr>
                <w:rFonts w:ascii="Arial" w:cs="Arial" w:eastAsia="Arial" w:hAnsi="Arial"/>
                <w:sz w:val="8"/>
                <w:szCs w:val="8"/>
                <w:color w:val="auto"/>
              </w:rPr>
              <w:t>19,000</w:t>
            </w: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18,859</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18,859</w:t>
            </w:r>
          </w:p>
        </w:tc>
        <w:tc>
          <w:tcPr>
            <w:tcW w:w="660" w:type="dxa"/>
            <w:vAlign w:val="bottom"/>
            <w:shd w:val="clear" w:color="auto" w:fill="CFF0FC"/>
          </w:tcPr>
          <w:p>
            <w:pPr>
              <w:spacing w:after="0"/>
              <w:rPr>
                <w:sz w:val="11"/>
                <w:szCs w:val="11"/>
                <w:color w:val="auto"/>
              </w:rPr>
            </w:pPr>
          </w:p>
        </w:tc>
      </w:tr>
      <w:tr>
        <w:trPr>
          <w:trHeight w:val="120"/>
        </w:trPr>
        <w:tc>
          <w:tcPr>
            <w:tcW w:w="20" w:type="dxa"/>
            <w:vAlign w:val="bottom"/>
          </w:tcPr>
          <w:p>
            <w:pPr>
              <w:spacing w:after="0"/>
              <w:rPr>
                <w:sz w:val="10"/>
                <w:szCs w:val="10"/>
                <w:color w:val="auto"/>
              </w:rPr>
            </w:pPr>
          </w:p>
        </w:tc>
        <w:tc>
          <w:tcPr>
            <w:tcW w:w="2600" w:type="dxa"/>
            <w:vAlign w:val="bottom"/>
            <w:gridSpan w:val="3"/>
          </w:tcPr>
          <w:p>
            <w:pPr>
              <w:ind w:left="120"/>
              <w:spacing w:after="0"/>
              <w:rPr>
                <w:sz w:val="20"/>
                <w:szCs w:val="20"/>
                <w:color w:val="auto"/>
              </w:rPr>
            </w:pPr>
            <w:r>
              <w:rPr>
                <w:rFonts w:ascii="Arial" w:cs="Arial" w:eastAsia="Arial" w:hAnsi="Arial"/>
                <w:sz w:val="8"/>
                <w:szCs w:val="8"/>
                <w:color w:val="auto"/>
              </w:rPr>
              <w:t>First Lien Debt (j)(o)</w:t>
            </w:r>
          </w:p>
        </w:tc>
        <w:tc>
          <w:tcPr>
            <w:tcW w:w="1820" w:type="dxa"/>
            <w:vAlign w:val="bottom"/>
          </w:tcPr>
          <w:p>
            <w:pPr>
              <w:spacing w:after="0"/>
              <w:rPr>
                <w:sz w:val="10"/>
                <w:szCs w:val="10"/>
                <w:color w:val="auto"/>
              </w:rPr>
            </w:pPr>
          </w:p>
        </w:tc>
        <w:tc>
          <w:tcPr>
            <w:tcW w:w="1240" w:type="dxa"/>
            <w:vAlign w:val="bottom"/>
          </w:tcPr>
          <w:p>
            <w:pPr>
              <w:ind w:left="240"/>
              <w:spacing w:after="0"/>
              <w:rPr>
                <w:sz w:val="20"/>
                <w:szCs w:val="20"/>
                <w:color w:val="auto"/>
              </w:rPr>
            </w:pPr>
            <w:r>
              <w:rPr>
                <w:rFonts w:ascii="Arial" w:cs="Arial" w:eastAsia="Arial" w:hAnsi="Arial"/>
                <w:sz w:val="8"/>
                <w:szCs w:val="8"/>
                <w:color w:val="auto"/>
              </w:rPr>
              <w:t>(L + 3.75%) / (1.00%)</w:t>
            </w:r>
          </w:p>
        </w:tc>
        <w:tc>
          <w:tcPr>
            <w:tcW w:w="940" w:type="dxa"/>
            <w:vAlign w:val="bottom"/>
          </w:tcPr>
          <w:p>
            <w:pPr>
              <w:ind w:left="220"/>
              <w:spacing w:after="0"/>
              <w:rPr>
                <w:sz w:val="20"/>
                <w:szCs w:val="20"/>
                <w:color w:val="auto"/>
              </w:rPr>
            </w:pPr>
            <w:r>
              <w:rPr>
                <w:rFonts w:ascii="Arial" w:cs="Arial" w:eastAsia="Arial" w:hAnsi="Arial"/>
                <w:sz w:val="8"/>
                <w:szCs w:val="8"/>
                <w:color w:val="auto"/>
              </w:rPr>
              <w:t>4.75%/0.00%</w:t>
            </w:r>
          </w:p>
        </w:tc>
        <w:tc>
          <w:tcPr>
            <w:tcW w:w="820" w:type="dxa"/>
            <w:vAlign w:val="bottom"/>
          </w:tcPr>
          <w:p>
            <w:pPr>
              <w:ind w:left="220"/>
              <w:spacing w:after="0"/>
              <w:rPr>
                <w:sz w:val="20"/>
                <w:szCs w:val="20"/>
                <w:color w:val="auto"/>
              </w:rPr>
            </w:pPr>
            <w:r>
              <w:rPr>
                <w:rFonts w:ascii="Arial" w:cs="Arial" w:eastAsia="Arial" w:hAnsi="Arial"/>
                <w:sz w:val="8"/>
                <w:szCs w:val="8"/>
                <w:color w:val="auto"/>
              </w:rPr>
              <w:t>6/28/2021</w:t>
            </w:r>
          </w:p>
        </w:tc>
        <w:tc>
          <w:tcPr>
            <w:tcW w:w="780" w:type="dxa"/>
            <w:vAlign w:val="bottom"/>
          </w:tcPr>
          <w:p>
            <w:pPr>
              <w:ind w:left="200"/>
              <w:spacing w:after="0"/>
              <w:rPr>
                <w:sz w:val="20"/>
                <w:szCs w:val="20"/>
                <w:color w:val="auto"/>
              </w:rPr>
            </w:pPr>
            <w:r>
              <w:rPr>
                <w:rFonts w:ascii="Arial" w:cs="Arial" w:eastAsia="Arial" w:hAnsi="Arial"/>
                <w:sz w:val="8"/>
                <w:szCs w:val="8"/>
                <w:color w:val="auto"/>
              </w:rPr>
              <w:t>12/31/2022</w:t>
            </w:r>
          </w:p>
        </w:tc>
        <w:tc>
          <w:tcPr>
            <w:tcW w:w="300" w:type="dxa"/>
            <w:vAlign w:val="bottom"/>
          </w:tcPr>
          <w:p>
            <w:pPr>
              <w:spacing w:after="0"/>
              <w:rPr>
                <w:sz w:val="10"/>
                <w:szCs w:val="10"/>
                <w:color w:val="auto"/>
              </w:rPr>
            </w:pPr>
          </w:p>
        </w:tc>
        <w:tc>
          <w:tcPr>
            <w:tcW w:w="640" w:type="dxa"/>
            <w:vAlign w:val="bottom"/>
          </w:tcPr>
          <w:p>
            <w:pPr>
              <w:jc w:val="right"/>
              <w:ind w:right="78"/>
              <w:spacing w:after="0"/>
              <w:rPr>
                <w:sz w:val="20"/>
                <w:szCs w:val="20"/>
                <w:color w:val="auto"/>
              </w:rPr>
            </w:pPr>
            <w:r>
              <w:rPr>
                <w:rFonts w:ascii="Arial" w:cs="Arial" w:eastAsia="Arial" w:hAnsi="Arial"/>
                <w:sz w:val="8"/>
                <w:szCs w:val="8"/>
                <w:color w:val="auto"/>
              </w:rPr>
              <w:t>330</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330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18"/>
              <w:spacing w:after="0"/>
              <w:rPr>
                <w:sz w:val="20"/>
                <w:szCs w:val="20"/>
                <w:color w:val="auto"/>
              </w:rPr>
            </w:pPr>
            <w:r>
              <w:rPr>
                <w:rFonts w:ascii="Arial" w:cs="Arial" w:eastAsia="Arial" w:hAnsi="Arial"/>
                <w:sz w:val="8"/>
                <w:szCs w:val="8"/>
                <w:color w:val="auto"/>
              </w:rPr>
              <w:t>330</w:t>
            </w:r>
          </w:p>
        </w:tc>
        <w:tc>
          <w:tcPr>
            <w:tcW w:w="660" w:type="dxa"/>
            <w:vAlign w:val="bottom"/>
          </w:tcPr>
          <w:p>
            <w:pPr>
              <w:spacing w:after="0"/>
              <w:rPr>
                <w:sz w:val="10"/>
                <w:szCs w:val="10"/>
                <w:color w:val="auto"/>
              </w:rPr>
            </w:pPr>
          </w:p>
        </w:tc>
      </w:tr>
      <w:tr>
        <w:trPr>
          <w:trHeight w:val="134"/>
        </w:trPr>
        <w:tc>
          <w:tcPr>
            <w:tcW w:w="20" w:type="dxa"/>
            <w:vAlign w:val="bottom"/>
            <w:shd w:val="clear" w:color="auto" w:fill="CFF0FC"/>
          </w:tcPr>
          <w:p>
            <w:pPr>
              <w:spacing w:after="0"/>
              <w:rPr>
                <w:sz w:val="11"/>
                <w:szCs w:val="11"/>
                <w:color w:val="auto"/>
              </w:rPr>
            </w:pPr>
          </w:p>
        </w:tc>
        <w:tc>
          <w:tcPr>
            <w:tcW w:w="2600" w:type="dxa"/>
            <w:vAlign w:val="bottom"/>
            <w:gridSpan w:val="3"/>
            <w:shd w:val="clear" w:color="auto" w:fill="CFF0FC"/>
          </w:tcPr>
          <w:p>
            <w:pPr>
              <w:ind w:left="120"/>
              <w:spacing w:after="0"/>
              <w:rPr>
                <w:sz w:val="20"/>
                <w:szCs w:val="20"/>
                <w:color w:val="auto"/>
              </w:rPr>
            </w:pPr>
            <w:r>
              <w:rPr>
                <w:rFonts w:ascii="Arial" w:cs="Arial" w:eastAsia="Arial" w:hAnsi="Arial"/>
                <w:sz w:val="8"/>
                <w:szCs w:val="8"/>
                <w:color w:val="auto"/>
              </w:rPr>
              <w:t>Preferred Equity (500 units) (h)(j)</w:t>
            </w:r>
          </w:p>
        </w:tc>
        <w:tc>
          <w:tcPr>
            <w:tcW w:w="18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5/31/2018</w:t>
            </w: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500</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193</w:t>
            </w:r>
          </w:p>
        </w:tc>
        <w:tc>
          <w:tcPr>
            <w:tcW w:w="660" w:type="dxa"/>
            <w:vAlign w:val="bottom"/>
            <w:shd w:val="clear" w:color="auto" w:fill="CFF0FC"/>
          </w:tcPr>
          <w:p>
            <w:pPr>
              <w:spacing w:after="0"/>
              <w:rPr>
                <w:sz w:val="11"/>
                <w:szCs w:val="11"/>
                <w:color w:val="auto"/>
              </w:rPr>
            </w:pPr>
          </w:p>
        </w:tc>
      </w:tr>
      <w:tr>
        <w:trPr>
          <w:trHeight w:val="120"/>
        </w:trPr>
        <w:tc>
          <w:tcPr>
            <w:tcW w:w="20" w:type="dxa"/>
            <w:vAlign w:val="bottom"/>
          </w:tcPr>
          <w:p>
            <w:pPr>
              <w:spacing w:after="0"/>
              <w:rPr>
                <w:sz w:val="10"/>
                <w:szCs w:val="10"/>
                <w:color w:val="auto"/>
              </w:rPr>
            </w:pPr>
          </w:p>
        </w:tc>
        <w:tc>
          <w:tcPr>
            <w:tcW w:w="2600" w:type="dxa"/>
            <w:vAlign w:val="bottom"/>
            <w:gridSpan w:val="3"/>
          </w:tcPr>
          <w:p>
            <w:pPr>
              <w:ind w:left="120"/>
              <w:spacing w:after="0"/>
              <w:rPr>
                <w:sz w:val="20"/>
                <w:szCs w:val="20"/>
                <w:color w:val="auto"/>
              </w:rPr>
            </w:pPr>
            <w:r>
              <w:rPr>
                <w:rFonts w:ascii="Arial" w:cs="Arial" w:eastAsia="Arial" w:hAnsi="Arial"/>
                <w:sz w:val="8"/>
                <w:szCs w:val="8"/>
                <w:color w:val="auto"/>
              </w:rPr>
              <w:t>Preferred Equity (207 units) (h)(j)</w:t>
            </w:r>
          </w:p>
        </w:tc>
        <w:tc>
          <w:tcPr>
            <w:tcW w:w="1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8/6/2019</w:t>
            </w: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250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18"/>
              <w:spacing w:after="0"/>
              <w:rPr>
                <w:sz w:val="20"/>
                <w:szCs w:val="20"/>
                <w:color w:val="auto"/>
              </w:rPr>
            </w:pPr>
            <w:r>
              <w:rPr>
                <w:rFonts w:ascii="Arial" w:cs="Arial" w:eastAsia="Arial" w:hAnsi="Arial"/>
                <w:sz w:val="8"/>
                <w:szCs w:val="8"/>
                <w:color w:val="auto"/>
              </w:rPr>
              <w:t>226</w:t>
            </w:r>
          </w:p>
        </w:tc>
        <w:tc>
          <w:tcPr>
            <w:tcW w:w="660" w:type="dxa"/>
            <w:vAlign w:val="bottom"/>
          </w:tcPr>
          <w:p>
            <w:pPr>
              <w:spacing w:after="0"/>
              <w:rPr>
                <w:sz w:val="10"/>
                <w:szCs w:val="10"/>
                <w:color w:val="auto"/>
              </w:rPr>
            </w:pPr>
          </w:p>
        </w:tc>
      </w:tr>
      <w:tr>
        <w:trPr>
          <w:trHeight w:val="133"/>
        </w:trPr>
        <w:tc>
          <w:tcPr>
            <w:tcW w:w="20" w:type="dxa"/>
            <w:vAlign w:val="bottom"/>
            <w:tcBorders>
              <w:bottom w:val="single" w:sz="8" w:color="CFF0FC"/>
            </w:tcBorders>
            <w:shd w:val="clear" w:color="auto" w:fill="CFF0FC"/>
          </w:tcPr>
          <w:p>
            <w:pPr>
              <w:spacing w:after="0"/>
              <w:rPr>
                <w:sz w:val="11"/>
                <w:szCs w:val="11"/>
                <w:color w:val="auto"/>
              </w:rPr>
            </w:pPr>
          </w:p>
        </w:tc>
        <w:tc>
          <w:tcPr>
            <w:tcW w:w="2600" w:type="dxa"/>
            <w:vAlign w:val="bottom"/>
            <w:tcBorders>
              <w:bottom w:val="single" w:sz="8" w:color="CFF0FC"/>
            </w:tcBorders>
            <w:gridSpan w:val="3"/>
            <w:shd w:val="clear" w:color="auto" w:fill="CFF0FC"/>
          </w:tcPr>
          <w:p>
            <w:pPr>
              <w:ind w:left="120"/>
              <w:spacing w:after="0"/>
              <w:rPr>
                <w:sz w:val="20"/>
                <w:szCs w:val="20"/>
                <w:color w:val="auto"/>
              </w:rPr>
            </w:pPr>
            <w:r>
              <w:rPr>
                <w:rFonts w:ascii="Arial" w:cs="Arial" w:eastAsia="Arial" w:hAnsi="Arial"/>
                <w:sz w:val="8"/>
                <w:szCs w:val="8"/>
                <w:color w:val="auto"/>
              </w:rPr>
              <w:t>Preferred Equity (141 units) (h)(j)</w:t>
            </w:r>
          </w:p>
        </w:tc>
        <w:tc>
          <w:tcPr>
            <w:tcW w:w="1820" w:type="dxa"/>
            <w:vAlign w:val="bottom"/>
            <w:tcBorders>
              <w:bottom w:val="single" w:sz="8" w:color="CFF0FC"/>
            </w:tcBorders>
            <w:shd w:val="clear" w:color="auto" w:fill="CFF0FC"/>
          </w:tcPr>
          <w:p>
            <w:pPr>
              <w:spacing w:after="0"/>
              <w:rPr>
                <w:sz w:val="11"/>
                <w:szCs w:val="11"/>
                <w:color w:val="auto"/>
              </w:rPr>
            </w:pPr>
          </w:p>
        </w:tc>
        <w:tc>
          <w:tcPr>
            <w:tcW w:w="124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8"/>
                <w:szCs w:val="8"/>
                <w:color w:val="auto"/>
              </w:rPr>
              <w:t>11/2/2020</w:t>
            </w:r>
          </w:p>
        </w:tc>
        <w:tc>
          <w:tcPr>
            <w:tcW w:w="78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171</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8"/>
                <w:szCs w:val="8"/>
                <w:color w:val="auto"/>
              </w:rPr>
              <w:t>171</w:t>
            </w:r>
          </w:p>
        </w:tc>
        <w:tc>
          <w:tcPr>
            <w:tcW w:w="660" w:type="dxa"/>
            <w:vAlign w:val="bottom"/>
            <w:tcBorders>
              <w:bottom w:val="single" w:sz="8" w:color="CFF0FC"/>
            </w:tcBorders>
            <w:shd w:val="clear" w:color="auto" w:fill="CFF0FC"/>
          </w:tcPr>
          <w:p>
            <w:pPr>
              <w:spacing w:after="0"/>
              <w:rPr>
                <w:sz w:val="11"/>
                <w:szCs w:val="11"/>
                <w:color w:val="auto"/>
              </w:rPr>
            </w:pPr>
          </w:p>
        </w:tc>
      </w:tr>
      <w:tr>
        <w:trPr>
          <w:trHeight w:val="113"/>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20,110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right"/>
              <w:ind w:right="18"/>
              <w:spacing w:after="0"/>
              <w:rPr>
                <w:sz w:val="20"/>
                <w:szCs w:val="20"/>
                <w:color w:val="auto"/>
              </w:rPr>
            </w:pPr>
            <w:r>
              <w:rPr>
                <w:rFonts w:ascii="Arial" w:cs="Arial" w:eastAsia="Arial" w:hAnsi="Arial"/>
                <w:sz w:val="8"/>
                <w:szCs w:val="8"/>
                <w:color w:val="auto"/>
              </w:rPr>
              <w:t>19,779</w:t>
            </w:r>
          </w:p>
        </w:tc>
        <w:tc>
          <w:tcPr>
            <w:tcW w:w="660" w:type="dxa"/>
            <w:vAlign w:val="bottom"/>
          </w:tcPr>
          <w:p>
            <w:pPr>
              <w:jc w:val="right"/>
              <w:spacing w:after="0"/>
              <w:rPr>
                <w:sz w:val="20"/>
                <w:szCs w:val="20"/>
                <w:color w:val="auto"/>
              </w:rPr>
            </w:pPr>
            <w:r>
              <w:rPr>
                <w:rFonts w:ascii="Arial" w:cs="Arial" w:eastAsia="Arial" w:hAnsi="Arial"/>
                <w:sz w:val="8"/>
                <w:szCs w:val="8"/>
                <w:color w:val="auto"/>
              </w:rPr>
              <w:t>5 %</w:t>
            </w:r>
          </w:p>
        </w:tc>
      </w:tr>
      <w:tr>
        <w:trPr>
          <w:trHeight w:val="134"/>
        </w:trPr>
        <w:tc>
          <w:tcPr>
            <w:tcW w:w="2620" w:type="dxa"/>
            <w:vAlign w:val="bottom"/>
            <w:gridSpan w:val="4"/>
            <w:shd w:val="clear" w:color="auto" w:fill="CFF0FC"/>
          </w:tcPr>
          <w:p>
            <w:pPr>
              <w:ind w:left="20"/>
              <w:spacing w:after="0"/>
              <w:rPr>
                <w:sz w:val="20"/>
                <w:szCs w:val="20"/>
                <w:color w:val="auto"/>
              </w:rPr>
            </w:pPr>
            <w:r>
              <w:rPr>
                <w:rFonts w:ascii="Arial" w:cs="Arial" w:eastAsia="Arial" w:hAnsi="Arial"/>
                <w:sz w:val="8"/>
                <w:szCs w:val="8"/>
                <w:i w:val="1"/>
                <w:iCs w:val="1"/>
                <w:color w:val="auto"/>
              </w:rPr>
              <w:t>Applied Data Corporation</w:t>
            </w:r>
          </w:p>
        </w:tc>
        <w:tc>
          <w:tcPr>
            <w:tcW w:w="1820" w:type="dxa"/>
            <w:vAlign w:val="bottom"/>
            <w:shd w:val="clear" w:color="auto" w:fill="CFF0FC"/>
          </w:tcPr>
          <w:p>
            <w:pPr>
              <w:ind w:left="320"/>
              <w:spacing w:after="0"/>
              <w:rPr>
                <w:sz w:val="20"/>
                <w:szCs w:val="20"/>
                <w:color w:val="auto"/>
              </w:rPr>
            </w:pPr>
            <w:r>
              <w:rPr>
                <w:rFonts w:ascii="Arial" w:cs="Arial" w:eastAsia="Arial" w:hAnsi="Arial"/>
                <w:sz w:val="8"/>
                <w:szCs w:val="8"/>
                <w:color w:val="auto"/>
              </w:rPr>
              <w:t>Information Technology Services</w:t>
            </w:r>
          </w:p>
        </w:tc>
        <w:tc>
          <w:tcPr>
            <w:tcW w:w="1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0" w:type="dxa"/>
            <w:vAlign w:val="bottom"/>
          </w:tcPr>
          <w:p>
            <w:pPr>
              <w:spacing w:after="0"/>
              <w:rPr>
                <w:sz w:val="10"/>
                <w:szCs w:val="10"/>
                <w:color w:val="auto"/>
              </w:rPr>
            </w:pPr>
          </w:p>
        </w:tc>
        <w:tc>
          <w:tcPr>
            <w:tcW w:w="2600" w:type="dxa"/>
            <w:vAlign w:val="bottom"/>
            <w:gridSpan w:val="3"/>
          </w:tcPr>
          <w:p>
            <w:pPr>
              <w:ind w:left="120"/>
              <w:spacing w:after="0"/>
              <w:rPr>
                <w:sz w:val="20"/>
                <w:szCs w:val="20"/>
                <w:color w:val="auto"/>
              </w:rPr>
            </w:pPr>
            <w:r>
              <w:rPr>
                <w:rFonts w:ascii="Arial" w:cs="Arial" w:eastAsia="Arial" w:hAnsi="Arial"/>
                <w:sz w:val="8"/>
                <w:szCs w:val="8"/>
                <w:color w:val="auto"/>
              </w:rPr>
              <w:t>First Lien Debt (k)(v)</w:t>
            </w:r>
          </w:p>
        </w:tc>
        <w:tc>
          <w:tcPr>
            <w:tcW w:w="1820" w:type="dxa"/>
            <w:vAlign w:val="bottom"/>
          </w:tcPr>
          <w:p>
            <w:pPr>
              <w:spacing w:after="0"/>
              <w:rPr>
                <w:sz w:val="10"/>
                <w:szCs w:val="10"/>
                <w:color w:val="auto"/>
              </w:rPr>
            </w:pPr>
          </w:p>
        </w:tc>
        <w:tc>
          <w:tcPr>
            <w:tcW w:w="1240" w:type="dxa"/>
            <w:vAlign w:val="bottom"/>
          </w:tcPr>
          <w:p>
            <w:pPr>
              <w:ind w:left="240"/>
              <w:spacing w:after="0"/>
              <w:rPr>
                <w:sz w:val="20"/>
                <w:szCs w:val="20"/>
                <w:color w:val="auto"/>
              </w:rPr>
            </w:pPr>
            <w:r>
              <w:rPr>
                <w:rFonts w:ascii="Arial" w:cs="Arial" w:eastAsia="Arial" w:hAnsi="Arial"/>
                <w:sz w:val="8"/>
                <w:szCs w:val="8"/>
                <w:color w:val="auto"/>
              </w:rPr>
              <w:t>(L + 6.25%) / (1.50%)</w:t>
            </w:r>
          </w:p>
        </w:tc>
        <w:tc>
          <w:tcPr>
            <w:tcW w:w="940" w:type="dxa"/>
            <w:vAlign w:val="bottom"/>
          </w:tcPr>
          <w:p>
            <w:pPr>
              <w:ind w:left="220"/>
              <w:spacing w:after="0"/>
              <w:rPr>
                <w:sz w:val="20"/>
                <w:szCs w:val="20"/>
                <w:color w:val="auto"/>
              </w:rPr>
            </w:pPr>
            <w:r>
              <w:rPr>
                <w:rFonts w:ascii="Arial" w:cs="Arial" w:eastAsia="Arial" w:hAnsi="Arial"/>
                <w:sz w:val="8"/>
                <w:szCs w:val="8"/>
                <w:color w:val="auto"/>
              </w:rPr>
              <w:t>7.75%/0.00%</w:t>
            </w:r>
          </w:p>
        </w:tc>
        <w:tc>
          <w:tcPr>
            <w:tcW w:w="820" w:type="dxa"/>
            <w:vAlign w:val="bottom"/>
          </w:tcPr>
          <w:p>
            <w:pPr>
              <w:ind w:left="220"/>
              <w:spacing w:after="0"/>
              <w:rPr>
                <w:sz w:val="20"/>
                <w:szCs w:val="20"/>
                <w:color w:val="auto"/>
              </w:rPr>
            </w:pPr>
            <w:r>
              <w:rPr>
                <w:rFonts w:ascii="Arial" w:cs="Arial" w:eastAsia="Arial" w:hAnsi="Arial"/>
                <w:sz w:val="8"/>
                <w:szCs w:val="8"/>
                <w:color w:val="auto"/>
              </w:rPr>
              <w:t>11/6/2020</w:t>
            </w:r>
          </w:p>
        </w:tc>
        <w:tc>
          <w:tcPr>
            <w:tcW w:w="780" w:type="dxa"/>
            <w:vAlign w:val="bottom"/>
          </w:tcPr>
          <w:p>
            <w:pPr>
              <w:ind w:left="200"/>
              <w:spacing w:after="0"/>
              <w:rPr>
                <w:sz w:val="20"/>
                <w:szCs w:val="20"/>
                <w:color w:val="auto"/>
              </w:rPr>
            </w:pPr>
            <w:r>
              <w:rPr>
                <w:rFonts w:ascii="Arial" w:cs="Arial" w:eastAsia="Arial" w:hAnsi="Arial"/>
                <w:sz w:val="8"/>
                <w:szCs w:val="8"/>
                <w:color w:val="auto"/>
              </w:rPr>
              <w:t>11/6/2025</w:t>
            </w:r>
          </w:p>
        </w:tc>
        <w:tc>
          <w:tcPr>
            <w:tcW w:w="300" w:type="dxa"/>
            <w:vAlign w:val="bottom"/>
          </w:tcPr>
          <w:p>
            <w:pPr>
              <w:spacing w:after="0"/>
              <w:rPr>
                <w:sz w:val="10"/>
                <w:szCs w:val="10"/>
                <w:color w:val="auto"/>
              </w:rPr>
            </w:pPr>
          </w:p>
        </w:tc>
        <w:tc>
          <w:tcPr>
            <w:tcW w:w="640" w:type="dxa"/>
            <w:vAlign w:val="bottom"/>
          </w:tcPr>
          <w:p>
            <w:pPr>
              <w:jc w:val="right"/>
              <w:ind w:right="78"/>
              <w:spacing w:after="0"/>
              <w:rPr>
                <w:sz w:val="20"/>
                <w:szCs w:val="20"/>
                <w:color w:val="auto"/>
              </w:rPr>
            </w:pPr>
            <w:r>
              <w:rPr>
                <w:rFonts w:ascii="Arial" w:cs="Arial" w:eastAsia="Arial" w:hAnsi="Arial"/>
                <w:sz w:val="8"/>
                <w:szCs w:val="8"/>
                <w:color w:val="auto"/>
              </w:rPr>
              <w:t>11,500</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11,438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18"/>
              <w:spacing w:after="0"/>
              <w:rPr>
                <w:sz w:val="20"/>
                <w:szCs w:val="20"/>
                <w:color w:val="auto"/>
              </w:rPr>
            </w:pPr>
            <w:r>
              <w:rPr>
                <w:rFonts w:ascii="Arial" w:cs="Arial" w:eastAsia="Arial" w:hAnsi="Arial"/>
                <w:sz w:val="8"/>
                <w:szCs w:val="8"/>
                <w:color w:val="auto"/>
              </w:rPr>
              <w:t>11,500</w:t>
            </w:r>
          </w:p>
        </w:tc>
        <w:tc>
          <w:tcPr>
            <w:tcW w:w="660" w:type="dxa"/>
            <w:vAlign w:val="bottom"/>
          </w:tcPr>
          <w:p>
            <w:pPr>
              <w:spacing w:after="0"/>
              <w:rPr>
                <w:sz w:val="10"/>
                <w:szCs w:val="10"/>
                <w:color w:val="auto"/>
              </w:rPr>
            </w:pPr>
          </w:p>
        </w:tc>
      </w:tr>
      <w:tr>
        <w:trPr>
          <w:trHeight w:val="134"/>
        </w:trPr>
        <w:tc>
          <w:tcPr>
            <w:tcW w:w="20" w:type="dxa"/>
            <w:vAlign w:val="bottom"/>
            <w:shd w:val="clear" w:color="auto" w:fill="CFF0FC"/>
          </w:tcPr>
          <w:p>
            <w:pPr>
              <w:spacing w:after="0"/>
              <w:rPr>
                <w:sz w:val="11"/>
                <w:szCs w:val="11"/>
                <w:color w:val="auto"/>
              </w:rPr>
            </w:pPr>
          </w:p>
        </w:tc>
        <w:tc>
          <w:tcPr>
            <w:tcW w:w="2600" w:type="dxa"/>
            <w:vAlign w:val="bottom"/>
            <w:gridSpan w:val="3"/>
            <w:shd w:val="clear" w:color="auto" w:fill="CFF0FC"/>
          </w:tcPr>
          <w:p>
            <w:pPr>
              <w:ind w:left="120"/>
              <w:spacing w:after="0"/>
              <w:rPr>
                <w:sz w:val="20"/>
                <w:szCs w:val="20"/>
                <w:color w:val="auto"/>
              </w:rPr>
            </w:pPr>
            <w:r>
              <w:rPr>
                <w:rFonts w:ascii="Arial" w:cs="Arial" w:eastAsia="Arial" w:hAnsi="Arial"/>
                <w:sz w:val="8"/>
                <w:szCs w:val="8"/>
                <w:color w:val="auto"/>
              </w:rPr>
              <w:t>Common Equity (22 units)</w:t>
            </w:r>
          </w:p>
        </w:tc>
        <w:tc>
          <w:tcPr>
            <w:tcW w:w="18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11/6/2020</w:t>
            </w: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15</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w:t>
            </w:r>
          </w:p>
        </w:tc>
        <w:tc>
          <w:tcPr>
            <w:tcW w:w="660" w:type="dxa"/>
            <w:vAlign w:val="bottom"/>
            <w:shd w:val="clear" w:color="auto" w:fill="CFF0FC"/>
          </w:tcPr>
          <w:p>
            <w:pPr>
              <w:spacing w:after="0"/>
              <w:rPr>
                <w:sz w:val="11"/>
                <w:szCs w:val="11"/>
                <w:color w:val="auto"/>
              </w:rPr>
            </w:pPr>
          </w:p>
        </w:tc>
      </w:tr>
      <w:tr>
        <w:trPr>
          <w:trHeight w:val="126"/>
        </w:trPr>
        <w:tc>
          <w:tcPr>
            <w:tcW w:w="20" w:type="dxa"/>
            <w:vAlign w:val="bottom"/>
          </w:tcPr>
          <w:p>
            <w:pPr>
              <w:spacing w:after="0"/>
              <w:rPr>
                <w:sz w:val="10"/>
                <w:szCs w:val="10"/>
                <w:color w:val="auto"/>
              </w:rPr>
            </w:pPr>
          </w:p>
        </w:tc>
        <w:tc>
          <w:tcPr>
            <w:tcW w:w="2600" w:type="dxa"/>
            <w:vAlign w:val="bottom"/>
            <w:gridSpan w:val="3"/>
          </w:tcPr>
          <w:p>
            <w:pPr>
              <w:ind w:left="120"/>
              <w:spacing w:after="0"/>
              <w:rPr>
                <w:sz w:val="20"/>
                <w:szCs w:val="20"/>
                <w:color w:val="auto"/>
              </w:rPr>
            </w:pPr>
            <w:r>
              <w:rPr>
                <w:rFonts w:ascii="Arial" w:cs="Arial" w:eastAsia="Arial" w:hAnsi="Arial"/>
                <w:sz w:val="8"/>
                <w:szCs w:val="8"/>
                <w:color w:val="auto"/>
              </w:rPr>
              <w:t>Preferred Equity (1,104,539 units)</w:t>
            </w:r>
          </w:p>
        </w:tc>
        <w:tc>
          <w:tcPr>
            <w:tcW w:w="1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11/6/2020</w:t>
            </w: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1,105</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1,196</w:t>
            </w:r>
          </w:p>
        </w:tc>
        <w:tc>
          <w:tcPr>
            <w:tcW w:w="660" w:type="dxa"/>
            <w:vAlign w:val="bottom"/>
          </w:tcPr>
          <w:p>
            <w:pPr>
              <w:spacing w:after="0"/>
              <w:rPr>
                <w:sz w:val="10"/>
                <w:szCs w:val="10"/>
                <w:color w:val="auto"/>
              </w:rPr>
            </w:pPr>
          </w:p>
        </w:tc>
      </w:tr>
      <w:tr>
        <w:trPr>
          <w:trHeight w:val="120"/>
        </w:trPr>
        <w:tc>
          <w:tcPr>
            <w:tcW w:w="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12,558</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12,696</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3 %</w:t>
            </w:r>
          </w:p>
        </w:tc>
      </w:tr>
      <w:tr>
        <w:trPr>
          <w:trHeight w:val="120"/>
        </w:trPr>
        <w:tc>
          <w:tcPr>
            <w:tcW w:w="2620" w:type="dxa"/>
            <w:vAlign w:val="bottom"/>
            <w:gridSpan w:val="4"/>
          </w:tcPr>
          <w:p>
            <w:pPr>
              <w:ind w:left="20"/>
              <w:spacing w:after="0"/>
              <w:rPr>
                <w:sz w:val="20"/>
                <w:szCs w:val="20"/>
                <w:color w:val="auto"/>
              </w:rPr>
            </w:pPr>
            <w:r>
              <w:rPr>
                <w:rFonts w:ascii="Arial" w:cs="Arial" w:eastAsia="Arial" w:hAnsi="Arial"/>
                <w:sz w:val="8"/>
                <w:szCs w:val="8"/>
                <w:i w:val="1"/>
                <w:iCs w:val="1"/>
                <w:color w:val="auto"/>
              </w:rPr>
              <w:t>Argo Turboserve Corporation</w:t>
            </w:r>
          </w:p>
        </w:tc>
        <w:tc>
          <w:tcPr>
            <w:tcW w:w="1820" w:type="dxa"/>
            <w:vAlign w:val="bottom"/>
          </w:tcPr>
          <w:p>
            <w:pPr>
              <w:ind w:left="320"/>
              <w:spacing w:after="0"/>
              <w:rPr>
                <w:sz w:val="20"/>
                <w:szCs w:val="20"/>
                <w:color w:val="auto"/>
              </w:rPr>
            </w:pPr>
            <w:r>
              <w:rPr>
                <w:rFonts w:ascii="Arial" w:cs="Arial" w:eastAsia="Arial" w:hAnsi="Arial"/>
                <w:sz w:val="8"/>
                <w:szCs w:val="8"/>
                <w:color w:val="auto"/>
              </w:rPr>
              <w:t>Business Services</w:t>
            </w:r>
          </w:p>
        </w:tc>
        <w:tc>
          <w:tcPr>
            <w:tcW w:w="1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4"/>
        </w:trPr>
        <w:tc>
          <w:tcPr>
            <w:tcW w:w="20" w:type="dxa"/>
            <w:vAlign w:val="bottom"/>
            <w:shd w:val="clear" w:color="auto" w:fill="CFF0FC"/>
          </w:tcPr>
          <w:p>
            <w:pPr>
              <w:spacing w:after="0"/>
              <w:rPr>
                <w:sz w:val="11"/>
                <w:szCs w:val="11"/>
                <w:color w:val="auto"/>
              </w:rPr>
            </w:pPr>
          </w:p>
        </w:tc>
        <w:tc>
          <w:tcPr>
            <w:tcW w:w="2600" w:type="dxa"/>
            <w:vAlign w:val="bottom"/>
            <w:gridSpan w:val="3"/>
            <w:shd w:val="clear" w:color="auto" w:fill="CFF0FC"/>
          </w:tcPr>
          <w:p>
            <w:pPr>
              <w:ind w:left="120"/>
              <w:spacing w:after="0"/>
              <w:rPr>
                <w:sz w:val="20"/>
                <w:szCs w:val="20"/>
                <w:color w:val="auto"/>
              </w:rPr>
            </w:pPr>
            <w:r>
              <w:rPr>
                <w:rFonts w:ascii="Arial" w:cs="Arial" w:eastAsia="Arial" w:hAnsi="Arial"/>
                <w:sz w:val="8"/>
                <w:szCs w:val="8"/>
                <w:color w:val="auto"/>
              </w:rPr>
              <w:t>Second Lien Debt (j)</w:t>
            </w:r>
          </w:p>
        </w:tc>
        <w:tc>
          <w:tcPr>
            <w:tcW w:w="1820" w:type="dxa"/>
            <w:vAlign w:val="bottom"/>
            <w:shd w:val="clear" w:color="auto" w:fill="CFF0FC"/>
          </w:tcPr>
          <w:p>
            <w:pPr>
              <w:spacing w:after="0"/>
              <w:rPr>
                <w:sz w:val="11"/>
                <w:szCs w:val="11"/>
                <w:color w:val="auto"/>
              </w:rPr>
            </w:pPr>
          </w:p>
        </w:tc>
        <w:tc>
          <w:tcPr>
            <w:tcW w:w="1240" w:type="dxa"/>
            <w:vAlign w:val="bottom"/>
            <w:shd w:val="clear" w:color="auto" w:fill="CFF0FC"/>
          </w:tcPr>
          <w:p>
            <w:pPr>
              <w:ind w:left="240"/>
              <w:spacing w:after="0"/>
              <w:rPr>
                <w:sz w:val="20"/>
                <w:szCs w:val="20"/>
                <w:color w:val="auto"/>
              </w:rPr>
            </w:pPr>
            <w:r>
              <w:rPr>
                <w:rFonts w:ascii="Arial" w:cs="Arial" w:eastAsia="Arial" w:hAnsi="Arial"/>
                <w:sz w:val="8"/>
                <w:szCs w:val="8"/>
                <w:color w:val="auto"/>
              </w:rPr>
              <w:t>(L + 12.00%) / (2.00%)</w:t>
            </w:r>
          </w:p>
        </w:tc>
        <w:tc>
          <w:tcPr>
            <w:tcW w:w="940" w:type="dxa"/>
            <w:vAlign w:val="bottom"/>
            <w:shd w:val="clear" w:color="auto" w:fill="CFF0FC"/>
          </w:tcPr>
          <w:p>
            <w:pPr>
              <w:ind w:left="220"/>
              <w:spacing w:after="0"/>
              <w:rPr>
                <w:sz w:val="20"/>
                <w:szCs w:val="20"/>
                <w:color w:val="auto"/>
              </w:rPr>
            </w:pPr>
            <w:r>
              <w:rPr>
                <w:rFonts w:ascii="Arial" w:cs="Arial" w:eastAsia="Arial" w:hAnsi="Arial"/>
                <w:sz w:val="8"/>
                <w:szCs w:val="8"/>
                <w:color w:val="auto"/>
              </w:rPr>
              <w:t>14.00%/0.00%</w:t>
            </w: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12/26/2018</w:t>
            </w:r>
          </w:p>
        </w:tc>
        <w:tc>
          <w:tcPr>
            <w:tcW w:w="780" w:type="dxa"/>
            <w:vAlign w:val="bottom"/>
            <w:shd w:val="clear" w:color="auto" w:fill="CFF0FC"/>
          </w:tcPr>
          <w:p>
            <w:pPr>
              <w:ind w:left="200"/>
              <w:spacing w:after="0"/>
              <w:rPr>
                <w:sz w:val="20"/>
                <w:szCs w:val="20"/>
                <w:color w:val="auto"/>
              </w:rPr>
            </w:pPr>
            <w:r>
              <w:rPr>
                <w:rFonts w:ascii="Arial" w:cs="Arial" w:eastAsia="Arial" w:hAnsi="Arial"/>
                <w:sz w:val="8"/>
                <w:szCs w:val="8"/>
                <w:color w:val="auto"/>
              </w:rPr>
              <w:t>6/28/2023</w:t>
            </w: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78"/>
              <w:spacing w:after="0"/>
              <w:rPr>
                <w:sz w:val="20"/>
                <w:szCs w:val="20"/>
                <w:color w:val="auto"/>
              </w:rPr>
            </w:pPr>
            <w:r>
              <w:rPr>
                <w:rFonts w:ascii="Arial" w:cs="Arial" w:eastAsia="Arial" w:hAnsi="Arial"/>
                <w:sz w:val="8"/>
                <w:szCs w:val="8"/>
                <w:color w:val="auto"/>
              </w:rPr>
              <w:t>12,188</w:t>
            </w: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12,159</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12,175</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3 %</w:t>
            </w:r>
          </w:p>
        </w:tc>
      </w:tr>
      <w:tr>
        <w:trPr>
          <w:trHeight w:val="127"/>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27"/>
        </w:trPr>
        <w:tc>
          <w:tcPr>
            <w:tcW w:w="2620" w:type="dxa"/>
            <w:vAlign w:val="bottom"/>
            <w:gridSpan w:val="4"/>
            <w:shd w:val="clear" w:color="auto" w:fill="CFF0FC"/>
          </w:tcPr>
          <w:p>
            <w:pPr>
              <w:ind w:left="20"/>
              <w:spacing w:after="0"/>
              <w:rPr>
                <w:sz w:val="20"/>
                <w:szCs w:val="20"/>
                <w:color w:val="auto"/>
              </w:rPr>
            </w:pPr>
            <w:r>
              <w:rPr>
                <w:rFonts w:ascii="Arial" w:cs="Arial" w:eastAsia="Arial" w:hAnsi="Arial"/>
                <w:sz w:val="8"/>
                <w:szCs w:val="8"/>
                <w:i w:val="1"/>
                <w:iCs w:val="1"/>
                <w:color w:val="auto"/>
              </w:rPr>
              <w:t>AVC Investors, LLC (dba Auveco)</w:t>
            </w:r>
          </w:p>
        </w:tc>
        <w:tc>
          <w:tcPr>
            <w:tcW w:w="1820" w:type="dxa"/>
            <w:vAlign w:val="bottom"/>
            <w:shd w:val="clear" w:color="auto" w:fill="CFF0FC"/>
          </w:tcPr>
          <w:p>
            <w:pPr>
              <w:ind w:left="320"/>
              <w:spacing w:after="0"/>
              <w:rPr>
                <w:sz w:val="20"/>
                <w:szCs w:val="20"/>
                <w:color w:val="auto"/>
              </w:rPr>
            </w:pPr>
            <w:r>
              <w:rPr>
                <w:rFonts w:ascii="Arial" w:cs="Arial" w:eastAsia="Arial" w:hAnsi="Arial"/>
                <w:sz w:val="8"/>
                <w:szCs w:val="8"/>
                <w:color w:val="auto"/>
              </w:rPr>
              <w:t>Specialty Distribution</w:t>
            </w:r>
          </w:p>
        </w:tc>
        <w:tc>
          <w:tcPr>
            <w:tcW w:w="1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0" w:type="dxa"/>
            <w:vAlign w:val="bottom"/>
          </w:tcPr>
          <w:p>
            <w:pPr>
              <w:spacing w:after="0"/>
              <w:rPr>
                <w:sz w:val="10"/>
                <w:szCs w:val="10"/>
                <w:color w:val="auto"/>
              </w:rPr>
            </w:pPr>
          </w:p>
        </w:tc>
        <w:tc>
          <w:tcPr>
            <w:tcW w:w="2600" w:type="dxa"/>
            <w:vAlign w:val="bottom"/>
            <w:gridSpan w:val="3"/>
          </w:tcPr>
          <w:p>
            <w:pPr>
              <w:ind w:left="120"/>
              <w:spacing w:after="0"/>
              <w:rPr>
                <w:sz w:val="20"/>
                <w:szCs w:val="20"/>
                <w:color w:val="auto"/>
              </w:rPr>
            </w:pPr>
            <w:r>
              <w:rPr>
                <w:rFonts w:ascii="Arial" w:cs="Arial" w:eastAsia="Arial" w:hAnsi="Arial"/>
                <w:sz w:val="8"/>
                <w:szCs w:val="8"/>
                <w:color w:val="auto"/>
              </w:rPr>
              <w:t>Common Equity (5,000 units) (j)</w:t>
            </w:r>
          </w:p>
        </w:tc>
        <w:tc>
          <w:tcPr>
            <w:tcW w:w="1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1/3/2018</w:t>
            </w: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382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18"/>
              <w:spacing w:after="0"/>
              <w:rPr>
                <w:sz w:val="20"/>
                <w:szCs w:val="20"/>
                <w:color w:val="auto"/>
              </w:rPr>
            </w:pPr>
            <w:r>
              <w:rPr>
                <w:rFonts w:ascii="Arial" w:cs="Arial" w:eastAsia="Arial" w:hAnsi="Arial"/>
                <w:sz w:val="8"/>
                <w:szCs w:val="8"/>
                <w:color w:val="auto"/>
              </w:rPr>
              <w:t>669</w:t>
            </w:r>
          </w:p>
        </w:tc>
        <w:tc>
          <w:tcPr>
            <w:tcW w:w="660" w:type="dxa"/>
            <w:vAlign w:val="bottom"/>
          </w:tcPr>
          <w:p>
            <w:pPr>
              <w:jc w:val="right"/>
              <w:spacing w:after="0"/>
              <w:rPr>
                <w:sz w:val="20"/>
                <w:szCs w:val="20"/>
                <w:color w:val="auto"/>
              </w:rPr>
            </w:pPr>
            <w:r>
              <w:rPr>
                <w:rFonts w:ascii="Arial" w:cs="Arial" w:eastAsia="Arial" w:hAnsi="Arial"/>
                <w:sz w:val="8"/>
                <w:szCs w:val="8"/>
                <w:color w:val="auto"/>
              </w:rPr>
              <w:t>0 %</w:t>
            </w:r>
          </w:p>
        </w:tc>
      </w:tr>
      <w:tr>
        <w:trPr>
          <w:trHeight w:val="134"/>
        </w:trPr>
        <w:tc>
          <w:tcPr>
            <w:tcW w:w="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8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620" w:type="dxa"/>
            <w:vAlign w:val="bottom"/>
            <w:gridSpan w:val="4"/>
          </w:tcPr>
          <w:p>
            <w:pPr>
              <w:ind w:left="20"/>
              <w:spacing w:after="0"/>
              <w:rPr>
                <w:sz w:val="20"/>
                <w:szCs w:val="20"/>
                <w:color w:val="auto"/>
              </w:rPr>
            </w:pPr>
            <w:r>
              <w:rPr>
                <w:rFonts w:ascii="Arial" w:cs="Arial" w:eastAsia="Arial" w:hAnsi="Arial"/>
                <w:sz w:val="8"/>
                <w:szCs w:val="8"/>
                <w:i w:val="1"/>
                <w:iCs w:val="1"/>
                <w:color w:val="auto"/>
              </w:rPr>
              <w:t>B&amp;B Roadway and Security Solutions, LLC</w:t>
            </w:r>
          </w:p>
        </w:tc>
        <w:tc>
          <w:tcPr>
            <w:tcW w:w="1820" w:type="dxa"/>
            <w:vAlign w:val="bottom"/>
          </w:tcPr>
          <w:p>
            <w:pPr>
              <w:ind w:left="320"/>
              <w:spacing w:after="0"/>
              <w:rPr>
                <w:sz w:val="20"/>
                <w:szCs w:val="20"/>
                <w:color w:val="auto"/>
              </w:rPr>
            </w:pPr>
            <w:r>
              <w:rPr>
                <w:rFonts w:ascii="Arial" w:cs="Arial" w:eastAsia="Arial" w:hAnsi="Arial"/>
                <w:sz w:val="8"/>
                <w:szCs w:val="8"/>
                <w:color w:val="auto"/>
              </w:rPr>
              <w:t>Component Manufacturing</w:t>
            </w:r>
          </w:p>
        </w:tc>
        <w:tc>
          <w:tcPr>
            <w:tcW w:w="1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4"/>
        </w:trPr>
        <w:tc>
          <w:tcPr>
            <w:tcW w:w="20" w:type="dxa"/>
            <w:vAlign w:val="bottom"/>
            <w:shd w:val="clear" w:color="auto" w:fill="CFF0FC"/>
          </w:tcPr>
          <w:p>
            <w:pPr>
              <w:spacing w:after="0"/>
              <w:rPr>
                <w:sz w:val="11"/>
                <w:szCs w:val="11"/>
                <w:color w:val="auto"/>
              </w:rPr>
            </w:pPr>
          </w:p>
        </w:tc>
        <w:tc>
          <w:tcPr>
            <w:tcW w:w="2600" w:type="dxa"/>
            <w:vAlign w:val="bottom"/>
            <w:gridSpan w:val="3"/>
            <w:shd w:val="clear" w:color="auto" w:fill="CFF0FC"/>
          </w:tcPr>
          <w:p>
            <w:pPr>
              <w:ind w:left="120"/>
              <w:spacing w:after="0"/>
              <w:rPr>
                <w:sz w:val="20"/>
                <w:szCs w:val="20"/>
                <w:color w:val="auto"/>
              </w:rPr>
            </w:pPr>
            <w:r>
              <w:rPr>
                <w:rFonts w:ascii="Arial" w:cs="Arial" w:eastAsia="Arial" w:hAnsi="Arial"/>
                <w:sz w:val="8"/>
                <w:szCs w:val="8"/>
                <w:color w:val="auto"/>
              </w:rPr>
              <w:t>Second Lien Debt</w:t>
            </w:r>
          </w:p>
        </w:tc>
        <w:tc>
          <w:tcPr>
            <w:tcW w:w="18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940" w:type="dxa"/>
            <w:vAlign w:val="bottom"/>
            <w:shd w:val="clear" w:color="auto" w:fill="CFF0FC"/>
          </w:tcPr>
          <w:p>
            <w:pPr>
              <w:ind w:left="220"/>
              <w:spacing w:after="0"/>
              <w:rPr>
                <w:sz w:val="20"/>
                <w:szCs w:val="20"/>
                <w:color w:val="auto"/>
              </w:rPr>
            </w:pPr>
            <w:r>
              <w:rPr>
                <w:rFonts w:ascii="Arial" w:cs="Arial" w:eastAsia="Arial" w:hAnsi="Arial"/>
                <w:sz w:val="8"/>
                <w:szCs w:val="8"/>
                <w:color w:val="auto"/>
              </w:rPr>
              <w:t>11.25%/4.00%</w:t>
            </w: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2/27/2018</w:t>
            </w:r>
          </w:p>
        </w:tc>
        <w:tc>
          <w:tcPr>
            <w:tcW w:w="780" w:type="dxa"/>
            <w:vAlign w:val="bottom"/>
            <w:shd w:val="clear" w:color="auto" w:fill="CFF0FC"/>
          </w:tcPr>
          <w:p>
            <w:pPr>
              <w:ind w:left="200"/>
              <w:spacing w:after="0"/>
              <w:rPr>
                <w:sz w:val="20"/>
                <w:szCs w:val="20"/>
                <w:color w:val="auto"/>
              </w:rPr>
            </w:pPr>
            <w:r>
              <w:rPr>
                <w:rFonts w:ascii="Arial" w:cs="Arial" w:eastAsia="Arial" w:hAnsi="Arial"/>
                <w:sz w:val="8"/>
                <w:szCs w:val="8"/>
                <w:color w:val="auto"/>
              </w:rPr>
              <w:t>1/1/2022</w:t>
            </w: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78"/>
              <w:spacing w:after="0"/>
              <w:rPr>
                <w:sz w:val="20"/>
                <w:szCs w:val="20"/>
                <w:color w:val="auto"/>
              </w:rPr>
            </w:pPr>
            <w:r>
              <w:rPr>
                <w:rFonts w:ascii="Arial" w:cs="Arial" w:eastAsia="Arial" w:hAnsi="Arial"/>
                <w:sz w:val="8"/>
                <w:szCs w:val="8"/>
                <w:color w:val="auto"/>
              </w:rPr>
              <w:t>11,244</w:t>
            </w: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11,239</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11,162</w:t>
            </w:r>
          </w:p>
        </w:tc>
        <w:tc>
          <w:tcPr>
            <w:tcW w:w="660" w:type="dxa"/>
            <w:vAlign w:val="bottom"/>
            <w:shd w:val="clear" w:color="auto" w:fill="CFF0FC"/>
          </w:tcPr>
          <w:p>
            <w:pPr>
              <w:spacing w:after="0"/>
              <w:rPr>
                <w:sz w:val="11"/>
                <w:szCs w:val="11"/>
                <w:color w:val="auto"/>
              </w:rPr>
            </w:pPr>
          </w:p>
        </w:tc>
      </w:tr>
      <w:tr>
        <w:trPr>
          <w:trHeight w:val="126"/>
        </w:trPr>
        <w:tc>
          <w:tcPr>
            <w:tcW w:w="20" w:type="dxa"/>
            <w:vAlign w:val="bottom"/>
          </w:tcPr>
          <w:p>
            <w:pPr>
              <w:spacing w:after="0"/>
              <w:rPr>
                <w:sz w:val="10"/>
                <w:szCs w:val="10"/>
                <w:color w:val="auto"/>
              </w:rPr>
            </w:pPr>
          </w:p>
        </w:tc>
        <w:tc>
          <w:tcPr>
            <w:tcW w:w="2600" w:type="dxa"/>
            <w:vAlign w:val="bottom"/>
            <w:gridSpan w:val="3"/>
          </w:tcPr>
          <w:p>
            <w:pPr>
              <w:ind w:left="120"/>
              <w:spacing w:after="0"/>
              <w:rPr>
                <w:sz w:val="20"/>
                <w:szCs w:val="20"/>
                <w:color w:val="auto"/>
              </w:rPr>
            </w:pPr>
            <w:r>
              <w:rPr>
                <w:rFonts w:ascii="Arial" w:cs="Arial" w:eastAsia="Arial" w:hAnsi="Arial"/>
                <w:sz w:val="8"/>
                <w:szCs w:val="8"/>
                <w:color w:val="auto"/>
              </w:rPr>
              <w:t>Common Equity (50,000 units) (h)(j)</w:t>
            </w:r>
          </w:p>
        </w:tc>
        <w:tc>
          <w:tcPr>
            <w:tcW w:w="1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2/27/2018</w:t>
            </w: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497</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w:t>
            </w:r>
          </w:p>
        </w:tc>
        <w:tc>
          <w:tcPr>
            <w:tcW w:w="660" w:type="dxa"/>
            <w:vAlign w:val="bottom"/>
          </w:tcPr>
          <w:p>
            <w:pPr>
              <w:spacing w:after="0"/>
              <w:rPr>
                <w:sz w:val="10"/>
                <w:szCs w:val="10"/>
                <w:color w:val="auto"/>
              </w:rPr>
            </w:pPr>
          </w:p>
        </w:tc>
      </w:tr>
      <w:tr>
        <w:trPr>
          <w:trHeight w:val="120"/>
        </w:trPr>
        <w:tc>
          <w:tcPr>
            <w:tcW w:w="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11,736</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11,162</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3 %</w:t>
            </w:r>
          </w:p>
        </w:tc>
      </w:tr>
      <w:tr>
        <w:trPr>
          <w:trHeight w:val="120"/>
        </w:trPr>
        <w:tc>
          <w:tcPr>
            <w:tcW w:w="2620" w:type="dxa"/>
            <w:vAlign w:val="bottom"/>
            <w:gridSpan w:val="4"/>
          </w:tcPr>
          <w:p>
            <w:pPr>
              <w:ind w:left="20"/>
              <w:spacing w:after="0"/>
              <w:rPr>
                <w:sz w:val="20"/>
                <w:szCs w:val="20"/>
                <w:color w:val="auto"/>
              </w:rPr>
            </w:pPr>
            <w:r>
              <w:rPr>
                <w:rFonts w:ascii="Arial" w:cs="Arial" w:eastAsia="Arial" w:hAnsi="Arial"/>
                <w:sz w:val="8"/>
                <w:szCs w:val="8"/>
                <w:i w:val="1"/>
                <w:iCs w:val="1"/>
                <w:color w:val="auto"/>
              </w:rPr>
              <w:t>Bandon Fitness (Texas), Inc.</w:t>
            </w:r>
          </w:p>
        </w:tc>
        <w:tc>
          <w:tcPr>
            <w:tcW w:w="1820" w:type="dxa"/>
            <w:vAlign w:val="bottom"/>
          </w:tcPr>
          <w:p>
            <w:pPr>
              <w:ind w:left="320"/>
              <w:spacing w:after="0"/>
              <w:rPr>
                <w:sz w:val="20"/>
                <w:szCs w:val="20"/>
                <w:color w:val="auto"/>
              </w:rPr>
            </w:pPr>
            <w:r>
              <w:rPr>
                <w:rFonts w:ascii="Arial" w:cs="Arial" w:eastAsia="Arial" w:hAnsi="Arial"/>
                <w:sz w:val="8"/>
                <w:szCs w:val="8"/>
                <w:color w:val="auto"/>
              </w:rPr>
              <w:t>Retail</w:t>
            </w:r>
          </w:p>
        </w:tc>
        <w:tc>
          <w:tcPr>
            <w:tcW w:w="1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4"/>
        </w:trPr>
        <w:tc>
          <w:tcPr>
            <w:tcW w:w="20" w:type="dxa"/>
            <w:vAlign w:val="bottom"/>
            <w:shd w:val="clear" w:color="auto" w:fill="CFF0FC"/>
          </w:tcPr>
          <w:p>
            <w:pPr>
              <w:spacing w:after="0"/>
              <w:rPr>
                <w:sz w:val="11"/>
                <w:szCs w:val="11"/>
                <w:color w:val="auto"/>
              </w:rPr>
            </w:pPr>
          </w:p>
        </w:tc>
        <w:tc>
          <w:tcPr>
            <w:tcW w:w="2600" w:type="dxa"/>
            <w:vAlign w:val="bottom"/>
            <w:gridSpan w:val="3"/>
            <w:shd w:val="clear" w:color="auto" w:fill="CFF0FC"/>
          </w:tcPr>
          <w:p>
            <w:pPr>
              <w:ind w:left="120"/>
              <w:spacing w:after="0"/>
              <w:rPr>
                <w:sz w:val="20"/>
                <w:szCs w:val="20"/>
                <w:color w:val="auto"/>
              </w:rPr>
            </w:pPr>
            <w:r>
              <w:rPr>
                <w:rFonts w:ascii="Arial" w:cs="Arial" w:eastAsia="Arial" w:hAnsi="Arial"/>
                <w:sz w:val="8"/>
                <w:szCs w:val="8"/>
                <w:color w:val="auto"/>
              </w:rPr>
              <w:t>Common Equity (545,810 units) (j)</w:t>
            </w:r>
          </w:p>
        </w:tc>
        <w:tc>
          <w:tcPr>
            <w:tcW w:w="18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8/9/2019</w:t>
            </w: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931</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1,458</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0 %</w:t>
            </w:r>
          </w:p>
        </w:tc>
      </w:tr>
      <w:tr>
        <w:trPr>
          <w:trHeight w:val="127"/>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27"/>
        </w:trPr>
        <w:tc>
          <w:tcPr>
            <w:tcW w:w="2620" w:type="dxa"/>
            <w:vAlign w:val="bottom"/>
            <w:gridSpan w:val="4"/>
            <w:shd w:val="clear" w:color="auto" w:fill="CFF0FC"/>
          </w:tcPr>
          <w:p>
            <w:pPr>
              <w:ind w:left="20"/>
              <w:spacing w:after="0"/>
              <w:rPr>
                <w:sz w:val="20"/>
                <w:szCs w:val="20"/>
                <w:color w:val="auto"/>
              </w:rPr>
            </w:pPr>
            <w:r>
              <w:rPr>
                <w:rFonts w:ascii="Arial" w:cs="Arial" w:eastAsia="Arial" w:hAnsi="Arial"/>
                <w:sz w:val="8"/>
                <w:szCs w:val="8"/>
                <w:i w:val="1"/>
                <w:iCs w:val="1"/>
                <w:color w:val="auto"/>
              </w:rPr>
              <w:t>BCM One Group Holdings, Inc.</w:t>
            </w:r>
          </w:p>
        </w:tc>
        <w:tc>
          <w:tcPr>
            <w:tcW w:w="1820" w:type="dxa"/>
            <w:vAlign w:val="bottom"/>
            <w:shd w:val="clear" w:color="auto" w:fill="CFF0FC"/>
          </w:tcPr>
          <w:p>
            <w:pPr>
              <w:ind w:left="320"/>
              <w:spacing w:after="0"/>
              <w:rPr>
                <w:sz w:val="20"/>
                <w:szCs w:val="20"/>
                <w:color w:val="auto"/>
              </w:rPr>
            </w:pPr>
            <w:r>
              <w:rPr>
                <w:rFonts w:ascii="Arial" w:cs="Arial" w:eastAsia="Arial" w:hAnsi="Arial"/>
                <w:sz w:val="8"/>
                <w:szCs w:val="8"/>
                <w:color w:val="auto"/>
              </w:rPr>
              <w:t>Information Technology Services</w:t>
            </w:r>
          </w:p>
        </w:tc>
        <w:tc>
          <w:tcPr>
            <w:tcW w:w="1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0" w:type="dxa"/>
            <w:vAlign w:val="bottom"/>
          </w:tcPr>
          <w:p>
            <w:pPr>
              <w:spacing w:after="0"/>
              <w:rPr>
                <w:sz w:val="10"/>
                <w:szCs w:val="10"/>
                <w:color w:val="auto"/>
              </w:rPr>
            </w:pPr>
          </w:p>
        </w:tc>
        <w:tc>
          <w:tcPr>
            <w:tcW w:w="2600" w:type="dxa"/>
            <w:vAlign w:val="bottom"/>
            <w:gridSpan w:val="3"/>
          </w:tcPr>
          <w:p>
            <w:pPr>
              <w:ind w:left="120"/>
              <w:spacing w:after="0"/>
              <w:rPr>
                <w:sz w:val="20"/>
                <w:szCs w:val="20"/>
                <w:color w:val="auto"/>
              </w:rPr>
            </w:pPr>
            <w:r>
              <w:rPr>
                <w:rFonts w:ascii="Arial" w:cs="Arial" w:eastAsia="Arial" w:hAnsi="Arial"/>
                <w:sz w:val="8"/>
                <w:szCs w:val="8"/>
                <w:color w:val="auto"/>
              </w:rPr>
              <w:t>Subordinated Debt (k)</w:t>
            </w:r>
          </w:p>
        </w:tc>
        <w:tc>
          <w:tcPr>
            <w:tcW w:w="1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40" w:type="dxa"/>
            <w:vAlign w:val="bottom"/>
          </w:tcPr>
          <w:p>
            <w:pPr>
              <w:ind w:left="220"/>
              <w:spacing w:after="0"/>
              <w:rPr>
                <w:sz w:val="20"/>
                <w:szCs w:val="20"/>
                <w:color w:val="auto"/>
              </w:rPr>
            </w:pPr>
            <w:r>
              <w:rPr>
                <w:rFonts w:ascii="Arial" w:cs="Arial" w:eastAsia="Arial" w:hAnsi="Arial"/>
                <w:sz w:val="8"/>
                <w:szCs w:val="8"/>
                <w:color w:val="auto"/>
              </w:rPr>
              <w:t>11.00%/0.00%</w:t>
            </w:r>
          </w:p>
        </w:tc>
        <w:tc>
          <w:tcPr>
            <w:tcW w:w="820" w:type="dxa"/>
            <w:vAlign w:val="bottom"/>
          </w:tcPr>
          <w:p>
            <w:pPr>
              <w:ind w:left="220"/>
              <w:spacing w:after="0"/>
              <w:rPr>
                <w:sz w:val="20"/>
                <w:szCs w:val="20"/>
                <w:color w:val="auto"/>
              </w:rPr>
            </w:pPr>
            <w:r>
              <w:rPr>
                <w:rFonts w:ascii="Arial" w:cs="Arial" w:eastAsia="Arial" w:hAnsi="Arial"/>
                <w:sz w:val="8"/>
                <w:szCs w:val="8"/>
                <w:color w:val="auto"/>
              </w:rPr>
              <w:t>1/3/2019</w:t>
            </w:r>
          </w:p>
        </w:tc>
        <w:tc>
          <w:tcPr>
            <w:tcW w:w="780" w:type="dxa"/>
            <w:vAlign w:val="bottom"/>
          </w:tcPr>
          <w:p>
            <w:pPr>
              <w:ind w:left="200"/>
              <w:spacing w:after="0"/>
              <w:rPr>
                <w:sz w:val="20"/>
                <w:szCs w:val="20"/>
                <w:color w:val="auto"/>
              </w:rPr>
            </w:pPr>
            <w:r>
              <w:rPr>
                <w:rFonts w:ascii="Arial" w:cs="Arial" w:eastAsia="Arial" w:hAnsi="Arial"/>
                <w:sz w:val="8"/>
                <w:szCs w:val="8"/>
                <w:color w:val="auto"/>
              </w:rPr>
              <w:t>7/3/2024</w:t>
            </w:r>
          </w:p>
        </w:tc>
        <w:tc>
          <w:tcPr>
            <w:tcW w:w="300" w:type="dxa"/>
            <w:vAlign w:val="bottom"/>
          </w:tcPr>
          <w:p>
            <w:pPr>
              <w:spacing w:after="0"/>
              <w:rPr>
                <w:sz w:val="10"/>
                <w:szCs w:val="10"/>
                <w:color w:val="auto"/>
              </w:rPr>
            </w:pPr>
          </w:p>
        </w:tc>
        <w:tc>
          <w:tcPr>
            <w:tcW w:w="640" w:type="dxa"/>
            <w:vAlign w:val="bottom"/>
          </w:tcPr>
          <w:p>
            <w:pPr>
              <w:jc w:val="right"/>
              <w:ind w:right="78"/>
              <w:spacing w:after="0"/>
              <w:rPr>
                <w:sz w:val="20"/>
                <w:szCs w:val="20"/>
                <w:color w:val="auto"/>
              </w:rPr>
            </w:pPr>
            <w:r>
              <w:rPr>
                <w:rFonts w:ascii="Arial" w:cs="Arial" w:eastAsia="Arial" w:hAnsi="Arial"/>
                <w:sz w:val="8"/>
                <w:szCs w:val="8"/>
                <w:color w:val="auto"/>
              </w:rPr>
              <w:t>30,000</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29,911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18"/>
              <w:spacing w:after="0"/>
              <w:rPr>
                <w:sz w:val="20"/>
                <w:szCs w:val="20"/>
                <w:color w:val="auto"/>
              </w:rPr>
            </w:pPr>
            <w:r>
              <w:rPr>
                <w:rFonts w:ascii="Arial" w:cs="Arial" w:eastAsia="Arial" w:hAnsi="Arial"/>
                <w:sz w:val="8"/>
                <w:szCs w:val="8"/>
                <w:color w:val="auto"/>
              </w:rPr>
              <w:t>30,000</w:t>
            </w:r>
          </w:p>
        </w:tc>
        <w:tc>
          <w:tcPr>
            <w:tcW w:w="660" w:type="dxa"/>
            <w:vAlign w:val="bottom"/>
          </w:tcPr>
          <w:p>
            <w:pPr>
              <w:spacing w:after="0"/>
              <w:rPr>
                <w:sz w:val="10"/>
                <w:szCs w:val="10"/>
                <w:color w:val="auto"/>
              </w:rPr>
            </w:pPr>
          </w:p>
        </w:tc>
      </w:tr>
      <w:tr>
        <w:trPr>
          <w:trHeight w:val="134"/>
        </w:trPr>
        <w:tc>
          <w:tcPr>
            <w:tcW w:w="20" w:type="dxa"/>
            <w:vAlign w:val="bottom"/>
            <w:shd w:val="clear" w:color="auto" w:fill="CFF0FC"/>
          </w:tcPr>
          <w:p>
            <w:pPr>
              <w:spacing w:after="0"/>
              <w:rPr>
                <w:sz w:val="11"/>
                <w:szCs w:val="11"/>
                <w:color w:val="auto"/>
              </w:rPr>
            </w:pPr>
          </w:p>
        </w:tc>
        <w:tc>
          <w:tcPr>
            <w:tcW w:w="2600" w:type="dxa"/>
            <w:vAlign w:val="bottom"/>
            <w:gridSpan w:val="3"/>
            <w:shd w:val="clear" w:color="auto" w:fill="CFF0FC"/>
          </w:tcPr>
          <w:p>
            <w:pPr>
              <w:ind w:left="120"/>
              <w:spacing w:after="0"/>
              <w:rPr>
                <w:sz w:val="20"/>
                <w:szCs w:val="20"/>
                <w:color w:val="auto"/>
              </w:rPr>
            </w:pPr>
            <w:r>
              <w:rPr>
                <w:rFonts w:ascii="Arial" w:cs="Arial" w:eastAsia="Arial" w:hAnsi="Arial"/>
                <w:sz w:val="8"/>
                <w:szCs w:val="8"/>
                <w:color w:val="auto"/>
              </w:rPr>
              <w:t>Common Equity (1,281 shares)</w:t>
            </w:r>
          </w:p>
        </w:tc>
        <w:tc>
          <w:tcPr>
            <w:tcW w:w="18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1/3/2019</w:t>
            </w: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48</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2,330</w:t>
            </w:r>
          </w:p>
        </w:tc>
        <w:tc>
          <w:tcPr>
            <w:tcW w:w="660" w:type="dxa"/>
            <w:vAlign w:val="bottom"/>
            <w:shd w:val="clear" w:color="auto" w:fill="CFF0FC"/>
          </w:tcPr>
          <w:p>
            <w:pPr>
              <w:spacing w:after="0"/>
              <w:rPr>
                <w:sz w:val="11"/>
                <w:szCs w:val="11"/>
                <w:color w:val="auto"/>
              </w:rPr>
            </w:pPr>
          </w:p>
        </w:tc>
      </w:tr>
      <w:tr>
        <w:trPr>
          <w:trHeight w:val="126"/>
        </w:trPr>
        <w:tc>
          <w:tcPr>
            <w:tcW w:w="20" w:type="dxa"/>
            <w:vAlign w:val="bottom"/>
          </w:tcPr>
          <w:p>
            <w:pPr>
              <w:spacing w:after="0"/>
              <w:rPr>
                <w:sz w:val="10"/>
                <w:szCs w:val="10"/>
                <w:color w:val="auto"/>
              </w:rPr>
            </w:pPr>
          </w:p>
        </w:tc>
        <w:tc>
          <w:tcPr>
            <w:tcW w:w="2600" w:type="dxa"/>
            <w:vAlign w:val="bottom"/>
            <w:gridSpan w:val="3"/>
          </w:tcPr>
          <w:p>
            <w:pPr>
              <w:ind w:left="120"/>
              <w:spacing w:after="0"/>
              <w:rPr>
                <w:sz w:val="20"/>
                <w:szCs w:val="20"/>
                <w:color w:val="auto"/>
              </w:rPr>
            </w:pPr>
            <w:r>
              <w:rPr>
                <w:rFonts w:ascii="Arial" w:cs="Arial" w:eastAsia="Arial" w:hAnsi="Arial"/>
                <w:sz w:val="8"/>
                <w:szCs w:val="8"/>
                <w:color w:val="auto"/>
              </w:rPr>
              <w:t>Preferred Equity (74 shares)</w:t>
            </w:r>
          </w:p>
        </w:tc>
        <w:tc>
          <w:tcPr>
            <w:tcW w:w="1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1/3/2019</w:t>
            </w: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736</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736</w:t>
            </w:r>
          </w:p>
        </w:tc>
        <w:tc>
          <w:tcPr>
            <w:tcW w:w="660" w:type="dxa"/>
            <w:vAlign w:val="bottom"/>
          </w:tcPr>
          <w:p>
            <w:pPr>
              <w:spacing w:after="0"/>
              <w:rPr>
                <w:sz w:val="10"/>
                <w:szCs w:val="10"/>
                <w:color w:val="auto"/>
              </w:rPr>
            </w:pPr>
          </w:p>
        </w:tc>
      </w:tr>
      <w:tr>
        <w:trPr>
          <w:trHeight w:val="120"/>
        </w:trPr>
        <w:tc>
          <w:tcPr>
            <w:tcW w:w="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30,695</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33,066</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7 %</w:t>
            </w:r>
          </w:p>
        </w:tc>
      </w:tr>
      <w:tr>
        <w:trPr>
          <w:trHeight w:val="120"/>
        </w:trPr>
        <w:tc>
          <w:tcPr>
            <w:tcW w:w="2620" w:type="dxa"/>
            <w:vAlign w:val="bottom"/>
            <w:gridSpan w:val="4"/>
          </w:tcPr>
          <w:p>
            <w:pPr>
              <w:ind w:left="20"/>
              <w:spacing w:after="0"/>
              <w:rPr>
                <w:sz w:val="20"/>
                <w:szCs w:val="20"/>
                <w:color w:val="auto"/>
              </w:rPr>
            </w:pPr>
            <w:r>
              <w:rPr>
                <w:rFonts w:ascii="Arial" w:cs="Arial" w:eastAsia="Arial" w:hAnsi="Arial"/>
                <w:sz w:val="8"/>
                <w:szCs w:val="8"/>
                <w:i w:val="1"/>
                <w:iCs w:val="1"/>
                <w:color w:val="auto"/>
              </w:rPr>
              <w:t>Bedford Precision Parts LLC</w:t>
            </w:r>
          </w:p>
        </w:tc>
        <w:tc>
          <w:tcPr>
            <w:tcW w:w="1820" w:type="dxa"/>
            <w:vAlign w:val="bottom"/>
          </w:tcPr>
          <w:p>
            <w:pPr>
              <w:ind w:left="320"/>
              <w:spacing w:after="0"/>
              <w:rPr>
                <w:sz w:val="20"/>
                <w:szCs w:val="20"/>
                <w:color w:val="auto"/>
              </w:rPr>
            </w:pPr>
            <w:r>
              <w:rPr>
                <w:rFonts w:ascii="Arial" w:cs="Arial" w:eastAsia="Arial" w:hAnsi="Arial"/>
                <w:sz w:val="8"/>
                <w:szCs w:val="8"/>
                <w:color w:val="auto"/>
              </w:rPr>
              <w:t>Specialty Distribution</w:t>
            </w:r>
          </w:p>
        </w:tc>
        <w:tc>
          <w:tcPr>
            <w:tcW w:w="1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4"/>
        </w:trPr>
        <w:tc>
          <w:tcPr>
            <w:tcW w:w="20" w:type="dxa"/>
            <w:vAlign w:val="bottom"/>
            <w:shd w:val="clear" w:color="auto" w:fill="CFF0FC"/>
          </w:tcPr>
          <w:p>
            <w:pPr>
              <w:spacing w:after="0"/>
              <w:rPr>
                <w:sz w:val="11"/>
                <w:szCs w:val="11"/>
                <w:color w:val="auto"/>
              </w:rPr>
            </w:pPr>
          </w:p>
        </w:tc>
        <w:tc>
          <w:tcPr>
            <w:tcW w:w="2600" w:type="dxa"/>
            <w:vAlign w:val="bottom"/>
            <w:gridSpan w:val="3"/>
            <w:shd w:val="clear" w:color="auto" w:fill="CFF0FC"/>
          </w:tcPr>
          <w:p>
            <w:pPr>
              <w:ind w:left="120"/>
              <w:spacing w:after="0"/>
              <w:rPr>
                <w:sz w:val="20"/>
                <w:szCs w:val="20"/>
                <w:color w:val="auto"/>
              </w:rPr>
            </w:pPr>
            <w:r>
              <w:rPr>
                <w:rFonts w:ascii="Arial" w:cs="Arial" w:eastAsia="Arial" w:hAnsi="Arial"/>
                <w:sz w:val="8"/>
                <w:szCs w:val="8"/>
                <w:color w:val="auto"/>
              </w:rPr>
              <w:t>First Lien Debt (j)(s)</w:t>
            </w:r>
          </w:p>
        </w:tc>
        <w:tc>
          <w:tcPr>
            <w:tcW w:w="1820" w:type="dxa"/>
            <w:vAlign w:val="bottom"/>
            <w:shd w:val="clear" w:color="auto" w:fill="CFF0FC"/>
          </w:tcPr>
          <w:p>
            <w:pPr>
              <w:spacing w:after="0"/>
              <w:rPr>
                <w:sz w:val="11"/>
                <w:szCs w:val="11"/>
                <w:color w:val="auto"/>
              </w:rPr>
            </w:pPr>
          </w:p>
        </w:tc>
        <w:tc>
          <w:tcPr>
            <w:tcW w:w="1240" w:type="dxa"/>
            <w:vAlign w:val="bottom"/>
            <w:shd w:val="clear" w:color="auto" w:fill="CFF0FC"/>
          </w:tcPr>
          <w:p>
            <w:pPr>
              <w:ind w:left="240"/>
              <w:spacing w:after="0"/>
              <w:rPr>
                <w:sz w:val="20"/>
                <w:szCs w:val="20"/>
                <w:color w:val="auto"/>
              </w:rPr>
            </w:pPr>
            <w:r>
              <w:rPr>
                <w:rFonts w:ascii="Arial" w:cs="Arial" w:eastAsia="Arial" w:hAnsi="Arial"/>
                <w:sz w:val="8"/>
                <w:szCs w:val="8"/>
                <w:color w:val="auto"/>
              </w:rPr>
              <w:t>(L + 6.25%) / (2.00%)</w:t>
            </w:r>
          </w:p>
        </w:tc>
        <w:tc>
          <w:tcPr>
            <w:tcW w:w="940" w:type="dxa"/>
            <w:vAlign w:val="bottom"/>
            <w:shd w:val="clear" w:color="auto" w:fill="CFF0FC"/>
          </w:tcPr>
          <w:p>
            <w:pPr>
              <w:ind w:left="220"/>
              <w:spacing w:after="0"/>
              <w:rPr>
                <w:sz w:val="20"/>
                <w:szCs w:val="20"/>
                <w:color w:val="auto"/>
              </w:rPr>
            </w:pPr>
            <w:r>
              <w:rPr>
                <w:rFonts w:ascii="Arial" w:cs="Arial" w:eastAsia="Arial" w:hAnsi="Arial"/>
                <w:sz w:val="8"/>
                <w:szCs w:val="8"/>
                <w:color w:val="auto"/>
              </w:rPr>
              <w:t>8.25%/0.00%</w:t>
            </w: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3/12/2019</w:t>
            </w:r>
          </w:p>
        </w:tc>
        <w:tc>
          <w:tcPr>
            <w:tcW w:w="780" w:type="dxa"/>
            <w:vAlign w:val="bottom"/>
            <w:shd w:val="clear" w:color="auto" w:fill="CFF0FC"/>
          </w:tcPr>
          <w:p>
            <w:pPr>
              <w:ind w:left="200"/>
              <w:spacing w:after="0"/>
              <w:rPr>
                <w:sz w:val="20"/>
                <w:szCs w:val="20"/>
                <w:color w:val="auto"/>
              </w:rPr>
            </w:pPr>
            <w:r>
              <w:rPr>
                <w:rFonts w:ascii="Arial" w:cs="Arial" w:eastAsia="Arial" w:hAnsi="Arial"/>
                <w:sz w:val="8"/>
                <w:szCs w:val="8"/>
                <w:color w:val="auto"/>
              </w:rPr>
              <w:t>3/12/2024</w:t>
            </w: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78"/>
              <w:spacing w:after="0"/>
              <w:rPr>
                <w:sz w:val="20"/>
                <w:szCs w:val="20"/>
                <w:color w:val="auto"/>
              </w:rPr>
            </w:pPr>
            <w:r>
              <w:rPr>
                <w:rFonts w:ascii="Arial" w:cs="Arial" w:eastAsia="Arial" w:hAnsi="Arial"/>
                <w:sz w:val="8"/>
                <w:szCs w:val="8"/>
                <w:color w:val="auto"/>
              </w:rPr>
              <w:t>4,531</w:t>
            </w: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4,512</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4,531</w:t>
            </w:r>
          </w:p>
        </w:tc>
        <w:tc>
          <w:tcPr>
            <w:tcW w:w="660" w:type="dxa"/>
            <w:vAlign w:val="bottom"/>
            <w:shd w:val="clear" w:color="auto" w:fill="CFF0FC"/>
          </w:tcPr>
          <w:p>
            <w:pPr>
              <w:spacing w:after="0"/>
              <w:rPr>
                <w:sz w:val="11"/>
                <w:szCs w:val="11"/>
                <w:color w:val="auto"/>
              </w:rPr>
            </w:pPr>
          </w:p>
        </w:tc>
      </w:tr>
      <w:tr>
        <w:trPr>
          <w:trHeight w:val="126"/>
        </w:trPr>
        <w:tc>
          <w:tcPr>
            <w:tcW w:w="20" w:type="dxa"/>
            <w:vAlign w:val="bottom"/>
          </w:tcPr>
          <w:p>
            <w:pPr>
              <w:spacing w:after="0"/>
              <w:rPr>
                <w:sz w:val="10"/>
                <w:szCs w:val="10"/>
                <w:color w:val="auto"/>
              </w:rPr>
            </w:pPr>
          </w:p>
        </w:tc>
        <w:tc>
          <w:tcPr>
            <w:tcW w:w="2600" w:type="dxa"/>
            <w:vAlign w:val="bottom"/>
            <w:gridSpan w:val="3"/>
          </w:tcPr>
          <w:p>
            <w:pPr>
              <w:ind w:left="120"/>
              <w:spacing w:after="0"/>
              <w:rPr>
                <w:sz w:val="20"/>
                <w:szCs w:val="20"/>
                <w:color w:val="auto"/>
              </w:rPr>
            </w:pPr>
            <w:r>
              <w:rPr>
                <w:rFonts w:ascii="Arial" w:cs="Arial" w:eastAsia="Arial" w:hAnsi="Arial"/>
                <w:sz w:val="8"/>
                <w:szCs w:val="8"/>
                <w:color w:val="auto"/>
              </w:rPr>
              <w:t>Common Equity (500,000 units) (h)(j)</w:t>
            </w:r>
          </w:p>
        </w:tc>
        <w:tc>
          <w:tcPr>
            <w:tcW w:w="1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3/12/2019</w:t>
            </w: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500</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342</w:t>
            </w:r>
          </w:p>
        </w:tc>
        <w:tc>
          <w:tcPr>
            <w:tcW w:w="660" w:type="dxa"/>
            <w:vAlign w:val="bottom"/>
          </w:tcPr>
          <w:p>
            <w:pPr>
              <w:spacing w:after="0"/>
              <w:rPr>
                <w:sz w:val="10"/>
                <w:szCs w:val="10"/>
                <w:color w:val="auto"/>
              </w:rPr>
            </w:pPr>
          </w:p>
        </w:tc>
      </w:tr>
      <w:tr>
        <w:trPr>
          <w:trHeight w:val="120"/>
        </w:trPr>
        <w:tc>
          <w:tcPr>
            <w:tcW w:w="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5,012</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4,873</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1 %</w:t>
            </w:r>
          </w:p>
        </w:tc>
      </w:tr>
      <w:tr>
        <w:trPr>
          <w:trHeight w:val="113"/>
        </w:trPr>
        <w:tc>
          <w:tcPr>
            <w:tcW w:w="2620" w:type="dxa"/>
            <w:vAlign w:val="bottom"/>
            <w:gridSpan w:val="4"/>
          </w:tcPr>
          <w:p>
            <w:pPr>
              <w:ind w:left="20"/>
              <w:spacing w:after="0"/>
              <w:rPr>
                <w:sz w:val="20"/>
                <w:szCs w:val="20"/>
                <w:color w:val="auto"/>
              </w:rPr>
            </w:pPr>
            <w:r>
              <w:rPr>
                <w:rFonts w:ascii="Arial" w:cs="Arial" w:eastAsia="Arial" w:hAnsi="Arial"/>
                <w:sz w:val="8"/>
                <w:szCs w:val="8"/>
                <w:i w:val="1"/>
                <w:iCs w:val="1"/>
                <w:color w:val="auto"/>
              </w:rPr>
              <w:t>Cardback Intermediate, LLC (dba Chargeback Gurus)</w:t>
            </w:r>
          </w:p>
        </w:tc>
        <w:tc>
          <w:tcPr>
            <w:tcW w:w="1820" w:type="dxa"/>
            <w:vAlign w:val="bottom"/>
          </w:tcPr>
          <w:p>
            <w:pPr>
              <w:ind w:left="320"/>
              <w:spacing w:after="0"/>
              <w:rPr>
                <w:sz w:val="20"/>
                <w:szCs w:val="20"/>
                <w:color w:val="auto"/>
              </w:rPr>
            </w:pPr>
            <w:r>
              <w:rPr>
                <w:rFonts w:ascii="Arial" w:cs="Arial" w:eastAsia="Arial" w:hAnsi="Arial"/>
                <w:sz w:val="8"/>
                <w:szCs w:val="8"/>
                <w:color w:val="auto"/>
              </w:rPr>
              <w:t>Information Technology Services</w:t>
            </w:r>
          </w:p>
        </w:tc>
        <w:tc>
          <w:tcPr>
            <w:tcW w:w="1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6240145</wp:posOffset>
            </wp:positionH>
            <wp:positionV relativeFrom="paragraph">
              <wp:posOffset>-7804785</wp:posOffset>
            </wp:positionV>
            <wp:extent cx="56515" cy="50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15" cy="5080"/>
                    </a:xfrm>
                    <a:prstGeom prst="rect">
                      <a:avLst/>
                    </a:prstGeom>
                    <a:noFill/>
                  </pic:spPr>
                </pic:pic>
              </a:graphicData>
            </a:graphic>
          </wp:anchor>
        </w:drawing>
        <w:drawing>
          <wp:anchor simplePos="0" relativeHeight="251657728" behindDoc="1" locked="0" layoutInCell="0" allowOverlap="1">
            <wp:simplePos x="0" y="0"/>
            <wp:positionH relativeFrom="column">
              <wp:posOffset>6715125</wp:posOffset>
            </wp:positionH>
            <wp:positionV relativeFrom="paragraph">
              <wp:posOffset>-7804785</wp:posOffset>
            </wp:positionV>
            <wp:extent cx="354330" cy="50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54330" cy="5080"/>
                    </a:xfrm>
                    <a:prstGeom prst="rect">
                      <a:avLst/>
                    </a:prstGeom>
                    <a:noFill/>
                  </pic:spPr>
                </pic:pic>
              </a:graphicData>
            </a:graphic>
          </wp:anchor>
        </w:drawing>
        <w:drawing>
          <wp:anchor simplePos="0" relativeHeight="251657728" behindDoc="1" locked="0" layoutInCell="0" allowOverlap="1">
            <wp:simplePos x="0" y="0"/>
            <wp:positionH relativeFrom="column">
              <wp:posOffset>6240145</wp:posOffset>
            </wp:positionH>
            <wp:positionV relativeFrom="paragraph">
              <wp:posOffset>-7152640</wp:posOffset>
            </wp:positionV>
            <wp:extent cx="56515" cy="50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15" cy="5080"/>
                    </a:xfrm>
                    <a:prstGeom prst="rect">
                      <a:avLst/>
                    </a:prstGeom>
                    <a:noFill/>
                  </pic:spPr>
                </pic:pic>
              </a:graphicData>
            </a:graphic>
          </wp:anchor>
        </w:drawing>
        <w:drawing>
          <wp:anchor simplePos="0" relativeHeight="251657728" behindDoc="1" locked="0" layoutInCell="0" allowOverlap="1">
            <wp:simplePos x="0" y="0"/>
            <wp:positionH relativeFrom="column">
              <wp:posOffset>6715125</wp:posOffset>
            </wp:positionH>
            <wp:positionV relativeFrom="paragraph">
              <wp:posOffset>-7152640</wp:posOffset>
            </wp:positionV>
            <wp:extent cx="354330" cy="50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54330" cy="5080"/>
                    </a:xfrm>
                    <a:prstGeom prst="rect">
                      <a:avLst/>
                    </a:prstGeom>
                    <a:noFill/>
                  </pic:spPr>
                </pic:pic>
              </a:graphicData>
            </a:graphic>
          </wp:anchor>
        </w:drawing>
        <w:drawing>
          <wp:anchor simplePos="0" relativeHeight="251657728" behindDoc="1" locked="0" layoutInCell="0" allowOverlap="1">
            <wp:simplePos x="0" y="0"/>
            <wp:positionH relativeFrom="column">
              <wp:posOffset>6240145</wp:posOffset>
            </wp:positionH>
            <wp:positionV relativeFrom="paragraph">
              <wp:posOffset>-6983730</wp:posOffset>
            </wp:positionV>
            <wp:extent cx="56515" cy="50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15" cy="5080"/>
                    </a:xfrm>
                    <a:prstGeom prst="rect">
                      <a:avLst/>
                    </a:prstGeom>
                    <a:noFill/>
                  </pic:spPr>
                </pic:pic>
              </a:graphicData>
            </a:graphic>
          </wp:anchor>
        </w:drawing>
        <w:drawing>
          <wp:anchor simplePos="0" relativeHeight="251657728" behindDoc="1" locked="0" layoutInCell="0" allowOverlap="1">
            <wp:simplePos x="0" y="0"/>
            <wp:positionH relativeFrom="column">
              <wp:posOffset>6715125</wp:posOffset>
            </wp:positionH>
            <wp:positionV relativeFrom="paragraph">
              <wp:posOffset>-6983730</wp:posOffset>
            </wp:positionV>
            <wp:extent cx="354330" cy="50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54330" cy="5080"/>
                    </a:xfrm>
                    <a:prstGeom prst="rect">
                      <a:avLst/>
                    </a:prstGeom>
                    <a:noFill/>
                  </pic:spPr>
                </pic:pic>
              </a:graphicData>
            </a:graphic>
          </wp:anchor>
        </w:drawing>
        <w:drawing>
          <wp:anchor simplePos="0" relativeHeight="251657728" behindDoc="1" locked="0" layoutInCell="0" allowOverlap="1">
            <wp:simplePos x="0" y="0"/>
            <wp:positionH relativeFrom="column">
              <wp:posOffset>6240145</wp:posOffset>
            </wp:positionH>
            <wp:positionV relativeFrom="paragraph">
              <wp:posOffset>-5985510</wp:posOffset>
            </wp:positionV>
            <wp:extent cx="56515" cy="50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15" cy="5080"/>
                    </a:xfrm>
                    <a:prstGeom prst="rect">
                      <a:avLst/>
                    </a:prstGeom>
                    <a:noFill/>
                  </pic:spPr>
                </pic:pic>
              </a:graphicData>
            </a:graphic>
          </wp:anchor>
        </w:drawing>
        <w:drawing>
          <wp:anchor simplePos="0" relativeHeight="251657728" behindDoc="1" locked="0" layoutInCell="0" allowOverlap="1">
            <wp:simplePos x="0" y="0"/>
            <wp:positionH relativeFrom="column">
              <wp:posOffset>6715125</wp:posOffset>
            </wp:positionH>
            <wp:positionV relativeFrom="paragraph">
              <wp:posOffset>-5985510</wp:posOffset>
            </wp:positionV>
            <wp:extent cx="354330" cy="50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54330" cy="5080"/>
                    </a:xfrm>
                    <a:prstGeom prst="rect">
                      <a:avLst/>
                    </a:prstGeom>
                    <a:noFill/>
                  </pic:spPr>
                </pic:pic>
              </a:graphicData>
            </a:graphic>
          </wp:anchor>
        </w:drawing>
        <w:drawing>
          <wp:anchor simplePos="0" relativeHeight="251657728" behindDoc="1" locked="0" layoutInCell="0" allowOverlap="1">
            <wp:simplePos x="0" y="0"/>
            <wp:positionH relativeFrom="column">
              <wp:posOffset>6240145</wp:posOffset>
            </wp:positionH>
            <wp:positionV relativeFrom="paragraph">
              <wp:posOffset>-5655310</wp:posOffset>
            </wp:positionV>
            <wp:extent cx="56515" cy="50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15" cy="5080"/>
                    </a:xfrm>
                    <a:prstGeom prst="rect">
                      <a:avLst/>
                    </a:prstGeom>
                    <a:noFill/>
                  </pic:spPr>
                </pic:pic>
              </a:graphicData>
            </a:graphic>
          </wp:anchor>
        </w:drawing>
        <w:drawing>
          <wp:anchor simplePos="0" relativeHeight="251657728" behindDoc="1" locked="0" layoutInCell="0" allowOverlap="1">
            <wp:simplePos x="0" y="0"/>
            <wp:positionH relativeFrom="column">
              <wp:posOffset>6715125</wp:posOffset>
            </wp:positionH>
            <wp:positionV relativeFrom="paragraph">
              <wp:posOffset>-5655310</wp:posOffset>
            </wp:positionV>
            <wp:extent cx="354330" cy="50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54330" cy="5080"/>
                    </a:xfrm>
                    <a:prstGeom prst="rect">
                      <a:avLst/>
                    </a:prstGeom>
                    <a:noFill/>
                  </pic:spPr>
                </pic:pic>
              </a:graphicData>
            </a:graphic>
          </wp:anchor>
        </w:drawing>
        <w:drawing>
          <wp:anchor simplePos="0" relativeHeight="251657728" behindDoc="1" locked="0" layoutInCell="0" allowOverlap="1">
            <wp:simplePos x="0" y="0"/>
            <wp:positionH relativeFrom="column">
              <wp:posOffset>6240145</wp:posOffset>
            </wp:positionH>
            <wp:positionV relativeFrom="paragraph">
              <wp:posOffset>-4345940</wp:posOffset>
            </wp:positionV>
            <wp:extent cx="565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15" cy="8255"/>
                    </a:xfrm>
                    <a:prstGeom prst="rect">
                      <a:avLst/>
                    </a:prstGeom>
                    <a:noFill/>
                  </pic:spPr>
                </pic:pic>
              </a:graphicData>
            </a:graphic>
          </wp:anchor>
        </w:drawing>
        <w:drawing>
          <wp:anchor simplePos="0" relativeHeight="251657728" behindDoc="1" locked="0" layoutInCell="0" allowOverlap="1">
            <wp:simplePos x="0" y="0"/>
            <wp:positionH relativeFrom="column">
              <wp:posOffset>6240145</wp:posOffset>
            </wp:positionH>
            <wp:positionV relativeFrom="paragraph">
              <wp:posOffset>-4329430</wp:posOffset>
            </wp:positionV>
            <wp:extent cx="565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15" cy="8255"/>
                    </a:xfrm>
                    <a:prstGeom prst="rect">
                      <a:avLst/>
                    </a:prstGeom>
                    <a:noFill/>
                  </pic:spPr>
                </pic:pic>
              </a:graphicData>
            </a:graphic>
          </wp:anchor>
        </w:drawing>
        <w:drawing>
          <wp:anchor simplePos="0" relativeHeight="251657728" behindDoc="1" locked="0" layoutInCell="0" allowOverlap="1">
            <wp:simplePos x="0" y="0"/>
            <wp:positionH relativeFrom="column">
              <wp:posOffset>6715125</wp:posOffset>
            </wp:positionH>
            <wp:positionV relativeFrom="paragraph">
              <wp:posOffset>-4345940</wp:posOffset>
            </wp:positionV>
            <wp:extent cx="2413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4130" cy="8255"/>
                    </a:xfrm>
                    <a:prstGeom prst="rect">
                      <a:avLst/>
                    </a:prstGeom>
                    <a:noFill/>
                  </pic:spPr>
                </pic:pic>
              </a:graphicData>
            </a:graphic>
          </wp:anchor>
        </w:drawing>
        <w:drawing>
          <wp:anchor simplePos="0" relativeHeight="251657728" behindDoc="1" locked="0" layoutInCell="0" allowOverlap="1">
            <wp:simplePos x="0" y="0"/>
            <wp:positionH relativeFrom="column">
              <wp:posOffset>6715125</wp:posOffset>
            </wp:positionH>
            <wp:positionV relativeFrom="paragraph">
              <wp:posOffset>-4329430</wp:posOffset>
            </wp:positionV>
            <wp:extent cx="2413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4130" cy="8255"/>
                    </a:xfrm>
                    <a:prstGeom prst="rect">
                      <a:avLst/>
                    </a:prstGeom>
                    <a:noFill/>
                  </pic:spPr>
                </pic:pic>
              </a:graphicData>
            </a:graphic>
          </wp:anchor>
        </w:drawing>
        <w:drawing>
          <wp:anchor simplePos="0" relativeHeight="251657728" behindDoc="1" locked="0" layoutInCell="0" allowOverlap="1">
            <wp:simplePos x="0" y="0"/>
            <wp:positionH relativeFrom="column">
              <wp:posOffset>6240145</wp:posOffset>
            </wp:positionH>
            <wp:positionV relativeFrom="paragraph">
              <wp:posOffset>-3836035</wp:posOffset>
            </wp:positionV>
            <wp:extent cx="56515" cy="50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15" cy="5080"/>
                    </a:xfrm>
                    <a:prstGeom prst="rect">
                      <a:avLst/>
                    </a:prstGeom>
                    <a:noFill/>
                  </pic:spPr>
                </pic:pic>
              </a:graphicData>
            </a:graphic>
          </wp:anchor>
        </w:drawing>
        <w:drawing>
          <wp:anchor simplePos="0" relativeHeight="251657728" behindDoc="1" locked="0" layoutInCell="0" allowOverlap="1">
            <wp:simplePos x="0" y="0"/>
            <wp:positionH relativeFrom="column">
              <wp:posOffset>6715125</wp:posOffset>
            </wp:positionH>
            <wp:positionV relativeFrom="paragraph">
              <wp:posOffset>-3836035</wp:posOffset>
            </wp:positionV>
            <wp:extent cx="354330" cy="50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54330" cy="5080"/>
                    </a:xfrm>
                    <a:prstGeom prst="rect">
                      <a:avLst/>
                    </a:prstGeom>
                    <a:noFill/>
                  </pic:spPr>
                </pic:pic>
              </a:graphicData>
            </a:graphic>
          </wp:anchor>
        </w:drawing>
        <w:drawing>
          <wp:anchor simplePos="0" relativeHeight="251657728" behindDoc="1" locked="0" layoutInCell="0" allowOverlap="1">
            <wp:simplePos x="0" y="0"/>
            <wp:positionH relativeFrom="column">
              <wp:posOffset>6240145</wp:posOffset>
            </wp:positionH>
            <wp:positionV relativeFrom="paragraph">
              <wp:posOffset>-3505835</wp:posOffset>
            </wp:positionV>
            <wp:extent cx="56515" cy="50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15" cy="5080"/>
                    </a:xfrm>
                    <a:prstGeom prst="rect">
                      <a:avLst/>
                    </a:prstGeom>
                    <a:noFill/>
                  </pic:spPr>
                </pic:pic>
              </a:graphicData>
            </a:graphic>
          </wp:anchor>
        </w:drawing>
        <w:drawing>
          <wp:anchor simplePos="0" relativeHeight="251657728" behindDoc="1" locked="0" layoutInCell="0" allowOverlap="1">
            <wp:simplePos x="0" y="0"/>
            <wp:positionH relativeFrom="column">
              <wp:posOffset>6715125</wp:posOffset>
            </wp:positionH>
            <wp:positionV relativeFrom="paragraph">
              <wp:posOffset>-3505835</wp:posOffset>
            </wp:positionV>
            <wp:extent cx="354330" cy="50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54330" cy="5080"/>
                    </a:xfrm>
                    <a:prstGeom prst="rect">
                      <a:avLst/>
                    </a:prstGeom>
                    <a:noFill/>
                  </pic:spPr>
                </pic:pic>
              </a:graphicData>
            </a:graphic>
          </wp:anchor>
        </w:drawing>
        <w:drawing>
          <wp:anchor simplePos="0" relativeHeight="251657728" behindDoc="1" locked="0" layoutInCell="0" allowOverlap="1">
            <wp:simplePos x="0" y="0"/>
            <wp:positionH relativeFrom="column">
              <wp:posOffset>6240145</wp:posOffset>
            </wp:positionH>
            <wp:positionV relativeFrom="paragraph">
              <wp:posOffset>-3175635</wp:posOffset>
            </wp:positionV>
            <wp:extent cx="56515" cy="50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15" cy="5080"/>
                    </a:xfrm>
                    <a:prstGeom prst="rect">
                      <a:avLst/>
                    </a:prstGeom>
                    <a:noFill/>
                  </pic:spPr>
                </pic:pic>
              </a:graphicData>
            </a:graphic>
          </wp:anchor>
        </w:drawing>
        <w:drawing>
          <wp:anchor simplePos="0" relativeHeight="251657728" behindDoc="1" locked="0" layoutInCell="0" allowOverlap="1">
            <wp:simplePos x="0" y="0"/>
            <wp:positionH relativeFrom="column">
              <wp:posOffset>6715125</wp:posOffset>
            </wp:positionH>
            <wp:positionV relativeFrom="paragraph">
              <wp:posOffset>-3175635</wp:posOffset>
            </wp:positionV>
            <wp:extent cx="354330" cy="50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54330" cy="5080"/>
                    </a:xfrm>
                    <a:prstGeom prst="rect">
                      <a:avLst/>
                    </a:prstGeom>
                    <a:noFill/>
                  </pic:spPr>
                </pic:pic>
              </a:graphicData>
            </a:graphic>
          </wp:anchor>
        </w:drawing>
        <w:drawing>
          <wp:anchor simplePos="0" relativeHeight="251657728" behindDoc="1" locked="0" layoutInCell="0" allowOverlap="1">
            <wp:simplePos x="0" y="0"/>
            <wp:positionH relativeFrom="column">
              <wp:posOffset>6240145</wp:posOffset>
            </wp:positionH>
            <wp:positionV relativeFrom="paragraph">
              <wp:posOffset>-2362835</wp:posOffset>
            </wp:positionV>
            <wp:extent cx="56515" cy="50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15" cy="5080"/>
                    </a:xfrm>
                    <a:prstGeom prst="rect">
                      <a:avLst/>
                    </a:prstGeom>
                    <a:noFill/>
                  </pic:spPr>
                </pic:pic>
              </a:graphicData>
            </a:graphic>
          </wp:anchor>
        </w:drawing>
        <w:drawing>
          <wp:anchor simplePos="0" relativeHeight="251657728" behindDoc="1" locked="0" layoutInCell="0" allowOverlap="1">
            <wp:simplePos x="0" y="0"/>
            <wp:positionH relativeFrom="column">
              <wp:posOffset>6715125</wp:posOffset>
            </wp:positionH>
            <wp:positionV relativeFrom="paragraph">
              <wp:posOffset>-2362835</wp:posOffset>
            </wp:positionV>
            <wp:extent cx="354330" cy="50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54330" cy="5080"/>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03" w:right="339" w:bottom="433"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27"/>
        </w:trPr>
        <w:tc>
          <w:tcPr>
            <w:tcW w:w="2680" w:type="dxa"/>
            <w:vAlign w:val="bottom"/>
            <w:shd w:val="clear" w:color="auto" w:fill="CFF0FC"/>
          </w:tcPr>
          <w:p>
            <w:pPr>
              <w:ind w:left="140"/>
              <w:spacing w:after="0"/>
              <w:rPr>
                <w:sz w:val="20"/>
                <w:szCs w:val="20"/>
                <w:color w:val="auto"/>
              </w:rPr>
            </w:pPr>
            <w:r>
              <w:rPr>
                <w:rFonts w:ascii="Arial" w:cs="Arial" w:eastAsia="Arial" w:hAnsi="Arial"/>
                <w:sz w:val="8"/>
                <w:szCs w:val="8"/>
                <w:color w:val="auto"/>
              </w:rPr>
              <w:t>First Lien Debt (j)(ah)</w:t>
            </w:r>
          </w:p>
        </w:tc>
        <w:tc>
          <w:tcPr>
            <w:tcW w:w="3000" w:type="dxa"/>
            <w:vAlign w:val="bottom"/>
            <w:shd w:val="clear" w:color="auto" w:fill="CFF0FC"/>
          </w:tcPr>
          <w:p>
            <w:pPr>
              <w:ind w:left="2000"/>
              <w:spacing w:after="0"/>
              <w:rPr>
                <w:sz w:val="20"/>
                <w:szCs w:val="20"/>
                <w:color w:val="auto"/>
              </w:rPr>
            </w:pPr>
            <w:r>
              <w:rPr>
                <w:rFonts w:ascii="Arial" w:cs="Arial" w:eastAsia="Arial" w:hAnsi="Arial"/>
                <w:sz w:val="8"/>
                <w:szCs w:val="8"/>
                <w:color w:val="auto"/>
              </w:rPr>
              <w:t>(L + 6.75%) / (0.75%)</w:t>
            </w:r>
          </w:p>
        </w:tc>
        <w:tc>
          <w:tcPr>
            <w:tcW w:w="940" w:type="dxa"/>
            <w:vAlign w:val="bottom"/>
            <w:shd w:val="clear" w:color="auto" w:fill="CFF0FC"/>
          </w:tcPr>
          <w:p>
            <w:pPr>
              <w:ind w:left="220"/>
              <w:spacing w:after="0"/>
              <w:rPr>
                <w:sz w:val="20"/>
                <w:szCs w:val="20"/>
                <w:color w:val="auto"/>
              </w:rPr>
            </w:pPr>
            <w:r>
              <w:rPr>
                <w:rFonts w:ascii="Arial" w:cs="Arial" w:eastAsia="Arial" w:hAnsi="Arial"/>
                <w:sz w:val="8"/>
                <w:szCs w:val="8"/>
                <w:color w:val="auto"/>
              </w:rPr>
              <w:t>7.50%/0.00%</w:t>
            </w: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8/10/2021</w:t>
            </w:r>
          </w:p>
        </w:tc>
        <w:tc>
          <w:tcPr>
            <w:tcW w:w="980" w:type="dxa"/>
            <w:vAlign w:val="bottom"/>
            <w:shd w:val="clear" w:color="auto" w:fill="CFF0FC"/>
          </w:tcPr>
          <w:p>
            <w:pPr>
              <w:ind w:left="200"/>
              <w:spacing w:after="0"/>
              <w:rPr>
                <w:sz w:val="20"/>
                <w:szCs w:val="20"/>
                <w:color w:val="auto"/>
              </w:rPr>
            </w:pPr>
            <w:r>
              <w:rPr>
                <w:rFonts w:ascii="Arial" w:cs="Arial" w:eastAsia="Arial" w:hAnsi="Arial"/>
                <w:sz w:val="8"/>
                <w:szCs w:val="8"/>
                <w:color w:val="auto"/>
              </w:rPr>
              <w:t>8/10/2026</w:t>
            </w:r>
          </w:p>
        </w:tc>
        <w:tc>
          <w:tcPr>
            <w:tcW w:w="740" w:type="dxa"/>
            <w:vAlign w:val="bottom"/>
            <w:shd w:val="clear" w:color="auto" w:fill="CFF0FC"/>
          </w:tcPr>
          <w:p>
            <w:pPr>
              <w:jc w:val="right"/>
              <w:ind w:right="78"/>
              <w:spacing w:after="0"/>
              <w:rPr>
                <w:sz w:val="20"/>
                <w:szCs w:val="20"/>
                <w:color w:val="auto"/>
              </w:rPr>
            </w:pPr>
            <w:r>
              <w:rPr>
                <w:rFonts w:ascii="Arial" w:cs="Arial" w:eastAsia="Arial" w:hAnsi="Arial"/>
                <w:sz w:val="8"/>
                <w:szCs w:val="8"/>
                <w:color w:val="auto"/>
              </w:rPr>
              <w:t>14,000</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13,924</w:t>
            </w:r>
          </w:p>
        </w:tc>
        <w:tc>
          <w:tcPr>
            <w:tcW w:w="760" w:type="dxa"/>
            <w:vAlign w:val="bottom"/>
            <w:gridSpan w:val="2"/>
            <w:shd w:val="clear" w:color="auto" w:fill="CFF0FC"/>
          </w:tcPr>
          <w:p>
            <w:pPr>
              <w:jc w:val="right"/>
              <w:ind w:right="18"/>
              <w:spacing w:after="0"/>
              <w:rPr>
                <w:sz w:val="20"/>
                <w:szCs w:val="20"/>
                <w:color w:val="auto"/>
              </w:rPr>
            </w:pPr>
            <w:r>
              <w:rPr>
                <w:rFonts w:ascii="Arial" w:cs="Arial" w:eastAsia="Arial" w:hAnsi="Arial"/>
                <w:sz w:val="8"/>
                <w:szCs w:val="8"/>
                <w:color w:val="auto"/>
              </w:rPr>
              <w:t>13,924</w:t>
            </w:r>
          </w:p>
        </w:tc>
        <w:tc>
          <w:tcPr>
            <w:tcW w:w="660" w:type="dxa"/>
            <w:vAlign w:val="bottom"/>
            <w:shd w:val="clear" w:color="auto" w:fill="CFF0FC"/>
          </w:tcPr>
          <w:p>
            <w:pPr>
              <w:spacing w:after="0"/>
              <w:rPr>
                <w:sz w:val="11"/>
                <w:szCs w:val="11"/>
                <w:color w:val="auto"/>
              </w:rPr>
            </w:pPr>
          </w:p>
        </w:tc>
      </w:tr>
      <w:tr>
        <w:trPr>
          <w:trHeight w:val="120"/>
        </w:trPr>
        <w:tc>
          <w:tcPr>
            <w:tcW w:w="2680" w:type="dxa"/>
            <w:vAlign w:val="bottom"/>
          </w:tcPr>
          <w:p>
            <w:pPr>
              <w:ind w:left="140"/>
              <w:spacing w:after="0"/>
              <w:rPr>
                <w:sz w:val="20"/>
                <w:szCs w:val="20"/>
                <w:color w:val="auto"/>
              </w:rPr>
            </w:pPr>
            <w:r>
              <w:rPr>
                <w:rFonts w:ascii="Arial" w:cs="Arial" w:eastAsia="Arial" w:hAnsi="Arial"/>
                <w:sz w:val="8"/>
                <w:szCs w:val="8"/>
                <w:color w:val="auto"/>
              </w:rPr>
              <w:t>Common Equity (495 shares) (j)</w:t>
            </w:r>
          </w:p>
        </w:tc>
        <w:tc>
          <w:tcPr>
            <w:tcW w:w="3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8/10/2021</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125</w:t>
            </w:r>
          </w:p>
        </w:tc>
        <w:tc>
          <w:tcPr>
            <w:tcW w:w="760" w:type="dxa"/>
            <w:vAlign w:val="bottom"/>
            <w:gridSpan w:val="2"/>
          </w:tcPr>
          <w:p>
            <w:pPr>
              <w:jc w:val="right"/>
              <w:ind w:right="18"/>
              <w:spacing w:after="0"/>
              <w:rPr>
                <w:sz w:val="20"/>
                <w:szCs w:val="20"/>
                <w:color w:val="auto"/>
              </w:rPr>
            </w:pPr>
            <w:r>
              <w:rPr>
                <w:rFonts w:ascii="Arial" w:cs="Arial" w:eastAsia="Arial" w:hAnsi="Arial"/>
                <w:sz w:val="8"/>
                <w:szCs w:val="8"/>
                <w:color w:val="auto"/>
              </w:rPr>
              <w:t>125</w:t>
            </w:r>
          </w:p>
        </w:tc>
        <w:tc>
          <w:tcPr>
            <w:tcW w:w="660" w:type="dxa"/>
            <w:vAlign w:val="bottom"/>
          </w:tcPr>
          <w:p>
            <w:pPr>
              <w:spacing w:after="0"/>
              <w:rPr>
                <w:sz w:val="10"/>
                <w:szCs w:val="10"/>
                <w:color w:val="auto"/>
              </w:rPr>
            </w:pPr>
          </w:p>
        </w:tc>
      </w:tr>
      <w:tr>
        <w:trPr>
          <w:trHeight w:val="133"/>
        </w:trPr>
        <w:tc>
          <w:tcPr>
            <w:tcW w:w="26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8"/>
                <w:szCs w:val="8"/>
                <w:color w:val="auto"/>
              </w:rPr>
              <w:t>Preferred Equity (495 shares) (j)</w:t>
            </w:r>
          </w:p>
        </w:tc>
        <w:tc>
          <w:tcPr>
            <w:tcW w:w="300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8"/>
                <w:szCs w:val="8"/>
                <w:color w:val="auto"/>
              </w:rPr>
              <w:t>8/10/2021</w:t>
            </w:r>
          </w:p>
        </w:tc>
        <w:tc>
          <w:tcPr>
            <w:tcW w:w="98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125</w:t>
            </w:r>
          </w:p>
        </w:tc>
        <w:tc>
          <w:tcPr>
            <w:tcW w:w="1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8"/>
                <w:szCs w:val="8"/>
                <w:color w:val="auto"/>
              </w:rPr>
              <w:t>125</w:t>
            </w:r>
          </w:p>
        </w:tc>
        <w:tc>
          <w:tcPr>
            <w:tcW w:w="660" w:type="dxa"/>
            <w:vAlign w:val="bottom"/>
            <w:tcBorders>
              <w:bottom w:val="single" w:sz="8" w:color="CFF0FC"/>
            </w:tcBorders>
            <w:shd w:val="clear" w:color="auto" w:fill="CFF0FC"/>
          </w:tcPr>
          <w:p>
            <w:pPr>
              <w:spacing w:after="0"/>
              <w:rPr>
                <w:sz w:val="11"/>
                <w:szCs w:val="11"/>
                <w:color w:val="auto"/>
              </w:rPr>
            </w:pPr>
          </w:p>
        </w:tc>
      </w:tr>
      <w:tr>
        <w:trPr>
          <w:trHeight w:val="113"/>
        </w:trPr>
        <w:tc>
          <w:tcPr>
            <w:tcW w:w="26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14,174</w:t>
            </w:r>
          </w:p>
        </w:tc>
        <w:tc>
          <w:tcPr>
            <w:tcW w:w="760" w:type="dxa"/>
            <w:vAlign w:val="bottom"/>
            <w:gridSpan w:val="2"/>
          </w:tcPr>
          <w:p>
            <w:pPr>
              <w:jc w:val="right"/>
              <w:ind w:right="18"/>
              <w:spacing w:after="0"/>
              <w:rPr>
                <w:sz w:val="20"/>
                <w:szCs w:val="20"/>
                <w:color w:val="auto"/>
              </w:rPr>
            </w:pPr>
            <w:r>
              <w:rPr>
                <w:rFonts w:ascii="Arial" w:cs="Arial" w:eastAsia="Arial" w:hAnsi="Arial"/>
                <w:sz w:val="8"/>
                <w:szCs w:val="8"/>
                <w:color w:val="auto"/>
              </w:rPr>
              <w:t>14,174</w:t>
            </w:r>
          </w:p>
        </w:tc>
        <w:tc>
          <w:tcPr>
            <w:tcW w:w="660" w:type="dxa"/>
            <w:vAlign w:val="bottom"/>
          </w:tcPr>
          <w:p>
            <w:pPr>
              <w:jc w:val="right"/>
              <w:spacing w:after="0"/>
              <w:rPr>
                <w:sz w:val="20"/>
                <w:szCs w:val="20"/>
                <w:color w:val="auto"/>
              </w:rPr>
            </w:pPr>
            <w:r>
              <w:rPr>
                <w:rFonts w:ascii="Arial" w:cs="Arial" w:eastAsia="Arial" w:hAnsi="Arial"/>
                <w:sz w:val="8"/>
                <w:szCs w:val="8"/>
                <w:color w:val="auto"/>
              </w:rPr>
              <w:t>3 %</w:t>
            </w:r>
          </w:p>
        </w:tc>
      </w:tr>
      <w:tr>
        <w:trPr>
          <w:trHeight w:val="134"/>
        </w:trPr>
        <w:tc>
          <w:tcPr>
            <w:tcW w:w="2680" w:type="dxa"/>
            <w:vAlign w:val="bottom"/>
            <w:shd w:val="clear" w:color="auto" w:fill="CFF0FC"/>
          </w:tcPr>
          <w:p>
            <w:pPr>
              <w:ind w:left="20"/>
              <w:spacing w:after="0"/>
              <w:rPr>
                <w:sz w:val="20"/>
                <w:szCs w:val="20"/>
                <w:color w:val="auto"/>
              </w:rPr>
            </w:pPr>
            <w:r>
              <w:rPr>
                <w:rFonts w:ascii="Arial" w:cs="Arial" w:eastAsia="Arial" w:hAnsi="Arial"/>
                <w:sz w:val="8"/>
                <w:szCs w:val="8"/>
                <w:i w:val="1"/>
                <w:iCs w:val="1"/>
                <w:color w:val="auto"/>
              </w:rPr>
              <w:t>Cardboard Box LLC (dba Anthony's Coal Fired Pizza)</w:t>
            </w:r>
          </w:p>
        </w:tc>
        <w:tc>
          <w:tcPr>
            <w:tcW w:w="3000" w:type="dxa"/>
            <w:vAlign w:val="bottom"/>
            <w:shd w:val="clear" w:color="auto" w:fill="CFF0FC"/>
          </w:tcPr>
          <w:p>
            <w:pPr>
              <w:ind w:left="260"/>
              <w:spacing w:after="0"/>
              <w:rPr>
                <w:sz w:val="20"/>
                <w:szCs w:val="20"/>
                <w:color w:val="auto"/>
              </w:rPr>
            </w:pPr>
            <w:r>
              <w:rPr>
                <w:rFonts w:ascii="Arial" w:cs="Arial" w:eastAsia="Arial" w:hAnsi="Arial"/>
                <w:sz w:val="8"/>
                <w:szCs w:val="8"/>
                <w:color w:val="auto"/>
              </w:rPr>
              <w:t>Restaurants</w:t>
            </w: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680" w:type="dxa"/>
            <w:vAlign w:val="bottom"/>
          </w:tcPr>
          <w:p>
            <w:pPr>
              <w:ind w:left="140"/>
              <w:spacing w:after="0"/>
              <w:rPr>
                <w:sz w:val="20"/>
                <w:szCs w:val="20"/>
                <w:color w:val="auto"/>
              </w:rPr>
            </w:pPr>
            <w:r>
              <w:rPr>
                <w:rFonts w:ascii="Arial" w:cs="Arial" w:eastAsia="Arial" w:hAnsi="Arial"/>
                <w:sz w:val="8"/>
                <w:szCs w:val="8"/>
                <w:color w:val="auto"/>
              </w:rPr>
              <w:t>Common Equity (521,021 units) (j)</w:t>
            </w:r>
          </w:p>
        </w:tc>
        <w:tc>
          <w:tcPr>
            <w:tcW w:w="3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12/15/2015</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521</w:t>
            </w:r>
          </w:p>
        </w:tc>
        <w:tc>
          <w:tcPr>
            <w:tcW w:w="100" w:type="dxa"/>
            <w:vAlign w:val="bottom"/>
          </w:tcPr>
          <w:p>
            <w:pPr>
              <w:spacing w:after="0"/>
              <w:rPr>
                <w:sz w:val="10"/>
                <w:szCs w:val="10"/>
                <w:color w:val="auto"/>
              </w:rPr>
            </w:pPr>
          </w:p>
        </w:tc>
        <w:tc>
          <w:tcPr>
            <w:tcW w:w="66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660" w:type="dxa"/>
            <w:vAlign w:val="bottom"/>
          </w:tcPr>
          <w:p>
            <w:pPr>
              <w:spacing w:after="0"/>
              <w:rPr>
                <w:sz w:val="10"/>
                <w:szCs w:val="10"/>
                <w:color w:val="auto"/>
              </w:rPr>
            </w:pPr>
          </w:p>
        </w:tc>
      </w:tr>
      <w:tr>
        <w:trPr>
          <w:trHeight w:val="133"/>
        </w:trPr>
        <w:tc>
          <w:tcPr>
            <w:tcW w:w="26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8"/>
                <w:szCs w:val="8"/>
                <w:color w:val="auto"/>
              </w:rPr>
              <w:t>Preferred Equity (1,043,133 units) (j)</w:t>
            </w:r>
          </w:p>
        </w:tc>
        <w:tc>
          <w:tcPr>
            <w:tcW w:w="300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8"/>
                <w:szCs w:val="8"/>
                <w:color w:val="auto"/>
              </w:rPr>
              <w:t>12/6/2019</w:t>
            </w:r>
          </w:p>
        </w:tc>
        <w:tc>
          <w:tcPr>
            <w:tcW w:w="98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96</w:t>
            </w:r>
          </w:p>
        </w:tc>
        <w:tc>
          <w:tcPr>
            <w:tcW w:w="1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8"/>
                <w:szCs w:val="8"/>
                <w:color w:val="auto"/>
              </w:rPr>
              <w:t>26</w:t>
            </w:r>
          </w:p>
        </w:tc>
        <w:tc>
          <w:tcPr>
            <w:tcW w:w="660" w:type="dxa"/>
            <w:vAlign w:val="bottom"/>
            <w:tcBorders>
              <w:bottom w:val="single" w:sz="8" w:color="CFF0FC"/>
            </w:tcBorders>
            <w:shd w:val="clear" w:color="auto" w:fill="CFF0FC"/>
          </w:tcPr>
          <w:p>
            <w:pPr>
              <w:spacing w:after="0"/>
              <w:rPr>
                <w:sz w:val="11"/>
                <w:szCs w:val="11"/>
                <w:color w:val="auto"/>
              </w:rPr>
            </w:pPr>
          </w:p>
        </w:tc>
      </w:tr>
      <w:tr>
        <w:trPr>
          <w:trHeight w:val="113"/>
        </w:trPr>
        <w:tc>
          <w:tcPr>
            <w:tcW w:w="26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617</w:t>
            </w:r>
          </w:p>
        </w:tc>
        <w:tc>
          <w:tcPr>
            <w:tcW w:w="760" w:type="dxa"/>
            <w:vAlign w:val="bottom"/>
            <w:gridSpan w:val="2"/>
          </w:tcPr>
          <w:p>
            <w:pPr>
              <w:jc w:val="right"/>
              <w:ind w:right="18"/>
              <w:spacing w:after="0"/>
              <w:rPr>
                <w:sz w:val="20"/>
                <w:szCs w:val="20"/>
                <w:color w:val="auto"/>
              </w:rPr>
            </w:pPr>
            <w:r>
              <w:rPr>
                <w:rFonts w:ascii="Arial" w:cs="Arial" w:eastAsia="Arial" w:hAnsi="Arial"/>
                <w:sz w:val="8"/>
                <w:szCs w:val="8"/>
                <w:color w:val="auto"/>
              </w:rPr>
              <w:t>26</w:t>
            </w:r>
          </w:p>
        </w:tc>
        <w:tc>
          <w:tcPr>
            <w:tcW w:w="660" w:type="dxa"/>
            <w:vAlign w:val="bottom"/>
          </w:tcPr>
          <w:p>
            <w:pPr>
              <w:jc w:val="right"/>
              <w:spacing w:after="0"/>
              <w:rPr>
                <w:sz w:val="20"/>
                <w:szCs w:val="20"/>
                <w:color w:val="auto"/>
              </w:rPr>
            </w:pPr>
            <w:r>
              <w:rPr>
                <w:rFonts w:ascii="Arial" w:cs="Arial" w:eastAsia="Arial" w:hAnsi="Arial"/>
                <w:sz w:val="8"/>
                <w:szCs w:val="8"/>
                <w:color w:val="auto"/>
              </w:rPr>
              <w:t>0 %</w:t>
            </w:r>
          </w:p>
        </w:tc>
      </w:tr>
      <w:tr>
        <w:trPr>
          <w:trHeight w:val="134"/>
        </w:trPr>
        <w:tc>
          <w:tcPr>
            <w:tcW w:w="2680" w:type="dxa"/>
            <w:vAlign w:val="bottom"/>
            <w:shd w:val="clear" w:color="auto" w:fill="CFF0FC"/>
          </w:tcPr>
          <w:p>
            <w:pPr>
              <w:ind w:left="20"/>
              <w:spacing w:after="0"/>
              <w:rPr>
                <w:sz w:val="20"/>
                <w:szCs w:val="20"/>
                <w:color w:val="auto"/>
              </w:rPr>
            </w:pPr>
            <w:r>
              <w:rPr>
                <w:rFonts w:ascii="Arial" w:cs="Arial" w:eastAsia="Arial" w:hAnsi="Arial"/>
                <w:sz w:val="8"/>
                <w:szCs w:val="8"/>
                <w:i w:val="1"/>
                <w:iCs w:val="1"/>
                <w:color w:val="auto"/>
              </w:rPr>
              <w:t>Combined Systems, Inc.</w:t>
            </w:r>
          </w:p>
        </w:tc>
        <w:tc>
          <w:tcPr>
            <w:tcW w:w="3000" w:type="dxa"/>
            <w:vAlign w:val="bottom"/>
            <w:shd w:val="clear" w:color="auto" w:fill="CFF0FC"/>
          </w:tcPr>
          <w:p>
            <w:pPr>
              <w:ind w:left="260"/>
              <w:spacing w:after="0"/>
              <w:rPr>
                <w:sz w:val="20"/>
                <w:szCs w:val="20"/>
                <w:color w:val="auto"/>
              </w:rPr>
            </w:pPr>
            <w:r>
              <w:rPr>
                <w:rFonts w:ascii="Arial" w:cs="Arial" w:eastAsia="Arial" w:hAnsi="Arial"/>
                <w:sz w:val="8"/>
                <w:szCs w:val="8"/>
                <w:color w:val="auto"/>
              </w:rPr>
              <w:t>Aerospace &amp; Defense Manufacturing</w:t>
            </w: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680" w:type="dxa"/>
            <w:vAlign w:val="bottom"/>
          </w:tcPr>
          <w:p>
            <w:pPr>
              <w:ind w:left="140"/>
              <w:spacing w:after="0"/>
              <w:rPr>
                <w:sz w:val="20"/>
                <w:szCs w:val="20"/>
                <w:color w:val="auto"/>
              </w:rPr>
            </w:pPr>
            <w:r>
              <w:rPr>
                <w:rFonts w:ascii="Arial" w:cs="Arial" w:eastAsia="Arial" w:hAnsi="Arial"/>
                <w:sz w:val="8"/>
                <w:szCs w:val="8"/>
                <w:color w:val="auto"/>
              </w:rPr>
              <w:t>First Lien Debt</w:t>
            </w:r>
          </w:p>
        </w:tc>
        <w:tc>
          <w:tcPr>
            <w:tcW w:w="3000" w:type="dxa"/>
            <w:vAlign w:val="bottom"/>
          </w:tcPr>
          <w:p>
            <w:pPr>
              <w:ind w:left="2000"/>
              <w:spacing w:after="0"/>
              <w:rPr>
                <w:sz w:val="20"/>
                <w:szCs w:val="20"/>
                <w:color w:val="auto"/>
              </w:rPr>
            </w:pPr>
            <w:r>
              <w:rPr>
                <w:rFonts w:ascii="Arial" w:cs="Arial" w:eastAsia="Arial" w:hAnsi="Arial"/>
                <w:sz w:val="8"/>
                <w:szCs w:val="8"/>
                <w:color w:val="auto"/>
              </w:rPr>
              <w:t>(L + 11.00%) / (2.00%)</w:t>
            </w:r>
          </w:p>
        </w:tc>
        <w:tc>
          <w:tcPr>
            <w:tcW w:w="940" w:type="dxa"/>
            <w:vAlign w:val="bottom"/>
          </w:tcPr>
          <w:p>
            <w:pPr>
              <w:ind w:left="220"/>
              <w:spacing w:after="0"/>
              <w:rPr>
                <w:sz w:val="20"/>
                <w:szCs w:val="20"/>
                <w:color w:val="auto"/>
              </w:rPr>
            </w:pPr>
            <w:r>
              <w:rPr>
                <w:rFonts w:ascii="Arial" w:cs="Arial" w:eastAsia="Arial" w:hAnsi="Arial"/>
                <w:sz w:val="8"/>
                <w:szCs w:val="8"/>
                <w:color w:val="auto"/>
              </w:rPr>
              <w:t>13.00%/0.00%</w:t>
            </w:r>
          </w:p>
        </w:tc>
        <w:tc>
          <w:tcPr>
            <w:tcW w:w="820" w:type="dxa"/>
            <w:vAlign w:val="bottom"/>
          </w:tcPr>
          <w:p>
            <w:pPr>
              <w:ind w:left="220"/>
              <w:spacing w:after="0"/>
              <w:rPr>
                <w:sz w:val="20"/>
                <w:szCs w:val="20"/>
                <w:color w:val="auto"/>
              </w:rPr>
            </w:pPr>
            <w:r>
              <w:rPr>
                <w:rFonts w:ascii="Arial" w:cs="Arial" w:eastAsia="Arial" w:hAnsi="Arial"/>
                <w:sz w:val="8"/>
                <w:szCs w:val="8"/>
                <w:color w:val="auto"/>
              </w:rPr>
              <w:t>1/31/2020</w:t>
            </w:r>
          </w:p>
        </w:tc>
        <w:tc>
          <w:tcPr>
            <w:tcW w:w="980" w:type="dxa"/>
            <w:vAlign w:val="bottom"/>
          </w:tcPr>
          <w:p>
            <w:pPr>
              <w:ind w:left="200"/>
              <w:spacing w:after="0"/>
              <w:rPr>
                <w:sz w:val="20"/>
                <w:szCs w:val="20"/>
                <w:color w:val="auto"/>
              </w:rPr>
            </w:pPr>
            <w:r>
              <w:rPr>
                <w:rFonts w:ascii="Arial" w:cs="Arial" w:eastAsia="Arial" w:hAnsi="Arial"/>
                <w:sz w:val="8"/>
                <w:szCs w:val="8"/>
                <w:color w:val="auto"/>
              </w:rPr>
              <w:t>1/31/2025</w:t>
            </w:r>
          </w:p>
        </w:tc>
        <w:tc>
          <w:tcPr>
            <w:tcW w:w="740" w:type="dxa"/>
            <w:vAlign w:val="bottom"/>
          </w:tcPr>
          <w:p>
            <w:pPr>
              <w:jc w:val="right"/>
              <w:ind w:right="78"/>
              <w:spacing w:after="0"/>
              <w:rPr>
                <w:sz w:val="20"/>
                <w:szCs w:val="20"/>
                <w:color w:val="auto"/>
              </w:rPr>
            </w:pPr>
            <w:r>
              <w:rPr>
                <w:rFonts w:ascii="Arial" w:cs="Arial" w:eastAsia="Arial" w:hAnsi="Arial"/>
                <w:sz w:val="8"/>
                <w:szCs w:val="8"/>
                <w:color w:val="auto"/>
              </w:rPr>
              <w:t>7,191</w:t>
            </w:r>
          </w:p>
        </w:tc>
        <w:tc>
          <w:tcPr>
            <w:tcW w:w="660" w:type="dxa"/>
            <w:vAlign w:val="bottom"/>
          </w:tcPr>
          <w:p>
            <w:pPr>
              <w:jc w:val="right"/>
              <w:spacing w:after="0"/>
              <w:rPr>
                <w:sz w:val="20"/>
                <w:szCs w:val="20"/>
                <w:color w:val="auto"/>
              </w:rPr>
            </w:pPr>
            <w:r>
              <w:rPr>
                <w:rFonts w:ascii="Arial" w:cs="Arial" w:eastAsia="Arial" w:hAnsi="Arial"/>
                <w:sz w:val="8"/>
                <w:szCs w:val="8"/>
                <w:color w:val="auto"/>
              </w:rPr>
              <w:t>7,153</w:t>
            </w:r>
          </w:p>
        </w:tc>
        <w:tc>
          <w:tcPr>
            <w:tcW w:w="760" w:type="dxa"/>
            <w:vAlign w:val="bottom"/>
            <w:gridSpan w:val="2"/>
          </w:tcPr>
          <w:p>
            <w:pPr>
              <w:jc w:val="right"/>
              <w:ind w:right="18"/>
              <w:spacing w:after="0"/>
              <w:rPr>
                <w:sz w:val="20"/>
                <w:szCs w:val="20"/>
                <w:color w:val="auto"/>
              </w:rPr>
            </w:pPr>
            <w:r>
              <w:rPr>
                <w:rFonts w:ascii="Arial" w:cs="Arial" w:eastAsia="Arial" w:hAnsi="Arial"/>
                <w:sz w:val="8"/>
                <w:szCs w:val="8"/>
                <w:color w:val="auto"/>
              </w:rPr>
              <w:t>7,191</w:t>
            </w:r>
          </w:p>
        </w:tc>
        <w:tc>
          <w:tcPr>
            <w:tcW w:w="660" w:type="dxa"/>
            <w:vAlign w:val="bottom"/>
          </w:tcPr>
          <w:p>
            <w:pPr>
              <w:spacing w:after="0"/>
              <w:rPr>
                <w:sz w:val="10"/>
                <w:szCs w:val="10"/>
                <w:color w:val="auto"/>
              </w:rPr>
            </w:pPr>
          </w:p>
        </w:tc>
      </w:tr>
      <w:tr>
        <w:trPr>
          <w:trHeight w:val="139"/>
        </w:trPr>
        <w:tc>
          <w:tcPr>
            <w:tcW w:w="26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8"/>
                <w:szCs w:val="8"/>
                <w:color w:val="auto"/>
              </w:rPr>
              <w:t>Revolving Loan ($550 unfunded commitment) (j)(ac)</w:t>
            </w:r>
          </w:p>
        </w:tc>
        <w:tc>
          <w:tcPr>
            <w:tcW w:w="3000" w:type="dxa"/>
            <w:vAlign w:val="bottom"/>
            <w:tcBorders>
              <w:bottom w:val="single" w:sz="8" w:color="CFF0FC"/>
            </w:tcBorders>
            <w:shd w:val="clear" w:color="auto" w:fill="CFF0FC"/>
          </w:tcPr>
          <w:p>
            <w:pPr>
              <w:ind w:left="2000"/>
              <w:spacing w:after="0"/>
              <w:rPr>
                <w:sz w:val="20"/>
                <w:szCs w:val="20"/>
                <w:color w:val="auto"/>
              </w:rPr>
            </w:pPr>
            <w:r>
              <w:rPr>
                <w:rFonts w:ascii="Arial" w:cs="Arial" w:eastAsia="Arial" w:hAnsi="Arial"/>
                <w:sz w:val="8"/>
                <w:szCs w:val="8"/>
                <w:color w:val="auto"/>
              </w:rPr>
              <w:t>(L + 10.00%) / (2.00%)</w:t>
            </w:r>
          </w:p>
        </w:tc>
        <w:tc>
          <w:tcPr>
            <w:tcW w:w="9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8"/>
                <w:szCs w:val="8"/>
                <w:color w:val="auto"/>
              </w:rPr>
              <w:t>12.00%/0.00%</w:t>
            </w:r>
          </w:p>
        </w:tc>
        <w:tc>
          <w:tcPr>
            <w:tcW w:w="8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8"/>
                <w:szCs w:val="8"/>
                <w:color w:val="auto"/>
              </w:rPr>
              <w:t>1/31/2020</w:t>
            </w:r>
          </w:p>
        </w:tc>
        <w:tc>
          <w:tcPr>
            <w:tcW w:w="9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8"/>
                <w:szCs w:val="8"/>
                <w:color w:val="auto"/>
              </w:rPr>
              <w:t>1/31/2025</w:t>
            </w:r>
          </w:p>
        </w:tc>
        <w:tc>
          <w:tcPr>
            <w:tcW w:w="740" w:type="dxa"/>
            <w:vAlign w:val="bottom"/>
            <w:tcBorders>
              <w:bottom w:val="single" w:sz="8" w:color="CFF0FC"/>
            </w:tcBorders>
            <w:shd w:val="clear" w:color="auto" w:fill="CFF0FC"/>
          </w:tcPr>
          <w:p>
            <w:pPr>
              <w:jc w:val="right"/>
              <w:ind w:right="78"/>
              <w:spacing w:after="0"/>
              <w:rPr>
                <w:sz w:val="20"/>
                <w:szCs w:val="20"/>
                <w:color w:val="auto"/>
              </w:rPr>
            </w:pPr>
            <w:r>
              <w:rPr>
                <w:rFonts w:ascii="Arial" w:cs="Arial" w:eastAsia="Arial" w:hAnsi="Arial"/>
                <w:sz w:val="8"/>
                <w:szCs w:val="8"/>
                <w:color w:val="auto"/>
              </w:rPr>
              <w:t>3,450</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3,433</w:t>
            </w:r>
          </w:p>
        </w:tc>
        <w:tc>
          <w:tcPr>
            <w:tcW w:w="760" w:type="dxa"/>
            <w:vAlign w:val="bottom"/>
            <w:tcBorders>
              <w:bottom w:val="single" w:sz="8" w:color="CFF0FC"/>
            </w:tcBorders>
            <w:gridSpan w:val="2"/>
            <w:shd w:val="clear" w:color="auto" w:fill="CFF0FC"/>
          </w:tcPr>
          <w:p>
            <w:pPr>
              <w:jc w:val="right"/>
              <w:ind w:right="18"/>
              <w:spacing w:after="0"/>
              <w:rPr>
                <w:sz w:val="20"/>
                <w:szCs w:val="20"/>
                <w:color w:val="auto"/>
              </w:rPr>
            </w:pPr>
            <w:r>
              <w:rPr>
                <w:rFonts w:ascii="Arial" w:cs="Arial" w:eastAsia="Arial" w:hAnsi="Arial"/>
                <w:sz w:val="8"/>
                <w:szCs w:val="8"/>
                <w:color w:val="auto"/>
              </w:rPr>
              <w:t>3,450</w:t>
            </w:r>
          </w:p>
        </w:tc>
        <w:tc>
          <w:tcPr>
            <w:tcW w:w="660" w:type="dxa"/>
            <w:vAlign w:val="bottom"/>
            <w:tcBorders>
              <w:bottom w:val="single" w:sz="8" w:color="CFF0FC"/>
            </w:tcBorders>
            <w:shd w:val="clear" w:color="auto" w:fill="CFF0FC"/>
          </w:tcPr>
          <w:p>
            <w:pPr>
              <w:spacing w:after="0"/>
              <w:rPr>
                <w:sz w:val="12"/>
                <w:szCs w:val="12"/>
                <w:color w:val="auto"/>
              </w:rPr>
            </w:pPr>
          </w:p>
        </w:tc>
      </w:tr>
      <w:tr>
        <w:trPr>
          <w:trHeight w:val="120"/>
        </w:trPr>
        <w:tc>
          <w:tcPr>
            <w:tcW w:w="26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10,586</w:t>
            </w:r>
          </w:p>
        </w:tc>
        <w:tc>
          <w:tcPr>
            <w:tcW w:w="760" w:type="dxa"/>
            <w:vAlign w:val="bottom"/>
            <w:gridSpan w:val="2"/>
          </w:tcPr>
          <w:p>
            <w:pPr>
              <w:jc w:val="right"/>
              <w:ind w:right="18"/>
              <w:spacing w:after="0"/>
              <w:rPr>
                <w:sz w:val="20"/>
                <w:szCs w:val="20"/>
                <w:color w:val="auto"/>
              </w:rPr>
            </w:pPr>
            <w:r>
              <w:rPr>
                <w:rFonts w:ascii="Arial" w:cs="Arial" w:eastAsia="Arial" w:hAnsi="Arial"/>
                <w:sz w:val="8"/>
                <w:szCs w:val="8"/>
                <w:color w:val="auto"/>
              </w:rPr>
              <w:t>10,641</w:t>
            </w:r>
          </w:p>
        </w:tc>
        <w:tc>
          <w:tcPr>
            <w:tcW w:w="660" w:type="dxa"/>
            <w:vAlign w:val="bottom"/>
          </w:tcPr>
          <w:p>
            <w:pPr>
              <w:jc w:val="right"/>
              <w:spacing w:after="0"/>
              <w:rPr>
                <w:sz w:val="20"/>
                <w:szCs w:val="20"/>
                <w:color w:val="auto"/>
              </w:rPr>
            </w:pPr>
            <w:r>
              <w:rPr>
                <w:rFonts w:ascii="Arial" w:cs="Arial" w:eastAsia="Arial" w:hAnsi="Arial"/>
                <w:sz w:val="8"/>
                <w:szCs w:val="8"/>
                <w:color w:val="auto"/>
              </w:rPr>
              <w:t>2 %</w:t>
            </w:r>
          </w:p>
        </w:tc>
      </w:tr>
      <w:tr>
        <w:trPr>
          <w:trHeight w:val="134"/>
        </w:trPr>
        <w:tc>
          <w:tcPr>
            <w:tcW w:w="2680" w:type="dxa"/>
            <w:vAlign w:val="bottom"/>
            <w:shd w:val="clear" w:color="auto" w:fill="CFF0FC"/>
          </w:tcPr>
          <w:p>
            <w:pPr>
              <w:ind w:left="20"/>
              <w:spacing w:after="0"/>
              <w:rPr>
                <w:sz w:val="20"/>
                <w:szCs w:val="20"/>
                <w:color w:val="auto"/>
              </w:rPr>
            </w:pPr>
            <w:r>
              <w:rPr>
                <w:rFonts w:ascii="Arial" w:cs="Arial" w:eastAsia="Arial" w:hAnsi="Arial"/>
                <w:sz w:val="8"/>
                <w:szCs w:val="8"/>
                <w:i w:val="1"/>
                <w:iCs w:val="1"/>
                <w:color w:val="auto"/>
              </w:rPr>
              <w:t>Comply365, LLC</w:t>
            </w:r>
          </w:p>
        </w:tc>
        <w:tc>
          <w:tcPr>
            <w:tcW w:w="3000" w:type="dxa"/>
            <w:vAlign w:val="bottom"/>
            <w:shd w:val="clear" w:color="auto" w:fill="CFF0FC"/>
          </w:tcPr>
          <w:p>
            <w:pPr>
              <w:ind w:left="260"/>
              <w:spacing w:after="0"/>
              <w:rPr>
                <w:sz w:val="20"/>
                <w:szCs w:val="20"/>
                <w:color w:val="auto"/>
              </w:rPr>
            </w:pPr>
            <w:r>
              <w:rPr>
                <w:rFonts w:ascii="Arial" w:cs="Arial" w:eastAsia="Arial" w:hAnsi="Arial"/>
                <w:sz w:val="8"/>
                <w:szCs w:val="8"/>
                <w:color w:val="auto"/>
              </w:rPr>
              <w:t>Aerospace &amp; Defense Manufacturing</w:t>
            </w: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680" w:type="dxa"/>
            <w:vAlign w:val="bottom"/>
          </w:tcPr>
          <w:p>
            <w:pPr>
              <w:ind w:left="140"/>
              <w:spacing w:after="0"/>
              <w:rPr>
                <w:sz w:val="20"/>
                <w:szCs w:val="20"/>
                <w:color w:val="auto"/>
              </w:rPr>
            </w:pPr>
            <w:r>
              <w:rPr>
                <w:rFonts w:ascii="Arial" w:cs="Arial" w:eastAsia="Arial" w:hAnsi="Arial"/>
                <w:sz w:val="8"/>
                <w:szCs w:val="8"/>
                <w:color w:val="auto"/>
              </w:rPr>
              <w:t>First Lien Debt (ad)</w:t>
            </w:r>
          </w:p>
        </w:tc>
        <w:tc>
          <w:tcPr>
            <w:tcW w:w="3000" w:type="dxa"/>
            <w:vAlign w:val="bottom"/>
          </w:tcPr>
          <w:p>
            <w:pPr>
              <w:ind w:left="2000"/>
              <w:spacing w:after="0"/>
              <w:rPr>
                <w:sz w:val="20"/>
                <w:szCs w:val="20"/>
                <w:color w:val="auto"/>
              </w:rPr>
            </w:pPr>
            <w:r>
              <w:rPr>
                <w:rFonts w:ascii="Arial" w:cs="Arial" w:eastAsia="Arial" w:hAnsi="Arial"/>
                <w:sz w:val="8"/>
                <w:szCs w:val="8"/>
                <w:color w:val="auto"/>
              </w:rPr>
              <w:t>(L + 8.00%) / (1.00%)</w:t>
            </w:r>
          </w:p>
        </w:tc>
        <w:tc>
          <w:tcPr>
            <w:tcW w:w="940" w:type="dxa"/>
            <w:vAlign w:val="bottom"/>
          </w:tcPr>
          <w:p>
            <w:pPr>
              <w:ind w:left="220"/>
              <w:spacing w:after="0"/>
              <w:rPr>
                <w:sz w:val="20"/>
                <w:szCs w:val="20"/>
                <w:color w:val="auto"/>
              </w:rPr>
            </w:pPr>
            <w:r>
              <w:rPr>
                <w:rFonts w:ascii="Arial" w:cs="Arial" w:eastAsia="Arial" w:hAnsi="Arial"/>
                <w:sz w:val="8"/>
                <w:szCs w:val="8"/>
                <w:color w:val="auto"/>
              </w:rPr>
              <w:t>9.00%/0.00%</w:t>
            </w:r>
          </w:p>
        </w:tc>
        <w:tc>
          <w:tcPr>
            <w:tcW w:w="820" w:type="dxa"/>
            <w:vAlign w:val="bottom"/>
          </w:tcPr>
          <w:p>
            <w:pPr>
              <w:ind w:left="220"/>
              <w:spacing w:after="0"/>
              <w:rPr>
                <w:sz w:val="20"/>
                <w:szCs w:val="20"/>
                <w:color w:val="auto"/>
              </w:rPr>
            </w:pPr>
            <w:r>
              <w:rPr>
                <w:rFonts w:ascii="Arial" w:cs="Arial" w:eastAsia="Arial" w:hAnsi="Arial"/>
                <w:sz w:val="8"/>
                <w:szCs w:val="8"/>
                <w:color w:val="auto"/>
              </w:rPr>
              <w:t>12/11/2020</w:t>
            </w:r>
          </w:p>
        </w:tc>
        <w:tc>
          <w:tcPr>
            <w:tcW w:w="980" w:type="dxa"/>
            <w:vAlign w:val="bottom"/>
          </w:tcPr>
          <w:p>
            <w:pPr>
              <w:ind w:left="200"/>
              <w:spacing w:after="0"/>
              <w:rPr>
                <w:sz w:val="20"/>
                <w:szCs w:val="20"/>
                <w:color w:val="auto"/>
              </w:rPr>
            </w:pPr>
            <w:r>
              <w:rPr>
                <w:rFonts w:ascii="Arial" w:cs="Arial" w:eastAsia="Arial" w:hAnsi="Arial"/>
                <w:sz w:val="8"/>
                <w:szCs w:val="8"/>
                <w:color w:val="auto"/>
              </w:rPr>
              <w:t>12/11/2025</w:t>
            </w:r>
          </w:p>
        </w:tc>
        <w:tc>
          <w:tcPr>
            <w:tcW w:w="740" w:type="dxa"/>
            <w:vAlign w:val="bottom"/>
          </w:tcPr>
          <w:p>
            <w:pPr>
              <w:jc w:val="right"/>
              <w:ind w:right="78"/>
              <w:spacing w:after="0"/>
              <w:rPr>
                <w:sz w:val="20"/>
                <w:szCs w:val="20"/>
                <w:color w:val="auto"/>
              </w:rPr>
            </w:pPr>
            <w:r>
              <w:rPr>
                <w:rFonts w:ascii="Arial" w:cs="Arial" w:eastAsia="Arial" w:hAnsi="Arial"/>
                <w:sz w:val="8"/>
                <w:szCs w:val="8"/>
                <w:color w:val="auto"/>
              </w:rPr>
              <w:t>8,996</w:t>
            </w:r>
          </w:p>
        </w:tc>
        <w:tc>
          <w:tcPr>
            <w:tcW w:w="660" w:type="dxa"/>
            <w:vAlign w:val="bottom"/>
          </w:tcPr>
          <w:p>
            <w:pPr>
              <w:jc w:val="right"/>
              <w:spacing w:after="0"/>
              <w:rPr>
                <w:sz w:val="20"/>
                <w:szCs w:val="20"/>
                <w:color w:val="auto"/>
              </w:rPr>
            </w:pPr>
            <w:r>
              <w:rPr>
                <w:rFonts w:ascii="Arial" w:cs="Arial" w:eastAsia="Arial" w:hAnsi="Arial"/>
                <w:sz w:val="8"/>
                <w:szCs w:val="8"/>
                <w:color w:val="auto"/>
              </w:rPr>
              <w:t>8,873</w:t>
            </w:r>
          </w:p>
        </w:tc>
        <w:tc>
          <w:tcPr>
            <w:tcW w:w="760" w:type="dxa"/>
            <w:vAlign w:val="bottom"/>
            <w:gridSpan w:val="2"/>
          </w:tcPr>
          <w:p>
            <w:pPr>
              <w:jc w:val="right"/>
              <w:ind w:right="18"/>
              <w:spacing w:after="0"/>
              <w:rPr>
                <w:sz w:val="20"/>
                <w:szCs w:val="20"/>
                <w:color w:val="auto"/>
              </w:rPr>
            </w:pPr>
            <w:r>
              <w:rPr>
                <w:rFonts w:ascii="Arial" w:cs="Arial" w:eastAsia="Arial" w:hAnsi="Arial"/>
                <w:sz w:val="8"/>
                <w:szCs w:val="8"/>
                <w:color w:val="auto"/>
              </w:rPr>
              <w:t>8,996</w:t>
            </w:r>
          </w:p>
        </w:tc>
        <w:tc>
          <w:tcPr>
            <w:tcW w:w="660" w:type="dxa"/>
            <w:vAlign w:val="bottom"/>
          </w:tcPr>
          <w:p>
            <w:pPr>
              <w:spacing w:after="0"/>
              <w:rPr>
                <w:sz w:val="10"/>
                <w:szCs w:val="10"/>
                <w:color w:val="auto"/>
              </w:rPr>
            </w:pPr>
          </w:p>
        </w:tc>
      </w:tr>
      <w:tr>
        <w:trPr>
          <w:trHeight w:val="133"/>
        </w:trPr>
        <w:tc>
          <w:tcPr>
            <w:tcW w:w="26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8"/>
                <w:szCs w:val="8"/>
                <w:color w:val="auto"/>
              </w:rPr>
              <w:t>Common Equity (1,000,000 units)</w:t>
            </w:r>
          </w:p>
        </w:tc>
        <w:tc>
          <w:tcPr>
            <w:tcW w:w="300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8"/>
                <w:szCs w:val="8"/>
                <w:color w:val="auto"/>
              </w:rPr>
              <w:t>12/11/2020</w:t>
            </w:r>
          </w:p>
        </w:tc>
        <w:tc>
          <w:tcPr>
            <w:tcW w:w="98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1,000</w:t>
            </w:r>
          </w:p>
        </w:tc>
        <w:tc>
          <w:tcPr>
            <w:tcW w:w="1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8"/>
                <w:szCs w:val="8"/>
                <w:color w:val="auto"/>
              </w:rPr>
              <w:t>1,227</w:t>
            </w:r>
          </w:p>
        </w:tc>
        <w:tc>
          <w:tcPr>
            <w:tcW w:w="660" w:type="dxa"/>
            <w:vAlign w:val="bottom"/>
            <w:tcBorders>
              <w:bottom w:val="single" w:sz="8" w:color="CFF0FC"/>
            </w:tcBorders>
            <w:shd w:val="clear" w:color="auto" w:fill="CFF0FC"/>
          </w:tcPr>
          <w:p>
            <w:pPr>
              <w:spacing w:after="0"/>
              <w:rPr>
                <w:sz w:val="11"/>
                <w:szCs w:val="11"/>
                <w:color w:val="auto"/>
              </w:rPr>
            </w:pPr>
          </w:p>
        </w:tc>
      </w:tr>
      <w:tr>
        <w:trPr>
          <w:trHeight w:val="113"/>
        </w:trPr>
        <w:tc>
          <w:tcPr>
            <w:tcW w:w="26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9,873</w:t>
            </w:r>
          </w:p>
        </w:tc>
        <w:tc>
          <w:tcPr>
            <w:tcW w:w="760" w:type="dxa"/>
            <w:vAlign w:val="bottom"/>
            <w:gridSpan w:val="2"/>
          </w:tcPr>
          <w:p>
            <w:pPr>
              <w:jc w:val="right"/>
              <w:ind w:right="18"/>
              <w:spacing w:after="0"/>
              <w:rPr>
                <w:sz w:val="20"/>
                <w:szCs w:val="20"/>
                <w:color w:val="auto"/>
              </w:rPr>
            </w:pPr>
            <w:r>
              <w:rPr>
                <w:rFonts w:ascii="Arial" w:cs="Arial" w:eastAsia="Arial" w:hAnsi="Arial"/>
                <w:sz w:val="8"/>
                <w:szCs w:val="8"/>
                <w:color w:val="auto"/>
              </w:rPr>
              <w:t>10,223</w:t>
            </w:r>
          </w:p>
        </w:tc>
        <w:tc>
          <w:tcPr>
            <w:tcW w:w="660" w:type="dxa"/>
            <w:vAlign w:val="bottom"/>
          </w:tcPr>
          <w:p>
            <w:pPr>
              <w:jc w:val="right"/>
              <w:spacing w:after="0"/>
              <w:rPr>
                <w:sz w:val="20"/>
                <w:szCs w:val="20"/>
                <w:color w:val="auto"/>
              </w:rPr>
            </w:pPr>
            <w:r>
              <w:rPr>
                <w:rFonts w:ascii="Arial" w:cs="Arial" w:eastAsia="Arial" w:hAnsi="Arial"/>
                <w:sz w:val="8"/>
                <w:szCs w:val="8"/>
                <w:color w:val="auto"/>
              </w:rPr>
              <w:t>2 %</w:t>
            </w:r>
          </w:p>
        </w:tc>
      </w:tr>
      <w:tr>
        <w:trPr>
          <w:trHeight w:val="134"/>
        </w:trPr>
        <w:tc>
          <w:tcPr>
            <w:tcW w:w="2680" w:type="dxa"/>
            <w:vAlign w:val="bottom"/>
            <w:shd w:val="clear" w:color="auto" w:fill="CFF0FC"/>
          </w:tcPr>
          <w:p>
            <w:pPr>
              <w:ind w:left="20"/>
              <w:spacing w:after="0"/>
              <w:rPr>
                <w:sz w:val="20"/>
                <w:szCs w:val="20"/>
                <w:color w:val="auto"/>
              </w:rPr>
            </w:pPr>
            <w:r>
              <w:rPr>
                <w:rFonts w:ascii="Arial" w:cs="Arial" w:eastAsia="Arial" w:hAnsi="Arial"/>
                <w:sz w:val="8"/>
                <w:szCs w:val="8"/>
                <w:i w:val="1"/>
                <w:iCs w:val="1"/>
                <w:color w:val="auto"/>
              </w:rPr>
              <w:t>CRS Solutions Holdings, LLC (dba CRS Texas)</w:t>
            </w:r>
          </w:p>
        </w:tc>
        <w:tc>
          <w:tcPr>
            <w:tcW w:w="3000" w:type="dxa"/>
            <w:vAlign w:val="bottom"/>
            <w:shd w:val="clear" w:color="auto" w:fill="CFF0FC"/>
          </w:tcPr>
          <w:p>
            <w:pPr>
              <w:ind w:left="260"/>
              <w:spacing w:after="0"/>
              <w:rPr>
                <w:sz w:val="20"/>
                <w:szCs w:val="20"/>
                <w:color w:val="auto"/>
              </w:rPr>
            </w:pPr>
            <w:r>
              <w:rPr>
                <w:rFonts w:ascii="Arial" w:cs="Arial" w:eastAsia="Arial" w:hAnsi="Arial"/>
                <w:sz w:val="8"/>
                <w:szCs w:val="8"/>
                <w:color w:val="auto"/>
              </w:rPr>
              <w:t>Business Services</w:t>
            </w: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680" w:type="dxa"/>
            <w:vAlign w:val="bottom"/>
          </w:tcPr>
          <w:p>
            <w:pPr>
              <w:ind w:left="140"/>
              <w:spacing w:after="0"/>
              <w:rPr>
                <w:sz w:val="20"/>
                <w:szCs w:val="20"/>
                <w:color w:val="auto"/>
              </w:rPr>
            </w:pPr>
            <w:r>
              <w:rPr>
                <w:rFonts w:ascii="Arial" w:cs="Arial" w:eastAsia="Arial" w:hAnsi="Arial"/>
                <w:sz w:val="8"/>
                <w:szCs w:val="8"/>
                <w:color w:val="auto"/>
              </w:rPr>
              <w:t>Common Equity (538,875 units) (h)(j)</w:t>
            </w:r>
          </w:p>
        </w:tc>
        <w:tc>
          <w:tcPr>
            <w:tcW w:w="3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3/14/2018</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621</w:t>
            </w:r>
          </w:p>
        </w:tc>
        <w:tc>
          <w:tcPr>
            <w:tcW w:w="760" w:type="dxa"/>
            <w:vAlign w:val="bottom"/>
            <w:gridSpan w:val="2"/>
          </w:tcPr>
          <w:p>
            <w:pPr>
              <w:jc w:val="right"/>
              <w:ind w:right="18"/>
              <w:spacing w:after="0"/>
              <w:rPr>
                <w:sz w:val="20"/>
                <w:szCs w:val="20"/>
                <w:color w:val="auto"/>
              </w:rPr>
            </w:pPr>
            <w:r>
              <w:rPr>
                <w:rFonts w:ascii="Arial" w:cs="Arial" w:eastAsia="Arial" w:hAnsi="Arial"/>
                <w:sz w:val="8"/>
                <w:szCs w:val="8"/>
                <w:color w:val="auto"/>
              </w:rPr>
              <w:t>581</w:t>
            </w:r>
          </w:p>
        </w:tc>
        <w:tc>
          <w:tcPr>
            <w:tcW w:w="660" w:type="dxa"/>
            <w:vAlign w:val="bottom"/>
          </w:tcPr>
          <w:p>
            <w:pPr>
              <w:jc w:val="right"/>
              <w:spacing w:after="0"/>
              <w:rPr>
                <w:sz w:val="20"/>
                <w:szCs w:val="20"/>
                <w:color w:val="auto"/>
              </w:rPr>
            </w:pPr>
            <w:r>
              <w:rPr>
                <w:rFonts w:ascii="Arial" w:cs="Arial" w:eastAsia="Arial" w:hAnsi="Arial"/>
                <w:sz w:val="8"/>
                <w:szCs w:val="8"/>
                <w:color w:val="auto"/>
              </w:rPr>
              <w:t>0 %</w:t>
            </w:r>
          </w:p>
        </w:tc>
      </w:tr>
      <w:tr>
        <w:trPr>
          <w:trHeight w:val="134"/>
        </w:trPr>
        <w:tc>
          <w:tcPr>
            <w:tcW w:w="2680" w:type="dxa"/>
            <w:vAlign w:val="bottom"/>
            <w:shd w:val="clear" w:color="auto" w:fill="CFF0FC"/>
          </w:tcPr>
          <w:p>
            <w:pPr>
              <w:spacing w:after="0"/>
              <w:rPr>
                <w:sz w:val="11"/>
                <w:szCs w:val="11"/>
                <w:color w:val="auto"/>
              </w:rPr>
            </w:pPr>
          </w:p>
        </w:tc>
        <w:tc>
          <w:tcPr>
            <w:tcW w:w="30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680" w:type="dxa"/>
            <w:vAlign w:val="bottom"/>
          </w:tcPr>
          <w:p>
            <w:pPr>
              <w:ind w:left="20"/>
              <w:spacing w:after="0"/>
              <w:rPr>
                <w:sz w:val="20"/>
                <w:szCs w:val="20"/>
                <w:color w:val="auto"/>
              </w:rPr>
            </w:pPr>
            <w:r>
              <w:rPr>
                <w:rFonts w:ascii="Arial" w:cs="Arial" w:eastAsia="Arial" w:hAnsi="Arial"/>
                <w:sz w:val="8"/>
                <w:szCs w:val="8"/>
                <w:i w:val="1"/>
                <w:iCs w:val="1"/>
                <w:color w:val="auto"/>
              </w:rPr>
              <w:t>Dataguise, Inc.</w:t>
            </w:r>
          </w:p>
        </w:tc>
        <w:tc>
          <w:tcPr>
            <w:tcW w:w="3000" w:type="dxa"/>
            <w:vAlign w:val="bottom"/>
          </w:tcPr>
          <w:p>
            <w:pPr>
              <w:ind w:left="260"/>
              <w:spacing w:after="0"/>
              <w:rPr>
                <w:sz w:val="20"/>
                <w:szCs w:val="20"/>
                <w:color w:val="auto"/>
              </w:rPr>
            </w:pPr>
            <w:r>
              <w:rPr>
                <w:rFonts w:ascii="Arial" w:cs="Arial" w:eastAsia="Arial" w:hAnsi="Arial"/>
                <w:sz w:val="8"/>
                <w:szCs w:val="8"/>
                <w:color w:val="auto"/>
              </w:rPr>
              <w:t>Information Technology Services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4"/>
        </w:trPr>
        <w:tc>
          <w:tcPr>
            <w:tcW w:w="2680" w:type="dxa"/>
            <w:vAlign w:val="bottom"/>
            <w:shd w:val="clear" w:color="auto" w:fill="CFF0FC"/>
          </w:tcPr>
          <w:p>
            <w:pPr>
              <w:ind w:left="140"/>
              <w:spacing w:after="0"/>
              <w:rPr>
                <w:sz w:val="20"/>
                <w:szCs w:val="20"/>
                <w:color w:val="auto"/>
              </w:rPr>
            </w:pPr>
            <w:r>
              <w:rPr>
                <w:rFonts w:ascii="Arial" w:cs="Arial" w:eastAsia="Arial" w:hAnsi="Arial"/>
                <w:sz w:val="8"/>
                <w:szCs w:val="8"/>
                <w:color w:val="auto"/>
              </w:rPr>
              <w:t>First Lien Debt (j)</w:t>
            </w:r>
          </w:p>
        </w:tc>
        <w:tc>
          <w:tcPr>
            <w:tcW w:w="3000" w:type="dxa"/>
            <w:vAlign w:val="bottom"/>
            <w:shd w:val="clear" w:color="auto" w:fill="CFF0FC"/>
          </w:tcPr>
          <w:p>
            <w:pPr>
              <w:spacing w:after="0"/>
              <w:rPr>
                <w:sz w:val="11"/>
                <w:szCs w:val="11"/>
                <w:color w:val="auto"/>
              </w:rPr>
            </w:pPr>
          </w:p>
        </w:tc>
        <w:tc>
          <w:tcPr>
            <w:tcW w:w="940" w:type="dxa"/>
            <w:vAlign w:val="bottom"/>
            <w:shd w:val="clear" w:color="auto" w:fill="CFF0FC"/>
          </w:tcPr>
          <w:p>
            <w:pPr>
              <w:ind w:left="220"/>
              <w:spacing w:after="0"/>
              <w:rPr>
                <w:sz w:val="20"/>
                <w:szCs w:val="20"/>
                <w:color w:val="auto"/>
              </w:rPr>
            </w:pPr>
            <w:r>
              <w:rPr>
                <w:rFonts w:ascii="Arial" w:cs="Arial" w:eastAsia="Arial" w:hAnsi="Arial"/>
                <w:sz w:val="8"/>
                <w:szCs w:val="8"/>
                <w:color w:val="auto"/>
              </w:rPr>
              <w:t>11.00%/0.00%</w:t>
            </w: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12/31/2020</w:t>
            </w:r>
          </w:p>
        </w:tc>
        <w:tc>
          <w:tcPr>
            <w:tcW w:w="980" w:type="dxa"/>
            <w:vAlign w:val="bottom"/>
            <w:shd w:val="clear" w:color="auto" w:fill="CFF0FC"/>
          </w:tcPr>
          <w:p>
            <w:pPr>
              <w:ind w:left="200"/>
              <w:spacing w:after="0"/>
              <w:rPr>
                <w:sz w:val="20"/>
                <w:szCs w:val="20"/>
                <w:color w:val="auto"/>
              </w:rPr>
            </w:pPr>
            <w:r>
              <w:rPr>
                <w:rFonts w:ascii="Arial" w:cs="Arial" w:eastAsia="Arial" w:hAnsi="Arial"/>
                <w:sz w:val="8"/>
                <w:szCs w:val="8"/>
                <w:color w:val="auto"/>
              </w:rPr>
              <w:t>12/31/2023</w:t>
            </w:r>
          </w:p>
        </w:tc>
        <w:tc>
          <w:tcPr>
            <w:tcW w:w="740" w:type="dxa"/>
            <w:vAlign w:val="bottom"/>
            <w:shd w:val="clear" w:color="auto" w:fill="CFF0FC"/>
          </w:tcPr>
          <w:p>
            <w:pPr>
              <w:jc w:val="right"/>
              <w:ind w:right="78"/>
              <w:spacing w:after="0"/>
              <w:rPr>
                <w:sz w:val="20"/>
                <w:szCs w:val="20"/>
                <w:color w:val="auto"/>
              </w:rPr>
            </w:pPr>
            <w:r>
              <w:rPr>
                <w:rFonts w:ascii="Arial" w:cs="Arial" w:eastAsia="Arial" w:hAnsi="Arial"/>
                <w:sz w:val="8"/>
                <w:szCs w:val="8"/>
                <w:color w:val="auto"/>
              </w:rPr>
              <w:t>19,900</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19,825</w:t>
            </w:r>
          </w:p>
        </w:tc>
        <w:tc>
          <w:tcPr>
            <w:tcW w:w="760" w:type="dxa"/>
            <w:vAlign w:val="bottom"/>
            <w:gridSpan w:val="2"/>
            <w:shd w:val="clear" w:color="auto" w:fill="CFF0FC"/>
          </w:tcPr>
          <w:p>
            <w:pPr>
              <w:jc w:val="right"/>
              <w:ind w:right="18"/>
              <w:spacing w:after="0"/>
              <w:rPr>
                <w:sz w:val="20"/>
                <w:szCs w:val="20"/>
                <w:color w:val="auto"/>
              </w:rPr>
            </w:pPr>
            <w:r>
              <w:rPr>
                <w:rFonts w:ascii="Arial" w:cs="Arial" w:eastAsia="Arial" w:hAnsi="Arial"/>
                <w:sz w:val="8"/>
                <w:szCs w:val="8"/>
                <w:color w:val="auto"/>
              </w:rPr>
              <w:t>19,900</w:t>
            </w:r>
          </w:p>
        </w:tc>
        <w:tc>
          <w:tcPr>
            <w:tcW w:w="660" w:type="dxa"/>
            <w:vAlign w:val="bottom"/>
            <w:shd w:val="clear" w:color="auto" w:fill="CFF0FC"/>
          </w:tcPr>
          <w:p>
            <w:pPr>
              <w:spacing w:after="0"/>
              <w:rPr>
                <w:sz w:val="11"/>
                <w:szCs w:val="11"/>
                <w:color w:val="auto"/>
              </w:rPr>
            </w:pPr>
          </w:p>
        </w:tc>
      </w:tr>
      <w:tr>
        <w:trPr>
          <w:trHeight w:val="126"/>
        </w:trPr>
        <w:tc>
          <w:tcPr>
            <w:tcW w:w="2680" w:type="dxa"/>
            <w:vAlign w:val="bottom"/>
          </w:tcPr>
          <w:p>
            <w:pPr>
              <w:ind w:left="140"/>
              <w:spacing w:after="0"/>
              <w:rPr>
                <w:sz w:val="20"/>
                <w:szCs w:val="20"/>
                <w:color w:val="auto"/>
              </w:rPr>
            </w:pPr>
            <w:r>
              <w:rPr>
                <w:rFonts w:ascii="Arial" w:cs="Arial" w:eastAsia="Arial" w:hAnsi="Arial"/>
                <w:sz w:val="8"/>
                <w:szCs w:val="8"/>
                <w:color w:val="auto"/>
              </w:rPr>
              <w:t>Common Equity (909 shares) (j)</w:t>
            </w:r>
          </w:p>
        </w:tc>
        <w:tc>
          <w:tcPr>
            <w:tcW w:w="3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12/31/2020</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1,500</w:t>
            </w:r>
          </w:p>
        </w:tc>
        <w:tc>
          <w:tcPr>
            <w:tcW w:w="100" w:type="dxa"/>
            <w:vAlign w:val="bottom"/>
          </w:tcPr>
          <w:p>
            <w:pPr>
              <w:spacing w:after="0"/>
              <w:rPr>
                <w:sz w:val="10"/>
                <w:szCs w:val="10"/>
                <w:color w:val="auto"/>
              </w:rPr>
            </w:pP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1,506</w:t>
            </w:r>
          </w:p>
        </w:tc>
        <w:tc>
          <w:tcPr>
            <w:tcW w:w="660" w:type="dxa"/>
            <w:vAlign w:val="bottom"/>
          </w:tcPr>
          <w:p>
            <w:pPr>
              <w:spacing w:after="0"/>
              <w:rPr>
                <w:sz w:val="10"/>
                <w:szCs w:val="10"/>
                <w:color w:val="auto"/>
              </w:rPr>
            </w:pPr>
          </w:p>
        </w:tc>
      </w:tr>
      <w:tr>
        <w:trPr>
          <w:trHeight w:val="120"/>
        </w:trPr>
        <w:tc>
          <w:tcPr>
            <w:tcW w:w="2680" w:type="dxa"/>
            <w:vAlign w:val="bottom"/>
            <w:shd w:val="clear" w:color="auto" w:fill="CFF0FC"/>
          </w:tcPr>
          <w:p>
            <w:pPr>
              <w:spacing w:after="0"/>
              <w:rPr>
                <w:sz w:val="10"/>
                <w:szCs w:val="10"/>
                <w:color w:val="auto"/>
              </w:rPr>
            </w:pPr>
          </w:p>
        </w:tc>
        <w:tc>
          <w:tcPr>
            <w:tcW w:w="30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21,325</w:t>
            </w:r>
          </w:p>
        </w:tc>
        <w:tc>
          <w:tcPr>
            <w:tcW w:w="760" w:type="dxa"/>
            <w:vAlign w:val="bottom"/>
            <w:gridSpan w:val="2"/>
            <w:shd w:val="clear" w:color="auto" w:fill="CFF0FC"/>
          </w:tcPr>
          <w:p>
            <w:pPr>
              <w:jc w:val="right"/>
              <w:ind w:right="18"/>
              <w:spacing w:after="0"/>
              <w:rPr>
                <w:sz w:val="20"/>
                <w:szCs w:val="20"/>
                <w:color w:val="auto"/>
              </w:rPr>
            </w:pPr>
            <w:r>
              <w:rPr>
                <w:rFonts w:ascii="Arial" w:cs="Arial" w:eastAsia="Arial" w:hAnsi="Arial"/>
                <w:sz w:val="8"/>
                <w:szCs w:val="8"/>
                <w:color w:val="auto"/>
              </w:rPr>
              <w:t>21,406</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5 %</w:t>
            </w:r>
          </w:p>
        </w:tc>
      </w:tr>
      <w:tr>
        <w:trPr>
          <w:trHeight w:val="120"/>
        </w:trPr>
        <w:tc>
          <w:tcPr>
            <w:tcW w:w="2680" w:type="dxa"/>
            <w:vAlign w:val="bottom"/>
          </w:tcPr>
          <w:p>
            <w:pPr>
              <w:ind w:left="20"/>
              <w:spacing w:after="0"/>
              <w:rPr>
                <w:sz w:val="20"/>
                <w:szCs w:val="20"/>
                <w:color w:val="auto"/>
              </w:rPr>
            </w:pPr>
            <w:r>
              <w:rPr>
                <w:rFonts w:ascii="Arial" w:cs="Arial" w:eastAsia="Arial" w:hAnsi="Arial"/>
                <w:sz w:val="8"/>
                <w:szCs w:val="8"/>
                <w:i w:val="1"/>
                <w:iCs w:val="1"/>
                <w:color w:val="auto"/>
              </w:rPr>
              <w:t>Diversified Search LLC</w:t>
            </w:r>
          </w:p>
        </w:tc>
        <w:tc>
          <w:tcPr>
            <w:tcW w:w="3000" w:type="dxa"/>
            <w:vAlign w:val="bottom"/>
          </w:tcPr>
          <w:p>
            <w:pPr>
              <w:ind w:left="260"/>
              <w:spacing w:after="0"/>
              <w:rPr>
                <w:sz w:val="20"/>
                <w:szCs w:val="20"/>
                <w:color w:val="auto"/>
              </w:rPr>
            </w:pPr>
            <w:r>
              <w:rPr>
                <w:rFonts w:ascii="Arial" w:cs="Arial" w:eastAsia="Arial" w:hAnsi="Arial"/>
                <w:sz w:val="8"/>
                <w:szCs w:val="8"/>
                <w:color w:val="auto"/>
              </w:rPr>
              <w:t>Business Services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4"/>
        </w:trPr>
        <w:tc>
          <w:tcPr>
            <w:tcW w:w="2680" w:type="dxa"/>
            <w:vAlign w:val="bottom"/>
            <w:shd w:val="clear" w:color="auto" w:fill="CFF0FC"/>
          </w:tcPr>
          <w:p>
            <w:pPr>
              <w:ind w:left="140"/>
              <w:spacing w:after="0"/>
              <w:rPr>
                <w:sz w:val="20"/>
                <w:szCs w:val="20"/>
                <w:color w:val="auto"/>
              </w:rPr>
            </w:pPr>
            <w:r>
              <w:rPr>
                <w:rFonts w:ascii="Arial" w:cs="Arial" w:eastAsia="Arial" w:hAnsi="Arial"/>
                <w:sz w:val="8"/>
                <w:szCs w:val="8"/>
                <w:color w:val="auto"/>
              </w:rPr>
              <w:t>First Lien Debt (k)(r)</w:t>
            </w:r>
          </w:p>
        </w:tc>
        <w:tc>
          <w:tcPr>
            <w:tcW w:w="3000" w:type="dxa"/>
            <w:vAlign w:val="bottom"/>
            <w:shd w:val="clear" w:color="auto" w:fill="CFF0FC"/>
          </w:tcPr>
          <w:p>
            <w:pPr>
              <w:ind w:left="2000"/>
              <w:spacing w:after="0"/>
              <w:rPr>
                <w:sz w:val="20"/>
                <w:szCs w:val="20"/>
                <w:color w:val="auto"/>
              </w:rPr>
            </w:pPr>
            <w:r>
              <w:rPr>
                <w:rFonts w:ascii="Arial" w:cs="Arial" w:eastAsia="Arial" w:hAnsi="Arial"/>
                <w:sz w:val="8"/>
                <w:szCs w:val="8"/>
                <w:color w:val="auto"/>
              </w:rPr>
              <w:t>(L + 6.50%) / (1.00%)</w:t>
            </w:r>
          </w:p>
        </w:tc>
        <w:tc>
          <w:tcPr>
            <w:tcW w:w="940" w:type="dxa"/>
            <w:vAlign w:val="bottom"/>
            <w:shd w:val="clear" w:color="auto" w:fill="CFF0FC"/>
          </w:tcPr>
          <w:p>
            <w:pPr>
              <w:ind w:left="220"/>
              <w:spacing w:after="0"/>
              <w:rPr>
                <w:sz w:val="20"/>
                <w:szCs w:val="20"/>
                <w:color w:val="auto"/>
              </w:rPr>
            </w:pPr>
            <w:r>
              <w:rPr>
                <w:rFonts w:ascii="Arial" w:cs="Arial" w:eastAsia="Arial" w:hAnsi="Arial"/>
                <w:sz w:val="8"/>
                <w:szCs w:val="8"/>
                <w:color w:val="auto"/>
              </w:rPr>
              <w:t>7.50%/0.00%</w:t>
            </w: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2/7/2019</w:t>
            </w:r>
          </w:p>
        </w:tc>
        <w:tc>
          <w:tcPr>
            <w:tcW w:w="980" w:type="dxa"/>
            <w:vAlign w:val="bottom"/>
            <w:shd w:val="clear" w:color="auto" w:fill="CFF0FC"/>
          </w:tcPr>
          <w:p>
            <w:pPr>
              <w:ind w:left="200"/>
              <w:spacing w:after="0"/>
              <w:rPr>
                <w:sz w:val="20"/>
                <w:szCs w:val="20"/>
                <w:color w:val="auto"/>
              </w:rPr>
            </w:pPr>
            <w:r>
              <w:rPr>
                <w:rFonts w:ascii="Arial" w:cs="Arial" w:eastAsia="Arial" w:hAnsi="Arial"/>
                <w:sz w:val="8"/>
                <w:szCs w:val="8"/>
                <w:color w:val="auto"/>
              </w:rPr>
              <w:t>2/7/2024</w:t>
            </w:r>
          </w:p>
        </w:tc>
        <w:tc>
          <w:tcPr>
            <w:tcW w:w="740" w:type="dxa"/>
            <w:vAlign w:val="bottom"/>
            <w:shd w:val="clear" w:color="auto" w:fill="CFF0FC"/>
          </w:tcPr>
          <w:p>
            <w:pPr>
              <w:jc w:val="right"/>
              <w:ind w:right="78"/>
              <w:spacing w:after="0"/>
              <w:rPr>
                <w:sz w:val="20"/>
                <w:szCs w:val="20"/>
                <w:color w:val="auto"/>
              </w:rPr>
            </w:pPr>
            <w:r>
              <w:rPr>
                <w:rFonts w:ascii="Arial" w:cs="Arial" w:eastAsia="Arial" w:hAnsi="Arial"/>
                <w:sz w:val="8"/>
                <w:szCs w:val="8"/>
                <w:color w:val="auto"/>
              </w:rPr>
              <w:t>17,355</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17,206</w:t>
            </w:r>
          </w:p>
        </w:tc>
        <w:tc>
          <w:tcPr>
            <w:tcW w:w="760" w:type="dxa"/>
            <w:vAlign w:val="bottom"/>
            <w:gridSpan w:val="2"/>
            <w:shd w:val="clear" w:color="auto" w:fill="CFF0FC"/>
          </w:tcPr>
          <w:p>
            <w:pPr>
              <w:jc w:val="right"/>
              <w:ind w:right="18"/>
              <w:spacing w:after="0"/>
              <w:rPr>
                <w:sz w:val="20"/>
                <w:szCs w:val="20"/>
                <w:color w:val="auto"/>
              </w:rPr>
            </w:pPr>
            <w:r>
              <w:rPr>
                <w:rFonts w:ascii="Arial" w:cs="Arial" w:eastAsia="Arial" w:hAnsi="Arial"/>
                <w:sz w:val="8"/>
                <w:szCs w:val="8"/>
                <w:color w:val="auto"/>
              </w:rPr>
              <w:t>17,355</w:t>
            </w:r>
          </w:p>
        </w:tc>
        <w:tc>
          <w:tcPr>
            <w:tcW w:w="660" w:type="dxa"/>
            <w:vAlign w:val="bottom"/>
            <w:shd w:val="clear" w:color="auto" w:fill="CFF0FC"/>
          </w:tcPr>
          <w:p>
            <w:pPr>
              <w:spacing w:after="0"/>
              <w:rPr>
                <w:sz w:val="11"/>
                <w:szCs w:val="11"/>
                <w:color w:val="auto"/>
              </w:rPr>
            </w:pPr>
          </w:p>
        </w:tc>
      </w:tr>
      <w:tr>
        <w:trPr>
          <w:trHeight w:val="126"/>
        </w:trPr>
        <w:tc>
          <w:tcPr>
            <w:tcW w:w="2680" w:type="dxa"/>
            <w:vAlign w:val="bottom"/>
          </w:tcPr>
          <w:p>
            <w:pPr>
              <w:ind w:left="140"/>
              <w:spacing w:after="0"/>
              <w:rPr>
                <w:sz w:val="20"/>
                <w:szCs w:val="20"/>
                <w:color w:val="auto"/>
              </w:rPr>
            </w:pPr>
            <w:r>
              <w:rPr>
                <w:rFonts w:ascii="Arial" w:cs="Arial" w:eastAsia="Arial" w:hAnsi="Arial"/>
                <w:sz w:val="8"/>
                <w:szCs w:val="8"/>
                <w:color w:val="auto"/>
              </w:rPr>
              <w:t>Common Equity (573 units) (h)(j)</w:t>
            </w:r>
          </w:p>
        </w:tc>
        <w:tc>
          <w:tcPr>
            <w:tcW w:w="3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2/7/2019</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593</w:t>
            </w:r>
          </w:p>
        </w:tc>
        <w:tc>
          <w:tcPr>
            <w:tcW w:w="100" w:type="dxa"/>
            <w:vAlign w:val="bottom"/>
          </w:tcPr>
          <w:p>
            <w:pPr>
              <w:spacing w:after="0"/>
              <w:rPr>
                <w:sz w:val="10"/>
                <w:szCs w:val="10"/>
                <w:color w:val="auto"/>
              </w:rPr>
            </w:pP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867</w:t>
            </w:r>
          </w:p>
        </w:tc>
        <w:tc>
          <w:tcPr>
            <w:tcW w:w="660" w:type="dxa"/>
            <w:vAlign w:val="bottom"/>
          </w:tcPr>
          <w:p>
            <w:pPr>
              <w:spacing w:after="0"/>
              <w:rPr>
                <w:sz w:val="10"/>
                <w:szCs w:val="10"/>
                <w:color w:val="auto"/>
              </w:rPr>
            </w:pPr>
          </w:p>
        </w:tc>
      </w:tr>
      <w:tr>
        <w:trPr>
          <w:trHeight w:val="120"/>
        </w:trPr>
        <w:tc>
          <w:tcPr>
            <w:tcW w:w="2680" w:type="dxa"/>
            <w:vAlign w:val="bottom"/>
            <w:shd w:val="clear" w:color="auto" w:fill="CFF0FC"/>
          </w:tcPr>
          <w:p>
            <w:pPr>
              <w:spacing w:after="0"/>
              <w:rPr>
                <w:sz w:val="10"/>
                <w:szCs w:val="10"/>
                <w:color w:val="auto"/>
              </w:rPr>
            </w:pPr>
          </w:p>
        </w:tc>
        <w:tc>
          <w:tcPr>
            <w:tcW w:w="30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17,799</w:t>
            </w:r>
          </w:p>
        </w:tc>
        <w:tc>
          <w:tcPr>
            <w:tcW w:w="760" w:type="dxa"/>
            <w:vAlign w:val="bottom"/>
            <w:gridSpan w:val="2"/>
            <w:shd w:val="clear" w:color="auto" w:fill="CFF0FC"/>
          </w:tcPr>
          <w:p>
            <w:pPr>
              <w:jc w:val="right"/>
              <w:ind w:right="18"/>
              <w:spacing w:after="0"/>
              <w:rPr>
                <w:sz w:val="20"/>
                <w:szCs w:val="20"/>
                <w:color w:val="auto"/>
              </w:rPr>
            </w:pPr>
            <w:r>
              <w:rPr>
                <w:rFonts w:ascii="Arial" w:cs="Arial" w:eastAsia="Arial" w:hAnsi="Arial"/>
                <w:sz w:val="8"/>
                <w:szCs w:val="8"/>
                <w:color w:val="auto"/>
              </w:rPr>
              <w:t>18,222</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4 %</w:t>
            </w:r>
          </w:p>
        </w:tc>
      </w:tr>
      <w:tr>
        <w:trPr>
          <w:trHeight w:val="120"/>
        </w:trPr>
        <w:tc>
          <w:tcPr>
            <w:tcW w:w="2680" w:type="dxa"/>
            <w:vAlign w:val="bottom"/>
          </w:tcPr>
          <w:p>
            <w:pPr>
              <w:ind w:left="20"/>
              <w:spacing w:after="0"/>
              <w:rPr>
                <w:sz w:val="20"/>
                <w:szCs w:val="20"/>
                <w:color w:val="auto"/>
              </w:rPr>
            </w:pPr>
            <w:r>
              <w:rPr>
                <w:rFonts w:ascii="Arial" w:cs="Arial" w:eastAsia="Arial" w:hAnsi="Arial"/>
                <w:sz w:val="8"/>
                <w:szCs w:val="8"/>
                <w:i w:val="1"/>
                <w:iCs w:val="1"/>
                <w:color w:val="auto"/>
              </w:rPr>
              <w:t>EBL, LLC (EbLens)</w:t>
            </w:r>
          </w:p>
        </w:tc>
        <w:tc>
          <w:tcPr>
            <w:tcW w:w="3000" w:type="dxa"/>
            <w:vAlign w:val="bottom"/>
          </w:tcPr>
          <w:p>
            <w:pPr>
              <w:ind w:left="260"/>
              <w:spacing w:after="0"/>
              <w:rPr>
                <w:sz w:val="20"/>
                <w:szCs w:val="20"/>
                <w:color w:val="auto"/>
              </w:rPr>
            </w:pPr>
            <w:r>
              <w:rPr>
                <w:rFonts w:ascii="Arial" w:cs="Arial" w:eastAsia="Arial" w:hAnsi="Arial"/>
                <w:sz w:val="8"/>
                <w:szCs w:val="8"/>
                <w:color w:val="auto"/>
              </w:rPr>
              <w:t>Retail</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4"/>
        </w:trPr>
        <w:tc>
          <w:tcPr>
            <w:tcW w:w="2680" w:type="dxa"/>
            <w:vAlign w:val="bottom"/>
            <w:shd w:val="clear" w:color="auto" w:fill="CFF0FC"/>
          </w:tcPr>
          <w:p>
            <w:pPr>
              <w:ind w:left="140"/>
              <w:spacing w:after="0"/>
              <w:rPr>
                <w:sz w:val="20"/>
                <w:szCs w:val="20"/>
                <w:color w:val="auto"/>
              </w:rPr>
            </w:pPr>
            <w:r>
              <w:rPr>
                <w:rFonts w:ascii="Arial" w:cs="Arial" w:eastAsia="Arial" w:hAnsi="Arial"/>
                <w:sz w:val="8"/>
                <w:szCs w:val="8"/>
                <w:color w:val="auto"/>
              </w:rPr>
              <w:t>Second Lien Debt (j)</w:t>
            </w:r>
          </w:p>
        </w:tc>
        <w:tc>
          <w:tcPr>
            <w:tcW w:w="3000" w:type="dxa"/>
            <w:vAlign w:val="bottom"/>
            <w:shd w:val="clear" w:color="auto" w:fill="CFF0FC"/>
          </w:tcPr>
          <w:p>
            <w:pPr>
              <w:spacing w:after="0"/>
              <w:rPr>
                <w:sz w:val="11"/>
                <w:szCs w:val="11"/>
                <w:color w:val="auto"/>
              </w:rPr>
            </w:pPr>
          </w:p>
        </w:tc>
        <w:tc>
          <w:tcPr>
            <w:tcW w:w="940" w:type="dxa"/>
            <w:vAlign w:val="bottom"/>
            <w:shd w:val="clear" w:color="auto" w:fill="CFF0FC"/>
          </w:tcPr>
          <w:p>
            <w:pPr>
              <w:ind w:left="220"/>
              <w:spacing w:after="0"/>
              <w:rPr>
                <w:sz w:val="20"/>
                <w:szCs w:val="20"/>
                <w:color w:val="auto"/>
              </w:rPr>
            </w:pPr>
            <w:r>
              <w:rPr>
                <w:rFonts w:ascii="Arial" w:cs="Arial" w:eastAsia="Arial" w:hAnsi="Arial"/>
                <w:sz w:val="8"/>
                <w:szCs w:val="8"/>
                <w:color w:val="auto"/>
              </w:rPr>
              <w:t>12.00%/1.00%</w:t>
            </w: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7/13/2017</w:t>
            </w:r>
          </w:p>
        </w:tc>
        <w:tc>
          <w:tcPr>
            <w:tcW w:w="980" w:type="dxa"/>
            <w:vAlign w:val="bottom"/>
            <w:shd w:val="clear" w:color="auto" w:fill="CFF0FC"/>
          </w:tcPr>
          <w:p>
            <w:pPr>
              <w:ind w:left="200"/>
              <w:spacing w:after="0"/>
              <w:rPr>
                <w:sz w:val="20"/>
                <w:szCs w:val="20"/>
                <w:color w:val="auto"/>
              </w:rPr>
            </w:pPr>
            <w:r>
              <w:rPr>
                <w:rFonts w:ascii="Arial" w:cs="Arial" w:eastAsia="Arial" w:hAnsi="Arial"/>
                <w:sz w:val="8"/>
                <w:szCs w:val="8"/>
                <w:color w:val="auto"/>
              </w:rPr>
              <w:t>1/13/2023</w:t>
            </w:r>
          </w:p>
        </w:tc>
        <w:tc>
          <w:tcPr>
            <w:tcW w:w="740" w:type="dxa"/>
            <w:vAlign w:val="bottom"/>
            <w:shd w:val="clear" w:color="auto" w:fill="CFF0FC"/>
          </w:tcPr>
          <w:p>
            <w:pPr>
              <w:jc w:val="right"/>
              <w:ind w:right="78"/>
              <w:spacing w:after="0"/>
              <w:rPr>
                <w:sz w:val="20"/>
                <w:szCs w:val="20"/>
                <w:color w:val="auto"/>
              </w:rPr>
            </w:pPr>
            <w:r>
              <w:rPr>
                <w:rFonts w:ascii="Arial" w:cs="Arial" w:eastAsia="Arial" w:hAnsi="Arial"/>
                <w:sz w:val="8"/>
                <w:szCs w:val="8"/>
                <w:color w:val="auto"/>
              </w:rPr>
              <w:t>9,302</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9,276</w:t>
            </w:r>
          </w:p>
        </w:tc>
        <w:tc>
          <w:tcPr>
            <w:tcW w:w="760" w:type="dxa"/>
            <w:vAlign w:val="bottom"/>
            <w:gridSpan w:val="2"/>
            <w:shd w:val="clear" w:color="auto" w:fill="CFF0FC"/>
          </w:tcPr>
          <w:p>
            <w:pPr>
              <w:jc w:val="right"/>
              <w:ind w:right="18"/>
              <w:spacing w:after="0"/>
              <w:rPr>
                <w:sz w:val="20"/>
                <w:szCs w:val="20"/>
                <w:color w:val="auto"/>
              </w:rPr>
            </w:pPr>
            <w:r>
              <w:rPr>
                <w:rFonts w:ascii="Arial" w:cs="Arial" w:eastAsia="Arial" w:hAnsi="Arial"/>
                <w:sz w:val="8"/>
                <w:szCs w:val="8"/>
                <w:color w:val="auto"/>
              </w:rPr>
              <w:t>9,302</w:t>
            </w:r>
          </w:p>
        </w:tc>
        <w:tc>
          <w:tcPr>
            <w:tcW w:w="660" w:type="dxa"/>
            <w:vAlign w:val="bottom"/>
            <w:shd w:val="clear" w:color="auto" w:fill="CFF0FC"/>
          </w:tcPr>
          <w:p>
            <w:pPr>
              <w:spacing w:after="0"/>
              <w:rPr>
                <w:sz w:val="11"/>
                <w:szCs w:val="11"/>
                <w:color w:val="auto"/>
              </w:rPr>
            </w:pPr>
          </w:p>
        </w:tc>
      </w:tr>
      <w:tr>
        <w:trPr>
          <w:trHeight w:val="126"/>
        </w:trPr>
        <w:tc>
          <w:tcPr>
            <w:tcW w:w="2680" w:type="dxa"/>
            <w:vAlign w:val="bottom"/>
          </w:tcPr>
          <w:p>
            <w:pPr>
              <w:ind w:left="140"/>
              <w:spacing w:after="0"/>
              <w:rPr>
                <w:sz w:val="20"/>
                <w:szCs w:val="20"/>
                <w:color w:val="auto"/>
              </w:rPr>
            </w:pPr>
            <w:r>
              <w:rPr>
                <w:rFonts w:ascii="Arial" w:cs="Arial" w:eastAsia="Arial" w:hAnsi="Arial"/>
                <w:sz w:val="8"/>
                <w:szCs w:val="8"/>
                <w:color w:val="auto"/>
              </w:rPr>
              <w:t>Common Equity (75,000 units) (j)</w:t>
            </w:r>
          </w:p>
        </w:tc>
        <w:tc>
          <w:tcPr>
            <w:tcW w:w="3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7/13/2017</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750</w:t>
            </w:r>
          </w:p>
        </w:tc>
        <w:tc>
          <w:tcPr>
            <w:tcW w:w="100" w:type="dxa"/>
            <w:vAlign w:val="bottom"/>
          </w:tcPr>
          <w:p>
            <w:pPr>
              <w:spacing w:after="0"/>
              <w:rPr>
                <w:sz w:val="10"/>
                <w:szCs w:val="10"/>
                <w:color w:val="auto"/>
              </w:rPr>
            </w:pP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68</w:t>
            </w:r>
          </w:p>
        </w:tc>
        <w:tc>
          <w:tcPr>
            <w:tcW w:w="660" w:type="dxa"/>
            <w:vAlign w:val="bottom"/>
          </w:tcPr>
          <w:p>
            <w:pPr>
              <w:spacing w:after="0"/>
              <w:rPr>
                <w:sz w:val="10"/>
                <w:szCs w:val="10"/>
                <w:color w:val="auto"/>
              </w:rPr>
            </w:pPr>
          </w:p>
        </w:tc>
      </w:tr>
      <w:tr>
        <w:trPr>
          <w:trHeight w:val="120"/>
        </w:trPr>
        <w:tc>
          <w:tcPr>
            <w:tcW w:w="2680" w:type="dxa"/>
            <w:vAlign w:val="bottom"/>
            <w:shd w:val="clear" w:color="auto" w:fill="CFF0FC"/>
          </w:tcPr>
          <w:p>
            <w:pPr>
              <w:spacing w:after="0"/>
              <w:rPr>
                <w:sz w:val="10"/>
                <w:szCs w:val="10"/>
                <w:color w:val="auto"/>
              </w:rPr>
            </w:pPr>
          </w:p>
        </w:tc>
        <w:tc>
          <w:tcPr>
            <w:tcW w:w="30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10,026</w:t>
            </w:r>
          </w:p>
        </w:tc>
        <w:tc>
          <w:tcPr>
            <w:tcW w:w="760" w:type="dxa"/>
            <w:vAlign w:val="bottom"/>
            <w:gridSpan w:val="2"/>
            <w:shd w:val="clear" w:color="auto" w:fill="CFF0FC"/>
          </w:tcPr>
          <w:p>
            <w:pPr>
              <w:jc w:val="right"/>
              <w:ind w:right="18"/>
              <w:spacing w:after="0"/>
              <w:rPr>
                <w:sz w:val="20"/>
                <w:szCs w:val="20"/>
                <w:color w:val="auto"/>
              </w:rPr>
            </w:pPr>
            <w:r>
              <w:rPr>
                <w:rFonts w:ascii="Arial" w:cs="Arial" w:eastAsia="Arial" w:hAnsi="Arial"/>
                <w:sz w:val="8"/>
                <w:szCs w:val="8"/>
                <w:color w:val="auto"/>
              </w:rPr>
              <w:t>9,370</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2 %</w:t>
            </w:r>
          </w:p>
        </w:tc>
      </w:tr>
      <w:tr>
        <w:trPr>
          <w:trHeight w:val="120"/>
        </w:trPr>
        <w:tc>
          <w:tcPr>
            <w:tcW w:w="2680" w:type="dxa"/>
            <w:vAlign w:val="bottom"/>
          </w:tcPr>
          <w:p>
            <w:pPr>
              <w:ind w:left="20"/>
              <w:spacing w:after="0"/>
              <w:rPr>
                <w:sz w:val="20"/>
                <w:szCs w:val="20"/>
                <w:color w:val="auto"/>
              </w:rPr>
            </w:pPr>
            <w:r>
              <w:rPr>
                <w:rFonts w:ascii="Arial" w:cs="Arial" w:eastAsia="Arial" w:hAnsi="Arial"/>
                <w:sz w:val="8"/>
                <w:szCs w:val="8"/>
                <w:i w:val="1"/>
                <w:iCs w:val="1"/>
                <w:color w:val="auto"/>
              </w:rPr>
              <w:t>ECM Industries, LLC</w:t>
            </w:r>
          </w:p>
        </w:tc>
        <w:tc>
          <w:tcPr>
            <w:tcW w:w="3000" w:type="dxa"/>
            <w:vAlign w:val="bottom"/>
          </w:tcPr>
          <w:p>
            <w:pPr>
              <w:ind w:left="260"/>
              <w:spacing w:after="0"/>
              <w:rPr>
                <w:sz w:val="20"/>
                <w:szCs w:val="20"/>
                <w:color w:val="auto"/>
              </w:rPr>
            </w:pPr>
            <w:r>
              <w:rPr>
                <w:rFonts w:ascii="Arial" w:cs="Arial" w:eastAsia="Arial" w:hAnsi="Arial"/>
                <w:sz w:val="8"/>
                <w:szCs w:val="8"/>
                <w:color w:val="auto"/>
              </w:rPr>
              <w:t>Component Manufacturing</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4"/>
        </w:trPr>
        <w:tc>
          <w:tcPr>
            <w:tcW w:w="2680" w:type="dxa"/>
            <w:vAlign w:val="bottom"/>
            <w:shd w:val="clear" w:color="auto" w:fill="CFF0FC"/>
          </w:tcPr>
          <w:p>
            <w:pPr>
              <w:ind w:left="140"/>
              <w:spacing w:after="0"/>
              <w:rPr>
                <w:sz w:val="20"/>
                <w:szCs w:val="20"/>
                <w:color w:val="auto"/>
              </w:rPr>
            </w:pPr>
            <w:r>
              <w:rPr>
                <w:rFonts w:ascii="Arial" w:cs="Arial" w:eastAsia="Arial" w:hAnsi="Arial"/>
                <w:sz w:val="8"/>
                <w:szCs w:val="8"/>
                <w:color w:val="auto"/>
              </w:rPr>
              <w:t>Common Equity (1,000,000 units) (h)(j)</w:t>
            </w:r>
          </w:p>
        </w:tc>
        <w:tc>
          <w:tcPr>
            <w:tcW w:w="30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4/30/2020</w:t>
            </w: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243</w:t>
            </w:r>
          </w:p>
        </w:tc>
        <w:tc>
          <w:tcPr>
            <w:tcW w:w="760" w:type="dxa"/>
            <w:vAlign w:val="bottom"/>
            <w:gridSpan w:val="2"/>
            <w:shd w:val="clear" w:color="auto" w:fill="CFF0FC"/>
          </w:tcPr>
          <w:p>
            <w:pPr>
              <w:jc w:val="right"/>
              <w:ind w:right="18"/>
              <w:spacing w:after="0"/>
              <w:rPr>
                <w:sz w:val="20"/>
                <w:szCs w:val="20"/>
                <w:color w:val="auto"/>
              </w:rPr>
            </w:pPr>
            <w:r>
              <w:rPr>
                <w:rFonts w:ascii="Arial" w:cs="Arial" w:eastAsia="Arial" w:hAnsi="Arial"/>
                <w:sz w:val="8"/>
                <w:szCs w:val="8"/>
                <w:color w:val="auto"/>
              </w:rPr>
              <w:t>1,449</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0 %</w:t>
            </w:r>
          </w:p>
        </w:tc>
      </w:tr>
      <w:tr>
        <w:trPr>
          <w:trHeight w:val="127"/>
        </w:trPr>
        <w:tc>
          <w:tcPr>
            <w:tcW w:w="268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27"/>
        </w:trPr>
        <w:tc>
          <w:tcPr>
            <w:tcW w:w="2680" w:type="dxa"/>
            <w:vAlign w:val="bottom"/>
            <w:shd w:val="clear" w:color="auto" w:fill="CFF0FC"/>
          </w:tcPr>
          <w:p>
            <w:pPr>
              <w:ind w:left="20"/>
              <w:spacing w:after="0"/>
              <w:rPr>
                <w:sz w:val="20"/>
                <w:szCs w:val="20"/>
                <w:color w:val="auto"/>
              </w:rPr>
            </w:pPr>
            <w:r>
              <w:rPr>
                <w:rFonts w:ascii="Arial" w:cs="Arial" w:eastAsia="Arial" w:hAnsi="Arial"/>
                <w:sz w:val="8"/>
                <w:szCs w:val="8"/>
                <w:i w:val="1"/>
                <w:iCs w:val="1"/>
                <w:color w:val="auto"/>
              </w:rPr>
              <w:t>Elements Brands, LLC</w:t>
            </w:r>
          </w:p>
        </w:tc>
        <w:tc>
          <w:tcPr>
            <w:tcW w:w="3000" w:type="dxa"/>
            <w:vAlign w:val="bottom"/>
            <w:shd w:val="clear" w:color="auto" w:fill="CFF0FC"/>
          </w:tcPr>
          <w:p>
            <w:pPr>
              <w:ind w:left="260"/>
              <w:spacing w:after="0"/>
              <w:rPr>
                <w:sz w:val="20"/>
                <w:szCs w:val="20"/>
                <w:color w:val="auto"/>
              </w:rPr>
            </w:pPr>
            <w:r>
              <w:rPr>
                <w:rFonts w:ascii="Arial" w:cs="Arial" w:eastAsia="Arial" w:hAnsi="Arial"/>
                <w:sz w:val="8"/>
                <w:szCs w:val="8"/>
                <w:color w:val="auto"/>
              </w:rPr>
              <w:t>Consumer Products</w:t>
            </w: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680" w:type="dxa"/>
            <w:vAlign w:val="bottom"/>
          </w:tcPr>
          <w:p>
            <w:pPr>
              <w:ind w:left="140"/>
              <w:spacing w:after="0"/>
              <w:rPr>
                <w:sz w:val="20"/>
                <w:szCs w:val="20"/>
                <w:color w:val="auto"/>
              </w:rPr>
            </w:pPr>
            <w:r>
              <w:rPr>
                <w:rFonts w:ascii="Arial" w:cs="Arial" w:eastAsia="Arial" w:hAnsi="Arial"/>
                <w:sz w:val="8"/>
                <w:szCs w:val="8"/>
                <w:color w:val="auto"/>
              </w:rPr>
              <w:t>First Lien Debt</w:t>
            </w:r>
          </w:p>
        </w:tc>
        <w:tc>
          <w:tcPr>
            <w:tcW w:w="3000" w:type="dxa"/>
            <w:vAlign w:val="bottom"/>
          </w:tcPr>
          <w:p>
            <w:pPr>
              <w:spacing w:after="0"/>
              <w:rPr>
                <w:sz w:val="10"/>
                <w:szCs w:val="10"/>
                <w:color w:val="auto"/>
              </w:rPr>
            </w:pPr>
          </w:p>
        </w:tc>
        <w:tc>
          <w:tcPr>
            <w:tcW w:w="940" w:type="dxa"/>
            <w:vAlign w:val="bottom"/>
          </w:tcPr>
          <w:p>
            <w:pPr>
              <w:ind w:left="220"/>
              <w:spacing w:after="0"/>
              <w:rPr>
                <w:sz w:val="20"/>
                <w:szCs w:val="20"/>
                <w:color w:val="auto"/>
              </w:rPr>
            </w:pPr>
            <w:r>
              <w:rPr>
                <w:rFonts w:ascii="Arial" w:cs="Arial" w:eastAsia="Arial" w:hAnsi="Arial"/>
                <w:sz w:val="8"/>
                <w:szCs w:val="8"/>
                <w:color w:val="auto"/>
              </w:rPr>
              <w:t>12.25%/0.00%</w:t>
            </w:r>
          </w:p>
        </w:tc>
        <w:tc>
          <w:tcPr>
            <w:tcW w:w="820" w:type="dxa"/>
            <w:vAlign w:val="bottom"/>
          </w:tcPr>
          <w:p>
            <w:pPr>
              <w:ind w:left="220"/>
              <w:spacing w:after="0"/>
              <w:rPr>
                <w:sz w:val="20"/>
                <w:szCs w:val="20"/>
                <w:color w:val="auto"/>
              </w:rPr>
            </w:pPr>
            <w:r>
              <w:rPr>
                <w:rFonts w:ascii="Arial" w:cs="Arial" w:eastAsia="Arial" w:hAnsi="Arial"/>
                <w:sz w:val="8"/>
                <w:szCs w:val="8"/>
                <w:color w:val="auto"/>
              </w:rPr>
              <w:t>12/31/2020</w:t>
            </w:r>
          </w:p>
        </w:tc>
        <w:tc>
          <w:tcPr>
            <w:tcW w:w="980" w:type="dxa"/>
            <w:vAlign w:val="bottom"/>
          </w:tcPr>
          <w:p>
            <w:pPr>
              <w:ind w:left="200"/>
              <w:spacing w:after="0"/>
              <w:rPr>
                <w:sz w:val="20"/>
                <w:szCs w:val="20"/>
                <w:color w:val="auto"/>
              </w:rPr>
            </w:pPr>
            <w:r>
              <w:rPr>
                <w:rFonts w:ascii="Arial" w:cs="Arial" w:eastAsia="Arial" w:hAnsi="Arial"/>
                <w:sz w:val="8"/>
                <w:szCs w:val="8"/>
                <w:color w:val="auto"/>
              </w:rPr>
              <w:t>12/31/2025</w:t>
            </w:r>
          </w:p>
        </w:tc>
        <w:tc>
          <w:tcPr>
            <w:tcW w:w="740" w:type="dxa"/>
            <w:vAlign w:val="bottom"/>
          </w:tcPr>
          <w:p>
            <w:pPr>
              <w:jc w:val="right"/>
              <w:ind w:right="78"/>
              <w:spacing w:after="0"/>
              <w:rPr>
                <w:sz w:val="20"/>
                <w:szCs w:val="20"/>
                <w:color w:val="auto"/>
              </w:rPr>
            </w:pPr>
            <w:r>
              <w:rPr>
                <w:rFonts w:ascii="Arial" w:cs="Arial" w:eastAsia="Arial" w:hAnsi="Arial"/>
                <w:sz w:val="8"/>
                <w:szCs w:val="8"/>
                <w:color w:val="auto"/>
              </w:rPr>
              <w:t>5,850</w:t>
            </w:r>
          </w:p>
        </w:tc>
        <w:tc>
          <w:tcPr>
            <w:tcW w:w="660" w:type="dxa"/>
            <w:vAlign w:val="bottom"/>
          </w:tcPr>
          <w:p>
            <w:pPr>
              <w:jc w:val="right"/>
              <w:spacing w:after="0"/>
              <w:rPr>
                <w:sz w:val="20"/>
                <w:szCs w:val="20"/>
                <w:color w:val="auto"/>
              </w:rPr>
            </w:pPr>
            <w:r>
              <w:rPr>
                <w:rFonts w:ascii="Arial" w:cs="Arial" w:eastAsia="Arial" w:hAnsi="Arial"/>
                <w:sz w:val="8"/>
                <w:szCs w:val="8"/>
                <w:color w:val="auto"/>
              </w:rPr>
              <w:t>5,822</w:t>
            </w:r>
          </w:p>
        </w:tc>
        <w:tc>
          <w:tcPr>
            <w:tcW w:w="760" w:type="dxa"/>
            <w:vAlign w:val="bottom"/>
            <w:gridSpan w:val="2"/>
          </w:tcPr>
          <w:p>
            <w:pPr>
              <w:jc w:val="right"/>
              <w:ind w:right="18"/>
              <w:spacing w:after="0"/>
              <w:rPr>
                <w:sz w:val="20"/>
                <w:szCs w:val="20"/>
                <w:color w:val="auto"/>
              </w:rPr>
            </w:pPr>
            <w:r>
              <w:rPr>
                <w:rFonts w:ascii="Arial" w:cs="Arial" w:eastAsia="Arial" w:hAnsi="Arial"/>
                <w:sz w:val="8"/>
                <w:szCs w:val="8"/>
                <w:color w:val="auto"/>
              </w:rPr>
              <w:t>5,850</w:t>
            </w:r>
          </w:p>
        </w:tc>
        <w:tc>
          <w:tcPr>
            <w:tcW w:w="660" w:type="dxa"/>
            <w:vAlign w:val="bottom"/>
          </w:tcPr>
          <w:p>
            <w:pPr>
              <w:spacing w:after="0"/>
              <w:rPr>
                <w:sz w:val="10"/>
                <w:szCs w:val="10"/>
                <w:color w:val="auto"/>
              </w:rPr>
            </w:pPr>
          </w:p>
        </w:tc>
      </w:tr>
      <w:tr>
        <w:trPr>
          <w:trHeight w:val="139"/>
        </w:trPr>
        <w:tc>
          <w:tcPr>
            <w:tcW w:w="26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8"/>
                <w:szCs w:val="8"/>
                <w:color w:val="auto"/>
              </w:rPr>
              <w:t>Revolving Loan ($838 unfunded commitment) (i)(j)</w:t>
            </w:r>
          </w:p>
        </w:tc>
        <w:tc>
          <w:tcPr>
            <w:tcW w:w="300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8"/>
                <w:szCs w:val="8"/>
                <w:color w:val="auto"/>
              </w:rPr>
              <w:t>12.25%/0.00%</w:t>
            </w:r>
          </w:p>
        </w:tc>
        <w:tc>
          <w:tcPr>
            <w:tcW w:w="8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8"/>
                <w:szCs w:val="8"/>
                <w:color w:val="auto"/>
              </w:rPr>
              <w:t>12/31/2020</w:t>
            </w:r>
          </w:p>
        </w:tc>
        <w:tc>
          <w:tcPr>
            <w:tcW w:w="9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8"/>
                <w:szCs w:val="8"/>
                <w:color w:val="auto"/>
              </w:rPr>
              <w:t>12/31/2025</w:t>
            </w:r>
          </w:p>
        </w:tc>
        <w:tc>
          <w:tcPr>
            <w:tcW w:w="740" w:type="dxa"/>
            <w:vAlign w:val="bottom"/>
            <w:tcBorders>
              <w:bottom w:val="single" w:sz="8" w:color="CFF0FC"/>
            </w:tcBorders>
            <w:shd w:val="clear" w:color="auto" w:fill="CFF0FC"/>
          </w:tcPr>
          <w:p>
            <w:pPr>
              <w:jc w:val="right"/>
              <w:ind w:right="78"/>
              <w:spacing w:after="0"/>
              <w:rPr>
                <w:sz w:val="20"/>
                <w:szCs w:val="20"/>
                <w:color w:val="auto"/>
              </w:rPr>
            </w:pPr>
            <w:r>
              <w:rPr>
                <w:rFonts w:ascii="Arial" w:cs="Arial" w:eastAsia="Arial" w:hAnsi="Arial"/>
                <w:sz w:val="8"/>
                <w:szCs w:val="8"/>
                <w:color w:val="auto"/>
              </w:rPr>
              <w:t>2,162</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2,148</w:t>
            </w:r>
          </w:p>
        </w:tc>
        <w:tc>
          <w:tcPr>
            <w:tcW w:w="760" w:type="dxa"/>
            <w:vAlign w:val="bottom"/>
            <w:tcBorders>
              <w:bottom w:val="single" w:sz="8" w:color="CFF0FC"/>
            </w:tcBorders>
            <w:gridSpan w:val="2"/>
            <w:shd w:val="clear" w:color="auto" w:fill="CFF0FC"/>
          </w:tcPr>
          <w:p>
            <w:pPr>
              <w:jc w:val="right"/>
              <w:ind w:right="18"/>
              <w:spacing w:after="0"/>
              <w:rPr>
                <w:sz w:val="20"/>
                <w:szCs w:val="20"/>
                <w:color w:val="auto"/>
              </w:rPr>
            </w:pPr>
            <w:r>
              <w:rPr>
                <w:rFonts w:ascii="Arial" w:cs="Arial" w:eastAsia="Arial" w:hAnsi="Arial"/>
                <w:sz w:val="8"/>
                <w:szCs w:val="8"/>
                <w:color w:val="auto"/>
              </w:rPr>
              <w:t>2,162</w:t>
            </w:r>
          </w:p>
        </w:tc>
        <w:tc>
          <w:tcPr>
            <w:tcW w:w="660" w:type="dxa"/>
            <w:vAlign w:val="bottom"/>
            <w:tcBorders>
              <w:bottom w:val="single" w:sz="8" w:color="CFF0FC"/>
            </w:tcBorders>
            <w:shd w:val="clear" w:color="auto" w:fill="CFF0FC"/>
          </w:tcPr>
          <w:p>
            <w:pPr>
              <w:spacing w:after="0"/>
              <w:rPr>
                <w:sz w:val="12"/>
                <w:szCs w:val="12"/>
                <w:color w:val="auto"/>
              </w:rPr>
            </w:pPr>
          </w:p>
        </w:tc>
      </w:tr>
      <w:tr>
        <w:trPr>
          <w:trHeight w:val="120"/>
        </w:trPr>
        <w:tc>
          <w:tcPr>
            <w:tcW w:w="26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7,970</w:t>
            </w:r>
          </w:p>
        </w:tc>
        <w:tc>
          <w:tcPr>
            <w:tcW w:w="760" w:type="dxa"/>
            <w:vAlign w:val="bottom"/>
            <w:gridSpan w:val="2"/>
          </w:tcPr>
          <w:p>
            <w:pPr>
              <w:jc w:val="right"/>
              <w:ind w:right="18"/>
              <w:spacing w:after="0"/>
              <w:rPr>
                <w:sz w:val="20"/>
                <w:szCs w:val="20"/>
                <w:color w:val="auto"/>
              </w:rPr>
            </w:pPr>
            <w:r>
              <w:rPr>
                <w:rFonts w:ascii="Arial" w:cs="Arial" w:eastAsia="Arial" w:hAnsi="Arial"/>
                <w:sz w:val="8"/>
                <w:szCs w:val="8"/>
                <w:color w:val="auto"/>
              </w:rPr>
              <w:t>8,012</w:t>
            </w:r>
          </w:p>
        </w:tc>
        <w:tc>
          <w:tcPr>
            <w:tcW w:w="660" w:type="dxa"/>
            <w:vAlign w:val="bottom"/>
          </w:tcPr>
          <w:p>
            <w:pPr>
              <w:jc w:val="right"/>
              <w:spacing w:after="0"/>
              <w:rPr>
                <w:sz w:val="20"/>
                <w:szCs w:val="20"/>
                <w:color w:val="auto"/>
              </w:rPr>
            </w:pPr>
            <w:r>
              <w:rPr>
                <w:rFonts w:ascii="Arial" w:cs="Arial" w:eastAsia="Arial" w:hAnsi="Arial"/>
                <w:sz w:val="8"/>
                <w:szCs w:val="8"/>
                <w:color w:val="auto"/>
              </w:rPr>
              <w:t>2 %</w:t>
            </w:r>
          </w:p>
        </w:tc>
      </w:tr>
      <w:tr>
        <w:trPr>
          <w:trHeight w:val="116"/>
        </w:trPr>
        <w:tc>
          <w:tcPr>
            <w:tcW w:w="2680" w:type="dxa"/>
            <w:vAlign w:val="bottom"/>
            <w:shd w:val="clear" w:color="auto" w:fill="CFF0FC"/>
          </w:tcPr>
          <w:p>
            <w:pPr>
              <w:ind w:left="20"/>
              <w:spacing w:after="0"/>
              <w:rPr>
                <w:sz w:val="20"/>
                <w:szCs w:val="20"/>
                <w:color w:val="auto"/>
              </w:rPr>
            </w:pPr>
            <w:r>
              <w:rPr>
                <w:rFonts w:ascii="Arial" w:cs="Arial" w:eastAsia="Arial" w:hAnsi="Arial"/>
                <w:sz w:val="8"/>
                <w:szCs w:val="8"/>
                <w:i w:val="1"/>
                <w:iCs w:val="1"/>
                <w:color w:val="auto"/>
              </w:rPr>
              <w:t>Frontline Food Services, LLC</w:t>
            </w:r>
          </w:p>
        </w:tc>
        <w:tc>
          <w:tcPr>
            <w:tcW w:w="30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19"/>
        </w:trPr>
        <w:tc>
          <w:tcPr>
            <w:tcW w:w="2680" w:type="dxa"/>
            <w:vAlign w:val="bottom"/>
            <w:shd w:val="clear" w:color="auto" w:fill="CFF0FC"/>
          </w:tcPr>
          <w:p>
            <w:pPr>
              <w:ind w:left="20"/>
              <w:spacing w:after="0"/>
              <w:rPr>
                <w:sz w:val="20"/>
                <w:szCs w:val="20"/>
                <w:color w:val="auto"/>
              </w:rPr>
            </w:pPr>
            <w:r>
              <w:rPr>
                <w:rFonts w:ascii="Arial" w:cs="Arial" w:eastAsia="Arial" w:hAnsi="Arial"/>
                <w:sz w:val="8"/>
                <w:szCs w:val="8"/>
                <w:i w:val="1"/>
                <w:iCs w:val="1"/>
                <w:color w:val="auto"/>
              </w:rPr>
              <w:t>(f/k/a Accent Food Services, LLC)</w:t>
            </w:r>
          </w:p>
        </w:tc>
        <w:tc>
          <w:tcPr>
            <w:tcW w:w="3000" w:type="dxa"/>
            <w:vAlign w:val="bottom"/>
            <w:shd w:val="clear" w:color="auto" w:fill="CFF0FC"/>
          </w:tcPr>
          <w:p>
            <w:pPr>
              <w:ind w:left="260"/>
              <w:spacing w:after="0"/>
              <w:rPr>
                <w:sz w:val="20"/>
                <w:szCs w:val="20"/>
                <w:color w:val="auto"/>
              </w:rPr>
            </w:pPr>
            <w:r>
              <w:rPr>
                <w:rFonts w:ascii="Arial" w:cs="Arial" w:eastAsia="Arial" w:hAnsi="Arial"/>
                <w:sz w:val="8"/>
                <w:szCs w:val="8"/>
                <w:color w:val="auto"/>
              </w:rPr>
              <w:t>Vending Equipment Manufacturing</w:t>
            </w: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20"/>
        </w:trPr>
        <w:tc>
          <w:tcPr>
            <w:tcW w:w="2680" w:type="dxa"/>
            <w:vAlign w:val="bottom"/>
          </w:tcPr>
          <w:p>
            <w:pPr>
              <w:ind w:left="140"/>
              <w:spacing w:after="0"/>
              <w:rPr>
                <w:sz w:val="20"/>
                <w:szCs w:val="20"/>
                <w:color w:val="auto"/>
              </w:rPr>
            </w:pPr>
            <w:r>
              <w:rPr>
                <w:rFonts w:ascii="Arial" w:cs="Arial" w:eastAsia="Arial" w:hAnsi="Arial"/>
                <w:sz w:val="8"/>
                <w:szCs w:val="8"/>
                <w:color w:val="auto"/>
              </w:rPr>
              <w:t>Preferred Equity (Class A Units) (46 units) (j)</w:t>
            </w:r>
          </w:p>
        </w:tc>
        <w:tc>
          <w:tcPr>
            <w:tcW w:w="3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12/31/2020</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2,000</w:t>
            </w:r>
          </w:p>
        </w:tc>
        <w:tc>
          <w:tcPr>
            <w:tcW w:w="760" w:type="dxa"/>
            <w:vAlign w:val="bottom"/>
            <w:gridSpan w:val="2"/>
          </w:tcPr>
          <w:p>
            <w:pPr>
              <w:jc w:val="right"/>
              <w:ind w:right="18"/>
              <w:spacing w:after="0"/>
              <w:rPr>
                <w:sz w:val="20"/>
                <w:szCs w:val="20"/>
                <w:color w:val="auto"/>
              </w:rPr>
            </w:pPr>
            <w:r>
              <w:rPr>
                <w:rFonts w:ascii="Arial" w:cs="Arial" w:eastAsia="Arial" w:hAnsi="Arial"/>
                <w:sz w:val="8"/>
                <w:szCs w:val="8"/>
                <w:color w:val="auto"/>
              </w:rPr>
              <w:t>2,102</w:t>
            </w:r>
          </w:p>
        </w:tc>
        <w:tc>
          <w:tcPr>
            <w:tcW w:w="660" w:type="dxa"/>
            <w:vAlign w:val="bottom"/>
          </w:tcPr>
          <w:p>
            <w:pPr>
              <w:spacing w:after="0"/>
              <w:rPr>
                <w:sz w:val="10"/>
                <w:szCs w:val="10"/>
                <w:color w:val="auto"/>
              </w:rPr>
            </w:pPr>
          </w:p>
        </w:tc>
      </w:tr>
      <w:tr>
        <w:trPr>
          <w:trHeight w:val="134"/>
        </w:trPr>
        <w:tc>
          <w:tcPr>
            <w:tcW w:w="2680" w:type="dxa"/>
            <w:vAlign w:val="bottom"/>
            <w:shd w:val="clear" w:color="auto" w:fill="CFF0FC"/>
          </w:tcPr>
          <w:p>
            <w:pPr>
              <w:ind w:left="140"/>
              <w:spacing w:after="0"/>
              <w:rPr>
                <w:sz w:val="20"/>
                <w:szCs w:val="20"/>
                <w:color w:val="auto"/>
              </w:rPr>
            </w:pPr>
            <w:r>
              <w:rPr>
                <w:rFonts w:ascii="Arial" w:cs="Arial" w:eastAsia="Arial" w:hAnsi="Arial"/>
                <w:sz w:val="8"/>
                <w:szCs w:val="8"/>
                <w:color w:val="auto"/>
              </w:rPr>
              <w:t>Common Equity (Class B Units) (124 units) (j)</w:t>
            </w:r>
          </w:p>
        </w:tc>
        <w:tc>
          <w:tcPr>
            <w:tcW w:w="30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12/31/2020</w:t>
            </w: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w:t>
            </w:r>
          </w:p>
        </w:tc>
        <w:tc>
          <w:tcPr>
            <w:tcW w:w="660" w:type="dxa"/>
            <w:vAlign w:val="bottom"/>
            <w:shd w:val="clear" w:color="auto" w:fill="CFF0FC"/>
          </w:tcPr>
          <w:p>
            <w:pPr>
              <w:spacing w:after="0"/>
              <w:rPr>
                <w:sz w:val="11"/>
                <w:szCs w:val="11"/>
                <w:color w:val="auto"/>
              </w:rPr>
            </w:pPr>
          </w:p>
        </w:tc>
      </w:tr>
      <w:tr>
        <w:trPr>
          <w:trHeight w:val="126"/>
        </w:trPr>
        <w:tc>
          <w:tcPr>
            <w:tcW w:w="2680" w:type="dxa"/>
            <w:vAlign w:val="bottom"/>
          </w:tcPr>
          <w:p>
            <w:pPr>
              <w:ind w:left="140"/>
              <w:spacing w:after="0"/>
              <w:rPr>
                <w:sz w:val="20"/>
                <w:szCs w:val="20"/>
                <w:color w:val="auto"/>
              </w:rPr>
            </w:pPr>
            <w:r>
              <w:rPr>
                <w:rFonts w:ascii="Arial" w:cs="Arial" w:eastAsia="Arial" w:hAnsi="Arial"/>
                <w:sz w:val="8"/>
                <w:szCs w:val="8"/>
                <w:color w:val="auto"/>
              </w:rPr>
              <w:t>Preferred Equity (Class C Units) (100 units) (j)</w:t>
            </w:r>
          </w:p>
        </w:tc>
        <w:tc>
          <w:tcPr>
            <w:tcW w:w="3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12/31/2020</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w:t>
            </w:r>
          </w:p>
        </w:tc>
        <w:tc>
          <w:tcPr>
            <w:tcW w:w="660" w:type="dxa"/>
            <w:vAlign w:val="bottom"/>
          </w:tcPr>
          <w:p>
            <w:pPr>
              <w:spacing w:after="0"/>
              <w:rPr>
                <w:sz w:val="10"/>
                <w:szCs w:val="10"/>
                <w:color w:val="auto"/>
              </w:rPr>
            </w:pPr>
          </w:p>
        </w:tc>
      </w:tr>
      <w:tr>
        <w:trPr>
          <w:trHeight w:val="120"/>
        </w:trPr>
        <w:tc>
          <w:tcPr>
            <w:tcW w:w="2680" w:type="dxa"/>
            <w:vAlign w:val="bottom"/>
            <w:shd w:val="clear" w:color="auto" w:fill="CFF0FC"/>
          </w:tcPr>
          <w:p>
            <w:pPr>
              <w:spacing w:after="0"/>
              <w:rPr>
                <w:sz w:val="10"/>
                <w:szCs w:val="10"/>
                <w:color w:val="auto"/>
              </w:rPr>
            </w:pPr>
          </w:p>
        </w:tc>
        <w:tc>
          <w:tcPr>
            <w:tcW w:w="30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2,000</w:t>
            </w:r>
          </w:p>
        </w:tc>
        <w:tc>
          <w:tcPr>
            <w:tcW w:w="760" w:type="dxa"/>
            <w:vAlign w:val="bottom"/>
            <w:gridSpan w:val="2"/>
            <w:shd w:val="clear" w:color="auto" w:fill="CFF0FC"/>
          </w:tcPr>
          <w:p>
            <w:pPr>
              <w:jc w:val="right"/>
              <w:ind w:right="18"/>
              <w:spacing w:after="0"/>
              <w:rPr>
                <w:sz w:val="20"/>
                <w:szCs w:val="20"/>
                <w:color w:val="auto"/>
              </w:rPr>
            </w:pPr>
            <w:r>
              <w:rPr>
                <w:rFonts w:ascii="Arial" w:cs="Arial" w:eastAsia="Arial" w:hAnsi="Arial"/>
                <w:sz w:val="8"/>
                <w:szCs w:val="8"/>
                <w:color w:val="auto"/>
              </w:rPr>
              <w:t>2,102</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1 %</w:t>
            </w:r>
          </w:p>
        </w:tc>
      </w:tr>
      <w:tr>
        <w:trPr>
          <w:trHeight w:val="120"/>
        </w:trPr>
        <w:tc>
          <w:tcPr>
            <w:tcW w:w="2680" w:type="dxa"/>
            <w:vAlign w:val="bottom"/>
          </w:tcPr>
          <w:p>
            <w:pPr>
              <w:ind w:left="20"/>
              <w:spacing w:after="0"/>
              <w:rPr>
                <w:sz w:val="20"/>
                <w:szCs w:val="20"/>
                <w:color w:val="auto"/>
              </w:rPr>
            </w:pPr>
            <w:r>
              <w:rPr>
                <w:rFonts w:ascii="Arial" w:cs="Arial" w:eastAsia="Arial" w:hAnsi="Arial"/>
                <w:sz w:val="8"/>
                <w:szCs w:val="8"/>
                <w:i w:val="1"/>
                <w:iCs w:val="1"/>
                <w:color w:val="auto"/>
              </w:rPr>
              <w:t>Global Plasma Solutions, Inc.</w:t>
            </w:r>
          </w:p>
        </w:tc>
        <w:tc>
          <w:tcPr>
            <w:tcW w:w="3000" w:type="dxa"/>
            <w:vAlign w:val="bottom"/>
          </w:tcPr>
          <w:p>
            <w:pPr>
              <w:ind w:left="260"/>
              <w:spacing w:after="0"/>
              <w:rPr>
                <w:sz w:val="20"/>
                <w:szCs w:val="20"/>
                <w:color w:val="auto"/>
              </w:rPr>
            </w:pPr>
            <w:r>
              <w:rPr>
                <w:rFonts w:ascii="Arial" w:cs="Arial" w:eastAsia="Arial" w:hAnsi="Arial"/>
                <w:sz w:val="8"/>
                <w:szCs w:val="8"/>
                <w:color w:val="auto"/>
              </w:rPr>
              <w:t>Component Manufacturing</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4"/>
        </w:trPr>
        <w:tc>
          <w:tcPr>
            <w:tcW w:w="2680" w:type="dxa"/>
            <w:vAlign w:val="bottom"/>
            <w:shd w:val="clear" w:color="auto" w:fill="CFF0FC"/>
          </w:tcPr>
          <w:p>
            <w:pPr>
              <w:ind w:left="140"/>
              <w:spacing w:after="0"/>
              <w:rPr>
                <w:sz w:val="20"/>
                <w:szCs w:val="20"/>
                <w:color w:val="auto"/>
              </w:rPr>
            </w:pPr>
            <w:r>
              <w:rPr>
                <w:rFonts w:ascii="Arial" w:cs="Arial" w:eastAsia="Arial" w:hAnsi="Arial"/>
                <w:sz w:val="8"/>
                <w:szCs w:val="8"/>
                <w:color w:val="auto"/>
              </w:rPr>
              <w:t>Common Equity (947 shares) (j)</w:t>
            </w:r>
          </w:p>
        </w:tc>
        <w:tc>
          <w:tcPr>
            <w:tcW w:w="30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9/21/2018</w:t>
            </w: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52</w:t>
            </w:r>
          </w:p>
        </w:tc>
        <w:tc>
          <w:tcPr>
            <w:tcW w:w="760" w:type="dxa"/>
            <w:vAlign w:val="bottom"/>
            <w:gridSpan w:val="2"/>
            <w:shd w:val="clear" w:color="auto" w:fill="CFF0FC"/>
          </w:tcPr>
          <w:p>
            <w:pPr>
              <w:jc w:val="right"/>
              <w:ind w:right="18"/>
              <w:spacing w:after="0"/>
              <w:rPr>
                <w:sz w:val="20"/>
                <w:szCs w:val="20"/>
                <w:color w:val="auto"/>
              </w:rPr>
            </w:pPr>
            <w:r>
              <w:rPr>
                <w:rFonts w:ascii="Arial" w:cs="Arial" w:eastAsia="Arial" w:hAnsi="Arial"/>
                <w:sz w:val="8"/>
                <w:szCs w:val="8"/>
                <w:color w:val="auto"/>
              </w:rPr>
              <w:t>3,974</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1 %</w:t>
            </w:r>
          </w:p>
        </w:tc>
      </w:tr>
      <w:tr>
        <w:trPr>
          <w:trHeight w:val="127"/>
        </w:trPr>
        <w:tc>
          <w:tcPr>
            <w:tcW w:w="268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27"/>
        </w:trPr>
        <w:tc>
          <w:tcPr>
            <w:tcW w:w="2680" w:type="dxa"/>
            <w:vAlign w:val="bottom"/>
            <w:shd w:val="clear" w:color="auto" w:fill="CFF0FC"/>
          </w:tcPr>
          <w:p>
            <w:pPr>
              <w:ind w:left="20"/>
              <w:spacing w:after="0"/>
              <w:rPr>
                <w:sz w:val="20"/>
                <w:szCs w:val="20"/>
                <w:color w:val="auto"/>
              </w:rPr>
            </w:pPr>
            <w:r>
              <w:rPr>
                <w:rFonts w:ascii="Arial" w:cs="Arial" w:eastAsia="Arial" w:hAnsi="Arial"/>
                <w:sz w:val="8"/>
                <w:szCs w:val="8"/>
                <w:i w:val="1"/>
                <w:iCs w:val="1"/>
                <w:color w:val="auto"/>
              </w:rPr>
              <w:t>GP&amp;C Operations, LLC (dba Garlock Printing and Converting)</w:t>
            </w:r>
          </w:p>
        </w:tc>
        <w:tc>
          <w:tcPr>
            <w:tcW w:w="3000" w:type="dxa"/>
            <w:vAlign w:val="bottom"/>
            <w:shd w:val="clear" w:color="auto" w:fill="CFF0FC"/>
          </w:tcPr>
          <w:p>
            <w:pPr>
              <w:ind w:left="260"/>
              <w:spacing w:after="0"/>
              <w:rPr>
                <w:sz w:val="20"/>
                <w:szCs w:val="20"/>
                <w:color w:val="auto"/>
              </w:rPr>
            </w:pPr>
            <w:r>
              <w:rPr>
                <w:rFonts w:ascii="Arial" w:cs="Arial" w:eastAsia="Arial" w:hAnsi="Arial"/>
                <w:sz w:val="8"/>
                <w:szCs w:val="8"/>
                <w:color w:val="auto"/>
              </w:rPr>
              <w:t>Component Manufacturing</w:t>
            </w: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680" w:type="dxa"/>
            <w:vAlign w:val="bottom"/>
          </w:tcPr>
          <w:p>
            <w:pPr>
              <w:ind w:left="140"/>
              <w:spacing w:after="0"/>
              <w:rPr>
                <w:sz w:val="20"/>
                <w:szCs w:val="20"/>
                <w:color w:val="auto"/>
              </w:rPr>
            </w:pPr>
            <w:r>
              <w:rPr>
                <w:rFonts w:ascii="Arial" w:cs="Arial" w:eastAsia="Arial" w:hAnsi="Arial"/>
                <w:sz w:val="8"/>
                <w:szCs w:val="8"/>
                <w:color w:val="auto"/>
              </w:rPr>
              <w:t>First Lien Debt (w)</w:t>
            </w:r>
          </w:p>
        </w:tc>
        <w:tc>
          <w:tcPr>
            <w:tcW w:w="3000" w:type="dxa"/>
            <w:vAlign w:val="bottom"/>
          </w:tcPr>
          <w:p>
            <w:pPr>
              <w:ind w:left="2000"/>
              <w:spacing w:after="0"/>
              <w:rPr>
                <w:sz w:val="20"/>
                <w:szCs w:val="20"/>
                <w:color w:val="auto"/>
              </w:rPr>
            </w:pPr>
            <w:r>
              <w:rPr>
                <w:rFonts w:ascii="Arial" w:cs="Arial" w:eastAsia="Arial" w:hAnsi="Arial"/>
                <w:sz w:val="8"/>
                <w:szCs w:val="8"/>
                <w:color w:val="auto"/>
              </w:rPr>
              <w:t>(L + 7.25%) / (1.00%)</w:t>
            </w:r>
          </w:p>
        </w:tc>
        <w:tc>
          <w:tcPr>
            <w:tcW w:w="940" w:type="dxa"/>
            <w:vAlign w:val="bottom"/>
          </w:tcPr>
          <w:p>
            <w:pPr>
              <w:ind w:left="220"/>
              <w:spacing w:after="0"/>
              <w:rPr>
                <w:sz w:val="20"/>
                <w:szCs w:val="20"/>
                <w:color w:val="auto"/>
              </w:rPr>
            </w:pPr>
            <w:r>
              <w:rPr>
                <w:rFonts w:ascii="Arial" w:cs="Arial" w:eastAsia="Arial" w:hAnsi="Arial"/>
                <w:sz w:val="8"/>
                <w:szCs w:val="8"/>
                <w:color w:val="auto"/>
              </w:rPr>
              <w:t>8.25%/0.00%</w:t>
            </w:r>
          </w:p>
        </w:tc>
        <w:tc>
          <w:tcPr>
            <w:tcW w:w="820" w:type="dxa"/>
            <w:vAlign w:val="bottom"/>
          </w:tcPr>
          <w:p>
            <w:pPr>
              <w:ind w:left="220"/>
              <w:spacing w:after="0"/>
              <w:rPr>
                <w:sz w:val="20"/>
                <w:szCs w:val="20"/>
                <w:color w:val="auto"/>
              </w:rPr>
            </w:pPr>
            <w:r>
              <w:rPr>
                <w:rFonts w:ascii="Arial" w:cs="Arial" w:eastAsia="Arial" w:hAnsi="Arial"/>
                <w:sz w:val="8"/>
                <w:szCs w:val="8"/>
                <w:color w:val="auto"/>
              </w:rPr>
              <w:t>1/22/2021</w:t>
            </w:r>
          </w:p>
        </w:tc>
        <w:tc>
          <w:tcPr>
            <w:tcW w:w="980" w:type="dxa"/>
            <w:vAlign w:val="bottom"/>
          </w:tcPr>
          <w:p>
            <w:pPr>
              <w:ind w:left="200"/>
              <w:spacing w:after="0"/>
              <w:rPr>
                <w:sz w:val="20"/>
                <w:szCs w:val="20"/>
                <w:color w:val="auto"/>
              </w:rPr>
            </w:pPr>
            <w:r>
              <w:rPr>
                <w:rFonts w:ascii="Arial" w:cs="Arial" w:eastAsia="Arial" w:hAnsi="Arial"/>
                <w:sz w:val="8"/>
                <w:szCs w:val="8"/>
                <w:color w:val="auto"/>
              </w:rPr>
              <w:t>1/22/2026</w:t>
            </w:r>
          </w:p>
        </w:tc>
        <w:tc>
          <w:tcPr>
            <w:tcW w:w="740" w:type="dxa"/>
            <w:vAlign w:val="bottom"/>
          </w:tcPr>
          <w:p>
            <w:pPr>
              <w:jc w:val="right"/>
              <w:ind w:right="78"/>
              <w:spacing w:after="0"/>
              <w:rPr>
                <w:sz w:val="20"/>
                <w:szCs w:val="20"/>
                <w:color w:val="auto"/>
              </w:rPr>
            </w:pPr>
            <w:r>
              <w:rPr>
                <w:rFonts w:ascii="Arial" w:cs="Arial" w:eastAsia="Arial" w:hAnsi="Arial"/>
                <w:sz w:val="8"/>
                <w:szCs w:val="8"/>
                <w:color w:val="auto"/>
              </w:rPr>
              <w:t>11,000</w:t>
            </w:r>
          </w:p>
        </w:tc>
        <w:tc>
          <w:tcPr>
            <w:tcW w:w="660" w:type="dxa"/>
            <w:vAlign w:val="bottom"/>
          </w:tcPr>
          <w:p>
            <w:pPr>
              <w:jc w:val="right"/>
              <w:spacing w:after="0"/>
              <w:rPr>
                <w:sz w:val="20"/>
                <w:szCs w:val="20"/>
                <w:color w:val="auto"/>
              </w:rPr>
            </w:pPr>
            <w:r>
              <w:rPr>
                <w:rFonts w:ascii="Arial" w:cs="Arial" w:eastAsia="Arial" w:hAnsi="Arial"/>
                <w:sz w:val="8"/>
                <w:szCs w:val="8"/>
                <w:color w:val="auto"/>
              </w:rPr>
              <w:t>10,858</w:t>
            </w:r>
          </w:p>
        </w:tc>
        <w:tc>
          <w:tcPr>
            <w:tcW w:w="760" w:type="dxa"/>
            <w:vAlign w:val="bottom"/>
            <w:gridSpan w:val="2"/>
          </w:tcPr>
          <w:p>
            <w:pPr>
              <w:jc w:val="right"/>
              <w:ind w:right="18"/>
              <w:spacing w:after="0"/>
              <w:rPr>
                <w:sz w:val="20"/>
                <w:szCs w:val="20"/>
                <w:color w:val="auto"/>
              </w:rPr>
            </w:pPr>
            <w:r>
              <w:rPr>
                <w:rFonts w:ascii="Arial" w:cs="Arial" w:eastAsia="Arial" w:hAnsi="Arial"/>
                <w:sz w:val="8"/>
                <w:szCs w:val="8"/>
                <w:color w:val="auto"/>
              </w:rPr>
              <w:t>11,000</w:t>
            </w:r>
          </w:p>
        </w:tc>
        <w:tc>
          <w:tcPr>
            <w:tcW w:w="660" w:type="dxa"/>
            <w:vAlign w:val="bottom"/>
          </w:tcPr>
          <w:p>
            <w:pPr>
              <w:spacing w:after="0"/>
              <w:rPr>
                <w:sz w:val="10"/>
                <w:szCs w:val="10"/>
                <w:color w:val="auto"/>
              </w:rPr>
            </w:pPr>
          </w:p>
        </w:tc>
      </w:tr>
      <w:tr>
        <w:trPr>
          <w:trHeight w:val="133"/>
        </w:trPr>
        <w:tc>
          <w:tcPr>
            <w:tcW w:w="26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8"/>
                <w:szCs w:val="8"/>
                <w:color w:val="auto"/>
              </w:rPr>
              <w:t>Common Equity (515,625 units) (h)(j)</w:t>
            </w:r>
          </w:p>
        </w:tc>
        <w:tc>
          <w:tcPr>
            <w:tcW w:w="300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8"/>
                <w:szCs w:val="8"/>
                <w:color w:val="auto"/>
              </w:rPr>
              <w:t>1/22/2021</w:t>
            </w:r>
          </w:p>
        </w:tc>
        <w:tc>
          <w:tcPr>
            <w:tcW w:w="98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516</w:t>
            </w:r>
          </w:p>
        </w:tc>
        <w:tc>
          <w:tcPr>
            <w:tcW w:w="1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8"/>
                <w:szCs w:val="8"/>
                <w:color w:val="auto"/>
              </w:rPr>
              <w:t>574</w:t>
            </w:r>
          </w:p>
        </w:tc>
        <w:tc>
          <w:tcPr>
            <w:tcW w:w="660" w:type="dxa"/>
            <w:vAlign w:val="bottom"/>
            <w:tcBorders>
              <w:bottom w:val="single" w:sz="8" w:color="CFF0FC"/>
            </w:tcBorders>
            <w:shd w:val="clear" w:color="auto" w:fill="CFF0FC"/>
          </w:tcPr>
          <w:p>
            <w:pPr>
              <w:spacing w:after="0"/>
              <w:rPr>
                <w:sz w:val="11"/>
                <w:szCs w:val="11"/>
                <w:color w:val="auto"/>
              </w:rPr>
            </w:pPr>
          </w:p>
        </w:tc>
      </w:tr>
      <w:tr>
        <w:trPr>
          <w:trHeight w:val="113"/>
        </w:trPr>
        <w:tc>
          <w:tcPr>
            <w:tcW w:w="26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11,374</w:t>
            </w:r>
          </w:p>
        </w:tc>
        <w:tc>
          <w:tcPr>
            <w:tcW w:w="760" w:type="dxa"/>
            <w:vAlign w:val="bottom"/>
            <w:gridSpan w:val="2"/>
          </w:tcPr>
          <w:p>
            <w:pPr>
              <w:jc w:val="right"/>
              <w:ind w:right="18"/>
              <w:spacing w:after="0"/>
              <w:rPr>
                <w:sz w:val="20"/>
                <w:szCs w:val="20"/>
                <w:color w:val="auto"/>
              </w:rPr>
            </w:pPr>
            <w:r>
              <w:rPr>
                <w:rFonts w:ascii="Arial" w:cs="Arial" w:eastAsia="Arial" w:hAnsi="Arial"/>
                <w:sz w:val="8"/>
                <w:szCs w:val="8"/>
                <w:color w:val="auto"/>
              </w:rPr>
              <w:t>11,574</w:t>
            </w:r>
          </w:p>
        </w:tc>
        <w:tc>
          <w:tcPr>
            <w:tcW w:w="660" w:type="dxa"/>
            <w:vAlign w:val="bottom"/>
          </w:tcPr>
          <w:p>
            <w:pPr>
              <w:jc w:val="right"/>
              <w:spacing w:after="0"/>
              <w:rPr>
                <w:sz w:val="20"/>
                <w:szCs w:val="20"/>
                <w:color w:val="auto"/>
              </w:rPr>
            </w:pPr>
            <w:r>
              <w:rPr>
                <w:rFonts w:ascii="Arial" w:cs="Arial" w:eastAsia="Arial" w:hAnsi="Arial"/>
                <w:sz w:val="8"/>
                <w:szCs w:val="8"/>
                <w:color w:val="auto"/>
              </w:rPr>
              <w:t>3 %</w:t>
            </w:r>
          </w:p>
        </w:tc>
      </w:tr>
      <w:tr>
        <w:trPr>
          <w:trHeight w:val="134"/>
        </w:trPr>
        <w:tc>
          <w:tcPr>
            <w:tcW w:w="2680" w:type="dxa"/>
            <w:vAlign w:val="bottom"/>
            <w:shd w:val="clear" w:color="auto" w:fill="CFF0FC"/>
          </w:tcPr>
          <w:p>
            <w:pPr>
              <w:ind w:left="20"/>
              <w:spacing w:after="0"/>
              <w:rPr>
                <w:sz w:val="20"/>
                <w:szCs w:val="20"/>
                <w:color w:val="auto"/>
              </w:rPr>
            </w:pPr>
            <w:r>
              <w:rPr>
                <w:rFonts w:ascii="Arial" w:cs="Arial" w:eastAsia="Arial" w:hAnsi="Arial"/>
                <w:sz w:val="8"/>
                <w:szCs w:val="8"/>
                <w:i w:val="1"/>
                <w:iCs w:val="1"/>
                <w:color w:val="auto"/>
              </w:rPr>
              <w:t>Gurobi Optimization, LLC</w:t>
            </w:r>
          </w:p>
        </w:tc>
        <w:tc>
          <w:tcPr>
            <w:tcW w:w="3000" w:type="dxa"/>
            <w:vAlign w:val="bottom"/>
            <w:shd w:val="clear" w:color="auto" w:fill="CFF0FC"/>
          </w:tcPr>
          <w:p>
            <w:pPr>
              <w:ind w:left="260"/>
              <w:spacing w:after="0"/>
              <w:rPr>
                <w:sz w:val="20"/>
                <w:szCs w:val="20"/>
                <w:color w:val="auto"/>
              </w:rPr>
            </w:pPr>
            <w:r>
              <w:rPr>
                <w:rFonts w:ascii="Arial" w:cs="Arial" w:eastAsia="Arial" w:hAnsi="Arial"/>
                <w:sz w:val="8"/>
                <w:szCs w:val="8"/>
                <w:color w:val="auto"/>
              </w:rPr>
              <w:t>Information Technology Services</w:t>
            </w: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680" w:type="dxa"/>
            <w:vAlign w:val="bottom"/>
          </w:tcPr>
          <w:p>
            <w:pPr>
              <w:ind w:left="140"/>
              <w:spacing w:after="0"/>
              <w:rPr>
                <w:sz w:val="20"/>
                <w:szCs w:val="20"/>
                <w:color w:val="auto"/>
              </w:rPr>
            </w:pPr>
            <w:r>
              <w:rPr>
                <w:rFonts w:ascii="Arial" w:cs="Arial" w:eastAsia="Arial" w:hAnsi="Arial"/>
                <w:sz w:val="8"/>
                <w:szCs w:val="8"/>
                <w:color w:val="auto"/>
              </w:rPr>
              <w:t>Common Equity (3 shares)</w:t>
            </w:r>
          </w:p>
        </w:tc>
        <w:tc>
          <w:tcPr>
            <w:tcW w:w="3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12/19/2017</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607</w:t>
            </w:r>
          </w:p>
        </w:tc>
        <w:tc>
          <w:tcPr>
            <w:tcW w:w="760" w:type="dxa"/>
            <w:vAlign w:val="bottom"/>
            <w:gridSpan w:val="2"/>
          </w:tcPr>
          <w:p>
            <w:pPr>
              <w:jc w:val="right"/>
              <w:ind w:right="18"/>
              <w:spacing w:after="0"/>
              <w:rPr>
                <w:sz w:val="20"/>
                <w:szCs w:val="20"/>
                <w:color w:val="auto"/>
              </w:rPr>
            </w:pPr>
            <w:r>
              <w:rPr>
                <w:rFonts w:ascii="Arial" w:cs="Arial" w:eastAsia="Arial" w:hAnsi="Arial"/>
                <w:sz w:val="8"/>
                <w:szCs w:val="8"/>
                <w:color w:val="auto"/>
              </w:rPr>
              <w:t>2,475</w:t>
            </w:r>
          </w:p>
        </w:tc>
        <w:tc>
          <w:tcPr>
            <w:tcW w:w="660" w:type="dxa"/>
            <w:vAlign w:val="bottom"/>
          </w:tcPr>
          <w:p>
            <w:pPr>
              <w:jc w:val="right"/>
              <w:spacing w:after="0"/>
              <w:rPr>
                <w:sz w:val="20"/>
                <w:szCs w:val="20"/>
                <w:color w:val="auto"/>
              </w:rPr>
            </w:pPr>
            <w:r>
              <w:rPr>
                <w:rFonts w:ascii="Arial" w:cs="Arial" w:eastAsia="Arial" w:hAnsi="Arial"/>
                <w:sz w:val="8"/>
                <w:szCs w:val="8"/>
                <w:color w:val="auto"/>
              </w:rPr>
              <w:t>1 %</w:t>
            </w:r>
          </w:p>
        </w:tc>
      </w:tr>
      <w:tr>
        <w:trPr>
          <w:trHeight w:val="134"/>
        </w:trPr>
        <w:tc>
          <w:tcPr>
            <w:tcW w:w="2680" w:type="dxa"/>
            <w:vAlign w:val="bottom"/>
            <w:shd w:val="clear" w:color="auto" w:fill="CFF0FC"/>
          </w:tcPr>
          <w:p>
            <w:pPr>
              <w:spacing w:after="0"/>
              <w:rPr>
                <w:sz w:val="11"/>
                <w:szCs w:val="11"/>
                <w:color w:val="auto"/>
              </w:rPr>
            </w:pPr>
          </w:p>
        </w:tc>
        <w:tc>
          <w:tcPr>
            <w:tcW w:w="30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680" w:type="dxa"/>
            <w:vAlign w:val="bottom"/>
          </w:tcPr>
          <w:p>
            <w:pPr>
              <w:ind w:left="20"/>
              <w:spacing w:after="0"/>
              <w:rPr>
                <w:sz w:val="20"/>
                <w:szCs w:val="20"/>
                <w:color w:val="auto"/>
              </w:rPr>
            </w:pPr>
            <w:r>
              <w:rPr>
                <w:rFonts w:ascii="Arial" w:cs="Arial" w:eastAsia="Arial" w:hAnsi="Arial"/>
                <w:sz w:val="8"/>
                <w:szCs w:val="8"/>
                <w:i w:val="1"/>
                <w:iCs w:val="1"/>
                <w:color w:val="auto"/>
              </w:rPr>
              <w:t>Haematologic Technologies, Inc.</w:t>
            </w:r>
          </w:p>
        </w:tc>
        <w:tc>
          <w:tcPr>
            <w:tcW w:w="3000" w:type="dxa"/>
            <w:vAlign w:val="bottom"/>
          </w:tcPr>
          <w:p>
            <w:pPr>
              <w:ind w:left="260"/>
              <w:spacing w:after="0"/>
              <w:rPr>
                <w:sz w:val="20"/>
                <w:szCs w:val="20"/>
                <w:color w:val="auto"/>
              </w:rPr>
            </w:pPr>
            <w:r>
              <w:rPr>
                <w:rFonts w:ascii="Arial" w:cs="Arial" w:eastAsia="Arial" w:hAnsi="Arial"/>
                <w:sz w:val="8"/>
                <w:szCs w:val="8"/>
                <w:color w:val="auto"/>
              </w:rPr>
              <w:t>Healthcare Services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4"/>
        </w:trPr>
        <w:tc>
          <w:tcPr>
            <w:tcW w:w="2680" w:type="dxa"/>
            <w:vAlign w:val="bottom"/>
            <w:shd w:val="clear" w:color="auto" w:fill="CFF0FC"/>
          </w:tcPr>
          <w:p>
            <w:pPr>
              <w:ind w:left="140"/>
              <w:spacing w:after="0"/>
              <w:rPr>
                <w:sz w:val="20"/>
                <w:szCs w:val="20"/>
                <w:color w:val="auto"/>
              </w:rPr>
            </w:pPr>
            <w:r>
              <w:rPr>
                <w:rFonts w:ascii="Arial" w:cs="Arial" w:eastAsia="Arial" w:hAnsi="Arial"/>
                <w:sz w:val="8"/>
                <w:szCs w:val="8"/>
                <w:color w:val="auto"/>
              </w:rPr>
              <w:t>First Lien Debt (x)</w:t>
            </w:r>
          </w:p>
        </w:tc>
        <w:tc>
          <w:tcPr>
            <w:tcW w:w="3000" w:type="dxa"/>
            <w:vAlign w:val="bottom"/>
            <w:shd w:val="clear" w:color="auto" w:fill="CFF0FC"/>
          </w:tcPr>
          <w:p>
            <w:pPr>
              <w:ind w:left="2000"/>
              <w:spacing w:after="0"/>
              <w:rPr>
                <w:sz w:val="20"/>
                <w:szCs w:val="20"/>
                <w:color w:val="auto"/>
              </w:rPr>
            </w:pPr>
            <w:r>
              <w:rPr>
                <w:rFonts w:ascii="Arial" w:cs="Arial" w:eastAsia="Arial" w:hAnsi="Arial"/>
                <w:sz w:val="8"/>
                <w:szCs w:val="8"/>
                <w:color w:val="auto"/>
              </w:rPr>
              <w:t>(L + 8.25%) / (2.00%)</w:t>
            </w:r>
          </w:p>
        </w:tc>
        <w:tc>
          <w:tcPr>
            <w:tcW w:w="940" w:type="dxa"/>
            <w:vAlign w:val="bottom"/>
            <w:shd w:val="clear" w:color="auto" w:fill="CFF0FC"/>
          </w:tcPr>
          <w:p>
            <w:pPr>
              <w:ind w:left="220"/>
              <w:spacing w:after="0"/>
              <w:rPr>
                <w:sz w:val="20"/>
                <w:szCs w:val="20"/>
                <w:color w:val="auto"/>
              </w:rPr>
            </w:pPr>
            <w:r>
              <w:rPr>
                <w:rFonts w:ascii="Arial" w:cs="Arial" w:eastAsia="Arial" w:hAnsi="Arial"/>
                <w:sz w:val="8"/>
                <w:szCs w:val="8"/>
                <w:color w:val="auto"/>
              </w:rPr>
              <w:t>10.25%/0.00%</w:t>
            </w: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10/11/2019</w:t>
            </w:r>
          </w:p>
        </w:tc>
        <w:tc>
          <w:tcPr>
            <w:tcW w:w="980" w:type="dxa"/>
            <w:vAlign w:val="bottom"/>
            <w:shd w:val="clear" w:color="auto" w:fill="CFF0FC"/>
          </w:tcPr>
          <w:p>
            <w:pPr>
              <w:ind w:left="200"/>
              <w:spacing w:after="0"/>
              <w:rPr>
                <w:sz w:val="20"/>
                <w:szCs w:val="20"/>
                <w:color w:val="auto"/>
              </w:rPr>
            </w:pPr>
            <w:r>
              <w:rPr>
                <w:rFonts w:ascii="Arial" w:cs="Arial" w:eastAsia="Arial" w:hAnsi="Arial"/>
                <w:sz w:val="8"/>
                <w:szCs w:val="8"/>
                <w:color w:val="auto"/>
              </w:rPr>
              <w:t>10/11/2024</w:t>
            </w:r>
          </w:p>
        </w:tc>
        <w:tc>
          <w:tcPr>
            <w:tcW w:w="740" w:type="dxa"/>
            <w:vAlign w:val="bottom"/>
            <w:shd w:val="clear" w:color="auto" w:fill="CFF0FC"/>
          </w:tcPr>
          <w:p>
            <w:pPr>
              <w:jc w:val="right"/>
              <w:ind w:right="78"/>
              <w:spacing w:after="0"/>
              <w:rPr>
                <w:sz w:val="20"/>
                <w:szCs w:val="20"/>
                <w:color w:val="auto"/>
              </w:rPr>
            </w:pPr>
            <w:r>
              <w:rPr>
                <w:rFonts w:ascii="Arial" w:cs="Arial" w:eastAsia="Arial" w:hAnsi="Arial"/>
                <w:sz w:val="8"/>
                <w:szCs w:val="8"/>
                <w:color w:val="auto"/>
              </w:rPr>
              <w:t>5,378</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5,353</w:t>
            </w:r>
          </w:p>
        </w:tc>
        <w:tc>
          <w:tcPr>
            <w:tcW w:w="760" w:type="dxa"/>
            <w:vAlign w:val="bottom"/>
            <w:gridSpan w:val="2"/>
            <w:shd w:val="clear" w:color="auto" w:fill="CFF0FC"/>
          </w:tcPr>
          <w:p>
            <w:pPr>
              <w:jc w:val="right"/>
              <w:ind w:right="18"/>
              <w:spacing w:after="0"/>
              <w:rPr>
                <w:sz w:val="20"/>
                <w:szCs w:val="20"/>
                <w:color w:val="auto"/>
              </w:rPr>
            </w:pPr>
            <w:r>
              <w:rPr>
                <w:rFonts w:ascii="Arial" w:cs="Arial" w:eastAsia="Arial" w:hAnsi="Arial"/>
                <w:sz w:val="8"/>
                <w:szCs w:val="8"/>
                <w:color w:val="auto"/>
              </w:rPr>
              <w:t>4,692</w:t>
            </w:r>
          </w:p>
        </w:tc>
        <w:tc>
          <w:tcPr>
            <w:tcW w:w="660" w:type="dxa"/>
            <w:vAlign w:val="bottom"/>
            <w:shd w:val="clear" w:color="auto" w:fill="CFF0FC"/>
          </w:tcPr>
          <w:p>
            <w:pPr>
              <w:spacing w:after="0"/>
              <w:rPr>
                <w:sz w:val="11"/>
                <w:szCs w:val="11"/>
                <w:color w:val="auto"/>
              </w:rPr>
            </w:pPr>
          </w:p>
        </w:tc>
      </w:tr>
      <w:tr>
        <w:trPr>
          <w:trHeight w:val="126"/>
        </w:trPr>
        <w:tc>
          <w:tcPr>
            <w:tcW w:w="2680" w:type="dxa"/>
            <w:vAlign w:val="bottom"/>
          </w:tcPr>
          <w:p>
            <w:pPr>
              <w:ind w:left="140"/>
              <w:spacing w:after="0"/>
              <w:rPr>
                <w:sz w:val="20"/>
                <w:szCs w:val="20"/>
                <w:color w:val="auto"/>
              </w:rPr>
            </w:pPr>
            <w:r>
              <w:rPr>
                <w:rFonts w:ascii="Arial" w:cs="Arial" w:eastAsia="Arial" w:hAnsi="Arial"/>
                <w:sz w:val="8"/>
                <w:szCs w:val="8"/>
                <w:color w:val="auto"/>
              </w:rPr>
              <w:t>Common Equity (630 units) (h)(j)</w:t>
            </w:r>
          </w:p>
        </w:tc>
        <w:tc>
          <w:tcPr>
            <w:tcW w:w="3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10/11/2019</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630</w:t>
            </w:r>
          </w:p>
        </w:tc>
        <w:tc>
          <w:tcPr>
            <w:tcW w:w="100" w:type="dxa"/>
            <w:vAlign w:val="bottom"/>
          </w:tcPr>
          <w:p>
            <w:pPr>
              <w:spacing w:after="0"/>
              <w:rPr>
                <w:sz w:val="10"/>
                <w:szCs w:val="10"/>
                <w:color w:val="auto"/>
              </w:rPr>
            </w:pP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84</w:t>
            </w:r>
          </w:p>
        </w:tc>
        <w:tc>
          <w:tcPr>
            <w:tcW w:w="660" w:type="dxa"/>
            <w:vAlign w:val="bottom"/>
          </w:tcPr>
          <w:p>
            <w:pPr>
              <w:spacing w:after="0"/>
              <w:rPr>
                <w:sz w:val="10"/>
                <w:szCs w:val="10"/>
                <w:color w:val="auto"/>
              </w:rPr>
            </w:pPr>
          </w:p>
        </w:tc>
      </w:tr>
      <w:tr>
        <w:trPr>
          <w:trHeight w:val="120"/>
        </w:trPr>
        <w:tc>
          <w:tcPr>
            <w:tcW w:w="2680" w:type="dxa"/>
            <w:vAlign w:val="bottom"/>
            <w:shd w:val="clear" w:color="auto" w:fill="CFF0FC"/>
          </w:tcPr>
          <w:p>
            <w:pPr>
              <w:spacing w:after="0"/>
              <w:rPr>
                <w:sz w:val="10"/>
                <w:szCs w:val="10"/>
                <w:color w:val="auto"/>
              </w:rPr>
            </w:pPr>
          </w:p>
        </w:tc>
        <w:tc>
          <w:tcPr>
            <w:tcW w:w="30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5,983</w:t>
            </w:r>
          </w:p>
        </w:tc>
        <w:tc>
          <w:tcPr>
            <w:tcW w:w="760" w:type="dxa"/>
            <w:vAlign w:val="bottom"/>
            <w:gridSpan w:val="2"/>
            <w:shd w:val="clear" w:color="auto" w:fill="CFF0FC"/>
          </w:tcPr>
          <w:p>
            <w:pPr>
              <w:jc w:val="right"/>
              <w:ind w:right="18"/>
              <w:spacing w:after="0"/>
              <w:rPr>
                <w:sz w:val="20"/>
                <w:szCs w:val="20"/>
                <w:color w:val="auto"/>
              </w:rPr>
            </w:pPr>
            <w:r>
              <w:rPr>
                <w:rFonts w:ascii="Arial" w:cs="Arial" w:eastAsia="Arial" w:hAnsi="Arial"/>
                <w:sz w:val="8"/>
                <w:szCs w:val="8"/>
                <w:color w:val="auto"/>
              </w:rPr>
              <w:t>4,776</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1 %</w:t>
            </w:r>
          </w:p>
        </w:tc>
      </w:tr>
      <w:tr>
        <w:trPr>
          <w:trHeight w:val="120"/>
        </w:trPr>
        <w:tc>
          <w:tcPr>
            <w:tcW w:w="2680" w:type="dxa"/>
            <w:vAlign w:val="bottom"/>
          </w:tcPr>
          <w:p>
            <w:pPr>
              <w:ind w:left="20"/>
              <w:spacing w:after="0"/>
              <w:rPr>
                <w:sz w:val="20"/>
                <w:szCs w:val="20"/>
                <w:color w:val="auto"/>
              </w:rPr>
            </w:pPr>
            <w:r>
              <w:rPr>
                <w:rFonts w:ascii="Arial" w:cs="Arial" w:eastAsia="Arial" w:hAnsi="Arial"/>
                <w:sz w:val="8"/>
                <w:szCs w:val="8"/>
                <w:i w:val="1"/>
                <w:iCs w:val="1"/>
                <w:color w:val="auto"/>
              </w:rPr>
              <w:t>Hallmark Health Care Solutions, Inc.</w:t>
            </w:r>
          </w:p>
        </w:tc>
        <w:tc>
          <w:tcPr>
            <w:tcW w:w="3000" w:type="dxa"/>
            <w:vAlign w:val="bottom"/>
          </w:tcPr>
          <w:p>
            <w:pPr>
              <w:ind w:left="260"/>
              <w:spacing w:after="0"/>
              <w:rPr>
                <w:sz w:val="20"/>
                <w:szCs w:val="20"/>
                <w:color w:val="auto"/>
              </w:rPr>
            </w:pPr>
            <w:r>
              <w:rPr>
                <w:rFonts w:ascii="Arial" w:cs="Arial" w:eastAsia="Arial" w:hAnsi="Arial"/>
                <w:sz w:val="8"/>
                <w:szCs w:val="8"/>
                <w:color w:val="auto"/>
              </w:rPr>
              <w:t>Healthcare Services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4"/>
        </w:trPr>
        <w:tc>
          <w:tcPr>
            <w:tcW w:w="2680" w:type="dxa"/>
            <w:vAlign w:val="bottom"/>
            <w:shd w:val="clear" w:color="auto" w:fill="CFF0FC"/>
          </w:tcPr>
          <w:p>
            <w:pPr>
              <w:ind w:left="140"/>
              <w:spacing w:after="0"/>
              <w:rPr>
                <w:sz w:val="20"/>
                <w:szCs w:val="20"/>
                <w:color w:val="auto"/>
              </w:rPr>
            </w:pPr>
            <w:r>
              <w:rPr>
                <w:rFonts w:ascii="Arial" w:cs="Arial" w:eastAsia="Arial" w:hAnsi="Arial"/>
                <w:sz w:val="8"/>
                <w:szCs w:val="8"/>
                <w:color w:val="auto"/>
              </w:rPr>
              <w:t>First Lien Debt (j)(ae)</w:t>
            </w:r>
          </w:p>
        </w:tc>
        <w:tc>
          <w:tcPr>
            <w:tcW w:w="3000" w:type="dxa"/>
            <w:vAlign w:val="bottom"/>
            <w:shd w:val="clear" w:color="auto" w:fill="CFF0FC"/>
          </w:tcPr>
          <w:p>
            <w:pPr>
              <w:ind w:left="2000"/>
              <w:spacing w:after="0"/>
              <w:rPr>
                <w:sz w:val="20"/>
                <w:szCs w:val="20"/>
                <w:color w:val="auto"/>
              </w:rPr>
            </w:pPr>
            <w:r>
              <w:rPr>
                <w:rFonts w:ascii="Arial" w:cs="Arial" w:eastAsia="Arial" w:hAnsi="Arial"/>
                <w:sz w:val="8"/>
                <w:szCs w:val="8"/>
                <w:color w:val="auto"/>
              </w:rPr>
              <w:t>(L + 7.25%) / (1.50%)</w:t>
            </w:r>
          </w:p>
        </w:tc>
        <w:tc>
          <w:tcPr>
            <w:tcW w:w="940" w:type="dxa"/>
            <w:vAlign w:val="bottom"/>
            <w:shd w:val="clear" w:color="auto" w:fill="CFF0FC"/>
          </w:tcPr>
          <w:p>
            <w:pPr>
              <w:ind w:left="220"/>
              <w:spacing w:after="0"/>
              <w:rPr>
                <w:sz w:val="20"/>
                <w:szCs w:val="20"/>
                <w:color w:val="auto"/>
              </w:rPr>
            </w:pPr>
            <w:r>
              <w:rPr>
                <w:rFonts w:ascii="Arial" w:cs="Arial" w:eastAsia="Arial" w:hAnsi="Arial"/>
                <w:sz w:val="8"/>
                <w:szCs w:val="8"/>
                <w:color w:val="auto"/>
              </w:rPr>
              <w:t>8.75%/0.00%</w:t>
            </w: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12/4/2020</w:t>
            </w:r>
          </w:p>
        </w:tc>
        <w:tc>
          <w:tcPr>
            <w:tcW w:w="980" w:type="dxa"/>
            <w:vAlign w:val="bottom"/>
            <w:shd w:val="clear" w:color="auto" w:fill="CFF0FC"/>
          </w:tcPr>
          <w:p>
            <w:pPr>
              <w:ind w:left="200"/>
              <w:spacing w:after="0"/>
              <w:rPr>
                <w:sz w:val="20"/>
                <w:szCs w:val="20"/>
                <w:color w:val="auto"/>
              </w:rPr>
            </w:pPr>
            <w:r>
              <w:rPr>
                <w:rFonts w:ascii="Arial" w:cs="Arial" w:eastAsia="Arial" w:hAnsi="Arial"/>
                <w:sz w:val="8"/>
                <w:szCs w:val="8"/>
                <w:color w:val="auto"/>
              </w:rPr>
              <w:t>12/4/2025</w:t>
            </w:r>
          </w:p>
        </w:tc>
        <w:tc>
          <w:tcPr>
            <w:tcW w:w="740" w:type="dxa"/>
            <w:vAlign w:val="bottom"/>
            <w:shd w:val="clear" w:color="auto" w:fill="CFF0FC"/>
          </w:tcPr>
          <w:p>
            <w:pPr>
              <w:jc w:val="right"/>
              <w:ind w:right="78"/>
              <w:spacing w:after="0"/>
              <w:rPr>
                <w:sz w:val="20"/>
                <w:szCs w:val="20"/>
                <w:color w:val="auto"/>
              </w:rPr>
            </w:pPr>
            <w:r>
              <w:rPr>
                <w:rFonts w:ascii="Arial" w:cs="Arial" w:eastAsia="Arial" w:hAnsi="Arial"/>
                <w:sz w:val="8"/>
                <w:szCs w:val="8"/>
                <w:color w:val="auto"/>
              </w:rPr>
              <w:t>8,460</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8,407</w:t>
            </w:r>
          </w:p>
        </w:tc>
        <w:tc>
          <w:tcPr>
            <w:tcW w:w="760" w:type="dxa"/>
            <w:vAlign w:val="bottom"/>
            <w:gridSpan w:val="2"/>
            <w:shd w:val="clear" w:color="auto" w:fill="CFF0FC"/>
          </w:tcPr>
          <w:p>
            <w:pPr>
              <w:jc w:val="right"/>
              <w:ind w:right="18"/>
              <w:spacing w:after="0"/>
              <w:rPr>
                <w:sz w:val="20"/>
                <w:szCs w:val="20"/>
                <w:color w:val="auto"/>
              </w:rPr>
            </w:pPr>
            <w:r>
              <w:rPr>
                <w:rFonts w:ascii="Arial" w:cs="Arial" w:eastAsia="Arial" w:hAnsi="Arial"/>
                <w:sz w:val="8"/>
                <w:szCs w:val="8"/>
                <w:color w:val="auto"/>
              </w:rPr>
              <w:t>8,460</w:t>
            </w:r>
          </w:p>
        </w:tc>
        <w:tc>
          <w:tcPr>
            <w:tcW w:w="660" w:type="dxa"/>
            <w:vAlign w:val="bottom"/>
            <w:shd w:val="clear" w:color="auto" w:fill="CFF0FC"/>
          </w:tcPr>
          <w:p>
            <w:pPr>
              <w:spacing w:after="0"/>
              <w:rPr>
                <w:sz w:val="11"/>
                <w:szCs w:val="11"/>
                <w:color w:val="auto"/>
              </w:rPr>
            </w:pPr>
          </w:p>
        </w:tc>
      </w:tr>
      <w:tr>
        <w:trPr>
          <w:trHeight w:val="126"/>
        </w:trPr>
        <w:tc>
          <w:tcPr>
            <w:tcW w:w="2680" w:type="dxa"/>
            <w:vAlign w:val="bottom"/>
          </w:tcPr>
          <w:p>
            <w:pPr>
              <w:ind w:left="140"/>
              <w:spacing w:after="0"/>
              <w:rPr>
                <w:sz w:val="20"/>
                <w:szCs w:val="20"/>
                <w:color w:val="auto"/>
              </w:rPr>
            </w:pPr>
            <w:r>
              <w:rPr>
                <w:rFonts w:ascii="Arial" w:cs="Arial" w:eastAsia="Arial" w:hAnsi="Arial"/>
                <w:sz w:val="8"/>
                <w:szCs w:val="8"/>
                <w:color w:val="auto"/>
              </w:rPr>
              <w:t>Common Equity (750,000 units) (j)</w:t>
            </w:r>
          </w:p>
        </w:tc>
        <w:tc>
          <w:tcPr>
            <w:tcW w:w="3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12/4/2020</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750</w:t>
            </w:r>
          </w:p>
        </w:tc>
        <w:tc>
          <w:tcPr>
            <w:tcW w:w="100" w:type="dxa"/>
            <w:vAlign w:val="bottom"/>
          </w:tcPr>
          <w:p>
            <w:pPr>
              <w:spacing w:after="0"/>
              <w:rPr>
                <w:sz w:val="10"/>
                <w:szCs w:val="10"/>
                <w:color w:val="auto"/>
              </w:rPr>
            </w:pP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1,817</w:t>
            </w:r>
          </w:p>
        </w:tc>
        <w:tc>
          <w:tcPr>
            <w:tcW w:w="660" w:type="dxa"/>
            <w:vAlign w:val="bottom"/>
          </w:tcPr>
          <w:p>
            <w:pPr>
              <w:spacing w:after="0"/>
              <w:rPr>
                <w:sz w:val="10"/>
                <w:szCs w:val="10"/>
                <w:color w:val="auto"/>
              </w:rPr>
            </w:pPr>
          </w:p>
        </w:tc>
      </w:tr>
      <w:tr>
        <w:trPr>
          <w:trHeight w:val="120"/>
        </w:trPr>
        <w:tc>
          <w:tcPr>
            <w:tcW w:w="2680" w:type="dxa"/>
            <w:vAlign w:val="bottom"/>
            <w:shd w:val="clear" w:color="auto" w:fill="CFF0FC"/>
          </w:tcPr>
          <w:p>
            <w:pPr>
              <w:spacing w:after="0"/>
              <w:rPr>
                <w:sz w:val="10"/>
                <w:szCs w:val="10"/>
                <w:color w:val="auto"/>
              </w:rPr>
            </w:pPr>
          </w:p>
        </w:tc>
        <w:tc>
          <w:tcPr>
            <w:tcW w:w="30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9,157</w:t>
            </w:r>
          </w:p>
        </w:tc>
        <w:tc>
          <w:tcPr>
            <w:tcW w:w="760" w:type="dxa"/>
            <w:vAlign w:val="bottom"/>
            <w:gridSpan w:val="2"/>
            <w:shd w:val="clear" w:color="auto" w:fill="CFF0FC"/>
          </w:tcPr>
          <w:p>
            <w:pPr>
              <w:jc w:val="right"/>
              <w:ind w:right="18"/>
              <w:spacing w:after="0"/>
              <w:rPr>
                <w:sz w:val="20"/>
                <w:szCs w:val="20"/>
                <w:color w:val="auto"/>
              </w:rPr>
            </w:pPr>
            <w:r>
              <w:rPr>
                <w:rFonts w:ascii="Arial" w:cs="Arial" w:eastAsia="Arial" w:hAnsi="Arial"/>
                <w:sz w:val="8"/>
                <w:szCs w:val="8"/>
                <w:color w:val="auto"/>
              </w:rPr>
              <w:t>10,277</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2 %</w:t>
            </w:r>
          </w:p>
        </w:tc>
      </w:tr>
      <w:tr>
        <w:trPr>
          <w:trHeight w:val="120"/>
        </w:trPr>
        <w:tc>
          <w:tcPr>
            <w:tcW w:w="2680" w:type="dxa"/>
            <w:vAlign w:val="bottom"/>
          </w:tcPr>
          <w:p>
            <w:pPr>
              <w:ind w:left="20"/>
              <w:spacing w:after="0"/>
              <w:rPr>
                <w:sz w:val="20"/>
                <w:szCs w:val="20"/>
                <w:color w:val="auto"/>
              </w:rPr>
            </w:pPr>
            <w:r>
              <w:rPr>
                <w:rFonts w:ascii="Arial" w:cs="Arial" w:eastAsia="Arial" w:hAnsi="Arial"/>
                <w:sz w:val="8"/>
                <w:szCs w:val="8"/>
                <w:i w:val="1"/>
                <w:iCs w:val="1"/>
                <w:color w:val="auto"/>
              </w:rPr>
              <w:t>Healthfuse, LLC</w:t>
            </w:r>
          </w:p>
        </w:tc>
        <w:tc>
          <w:tcPr>
            <w:tcW w:w="3000" w:type="dxa"/>
            <w:vAlign w:val="bottom"/>
          </w:tcPr>
          <w:p>
            <w:pPr>
              <w:ind w:left="260"/>
              <w:spacing w:after="0"/>
              <w:rPr>
                <w:sz w:val="20"/>
                <w:szCs w:val="20"/>
                <w:color w:val="auto"/>
              </w:rPr>
            </w:pPr>
            <w:r>
              <w:rPr>
                <w:rFonts w:ascii="Arial" w:cs="Arial" w:eastAsia="Arial" w:hAnsi="Arial"/>
                <w:sz w:val="8"/>
                <w:szCs w:val="8"/>
                <w:color w:val="auto"/>
              </w:rPr>
              <w:t>Healthcare Services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4"/>
        </w:trPr>
        <w:tc>
          <w:tcPr>
            <w:tcW w:w="2680" w:type="dxa"/>
            <w:vAlign w:val="bottom"/>
            <w:shd w:val="clear" w:color="auto" w:fill="CFF0FC"/>
          </w:tcPr>
          <w:p>
            <w:pPr>
              <w:ind w:left="140"/>
              <w:spacing w:after="0"/>
              <w:rPr>
                <w:sz w:val="20"/>
                <w:szCs w:val="20"/>
                <w:color w:val="auto"/>
              </w:rPr>
            </w:pPr>
            <w:r>
              <w:rPr>
                <w:rFonts w:ascii="Arial" w:cs="Arial" w:eastAsia="Arial" w:hAnsi="Arial"/>
                <w:sz w:val="8"/>
                <w:szCs w:val="8"/>
                <w:color w:val="auto"/>
              </w:rPr>
              <w:t>First Lien Debt (af)</w:t>
            </w:r>
          </w:p>
        </w:tc>
        <w:tc>
          <w:tcPr>
            <w:tcW w:w="3000" w:type="dxa"/>
            <w:vAlign w:val="bottom"/>
            <w:shd w:val="clear" w:color="auto" w:fill="CFF0FC"/>
          </w:tcPr>
          <w:p>
            <w:pPr>
              <w:ind w:left="2000"/>
              <w:spacing w:after="0"/>
              <w:rPr>
                <w:sz w:val="20"/>
                <w:szCs w:val="20"/>
                <w:color w:val="auto"/>
              </w:rPr>
            </w:pPr>
            <w:r>
              <w:rPr>
                <w:rFonts w:ascii="Arial" w:cs="Arial" w:eastAsia="Arial" w:hAnsi="Arial"/>
                <w:sz w:val="8"/>
                <w:szCs w:val="8"/>
                <w:color w:val="auto"/>
              </w:rPr>
              <w:t>(L + 7.25%) / (1.00%)</w:t>
            </w:r>
          </w:p>
        </w:tc>
        <w:tc>
          <w:tcPr>
            <w:tcW w:w="940" w:type="dxa"/>
            <w:vAlign w:val="bottom"/>
            <w:shd w:val="clear" w:color="auto" w:fill="CFF0FC"/>
          </w:tcPr>
          <w:p>
            <w:pPr>
              <w:ind w:left="220"/>
              <w:spacing w:after="0"/>
              <w:rPr>
                <w:sz w:val="20"/>
                <w:szCs w:val="20"/>
                <w:color w:val="auto"/>
              </w:rPr>
            </w:pPr>
            <w:r>
              <w:rPr>
                <w:rFonts w:ascii="Arial" w:cs="Arial" w:eastAsia="Arial" w:hAnsi="Arial"/>
                <w:sz w:val="8"/>
                <w:szCs w:val="8"/>
                <w:color w:val="auto"/>
              </w:rPr>
              <w:t>8.25%/0.00%</w:t>
            </w: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11/13/2020</w:t>
            </w:r>
          </w:p>
        </w:tc>
        <w:tc>
          <w:tcPr>
            <w:tcW w:w="980" w:type="dxa"/>
            <w:vAlign w:val="bottom"/>
            <w:shd w:val="clear" w:color="auto" w:fill="CFF0FC"/>
          </w:tcPr>
          <w:p>
            <w:pPr>
              <w:ind w:left="200"/>
              <w:spacing w:after="0"/>
              <w:rPr>
                <w:sz w:val="20"/>
                <w:szCs w:val="20"/>
                <w:color w:val="auto"/>
              </w:rPr>
            </w:pPr>
            <w:r>
              <w:rPr>
                <w:rFonts w:ascii="Arial" w:cs="Arial" w:eastAsia="Arial" w:hAnsi="Arial"/>
                <w:sz w:val="8"/>
                <w:szCs w:val="8"/>
                <w:color w:val="auto"/>
              </w:rPr>
              <w:t>11/13/2025</w:t>
            </w:r>
          </w:p>
        </w:tc>
        <w:tc>
          <w:tcPr>
            <w:tcW w:w="740" w:type="dxa"/>
            <w:vAlign w:val="bottom"/>
            <w:shd w:val="clear" w:color="auto" w:fill="CFF0FC"/>
          </w:tcPr>
          <w:p>
            <w:pPr>
              <w:jc w:val="right"/>
              <w:ind w:right="78"/>
              <w:spacing w:after="0"/>
              <w:rPr>
                <w:sz w:val="20"/>
                <w:szCs w:val="20"/>
                <w:color w:val="auto"/>
              </w:rPr>
            </w:pPr>
            <w:r>
              <w:rPr>
                <w:rFonts w:ascii="Arial" w:cs="Arial" w:eastAsia="Arial" w:hAnsi="Arial"/>
                <w:sz w:val="8"/>
                <w:szCs w:val="8"/>
                <w:color w:val="auto"/>
              </w:rPr>
              <w:t>5,970</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5,936</w:t>
            </w:r>
          </w:p>
        </w:tc>
        <w:tc>
          <w:tcPr>
            <w:tcW w:w="760" w:type="dxa"/>
            <w:vAlign w:val="bottom"/>
            <w:gridSpan w:val="2"/>
            <w:shd w:val="clear" w:color="auto" w:fill="CFF0FC"/>
          </w:tcPr>
          <w:p>
            <w:pPr>
              <w:jc w:val="right"/>
              <w:ind w:right="18"/>
              <w:spacing w:after="0"/>
              <w:rPr>
                <w:sz w:val="20"/>
                <w:szCs w:val="20"/>
                <w:color w:val="auto"/>
              </w:rPr>
            </w:pPr>
            <w:r>
              <w:rPr>
                <w:rFonts w:ascii="Arial" w:cs="Arial" w:eastAsia="Arial" w:hAnsi="Arial"/>
                <w:sz w:val="8"/>
                <w:szCs w:val="8"/>
                <w:color w:val="auto"/>
              </w:rPr>
              <w:t>5,970</w:t>
            </w:r>
          </w:p>
        </w:tc>
        <w:tc>
          <w:tcPr>
            <w:tcW w:w="660" w:type="dxa"/>
            <w:vAlign w:val="bottom"/>
            <w:shd w:val="clear" w:color="auto" w:fill="CFF0FC"/>
          </w:tcPr>
          <w:p>
            <w:pPr>
              <w:spacing w:after="0"/>
              <w:rPr>
                <w:sz w:val="11"/>
                <w:szCs w:val="11"/>
                <w:color w:val="auto"/>
              </w:rPr>
            </w:pPr>
          </w:p>
        </w:tc>
      </w:tr>
      <w:tr>
        <w:trPr>
          <w:trHeight w:val="126"/>
        </w:trPr>
        <w:tc>
          <w:tcPr>
            <w:tcW w:w="2680" w:type="dxa"/>
            <w:vAlign w:val="bottom"/>
          </w:tcPr>
          <w:p>
            <w:pPr>
              <w:ind w:left="140"/>
              <w:spacing w:after="0"/>
              <w:rPr>
                <w:sz w:val="20"/>
                <w:szCs w:val="20"/>
                <w:color w:val="auto"/>
              </w:rPr>
            </w:pPr>
            <w:r>
              <w:rPr>
                <w:rFonts w:ascii="Arial" w:cs="Arial" w:eastAsia="Arial" w:hAnsi="Arial"/>
                <w:sz w:val="8"/>
                <w:szCs w:val="8"/>
                <w:color w:val="auto"/>
              </w:rPr>
              <w:t>Preferred Equity (197,980 units)</w:t>
            </w:r>
          </w:p>
        </w:tc>
        <w:tc>
          <w:tcPr>
            <w:tcW w:w="3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11/13/2020</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750</w:t>
            </w:r>
          </w:p>
        </w:tc>
        <w:tc>
          <w:tcPr>
            <w:tcW w:w="100" w:type="dxa"/>
            <w:vAlign w:val="bottom"/>
          </w:tcPr>
          <w:p>
            <w:pPr>
              <w:spacing w:after="0"/>
              <w:rPr>
                <w:sz w:val="10"/>
                <w:szCs w:val="10"/>
                <w:color w:val="auto"/>
              </w:rPr>
            </w:pP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901</w:t>
            </w:r>
          </w:p>
        </w:tc>
        <w:tc>
          <w:tcPr>
            <w:tcW w:w="660" w:type="dxa"/>
            <w:vAlign w:val="bottom"/>
          </w:tcPr>
          <w:p>
            <w:pPr>
              <w:spacing w:after="0"/>
              <w:rPr>
                <w:sz w:val="10"/>
                <w:szCs w:val="10"/>
                <w:color w:val="auto"/>
              </w:rPr>
            </w:pPr>
          </w:p>
        </w:tc>
      </w:tr>
      <w:tr>
        <w:trPr>
          <w:trHeight w:val="120"/>
        </w:trPr>
        <w:tc>
          <w:tcPr>
            <w:tcW w:w="2680" w:type="dxa"/>
            <w:vAlign w:val="bottom"/>
            <w:shd w:val="clear" w:color="auto" w:fill="CFF0FC"/>
          </w:tcPr>
          <w:p>
            <w:pPr>
              <w:spacing w:after="0"/>
              <w:rPr>
                <w:sz w:val="10"/>
                <w:szCs w:val="10"/>
                <w:color w:val="auto"/>
              </w:rPr>
            </w:pPr>
          </w:p>
        </w:tc>
        <w:tc>
          <w:tcPr>
            <w:tcW w:w="30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6,686</w:t>
            </w:r>
          </w:p>
        </w:tc>
        <w:tc>
          <w:tcPr>
            <w:tcW w:w="760" w:type="dxa"/>
            <w:vAlign w:val="bottom"/>
            <w:gridSpan w:val="2"/>
            <w:shd w:val="clear" w:color="auto" w:fill="CFF0FC"/>
          </w:tcPr>
          <w:p>
            <w:pPr>
              <w:jc w:val="right"/>
              <w:ind w:right="18"/>
              <w:spacing w:after="0"/>
              <w:rPr>
                <w:sz w:val="20"/>
                <w:szCs w:val="20"/>
                <w:color w:val="auto"/>
              </w:rPr>
            </w:pPr>
            <w:r>
              <w:rPr>
                <w:rFonts w:ascii="Arial" w:cs="Arial" w:eastAsia="Arial" w:hAnsi="Arial"/>
                <w:sz w:val="8"/>
                <w:szCs w:val="8"/>
                <w:color w:val="auto"/>
              </w:rPr>
              <w:t>6,871</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2 %</w:t>
            </w:r>
          </w:p>
        </w:tc>
      </w:tr>
      <w:tr>
        <w:trPr>
          <w:trHeight w:val="120"/>
        </w:trPr>
        <w:tc>
          <w:tcPr>
            <w:tcW w:w="2680" w:type="dxa"/>
            <w:vAlign w:val="bottom"/>
          </w:tcPr>
          <w:p>
            <w:pPr>
              <w:ind w:left="20"/>
              <w:spacing w:after="0"/>
              <w:rPr>
                <w:sz w:val="20"/>
                <w:szCs w:val="20"/>
                <w:color w:val="auto"/>
              </w:rPr>
            </w:pPr>
            <w:r>
              <w:rPr>
                <w:rFonts w:ascii="Arial" w:cs="Arial" w:eastAsia="Arial" w:hAnsi="Arial"/>
                <w:sz w:val="8"/>
                <w:szCs w:val="8"/>
                <w:i w:val="1"/>
                <w:iCs w:val="1"/>
                <w:color w:val="auto"/>
              </w:rPr>
              <w:t>Hub Acquisition Sub, LLC (dba Hub Pen)</w:t>
            </w:r>
          </w:p>
        </w:tc>
        <w:tc>
          <w:tcPr>
            <w:tcW w:w="3000" w:type="dxa"/>
            <w:vAlign w:val="bottom"/>
          </w:tcPr>
          <w:p>
            <w:pPr>
              <w:ind w:left="260"/>
              <w:spacing w:after="0"/>
              <w:rPr>
                <w:sz w:val="20"/>
                <w:szCs w:val="20"/>
                <w:color w:val="auto"/>
              </w:rPr>
            </w:pPr>
            <w:r>
              <w:rPr>
                <w:rFonts w:ascii="Arial" w:cs="Arial" w:eastAsia="Arial" w:hAnsi="Arial"/>
                <w:sz w:val="8"/>
                <w:szCs w:val="8"/>
                <w:color w:val="auto"/>
              </w:rPr>
              <w:t>Promotional products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4"/>
        </w:trPr>
        <w:tc>
          <w:tcPr>
            <w:tcW w:w="2680" w:type="dxa"/>
            <w:vAlign w:val="bottom"/>
            <w:shd w:val="clear" w:color="auto" w:fill="CFF0FC"/>
          </w:tcPr>
          <w:p>
            <w:pPr>
              <w:ind w:left="140"/>
              <w:spacing w:after="0"/>
              <w:rPr>
                <w:sz w:val="20"/>
                <w:szCs w:val="20"/>
                <w:color w:val="auto"/>
              </w:rPr>
            </w:pPr>
            <w:r>
              <w:rPr>
                <w:rFonts w:ascii="Arial" w:cs="Arial" w:eastAsia="Arial" w:hAnsi="Arial"/>
                <w:sz w:val="8"/>
                <w:szCs w:val="8"/>
                <w:color w:val="auto"/>
              </w:rPr>
              <w:t>Second Lien Debt (k)</w:t>
            </w:r>
          </w:p>
        </w:tc>
        <w:tc>
          <w:tcPr>
            <w:tcW w:w="3000" w:type="dxa"/>
            <w:vAlign w:val="bottom"/>
            <w:shd w:val="clear" w:color="auto" w:fill="CFF0FC"/>
          </w:tcPr>
          <w:p>
            <w:pPr>
              <w:spacing w:after="0"/>
              <w:rPr>
                <w:sz w:val="11"/>
                <w:szCs w:val="11"/>
                <w:color w:val="auto"/>
              </w:rPr>
            </w:pPr>
          </w:p>
        </w:tc>
        <w:tc>
          <w:tcPr>
            <w:tcW w:w="940" w:type="dxa"/>
            <w:vAlign w:val="bottom"/>
            <w:shd w:val="clear" w:color="auto" w:fill="CFF0FC"/>
          </w:tcPr>
          <w:p>
            <w:pPr>
              <w:ind w:left="220"/>
              <w:spacing w:after="0"/>
              <w:rPr>
                <w:sz w:val="20"/>
                <w:szCs w:val="20"/>
                <w:color w:val="auto"/>
              </w:rPr>
            </w:pPr>
            <w:r>
              <w:rPr>
                <w:rFonts w:ascii="Arial" w:cs="Arial" w:eastAsia="Arial" w:hAnsi="Arial"/>
                <w:sz w:val="8"/>
                <w:szCs w:val="8"/>
                <w:color w:val="auto"/>
              </w:rPr>
              <w:t>13.50%/0.00%</w:t>
            </w: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3/23/2016</w:t>
            </w:r>
          </w:p>
        </w:tc>
        <w:tc>
          <w:tcPr>
            <w:tcW w:w="980" w:type="dxa"/>
            <w:vAlign w:val="bottom"/>
            <w:shd w:val="clear" w:color="auto" w:fill="CFF0FC"/>
          </w:tcPr>
          <w:p>
            <w:pPr>
              <w:ind w:left="200"/>
              <w:spacing w:after="0"/>
              <w:rPr>
                <w:sz w:val="20"/>
                <w:szCs w:val="20"/>
                <w:color w:val="auto"/>
              </w:rPr>
            </w:pPr>
            <w:r>
              <w:rPr>
                <w:rFonts w:ascii="Arial" w:cs="Arial" w:eastAsia="Arial" w:hAnsi="Arial"/>
                <w:sz w:val="8"/>
                <w:szCs w:val="8"/>
                <w:color w:val="auto"/>
              </w:rPr>
              <w:t>3/31/2023</w:t>
            </w:r>
          </w:p>
        </w:tc>
        <w:tc>
          <w:tcPr>
            <w:tcW w:w="740" w:type="dxa"/>
            <w:vAlign w:val="bottom"/>
            <w:shd w:val="clear" w:color="auto" w:fill="CFF0FC"/>
          </w:tcPr>
          <w:p>
            <w:pPr>
              <w:jc w:val="right"/>
              <w:ind w:right="78"/>
              <w:spacing w:after="0"/>
              <w:rPr>
                <w:sz w:val="20"/>
                <w:szCs w:val="20"/>
                <w:color w:val="auto"/>
              </w:rPr>
            </w:pPr>
            <w:r>
              <w:rPr>
                <w:rFonts w:ascii="Arial" w:cs="Arial" w:eastAsia="Arial" w:hAnsi="Arial"/>
                <w:sz w:val="8"/>
                <w:szCs w:val="8"/>
                <w:color w:val="auto"/>
              </w:rPr>
              <w:t>25,000</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24,983</w:t>
            </w:r>
          </w:p>
        </w:tc>
        <w:tc>
          <w:tcPr>
            <w:tcW w:w="760" w:type="dxa"/>
            <w:vAlign w:val="bottom"/>
            <w:gridSpan w:val="2"/>
            <w:shd w:val="clear" w:color="auto" w:fill="CFF0FC"/>
          </w:tcPr>
          <w:p>
            <w:pPr>
              <w:jc w:val="right"/>
              <w:ind w:right="18"/>
              <w:spacing w:after="0"/>
              <w:rPr>
                <w:sz w:val="20"/>
                <w:szCs w:val="20"/>
                <w:color w:val="auto"/>
              </w:rPr>
            </w:pPr>
            <w:r>
              <w:rPr>
                <w:rFonts w:ascii="Arial" w:cs="Arial" w:eastAsia="Arial" w:hAnsi="Arial"/>
                <w:sz w:val="8"/>
                <w:szCs w:val="8"/>
                <w:color w:val="auto"/>
              </w:rPr>
              <w:t>22,396</w:t>
            </w:r>
          </w:p>
        </w:tc>
        <w:tc>
          <w:tcPr>
            <w:tcW w:w="660" w:type="dxa"/>
            <w:vAlign w:val="bottom"/>
            <w:shd w:val="clear" w:color="auto" w:fill="CFF0FC"/>
          </w:tcPr>
          <w:p>
            <w:pPr>
              <w:spacing w:after="0"/>
              <w:rPr>
                <w:sz w:val="11"/>
                <w:szCs w:val="11"/>
                <w:color w:val="auto"/>
              </w:rPr>
            </w:pPr>
          </w:p>
        </w:tc>
      </w:tr>
      <w:tr>
        <w:trPr>
          <w:trHeight w:val="120"/>
        </w:trPr>
        <w:tc>
          <w:tcPr>
            <w:tcW w:w="2680" w:type="dxa"/>
            <w:vAlign w:val="bottom"/>
          </w:tcPr>
          <w:p>
            <w:pPr>
              <w:ind w:left="140"/>
              <w:spacing w:after="0"/>
              <w:rPr>
                <w:sz w:val="20"/>
                <w:szCs w:val="20"/>
                <w:color w:val="auto"/>
              </w:rPr>
            </w:pPr>
            <w:r>
              <w:rPr>
                <w:rFonts w:ascii="Arial" w:cs="Arial" w:eastAsia="Arial" w:hAnsi="Arial"/>
                <w:sz w:val="8"/>
                <w:szCs w:val="8"/>
                <w:color w:val="auto"/>
              </w:rPr>
              <w:t>Common Equity (3,750 units)</w:t>
            </w:r>
          </w:p>
        </w:tc>
        <w:tc>
          <w:tcPr>
            <w:tcW w:w="3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3/23/2016</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127</w:t>
            </w:r>
          </w:p>
        </w:tc>
        <w:tc>
          <w:tcPr>
            <w:tcW w:w="100" w:type="dxa"/>
            <w:vAlign w:val="bottom"/>
          </w:tcPr>
          <w:p>
            <w:pPr>
              <w:spacing w:after="0"/>
              <w:rPr>
                <w:sz w:val="10"/>
                <w:szCs w:val="10"/>
                <w:color w:val="auto"/>
              </w:rPr>
            </w:pPr>
          </w:p>
        </w:tc>
        <w:tc>
          <w:tcPr>
            <w:tcW w:w="66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660" w:type="dxa"/>
            <w:vAlign w:val="bottom"/>
          </w:tcPr>
          <w:p>
            <w:pPr>
              <w:spacing w:after="0"/>
              <w:rPr>
                <w:sz w:val="10"/>
                <w:szCs w:val="10"/>
                <w:color w:val="auto"/>
              </w:rPr>
            </w:pPr>
          </w:p>
        </w:tc>
      </w:tr>
      <w:tr>
        <w:trPr>
          <w:trHeight w:val="133"/>
        </w:trPr>
        <w:tc>
          <w:tcPr>
            <w:tcW w:w="26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8"/>
                <w:szCs w:val="8"/>
                <w:color w:val="auto"/>
              </w:rPr>
              <w:t>Preferred Equity (868 units) (j)</w:t>
            </w:r>
          </w:p>
        </w:tc>
        <w:tc>
          <w:tcPr>
            <w:tcW w:w="300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8"/>
                <w:szCs w:val="8"/>
                <w:color w:val="auto"/>
              </w:rPr>
              <w:t>10/16/2020</w:t>
            </w:r>
          </w:p>
        </w:tc>
        <w:tc>
          <w:tcPr>
            <w:tcW w:w="98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153</w:t>
            </w:r>
          </w:p>
        </w:tc>
        <w:tc>
          <w:tcPr>
            <w:tcW w:w="1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8"/>
                <w:szCs w:val="8"/>
                <w:color w:val="auto"/>
              </w:rPr>
              <w:t>90</w:t>
            </w:r>
          </w:p>
        </w:tc>
        <w:tc>
          <w:tcPr>
            <w:tcW w:w="660" w:type="dxa"/>
            <w:vAlign w:val="bottom"/>
            <w:tcBorders>
              <w:bottom w:val="single" w:sz="8" w:color="CFF0FC"/>
            </w:tcBorders>
            <w:shd w:val="clear" w:color="auto" w:fill="CFF0FC"/>
          </w:tcPr>
          <w:p>
            <w:pPr>
              <w:spacing w:after="0"/>
              <w:rPr>
                <w:sz w:val="11"/>
                <w:szCs w:val="11"/>
                <w:color w:val="auto"/>
              </w:rPr>
            </w:pPr>
          </w:p>
        </w:tc>
      </w:tr>
      <w:tr>
        <w:trPr>
          <w:trHeight w:val="113"/>
        </w:trPr>
        <w:tc>
          <w:tcPr>
            <w:tcW w:w="26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25,263</w:t>
            </w:r>
          </w:p>
        </w:tc>
        <w:tc>
          <w:tcPr>
            <w:tcW w:w="760" w:type="dxa"/>
            <w:vAlign w:val="bottom"/>
            <w:gridSpan w:val="2"/>
          </w:tcPr>
          <w:p>
            <w:pPr>
              <w:jc w:val="right"/>
              <w:ind w:right="18"/>
              <w:spacing w:after="0"/>
              <w:rPr>
                <w:sz w:val="20"/>
                <w:szCs w:val="20"/>
                <w:color w:val="auto"/>
              </w:rPr>
            </w:pPr>
            <w:r>
              <w:rPr>
                <w:rFonts w:ascii="Arial" w:cs="Arial" w:eastAsia="Arial" w:hAnsi="Arial"/>
                <w:sz w:val="8"/>
                <w:szCs w:val="8"/>
                <w:color w:val="auto"/>
              </w:rPr>
              <w:t>22,486</w:t>
            </w:r>
          </w:p>
        </w:tc>
        <w:tc>
          <w:tcPr>
            <w:tcW w:w="660" w:type="dxa"/>
            <w:vAlign w:val="bottom"/>
          </w:tcPr>
          <w:p>
            <w:pPr>
              <w:jc w:val="right"/>
              <w:spacing w:after="0"/>
              <w:rPr>
                <w:sz w:val="20"/>
                <w:szCs w:val="20"/>
                <w:color w:val="auto"/>
              </w:rPr>
            </w:pPr>
            <w:r>
              <w:rPr>
                <w:rFonts w:ascii="Arial" w:cs="Arial" w:eastAsia="Arial" w:hAnsi="Arial"/>
                <w:sz w:val="8"/>
                <w:szCs w:val="8"/>
                <w:color w:val="auto"/>
              </w:rPr>
              <w:t>5 %</w:t>
            </w:r>
          </w:p>
        </w:tc>
      </w:tr>
      <w:tr>
        <w:trPr>
          <w:trHeight w:val="134"/>
        </w:trPr>
        <w:tc>
          <w:tcPr>
            <w:tcW w:w="2680" w:type="dxa"/>
            <w:vAlign w:val="bottom"/>
            <w:shd w:val="clear" w:color="auto" w:fill="CFF0FC"/>
          </w:tcPr>
          <w:p>
            <w:pPr>
              <w:ind w:left="20"/>
              <w:spacing w:after="0"/>
              <w:rPr>
                <w:sz w:val="20"/>
                <w:szCs w:val="20"/>
                <w:color w:val="auto"/>
              </w:rPr>
            </w:pPr>
            <w:r>
              <w:rPr>
                <w:rFonts w:ascii="Arial" w:cs="Arial" w:eastAsia="Arial" w:hAnsi="Arial"/>
                <w:sz w:val="8"/>
                <w:szCs w:val="8"/>
                <w:i w:val="1"/>
                <w:iCs w:val="1"/>
                <w:color w:val="auto"/>
              </w:rPr>
              <w:t>IBH Holdings, LLC (fka Inflexxion, Inc.)</w:t>
            </w:r>
          </w:p>
        </w:tc>
        <w:tc>
          <w:tcPr>
            <w:tcW w:w="3000" w:type="dxa"/>
            <w:vAlign w:val="bottom"/>
            <w:shd w:val="clear" w:color="auto" w:fill="CFF0FC"/>
          </w:tcPr>
          <w:p>
            <w:pPr>
              <w:ind w:left="260"/>
              <w:spacing w:after="0"/>
              <w:rPr>
                <w:sz w:val="20"/>
                <w:szCs w:val="20"/>
                <w:color w:val="auto"/>
              </w:rPr>
            </w:pPr>
            <w:r>
              <w:rPr>
                <w:rFonts w:ascii="Arial" w:cs="Arial" w:eastAsia="Arial" w:hAnsi="Arial"/>
                <w:sz w:val="8"/>
                <w:szCs w:val="8"/>
                <w:color w:val="auto"/>
              </w:rPr>
              <w:t>Business Services</w:t>
            </w: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680" w:type="dxa"/>
            <w:vAlign w:val="bottom"/>
          </w:tcPr>
          <w:p>
            <w:pPr>
              <w:ind w:left="140"/>
              <w:spacing w:after="0"/>
              <w:rPr>
                <w:sz w:val="20"/>
                <w:szCs w:val="20"/>
                <w:color w:val="auto"/>
              </w:rPr>
            </w:pPr>
            <w:r>
              <w:rPr>
                <w:rFonts w:ascii="Arial" w:cs="Arial" w:eastAsia="Arial" w:hAnsi="Arial"/>
                <w:sz w:val="8"/>
                <w:szCs w:val="8"/>
                <w:color w:val="auto"/>
              </w:rPr>
              <w:t>Common Equity (150,000 units)</w:t>
            </w:r>
          </w:p>
        </w:tc>
        <w:tc>
          <w:tcPr>
            <w:tcW w:w="3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6/20/2018</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18"/>
              <w:spacing w:after="0"/>
              <w:rPr>
                <w:sz w:val="20"/>
                <w:szCs w:val="20"/>
                <w:color w:val="auto"/>
              </w:rPr>
            </w:pPr>
            <w:r>
              <w:rPr>
                <w:rFonts w:ascii="Arial" w:cs="Arial" w:eastAsia="Arial" w:hAnsi="Arial"/>
                <w:sz w:val="8"/>
                <w:szCs w:val="8"/>
                <w:color w:val="auto"/>
              </w:rPr>
              <w:t>311</w:t>
            </w:r>
          </w:p>
        </w:tc>
        <w:tc>
          <w:tcPr>
            <w:tcW w:w="660" w:type="dxa"/>
            <w:vAlign w:val="bottom"/>
          </w:tcPr>
          <w:p>
            <w:pPr>
              <w:jc w:val="right"/>
              <w:spacing w:after="0"/>
              <w:rPr>
                <w:sz w:val="20"/>
                <w:szCs w:val="20"/>
                <w:color w:val="auto"/>
              </w:rPr>
            </w:pPr>
            <w:r>
              <w:rPr>
                <w:rFonts w:ascii="Arial" w:cs="Arial" w:eastAsia="Arial" w:hAnsi="Arial"/>
                <w:sz w:val="8"/>
                <w:szCs w:val="8"/>
                <w:color w:val="auto"/>
              </w:rPr>
              <w:t>0 %</w:t>
            </w:r>
          </w:p>
        </w:tc>
      </w:tr>
      <w:tr>
        <w:trPr>
          <w:trHeight w:val="134"/>
        </w:trPr>
        <w:tc>
          <w:tcPr>
            <w:tcW w:w="2680" w:type="dxa"/>
            <w:vAlign w:val="bottom"/>
            <w:shd w:val="clear" w:color="auto" w:fill="CFF0FC"/>
          </w:tcPr>
          <w:p>
            <w:pPr>
              <w:spacing w:after="0"/>
              <w:rPr>
                <w:sz w:val="11"/>
                <w:szCs w:val="11"/>
                <w:color w:val="auto"/>
              </w:rPr>
            </w:pPr>
          </w:p>
        </w:tc>
        <w:tc>
          <w:tcPr>
            <w:tcW w:w="30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680" w:type="dxa"/>
            <w:vAlign w:val="bottom"/>
          </w:tcPr>
          <w:p>
            <w:pPr>
              <w:ind w:left="20"/>
              <w:spacing w:after="0"/>
              <w:rPr>
                <w:sz w:val="20"/>
                <w:szCs w:val="20"/>
                <w:color w:val="auto"/>
              </w:rPr>
            </w:pPr>
            <w:r>
              <w:rPr>
                <w:rFonts w:ascii="Arial" w:cs="Arial" w:eastAsia="Arial" w:hAnsi="Arial"/>
                <w:sz w:val="8"/>
                <w:szCs w:val="8"/>
                <w:i w:val="1"/>
                <w:iCs w:val="1"/>
                <w:color w:val="auto"/>
              </w:rPr>
              <w:t>Ipro Tech, LLC</w:t>
            </w:r>
          </w:p>
        </w:tc>
        <w:tc>
          <w:tcPr>
            <w:tcW w:w="3000" w:type="dxa"/>
            <w:vAlign w:val="bottom"/>
          </w:tcPr>
          <w:p>
            <w:pPr>
              <w:ind w:left="260"/>
              <w:spacing w:after="0"/>
              <w:rPr>
                <w:sz w:val="20"/>
                <w:szCs w:val="20"/>
                <w:color w:val="auto"/>
              </w:rPr>
            </w:pPr>
            <w:r>
              <w:rPr>
                <w:rFonts w:ascii="Arial" w:cs="Arial" w:eastAsia="Arial" w:hAnsi="Arial"/>
                <w:sz w:val="8"/>
                <w:szCs w:val="8"/>
                <w:color w:val="auto"/>
              </w:rPr>
              <w:t>Information Technology Services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4"/>
        </w:trPr>
        <w:tc>
          <w:tcPr>
            <w:tcW w:w="2680" w:type="dxa"/>
            <w:vAlign w:val="bottom"/>
            <w:shd w:val="clear" w:color="auto" w:fill="CFF0FC"/>
          </w:tcPr>
          <w:p>
            <w:pPr>
              <w:ind w:left="140"/>
              <w:spacing w:after="0"/>
              <w:rPr>
                <w:sz w:val="20"/>
                <w:szCs w:val="20"/>
                <w:color w:val="auto"/>
              </w:rPr>
            </w:pPr>
            <w:r>
              <w:rPr>
                <w:rFonts w:ascii="Arial" w:cs="Arial" w:eastAsia="Arial" w:hAnsi="Arial"/>
                <w:sz w:val="8"/>
                <w:szCs w:val="8"/>
                <w:color w:val="auto"/>
              </w:rPr>
              <w:t>First Lien Debt (j)(u)</w:t>
            </w:r>
          </w:p>
        </w:tc>
        <w:tc>
          <w:tcPr>
            <w:tcW w:w="3000" w:type="dxa"/>
            <w:vAlign w:val="bottom"/>
            <w:shd w:val="clear" w:color="auto" w:fill="CFF0FC"/>
          </w:tcPr>
          <w:p>
            <w:pPr>
              <w:ind w:left="2000"/>
              <w:spacing w:after="0"/>
              <w:rPr>
                <w:sz w:val="20"/>
                <w:szCs w:val="20"/>
                <w:color w:val="auto"/>
              </w:rPr>
            </w:pPr>
            <w:r>
              <w:rPr>
                <w:rFonts w:ascii="Arial" w:cs="Arial" w:eastAsia="Arial" w:hAnsi="Arial"/>
                <w:sz w:val="8"/>
                <w:szCs w:val="8"/>
                <w:color w:val="auto"/>
              </w:rPr>
              <w:t>(L + 7.00%) / (1.00%)</w:t>
            </w:r>
          </w:p>
        </w:tc>
        <w:tc>
          <w:tcPr>
            <w:tcW w:w="940" w:type="dxa"/>
            <w:vAlign w:val="bottom"/>
            <w:shd w:val="clear" w:color="auto" w:fill="CFF0FC"/>
          </w:tcPr>
          <w:p>
            <w:pPr>
              <w:ind w:left="220"/>
              <w:spacing w:after="0"/>
              <w:rPr>
                <w:sz w:val="20"/>
                <w:szCs w:val="20"/>
                <w:color w:val="auto"/>
              </w:rPr>
            </w:pPr>
            <w:r>
              <w:rPr>
                <w:rFonts w:ascii="Arial" w:cs="Arial" w:eastAsia="Arial" w:hAnsi="Arial"/>
                <w:sz w:val="8"/>
                <w:szCs w:val="8"/>
                <w:color w:val="auto"/>
              </w:rPr>
              <w:t>8.00%/1.00%</w:t>
            </w: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6/30/2020</w:t>
            </w:r>
          </w:p>
        </w:tc>
        <w:tc>
          <w:tcPr>
            <w:tcW w:w="980" w:type="dxa"/>
            <w:vAlign w:val="bottom"/>
            <w:shd w:val="clear" w:color="auto" w:fill="CFF0FC"/>
          </w:tcPr>
          <w:p>
            <w:pPr>
              <w:ind w:left="200"/>
              <w:spacing w:after="0"/>
              <w:rPr>
                <w:sz w:val="20"/>
                <w:szCs w:val="20"/>
                <w:color w:val="auto"/>
              </w:rPr>
            </w:pPr>
            <w:r>
              <w:rPr>
                <w:rFonts w:ascii="Arial" w:cs="Arial" w:eastAsia="Arial" w:hAnsi="Arial"/>
                <w:sz w:val="8"/>
                <w:szCs w:val="8"/>
                <w:color w:val="auto"/>
              </w:rPr>
              <w:t>7/28/2025</w:t>
            </w:r>
          </w:p>
        </w:tc>
        <w:tc>
          <w:tcPr>
            <w:tcW w:w="740" w:type="dxa"/>
            <w:vAlign w:val="bottom"/>
            <w:shd w:val="clear" w:color="auto" w:fill="CFF0FC"/>
          </w:tcPr>
          <w:p>
            <w:pPr>
              <w:jc w:val="right"/>
              <w:ind w:right="78"/>
              <w:spacing w:after="0"/>
              <w:rPr>
                <w:sz w:val="20"/>
                <w:szCs w:val="20"/>
                <w:color w:val="auto"/>
              </w:rPr>
            </w:pPr>
            <w:r>
              <w:rPr>
                <w:rFonts w:ascii="Arial" w:cs="Arial" w:eastAsia="Arial" w:hAnsi="Arial"/>
                <w:sz w:val="8"/>
                <w:szCs w:val="8"/>
                <w:color w:val="auto"/>
              </w:rPr>
              <w:t>19,282</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18,265</w:t>
            </w:r>
          </w:p>
        </w:tc>
        <w:tc>
          <w:tcPr>
            <w:tcW w:w="760" w:type="dxa"/>
            <w:vAlign w:val="bottom"/>
            <w:gridSpan w:val="2"/>
            <w:shd w:val="clear" w:color="auto" w:fill="CFF0FC"/>
          </w:tcPr>
          <w:p>
            <w:pPr>
              <w:jc w:val="right"/>
              <w:ind w:right="18"/>
              <w:spacing w:after="0"/>
              <w:rPr>
                <w:sz w:val="20"/>
                <w:szCs w:val="20"/>
                <w:color w:val="auto"/>
              </w:rPr>
            </w:pPr>
            <w:r>
              <w:rPr>
                <w:rFonts w:ascii="Arial" w:cs="Arial" w:eastAsia="Arial" w:hAnsi="Arial"/>
                <w:sz w:val="8"/>
                <w:szCs w:val="8"/>
                <w:color w:val="auto"/>
              </w:rPr>
              <w:t>19,282</w:t>
            </w:r>
          </w:p>
        </w:tc>
        <w:tc>
          <w:tcPr>
            <w:tcW w:w="660" w:type="dxa"/>
            <w:vAlign w:val="bottom"/>
            <w:shd w:val="clear" w:color="auto" w:fill="CFF0FC"/>
          </w:tcPr>
          <w:p>
            <w:pPr>
              <w:spacing w:after="0"/>
              <w:rPr>
                <w:sz w:val="11"/>
                <w:szCs w:val="11"/>
                <w:color w:val="auto"/>
              </w:rPr>
            </w:pPr>
          </w:p>
        </w:tc>
      </w:tr>
      <w:tr>
        <w:trPr>
          <w:trHeight w:val="126"/>
        </w:trPr>
        <w:tc>
          <w:tcPr>
            <w:tcW w:w="2680" w:type="dxa"/>
            <w:vAlign w:val="bottom"/>
          </w:tcPr>
          <w:p>
            <w:pPr>
              <w:ind w:left="140"/>
              <w:spacing w:after="0"/>
              <w:rPr>
                <w:sz w:val="20"/>
                <w:szCs w:val="20"/>
                <w:color w:val="auto"/>
              </w:rPr>
            </w:pPr>
            <w:r>
              <w:rPr>
                <w:rFonts w:ascii="Arial" w:cs="Arial" w:eastAsia="Arial" w:hAnsi="Arial"/>
                <w:sz w:val="8"/>
                <w:szCs w:val="8"/>
                <w:color w:val="auto"/>
              </w:rPr>
              <w:t>Preferred Equity (j)</w:t>
            </w:r>
          </w:p>
        </w:tc>
        <w:tc>
          <w:tcPr>
            <w:tcW w:w="3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7/28/2021</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682</w:t>
            </w:r>
          </w:p>
        </w:tc>
        <w:tc>
          <w:tcPr>
            <w:tcW w:w="100" w:type="dxa"/>
            <w:vAlign w:val="bottom"/>
          </w:tcPr>
          <w:p>
            <w:pPr>
              <w:spacing w:after="0"/>
              <w:rPr>
                <w:sz w:val="10"/>
                <w:szCs w:val="10"/>
                <w:color w:val="auto"/>
              </w:rPr>
            </w:pP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682</w:t>
            </w:r>
          </w:p>
        </w:tc>
        <w:tc>
          <w:tcPr>
            <w:tcW w:w="660" w:type="dxa"/>
            <w:vAlign w:val="bottom"/>
          </w:tcPr>
          <w:p>
            <w:pPr>
              <w:spacing w:after="0"/>
              <w:rPr>
                <w:sz w:val="10"/>
                <w:szCs w:val="10"/>
                <w:color w:val="auto"/>
              </w:rPr>
            </w:pPr>
          </w:p>
        </w:tc>
      </w:tr>
      <w:tr>
        <w:trPr>
          <w:trHeight w:val="120"/>
        </w:trPr>
        <w:tc>
          <w:tcPr>
            <w:tcW w:w="2680" w:type="dxa"/>
            <w:vAlign w:val="bottom"/>
            <w:shd w:val="clear" w:color="auto" w:fill="CFF0FC"/>
          </w:tcPr>
          <w:p>
            <w:pPr>
              <w:spacing w:after="0"/>
              <w:rPr>
                <w:sz w:val="10"/>
                <w:szCs w:val="10"/>
                <w:color w:val="auto"/>
              </w:rPr>
            </w:pPr>
          </w:p>
        </w:tc>
        <w:tc>
          <w:tcPr>
            <w:tcW w:w="30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18,947</w:t>
            </w:r>
          </w:p>
        </w:tc>
        <w:tc>
          <w:tcPr>
            <w:tcW w:w="760" w:type="dxa"/>
            <w:vAlign w:val="bottom"/>
            <w:gridSpan w:val="2"/>
            <w:shd w:val="clear" w:color="auto" w:fill="CFF0FC"/>
          </w:tcPr>
          <w:p>
            <w:pPr>
              <w:jc w:val="right"/>
              <w:ind w:right="18"/>
              <w:spacing w:after="0"/>
              <w:rPr>
                <w:sz w:val="20"/>
                <w:szCs w:val="20"/>
                <w:color w:val="auto"/>
              </w:rPr>
            </w:pPr>
            <w:r>
              <w:rPr>
                <w:rFonts w:ascii="Arial" w:cs="Arial" w:eastAsia="Arial" w:hAnsi="Arial"/>
                <w:sz w:val="8"/>
                <w:szCs w:val="8"/>
                <w:color w:val="auto"/>
              </w:rPr>
              <w:t>19,964</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5 %</w:t>
            </w:r>
          </w:p>
        </w:tc>
      </w:tr>
      <w:tr>
        <w:trPr>
          <w:trHeight w:val="120"/>
        </w:trPr>
        <w:tc>
          <w:tcPr>
            <w:tcW w:w="2680" w:type="dxa"/>
            <w:vAlign w:val="bottom"/>
          </w:tcPr>
          <w:p>
            <w:pPr>
              <w:ind w:left="20"/>
              <w:spacing w:after="0"/>
              <w:rPr>
                <w:sz w:val="20"/>
                <w:szCs w:val="20"/>
                <w:color w:val="auto"/>
              </w:rPr>
            </w:pPr>
            <w:r>
              <w:rPr>
                <w:rFonts w:ascii="Arial" w:cs="Arial" w:eastAsia="Arial" w:hAnsi="Arial"/>
                <w:sz w:val="8"/>
                <w:szCs w:val="8"/>
                <w:i w:val="1"/>
                <w:iCs w:val="1"/>
                <w:color w:val="auto"/>
              </w:rPr>
              <w:t>ISI PSG Holdings, LLC (dba Incentive Solutions, Inc.)</w:t>
            </w:r>
          </w:p>
        </w:tc>
        <w:tc>
          <w:tcPr>
            <w:tcW w:w="3000" w:type="dxa"/>
            <w:vAlign w:val="bottom"/>
          </w:tcPr>
          <w:p>
            <w:pPr>
              <w:ind w:left="260"/>
              <w:spacing w:after="0"/>
              <w:rPr>
                <w:sz w:val="20"/>
                <w:szCs w:val="20"/>
                <w:color w:val="auto"/>
              </w:rPr>
            </w:pPr>
            <w:r>
              <w:rPr>
                <w:rFonts w:ascii="Arial" w:cs="Arial" w:eastAsia="Arial" w:hAnsi="Arial"/>
                <w:sz w:val="8"/>
                <w:szCs w:val="8"/>
                <w:color w:val="auto"/>
              </w:rPr>
              <w:t>Business Services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4"/>
        </w:trPr>
        <w:tc>
          <w:tcPr>
            <w:tcW w:w="2680" w:type="dxa"/>
            <w:vAlign w:val="bottom"/>
            <w:shd w:val="clear" w:color="auto" w:fill="CFF0FC"/>
          </w:tcPr>
          <w:p>
            <w:pPr>
              <w:ind w:left="140"/>
              <w:spacing w:after="0"/>
              <w:rPr>
                <w:sz w:val="20"/>
                <w:szCs w:val="20"/>
                <w:color w:val="auto"/>
              </w:rPr>
            </w:pPr>
            <w:r>
              <w:rPr>
                <w:rFonts w:ascii="Arial" w:cs="Arial" w:eastAsia="Arial" w:hAnsi="Arial"/>
                <w:sz w:val="8"/>
                <w:szCs w:val="8"/>
                <w:color w:val="auto"/>
              </w:rPr>
              <w:t>First Lien Debt (j)(aj)</w:t>
            </w:r>
          </w:p>
        </w:tc>
        <w:tc>
          <w:tcPr>
            <w:tcW w:w="3000" w:type="dxa"/>
            <w:vAlign w:val="bottom"/>
            <w:shd w:val="clear" w:color="auto" w:fill="CFF0FC"/>
          </w:tcPr>
          <w:p>
            <w:pPr>
              <w:ind w:left="2000"/>
              <w:spacing w:after="0"/>
              <w:rPr>
                <w:sz w:val="20"/>
                <w:szCs w:val="20"/>
                <w:color w:val="auto"/>
              </w:rPr>
            </w:pPr>
            <w:r>
              <w:rPr>
                <w:rFonts w:ascii="Arial" w:cs="Arial" w:eastAsia="Arial" w:hAnsi="Arial"/>
                <w:sz w:val="8"/>
                <w:szCs w:val="8"/>
                <w:color w:val="auto"/>
              </w:rPr>
              <w:t>(L + 7.50%) / (0.50%)</w:t>
            </w:r>
          </w:p>
        </w:tc>
        <w:tc>
          <w:tcPr>
            <w:tcW w:w="940" w:type="dxa"/>
            <w:vAlign w:val="bottom"/>
            <w:shd w:val="clear" w:color="auto" w:fill="CFF0FC"/>
          </w:tcPr>
          <w:p>
            <w:pPr>
              <w:ind w:left="220"/>
              <w:spacing w:after="0"/>
              <w:rPr>
                <w:sz w:val="20"/>
                <w:szCs w:val="20"/>
                <w:color w:val="auto"/>
              </w:rPr>
            </w:pPr>
            <w:r>
              <w:rPr>
                <w:rFonts w:ascii="Arial" w:cs="Arial" w:eastAsia="Arial" w:hAnsi="Arial"/>
                <w:sz w:val="8"/>
                <w:szCs w:val="8"/>
                <w:color w:val="auto"/>
              </w:rPr>
              <w:t>8.00%/0.00%</w:t>
            </w: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4/5/2021</w:t>
            </w:r>
          </w:p>
        </w:tc>
        <w:tc>
          <w:tcPr>
            <w:tcW w:w="980" w:type="dxa"/>
            <w:vAlign w:val="bottom"/>
            <w:shd w:val="clear" w:color="auto" w:fill="CFF0FC"/>
          </w:tcPr>
          <w:p>
            <w:pPr>
              <w:ind w:left="200"/>
              <w:spacing w:after="0"/>
              <w:rPr>
                <w:sz w:val="20"/>
                <w:szCs w:val="20"/>
                <w:color w:val="auto"/>
              </w:rPr>
            </w:pPr>
            <w:r>
              <w:rPr>
                <w:rFonts w:ascii="Arial" w:cs="Arial" w:eastAsia="Arial" w:hAnsi="Arial"/>
                <w:sz w:val="8"/>
                <w:szCs w:val="8"/>
                <w:color w:val="auto"/>
              </w:rPr>
              <w:t>4/5/2026</w:t>
            </w:r>
          </w:p>
        </w:tc>
        <w:tc>
          <w:tcPr>
            <w:tcW w:w="740" w:type="dxa"/>
            <w:vAlign w:val="bottom"/>
            <w:shd w:val="clear" w:color="auto" w:fill="CFF0FC"/>
          </w:tcPr>
          <w:p>
            <w:pPr>
              <w:jc w:val="right"/>
              <w:ind w:right="78"/>
              <w:spacing w:after="0"/>
              <w:rPr>
                <w:sz w:val="20"/>
                <w:szCs w:val="20"/>
                <w:color w:val="auto"/>
              </w:rPr>
            </w:pPr>
            <w:r>
              <w:rPr>
                <w:rFonts w:ascii="Arial" w:cs="Arial" w:eastAsia="Arial" w:hAnsi="Arial"/>
                <w:sz w:val="8"/>
                <w:szCs w:val="8"/>
                <w:color w:val="auto"/>
              </w:rPr>
              <w:t>11,428</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11,343</w:t>
            </w:r>
          </w:p>
        </w:tc>
        <w:tc>
          <w:tcPr>
            <w:tcW w:w="760" w:type="dxa"/>
            <w:vAlign w:val="bottom"/>
            <w:gridSpan w:val="2"/>
            <w:shd w:val="clear" w:color="auto" w:fill="CFF0FC"/>
          </w:tcPr>
          <w:p>
            <w:pPr>
              <w:jc w:val="right"/>
              <w:ind w:right="18"/>
              <w:spacing w:after="0"/>
              <w:rPr>
                <w:sz w:val="20"/>
                <w:szCs w:val="20"/>
                <w:color w:val="auto"/>
              </w:rPr>
            </w:pPr>
            <w:r>
              <w:rPr>
                <w:rFonts w:ascii="Arial" w:cs="Arial" w:eastAsia="Arial" w:hAnsi="Arial"/>
                <w:sz w:val="8"/>
                <w:szCs w:val="8"/>
                <w:color w:val="auto"/>
              </w:rPr>
              <w:t>11,343</w:t>
            </w:r>
          </w:p>
        </w:tc>
        <w:tc>
          <w:tcPr>
            <w:tcW w:w="660" w:type="dxa"/>
            <w:vAlign w:val="bottom"/>
            <w:shd w:val="clear" w:color="auto" w:fill="CFF0FC"/>
          </w:tcPr>
          <w:p>
            <w:pPr>
              <w:spacing w:after="0"/>
              <w:rPr>
                <w:sz w:val="11"/>
                <w:szCs w:val="11"/>
                <w:color w:val="auto"/>
              </w:rPr>
            </w:pPr>
          </w:p>
        </w:tc>
      </w:tr>
      <w:tr>
        <w:trPr>
          <w:trHeight w:val="120"/>
        </w:trPr>
        <w:tc>
          <w:tcPr>
            <w:tcW w:w="2680" w:type="dxa"/>
            <w:vAlign w:val="bottom"/>
          </w:tcPr>
          <w:p>
            <w:pPr>
              <w:ind w:left="140"/>
              <w:spacing w:after="0"/>
              <w:rPr>
                <w:sz w:val="20"/>
                <w:szCs w:val="20"/>
                <w:color w:val="auto"/>
              </w:rPr>
            </w:pPr>
            <w:r>
              <w:rPr>
                <w:rFonts w:ascii="Arial" w:cs="Arial" w:eastAsia="Arial" w:hAnsi="Arial"/>
                <w:sz w:val="8"/>
                <w:szCs w:val="8"/>
                <w:color w:val="auto"/>
              </w:rPr>
              <w:t>First Lien Debt (j)(an)</w:t>
            </w:r>
          </w:p>
        </w:tc>
        <w:tc>
          <w:tcPr>
            <w:tcW w:w="3000" w:type="dxa"/>
            <w:vAlign w:val="bottom"/>
          </w:tcPr>
          <w:p>
            <w:pPr>
              <w:ind w:left="2000"/>
              <w:spacing w:after="0"/>
              <w:rPr>
                <w:sz w:val="20"/>
                <w:szCs w:val="20"/>
                <w:color w:val="auto"/>
              </w:rPr>
            </w:pPr>
            <w:r>
              <w:rPr>
                <w:rFonts w:ascii="Arial" w:cs="Arial" w:eastAsia="Arial" w:hAnsi="Arial"/>
                <w:sz w:val="8"/>
                <w:szCs w:val="8"/>
                <w:color w:val="auto"/>
              </w:rPr>
              <w:t>(L + 7.50%) / (0.50%)</w:t>
            </w:r>
          </w:p>
        </w:tc>
        <w:tc>
          <w:tcPr>
            <w:tcW w:w="940" w:type="dxa"/>
            <w:vAlign w:val="bottom"/>
          </w:tcPr>
          <w:p>
            <w:pPr>
              <w:ind w:left="220"/>
              <w:spacing w:after="0"/>
              <w:rPr>
                <w:sz w:val="20"/>
                <w:szCs w:val="20"/>
                <w:color w:val="auto"/>
              </w:rPr>
            </w:pPr>
            <w:r>
              <w:rPr>
                <w:rFonts w:ascii="Arial" w:cs="Arial" w:eastAsia="Arial" w:hAnsi="Arial"/>
                <w:sz w:val="8"/>
                <w:szCs w:val="8"/>
                <w:color w:val="auto"/>
              </w:rPr>
              <w:t>8.00%/0.00%</w:t>
            </w:r>
          </w:p>
        </w:tc>
        <w:tc>
          <w:tcPr>
            <w:tcW w:w="820" w:type="dxa"/>
            <w:vAlign w:val="bottom"/>
          </w:tcPr>
          <w:p>
            <w:pPr>
              <w:ind w:left="220"/>
              <w:spacing w:after="0"/>
              <w:rPr>
                <w:sz w:val="20"/>
                <w:szCs w:val="20"/>
                <w:color w:val="auto"/>
              </w:rPr>
            </w:pPr>
            <w:r>
              <w:rPr>
                <w:rFonts w:ascii="Arial" w:cs="Arial" w:eastAsia="Arial" w:hAnsi="Arial"/>
                <w:sz w:val="8"/>
                <w:szCs w:val="8"/>
                <w:color w:val="auto"/>
              </w:rPr>
              <w:t>6/30/2021</w:t>
            </w:r>
          </w:p>
        </w:tc>
        <w:tc>
          <w:tcPr>
            <w:tcW w:w="980" w:type="dxa"/>
            <w:vAlign w:val="bottom"/>
          </w:tcPr>
          <w:p>
            <w:pPr>
              <w:ind w:left="200"/>
              <w:spacing w:after="0"/>
              <w:rPr>
                <w:sz w:val="20"/>
                <w:szCs w:val="20"/>
                <w:color w:val="auto"/>
              </w:rPr>
            </w:pPr>
            <w:r>
              <w:rPr>
                <w:rFonts w:ascii="Arial" w:cs="Arial" w:eastAsia="Arial" w:hAnsi="Arial"/>
                <w:sz w:val="8"/>
                <w:szCs w:val="8"/>
                <w:color w:val="auto"/>
              </w:rPr>
              <w:t>4/5/2026</w:t>
            </w:r>
          </w:p>
        </w:tc>
        <w:tc>
          <w:tcPr>
            <w:tcW w:w="740" w:type="dxa"/>
            <w:vAlign w:val="bottom"/>
          </w:tcPr>
          <w:p>
            <w:pPr>
              <w:jc w:val="right"/>
              <w:ind w:right="78"/>
              <w:spacing w:after="0"/>
              <w:rPr>
                <w:sz w:val="20"/>
                <w:szCs w:val="20"/>
                <w:color w:val="auto"/>
              </w:rPr>
            </w:pPr>
            <w:r>
              <w:rPr>
                <w:rFonts w:ascii="Arial" w:cs="Arial" w:eastAsia="Arial" w:hAnsi="Arial"/>
                <w:sz w:val="8"/>
                <w:szCs w:val="8"/>
                <w:color w:val="auto"/>
              </w:rPr>
              <w:t>13,416</w:t>
            </w:r>
          </w:p>
        </w:tc>
        <w:tc>
          <w:tcPr>
            <w:tcW w:w="660" w:type="dxa"/>
            <w:vAlign w:val="bottom"/>
          </w:tcPr>
          <w:p>
            <w:pPr>
              <w:jc w:val="right"/>
              <w:spacing w:after="0"/>
              <w:rPr>
                <w:sz w:val="20"/>
                <w:szCs w:val="20"/>
                <w:color w:val="auto"/>
              </w:rPr>
            </w:pPr>
            <w:r>
              <w:rPr>
                <w:rFonts w:ascii="Arial" w:cs="Arial" w:eastAsia="Arial" w:hAnsi="Arial"/>
                <w:sz w:val="8"/>
                <w:szCs w:val="8"/>
                <w:color w:val="auto"/>
              </w:rPr>
              <w:t>13,416</w:t>
            </w:r>
          </w:p>
        </w:tc>
        <w:tc>
          <w:tcPr>
            <w:tcW w:w="760" w:type="dxa"/>
            <w:vAlign w:val="bottom"/>
            <w:gridSpan w:val="2"/>
          </w:tcPr>
          <w:p>
            <w:pPr>
              <w:jc w:val="right"/>
              <w:ind w:right="18"/>
              <w:spacing w:after="0"/>
              <w:rPr>
                <w:sz w:val="20"/>
                <w:szCs w:val="20"/>
                <w:color w:val="auto"/>
              </w:rPr>
            </w:pPr>
            <w:r>
              <w:rPr>
                <w:rFonts w:ascii="Arial" w:cs="Arial" w:eastAsia="Arial" w:hAnsi="Arial"/>
                <w:sz w:val="8"/>
                <w:szCs w:val="8"/>
                <w:color w:val="auto"/>
              </w:rPr>
              <w:t>13,416</w:t>
            </w:r>
          </w:p>
        </w:tc>
        <w:tc>
          <w:tcPr>
            <w:tcW w:w="660" w:type="dxa"/>
            <w:vAlign w:val="bottom"/>
          </w:tcPr>
          <w:p>
            <w:pPr>
              <w:spacing w:after="0"/>
              <w:rPr>
                <w:sz w:val="10"/>
                <w:szCs w:val="10"/>
                <w:color w:val="auto"/>
              </w:rPr>
            </w:pPr>
          </w:p>
        </w:tc>
      </w:tr>
      <w:tr>
        <w:trPr>
          <w:trHeight w:val="133"/>
        </w:trPr>
        <w:tc>
          <w:tcPr>
            <w:tcW w:w="26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8"/>
                <w:szCs w:val="8"/>
                <w:color w:val="auto"/>
              </w:rPr>
              <w:t>Common Equity (256,964 units) (h)(j)</w:t>
            </w:r>
          </w:p>
        </w:tc>
        <w:tc>
          <w:tcPr>
            <w:tcW w:w="300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8"/>
                <w:szCs w:val="8"/>
                <w:color w:val="auto"/>
              </w:rPr>
              <w:t>4/5/2021</w:t>
            </w:r>
          </w:p>
        </w:tc>
        <w:tc>
          <w:tcPr>
            <w:tcW w:w="98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500</w:t>
            </w:r>
          </w:p>
        </w:tc>
        <w:tc>
          <w:tcPr>
            <w:tcW w:w="1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8"/>
                <w:szCs w:val="8"/>
                <w:color w:val="auto"/>
              </w:rPr>
              <w:t>500</w:t>
            </w:r>
          </w:p>
        </w:tc>
        <w:tc>
          <w:tcPr>
            <w:tcW w:w="660" w:type="dxa"/>
            <w:vAlign w:val="bottom"/>
            <w:tcBorders>
              <w:bottom w:val="single" w:sz="8" w:color="CFF0FC"/>
            </w:tcBorders>
            <w:shd w:val="clear" w:color="auto" w:fill="CFF0FC"/>
          </w:tcPr>
          <w:p>
            <w:pPr>
              <w:spacing w:after="0"/>
              <w:rPr>
                <w:sz w:val="11"/>
                <w:szCs w:val="11"/>
                <w:color w:val="auto"/>
              </w:rPr>
            </w:pPr>
          </w:p>
        </w:tc>
      </w:tr>
      <w:tr>
        <w:trPr>
          <w:trHeight w:val="113"/>
        </w:trPr>
        <w:tc>
          <w:tcPr>
            <w:tcW w:w="26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25,259</w:t>
            </w:r>
          </w:p>
        </w:tc>
        <w:tc>
          <w:tcPr>
            <w:tcW w:w="760" w:type="dxa"/>
            <w:vAlign w:val="bottom"/>
            <w:gridSpan w:val="2"/>
          </w:tcPr>
          <w:p>
            <w:pPr>
              <w:jc w:val="right"/>
              <w:ind w:right="18"/>
              <w:spacing w:after="0"/>
              <w:rPr>
                <w:sz w:val="20"/>
                <w:szCs w:val="20"/>
                <w:color w:val="auto"/>
              </w:rPr>
            </w:pPr>
            <w:r>
              <w:rPr>
                <w:rFonts w:ascii="Arial" w:cs="Arial" w:eastAsia="Arial" w:hAnsi="Arial"/>
                <w:sz w:val="8"/>
                <w:szCs w:val="8"/>
                <w:color w:val="auto"/>
              </w:rPr>
              <w:t>25,259</w:t>
            </w:r>
          </w:p>
        </w:tc>
        <w:tc>
          <w:tcPr>
            <w:tcW w:w="660" w:type="dxa"/>
            <w:vAlign w:val="bottom"/>
          </w:tcPr>
          <w:p>
            <w:pPr>
              <w:jc w:val="right"/>
              <w:spacing w:after="0"/>
              <w:rPr>
                <w:sz w:val="20"/>
                <w:szCs w:val="20"/>
                <w:color w:val="auto"/>
              </w:rPr>
            </w:pPr>
            <w:r>
              <w:rPr>
                <w:rFonts w:ascii="Arial" w:cs="Arial" w:eastAsia="Arial" w:hAnsi="Arial"/>
                <w:sz w:val="8"/>
                <w:szCs w:val="8"/>
                <w:color w:val="auto"/>
              </w:rPr>
              <w:t>6 %</w:t>
            </w:r>
          </w:p>
        </w:tc>
      </w:tr>
      <w:tr>
        <w:trPr>
          <w:trHeight w:val="134"/>
        </w:trPr>
        <w:tc>
          <w:tcPr>
            <w:tcW w:w="2680" w:type="dxa"/>
            <w:vAlign w:val="bottom"/>
            <w:shd w:val="clear" w:color="auto" w:fill="CFF0FC"/>
          </w:tcPr>
          <w:p>
            <w:pPr>
              <w:ind w:left="20"/>
              <w:spacing w:after="0"/>
              <w:rPr>
                <w:sz w:val="20"/>
                <w:szCs w:val="20"/>
                <w:color w:val="auto"/>
              </w:rPr>
            </w:pPr>
            <w:r>
              <w:rPr>
                <w:rFonts w:ascii="Arial" w:cs="Arial" w:eastAsia="Arial" w:hAnsi="Arial"/>
                <w:sz w:val="8"/>
                <w:szCs w:val="8"/>
                <w:i w:val="1"/>
                <w:iCs w:val="1"/>
                <w:color w:val="auto"/>
              </w:rPr>
              <w:t>K2 Merger Agreement Agent, LLC (fka K2 Industrial Services, Inc.) (n)</w:t>
            </w:r>
          </w:p>
        </w:tc>
        <w:tc>
          <w:tcPr>
            <w:tcW w:w="3000" w:type="dxa"/>
            <w:vAlign w:val="bottom"/>
            <w:shd w:val="clear" w:color="auto" w:fill="CFF0FC"/>
          </w:tcPr>
          <w:p>
            <w:pPr>
              <w:ind w:left="260"/>
              <w:spacing w:after="0"/>
              <w:rPr>
                <w:sz w:val="20"/>
                <w:szCs w:val="20"/>
                <w:color w:val="auto"/>
              </w:rPr>
            </w:pPr>
            <w:r>
              <w:rPr>
                <w:rFonts w:ascii="Arial" w:cs="Arial" w:eastAsia="Arial" w:hAnsi="Arial"/>
                <w:sz w:val="8"/>
                <w:szCs w:val="8"/>
                <w:color w:val="auto"/>
              </w:rPr>
              <w:t>Industrial Cleaning &amp; Coatings</w:t>
            </w: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680" w:type="dxa"/>
            <w:vAlign w:val="bottom"/>
          </w:tcPr>
          <w:p>
            <w:pPr>
              <w:ind w:left="140"/>
              <w:spacing w:after="0"/>
              <w:rPr>
                <w:sz w:val="20"/>
                <w:szCs w:val="20"/>
                <w:color w:val="auto"/>
              </w:rPr>
            </w:pPr>
            <w:r>
              <w:rPr>
                <w:rFonts w:ascii="Arial" w:cs="Arial" w:eastAsia="Arial" w:hAnsi="Arial"/>
                <w:sz w:val="8"/>
                <w:szCs w:val="8"/>
                <w:color w:val="auto"/>
              </w:rPr>
              <w:t>Second Lien Debt (j)</w:t>
            </w:r>
          </w:p>
        </w:tc>
        <w:tc>
          <w:tcPr>
            <w:tcW w:w="3000" w:type="dxa"/>
            <w:vAlign w:val="bottom"/>
          </w:tcPr>
          <w:p>
            <w:pPr>
              <w:spacing w:after="0"/>
              <w:rPr>
                <w:sz w:val="10"/>
                <w:szCs w:val="10"/>
                <w:color w:val="auto"/>
              </w:rPr>
            </w:pPr>
          </w:p>
        </w:tc>
        <w:tc>
          <w:tcPr>
            <w:tcW w:w="940" w:type="dxa"/>
            <w:vAlign w:val="bottom"/>
          </w:tcPr>
          <w:p>
            <w:pPr>
              <w:ind w:left="220"/>
              <w:spacing w:after="0"/>
              <w:rPr>
                <w:sz w:val="20"/>
                <w:szCs w:val="20"/>
                <w:color w:val="auto"/>
              </w:rPr>
            </w:pPr>
            <w:r>
              <w:rPr>
                <w:rFonts w:ascii="Arial" w:cs="Arial" w:eastAsia="Arial" w:hAnsi="Arial"/>
                <w:sz w:val="8"/>
                <w:szCs w:val="8"/>
                <w:color w:val="auto"/>
              </w:rPr>
              <w:t>0.00%/10.00%</w:t>
            </w:r>
          </w:p>
        </w:tc>
        <w:tc>
          <w:tcPr>
            <w:tcW w:w="820" w:type="dxa"/>
            <w:vAlign w:val="bottom"/>
          </w:tcPr>
          <w:p>
            <w:pPr>
              <w:ind w:left="220"/>
              <w:spacing w:after="0"/>
              <w:rPr>
                <w:sz w:val="20"/>
                <w:szCs w:val="20"/>
                <w:color w:val="auto"/>
              </w:rPr>
            </w:pPr>
            <w:r>
              <w:rPr>
                <w:rFonts w:ascii="Arial" w:cs="Arial" w:eastAsia="Arial" w:hAnsi="Arial"/>
                <w:sz w:val="8"/>
                <w:szCs w:val="8"/>
                <w:color w:val="auto"/>
              </w:rPr>
              <w:t>1/28/2019</w:t>
            </w:r>
          </w:p>
        </w:tc>
        <w:tc>
          <w:tcPr>
            <w:tcW w:w="980" w:type="dxa"/>
            <w:vAlign w:val="bottom"/>
          </w:tcPr>
          <w:p>
            <w:pPr>
              <w:ind w:left="200"/>
              <w:spacing w:after="0"/>
              <w:rPr>
                <w:sz w:val="20"/>
                <w:szCs w:val="20"/>
                <w:color w:val="auto"/>
              </w:rPr>
            </w:pPr>
            <w:r>
              <w:rPr>
                <w:rFonts w:ascii="Arial" w:cs="Arial" w:eastAsia="Arial" w:hAnsi="Arial"/>
                <w:sz w:val="8"/>
                <w:szCs w:val="8"/>
                <w:color w:val="auto"/>
              </w:rPr>
              <w:t>1/28/2023</w:t>
            </w:r>
          </w:p>
        </w:tc>
        <w:tc>
          <w:tcPr>
            <w:tcW w:w="740" w:type="dxa"/>
            <w:vAlign w:val="bottom"/>
          </w:tcPr>
          <w:p>
            <w:pPr>
              <w:jc w:val="right"/>
              <w:ind w:right="78"/>
              <w:spacing w:after="0"/>
              <w:rPr>
                <w:sz w:val="20"/>
                <w:szCs w:val="20"/>
                <w:color w:val="auto"/>
              </w:rPr>
            </w:pPr>
            <w:r>
              <w:rPr>
                <w:rFonts w:ascii="Arial" w:cs="Arial" w:eastAsia="Arial" w:hAnsi="Arial"/>
                <w:sz w:val="8"/>
                <w:szCs w:val="8"/>
                <w:color w:val="auto"/>
              </w:rPr>
              <w:t>2,308</w:t>
            </w:r>
          </w:p>
        </w:tc>
        <w:tc>
          <w:tcPr>
            <w:tcW w:w="660" w:type="dxa"/>
            <w:vAlign w:val="bottom"/>
          </w:tcPr>
          <w:p>
            <w:pPr>
              <w:jc w:val="right"/>
              <w:spacing w:after="0"/>
              <w:rPr>
                <w:sz w:val="20"/>
                <w:szCs w:val="20"/>
                <w:color w:val="auto"/>
              </w:rPr>
            </w:pPr>
            <w:r>
              <w:rPr>
                <w:rFonts w:ascii="Arial" w:cs="Arial" w:eastAsia="Arial" w:hAnsi="Arial"/>
                <w:sz w:val="8"/>
                <w:szCs w:val="8"/>
                <w:color w:val="auto"/>
              </w:rPr>
              <w:t>2,308</w:t>
            </w:r>
          </w:p>
        </w:tc>
        <w:tc>
          <w:tcPr>
            <w:tcW w:w="760" w:type="dxa"/>
            <w:vAlign w:val="bottom"/>
            <w:gridSpan w:val="2"/>
          </w:tcPr>
          <w:p>
            <w:pPr>
              <w:jc w:val="right"/>
              <w:ind w:right="18"/>
              <w:spacing w:after="0"/>
              <w:rPr>
                <w:sz w:val="20"/>
                <w:szCs w:val="20"/>
                <w:color w:val="auto"/>
              </w:rPr>
            </w:pPr>
            <w:r>
              <w:rPr>
                <w:rFonts w:ascii="Arial" w:cs="Arial" w:eastAsia="Arial" w:hAnsi="Arial"/>
                <w:sz w:val="8"/>
                <w:szCs w:val="8"/>
                <w:color w:val="auto"/>
              </w:rPr>
              <w:t>2,308</w:t>
            </w:r>
          </w:p>
        </w:tc>
        <w:tc>
          <w:tcPr>
            <w:tcW w:w="660" w:type="dxa"/>
            <w:vAlign w:val="bottom"/>
          </w:tcPr>
          <w:p>
            <w:pPr>
              <w:jc w:val="right"/>
              <w:spacing w:after="0"/>
              <w:rPr>
                <w:sz w:val="20"/>
                <w:szCs w:val="20"/>
                <w:color w:val="auto"/>
              </w:rPr>
            </w:pPr>
            <w:r>
              <w:rPr>
                <w:rFonts w:ascii="Arial" w:cs="Arial" w:eastAsia="Arial" w:hAnsi="Arial"/>
                <w:sz w:val="8"/>
                <w:szCs w:val="8"/>
                <w:color w:val="auto"/>
              </w:rPr>
              <w:t>1 %</w:t>
            </w:r>
          </w:p>
        </w:tc>
      </w:tr>
      <w:tr>
        <w:trPr>
          <w:trHeight w:val="134"/>
        </w:trPr>
        <w:tc>
          <w:tcPr>
            <w:tcW w:w="2680" w:type="dxa"/>
            <w:vAlign w:val="bottom"/>
            <w:shd w:val="clear" w:color="auto" w:fill="CFF0FC"/>
          </w:tcPr>
          <w:p>
            <w:pPr>
              <w:spacing w:after="0"/>
              <w:rPr>
                <w:sz w:val="11"/>
                <w:szCs w:val="11"/>
                <w:color w:val="auto"/>
              </w:rPr>
            </w:pPr>
          </w:p>
        </w:tc>
        <w:tc>
          <w:tcPr>
            <w:tcW w:w="30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680" w:type="dxa"/>
            <w:vAlign w:val="bottom"/>
          </w:tcPr>
          <w:p>
            <w:pPr>
              <w:ind w:left="20"/>
              <w:spacing w:after="0"/>
              <w:rPr>
                <w:sz w:val="20"/>
                <w:szCs w:val="20"/>
                <w:color w:val="auto"/>
              </w:rPr>
            </w:pPr>
            <w:r>
              <w:rPr>
                <w:rFonts w:ascii="Arial" w:cs="Arial" w:eastAsia="Arial" w:hAnsi="Arial"/>
                <w:sz w:val="8"/>
                <w:szCs w:val="8"/>
                <w:i w:val="1"/>
                <w:iCs w:val="1"/>
                <w:color w:val="auto"/>
              </w:rPr>
              <w:t>The Kyjen Company, LLC (dba Outward Hound)</w:t>
            </w:r>
          </w:p>
        </w:tc>
        <w:tc>
          <w:tcPr>
            <w:tcW w:w="3000" w:type="dxa"/>
            <w:vAlign w:val="bottom"/>
          </w:tcPr>
          <w:p>
            <w:pPr>
              <w:ind w:left="260"/>
              <w:spacing w:after="0"/>
              <w:rPr>
                <w:sz w:val="20"/>
                <w:szCs w:val="20"/>
                <w:color w:val="auto"/>
              </w:rPr>
            </w:pPr>
            <w:r>
              <w:rPr>
                <w:rFonts w:ascii="Arial" w:cs="Arial" w:eastAsia="Arial" w:hAnsi="Arial"/>
                <w:sz w:val="8"/>
                <w:szCs w:val="8"/>
                <w:color w:val="auto"/>
              </w:rPr>
              <w:t>Consumer Products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4"/>
        </w:trPr>
        <w:tc>
          <w:tcPr>
            <w:tcW w:w="2680" w:type="dxa"/>
            <w:vAlign w:val="bottom"/>
            <w:shd w:val="clear" w:color="auto" w:fill="CFF0FC"/>
          </w:tcPr>
          <w:p>
            <w:pPr>
              <w:ind w:left="140"/>
              <w:spacing w:after="0"/>
              <w:rPr>
                <w:sz w:val="20"/>
                <w:szCs w:val="20"/>
                <w:color w:val="auto"/>
              </w:rPr>
            </w:pPr>
            <w:r>
              <w:rPr>
                <w:rFonts w:ascii="Arial" w:cs="Arial" w:eastAsia="Arial" w:hAnsi="Arial"/>
                <w:sz w:val="8"/>
                <w:szCs w:val="8"/>
                <w:color w:val="auto"/>
              </w:rPr>
              <w:t>Common Equity (855 shares) (j)</w:t>
            </w:r>
          </w:p>
        </w:tc>
        <w:tc>
          <w:tcPr>
            <w:tcW w:w="30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12/8/2017</w:t>
            </w: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933</w:t>
            </w:r>
          </w:p>
        </w:tc>
        <w:tc>
          <w:tcPr>
            <w:tcW w:w="760" w:type="dxa"/>
            <w:vAlign w:val="bottom"/>
            <w:gridSpan w:val="2"/>
            <w:shd w:val="clear" w:color="auto" w:fill="CFF0FC"/>
          </w:tcPr>
          <w:p>
            <w:pPr>
              <w:jc w:val="right"/>
              <w:ind w:right="18"/>
              <w:spacing w:after="0"/>
              <w:rPr>
                <w:sz w:val="20"/>
                <w:szCs w:val="20"/>
                <w:color w:val="auto"/>
              </w:rPr>
            </w:pPr>
            <w:r>
              <w:rPr>
                <w:rFonts w:ascii="Arial" w:cs="Arial" w:eastAsia="Arial" w:hAnsi="Arial"/>
                <w:sz w:val="8"/>
                <w:szCs w:val="8"/>
                <w:color w:val="auto"/>
              </w:rPr>
              <w:t>1,559</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0 %</w:t>
            </w:r>
          </w:p>
        </w:tc>
      </w:tr>
      <w:tr>
        <w:trPr>
          <w:trHeight w:val="127"/>
        </w:trPr>
        <w:tc>
          <w:tcPr>
            <w:tcW w:w="268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27"/>
        </w:trPr>
        <w:tc>
          <w:tcPr>
            <w:tcW w:w="2680" w:type="dxa"/>
            <w:vAlign w:val="bottom"/>
            <w:shd w:val="clear" w:color="auto" w:fill="CFF0FC"/>
          </w:tcPr>
          <w:p>
            <w:pPr>
              <w:ind w:left="20"/>
              <w:spacing w:after="0"/>
              <w:rPr>
                <w:sz w:val="20"/>
                <w:szCs w:val="20"/>
                <w:color w:val="auto"/>
              </w:rPr>
            </w:pPr>
            <w:r>
              <w:rPr>
                <w:rFonts w:ascii="Arial" w:cs="Arial" w:eastAsia="Arial" w:hAnsi="Arial"/>
                <w:sz w:val="8"/>
                <w:szCs w:val="8"/>
                <w:i w:val="1"/>
                <w:iCs w:val="1"/>
                <w:color w:val="auto"/>
              </w:rPr>
              <w:t>Level Education Group, LLC (dba CE4Less)</w:t>
            </w:r>
          </w:p>
        </w:tc>
        <w:tc>
          <w:tcPr>
            <w:tcW w:w="3000" w:type="dxa"/>
            <w:vAlign w:val="bottom"/>
            <w:shd w:val="clear" w:color="auto" w:fill="CFF0FC"/>
          </w:tcPr>
          <w:p>
            <w:pPr>
              <w:ind w:left="260"/>
              <w:spacing w:after="0"/>
              <w:rPr>
                <w:sz w:val="20"/>
                <w:szCs w:val="20"/>
                <w:color w:val="auto"/>
              </w:rPr>
            </w:pPr>
            <w:r>
              <w:rPr>
                <w:rFonts w:ascii="Arial" w:cs="Arial" w:eastAsia="Arial" w:hAnsi="Arial"/>
                <w:sz w:val="8"/>
                <w:szCs w:val="8"/>
                <w:color w:val="auto"/>
              </w:rPr>
              <w:t>Business Services</w:t>
            </w: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680" w:type="dxa"/>
            <w:vAlign w:val="bottom"/>
          </w:tcPr>
          <w:p>
            <w:pPr>
              <w:ind w:left="140"/>
              <w:spacing w:after="0"/>
              <w:rPr>
                <w:sz w:val="20"/>
                <w:szCs w:val="20"/>
                <w:color w:val="auto"/>
              </w:rPr>
            </w:pPr>
            <w:r>
              <w:rPr>
                <w:rFonts w:ascii="Arial" w:cs="Arial" w:eastAsia="Arial" w:hAnsi="Arial"/>
                <w:sz w:val="8"/>
                <w:szCs w:val="8"/>
                <w:color w:val="auto"/>
              </w:rPr>
              <w:t>First Lien Debt (ak)</w:t>
            </w:r>
          </w:p>
        </w:tc>
        <w:tc>
          <w:tcPr>
            <w:tcW w:w="3000" w:type="dxa"/>
            <w:vAlign w:val="bottom"/>
          </w:tcPr>
          <w:p>
            <w:pPr>
              <w:ind w:left="2000"/>
              <w:spacing w:after="0"/>
              <w:rPr>
                <w:sz w:val="20"/>
                <w:szCs w:val="20"/>
                <w:color w:val="auto"/>
              </w:rPr>
            </w:pPr>
            <w:r>
              <w:rPr>
                <w:rFonts w:ascii="Arial" w:cs="Arial" w:eastAsia="Arial" w:hAnsi="Arial"/>
                <w:sz w:val="8"/>
                <w:szCs w:val="8"/>
                <w:color w:val="auto"/>
              </w:rPr>
              <w:t>(L + 6.75%) / (0.50%)</w:t>
            </w:r>
          </w:p>
        </w:tc>
        <w:tc>
          <w:tcPr>
            <w:tcW w:w="940" w:type="dxa"/>
            <w:vAlign w:val="bottom"/>
          </w:tcPr>
          <w:p>
            <w:pPr>
              <w:ind w:left="220"/>
              <w:spacing w:after="0"/>
              <w:rPr>
                <w:sz w:val="20"/>
                <w:szCs w:val="20"/>
                <w:color w:val="auto"/>
              </w:rPr>
            </w:pPr>
            <w:r>
              <w:rPr>
                <w:rFonts w:ascii="Arial" w:cs="Arial" w:eastAsia="Arial" w:hAnsi="Arial"/>
                <w:sz w:val="8"/>
                <w:szCs w:val="8"/>
                <w:color w:val="auto"/>
              </w:rPr>
              <w:t>7.25%/0.00%</w:t>
            </w:r>
          </w:p>
        </w:tc>
        <w:tc>
          <w:tcPr>
            <w:tcW w:w="820" w:type="dxa"/>
            <w:vAlign w:val="bottom"/>
          </w:tcPr>
          <w:p>
            <w:pPr>
              <w:ind w:left="220"/>
              <w:spacing w:after="0"/>
              <w:rPr>
                <w:sz w:val="20"/>
                <w:szCs w:val="20"/>
                <w:color w:val="auto"/>
              </w:rPr>
            </w:pPr>
            <w:r>
              <w:rPr>
                <w:rFonts w:ascii="Arial" w:cs="Arial" w:eastAsia="Arial" w:hAnsi="Arial"/>
                <w:sz w:val="8"/>
                <w:szCs w:val="8"/>
                <w:color w:val="auto"/>
              </w:rPr>
              <w:t>4/1/2021</w:t>
            </w:r>
          </w:p>
        </w:tc>
        <w:tc>
          <w:tcPr>
            <w:tcW w:w="980" w:type="dxa"/>
            <w:vAlign w:val="bottom"/>
          </w:tcPr>
          <w:p>
            <w:pPr>
              <w:ind w:left="200"/>
              <w:spacing w:after="0"/>
              <w:rPr>
                <w:sz w:val="20"/>
                <w:szCs w:val="20"/>
                <w:color w:val="auto"/>
              </w:rPr>
            </w:pPr>
            <w:r>
              <w:rPr>
                <w:rFonts w:ascii="Arial" w:cs="Arial" w:eastAsia="Arial" w:hAnsi="Arial"/>
                <w:sz w:val="8"/>
                <w:szCs w:val="8"/>
                <w:color w:val="auto"/>
              </w:rPr>
              <w:t>4/1/2026</w:t>
            </w:r>
          </w:p>
        </w:tc>
        <w:tc>
          <w:tcPr>
            <w:tcW w:w="740" w:type="dxa"/>
            <w:vAlign w:val="bottom"/>
          </w:tcPr>
          <w:p>
            <w:pPr>
              <w:jc w:val="right"/>
              <w:ind w:right="78"/>
              <w:spacing w:after="0"/>
              <w:rPr>
                <w:sz w:val="20"/>
                <w:szCs w:val="20"/>
                <w:color w:val="auto"/>
              </w:rPr>
            </w:pPr>
            <w:r>
              <w:rPr>
                <w:rFonts w:ascii="Arial" w:cs="Arial" w:eastAsia="Arial" w:hAnsi="Arial"/>
                <w:sz w:val="8"/>
                <w:szCs w:val="8"/>
                <w:color w:val="auto"/>
              </w:rPr>
              <w:t>5,466</w:t>
            </w:r>
          </w:p>
        </w:tc>
        <w:tc>
          <w:tcPr>
            <w:tcW w:w="660" w:type="dxa"/>
            <w:vAlign w:val="bottom"/>
          </w:tcPr>
          <w:p>
            <w:pPr>
              <w:jc w:val="right"/>
              <w:spacing w:after="0"/>
              <w:rPr>
                <w:sz w:val="20"/>
                <w:szCs w:val="20"/>
                <w:color w:val="auto"/>
              </w:rPr>
            </w:pPr>
            <w:r>
              <w:rPr>
                <w:rFonts w:ascii="Arial" w:cs="Arial" w:eastAsia="Arial" w:hAnsi="Arial"/>
                <w:sz w:val="8"/>
                <w:szCs w:val="8"/>
                <w:color w:val="auto"/>
              </w:rPr>
              <w:t>5,428</w:t>
            </w:r>
          </w:p>
        </w:tc>
        <w:tc>
          <w:tcPr>
            <w:tcW w:w="760" w:type="dxa"/>
            <w:vAlign w:val="bottom"/>
            <w:gridSpan w:val="2"/>
          </w:tcPr>
          <w:p>
            <w:pPr>
              <w:jc w:val="right"/>
              <w:ind w:right="18"/>
              <w:spacing w:after="0"/>
              <w:rPr>
                <w:sz w:val="20"/>
                <w:szCs w:val="20"/>
                <w:color w:val="auto"/>
              </w:rPr>
            </w:pPr>
            <w:r>
              <w:rPr>
                <w:rFonts w:ascii="Arial" w:cs="Arial" w:eastAsia="Arial" w:hAnsi="Arial"/>
                <w:sz w:val="8"/>
                <w:szCs w:val="8"/>
                <w:color w:val="auto"/>
              </w:rPr>
              <w:t>5,428</w:t>
            </w:r>
          </w:p>
        </w:tc>
        <w:tc>
          <w:tcPr>
            <w:tcW w:w="660" w:type="dxa"/>
            <w:vAlign w:val="bottom"/>
          </w:tcPr>
          <w:p>
            <w:pPr>
              <w:spacing w:after="0"/>
              <w:rPr>
                <w:sz w:val="10"/>
                <w:szCs w:val="10"/>
                <w:color w:val="auto"/>
              </w:rPr>
            </w:pPr>
          </w:p>
        </w:tc>
      </w:tr>
      <w:tr>
        <w:trPr>
          <w:trHeight w:val="133"/>
        </w:trPr>
        <w:tc>
          <w:tcPr>
            <w:tcW w:w="26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8"/>
                <w:szCs w:val="8"/>
                <w:color w:val="auto"/>
              </w:rPr>
              <w:t>Common Equity (1,000,000 units) (j)</w:t>
            </w:r>
          </w:p>
        </w:tc>
        <w:tc>
          <w:tcPr>
            <w:tcW w:w="300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8"/>
                <w:szCs w:val="8"/>
                <w:color w:val="auto"/>
              </w:rPr>
              <w:t>4/1/2021</w:t>
            </w:r>
          </w:p>
        </w:tc>
        <w:tc>
          <w:tcPr>
            <w:tcW w:w="98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1,000</w:t>
            </w:r>
          </w:p>
        </w:tc>
        <w:tc>
          <w:tcPr>
            <w:tcW w:w="1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8"/>
                <w:szCs w:val="8"/>
                <w:color w:val="auto"/>
              </w:rPr>
              <w:t>1,000</w:t>
            </w:r>
          </w:p>
        </w:tc>
        <w:tc>
          <w:tcPr>
            <w:tcW w:w="660" w:type="dxa"/>
            <w:vAlign w:val="bottom"/>
            <w:tcBorders>
              <w:bottom w:val="single" w:sz="8" w:color="CFF0FC"/>
            </w:tcBorders>
            <w:shd w:val="clear" w:color="auto" w:fill="CFF0FC"/>
          </w:tcPr>
          <w:p>
            <w:pPr>
              <w:spacing w:after="0"/>
              <w:rPr>
                <w:sz w:val="11"/>
                <w:szCs w:val="11"/>
                <w:color w:val="auto"/>
              </w:rPr>
            </w:pPr>
          </w:p>
        </w:tc>
      </w:tr>
      <w:tr>
        <w:trPr>
          <w:trHeight w:val="113"/>
        </w:trPr>
        <w:tc>
          <w:tcPr>
            <w:tcW w:w="26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6,428</w:t>
            </w:r>
          </w:p>
        </w:tc>
        <w:tc>
          <w:tcPr>
            <w:tcW w:w="760" w:type="dxa"/>
            <w:vAlign w:val="bottom"/>
            <w:gridSpan w:val="2"/>
          </w:tcPr>
          <w:p>
            <w:pPr>
              <w:jc w:val="right"/>
              <w:ind w:right="18"/>
              <w:spacing w:after="0"/>
              <w:rPr>
                <w:sz w:val="20"/>
                <w:szCs w:val="20"/>
                <w:color w:val="auto"/>
              </w:rPr>
            </w:pPr>
            <w:r>
              <w:rPr>
                <w:rFonts w:ascii="Arial" w:cs="Arial" w:eastAsia="Arial" w:hAnsi="Arial"/>
                <w:sz w:val="8"/>
                <w:szCs w:val="8"/>
                <w:color w:val="auto"/>
              </w:rPr>
              <w:t>6,428</w:t>
            </w:r>
          </w:p>
        </w:tc>
        <w:tc>
          <w:tcPr>
            <w:tcW w:w="660" w:type="dxa"/>
            <w:vAlign w:val="bottom"/>
          </w:tcPr>
          <w:p>
            <w:pPr>
              <w:jc w:val="right"/>
              <w:spacing w:after="0"/>
              <w:rPr>
                <w:sz w:val="20"/>
                <w:szCs w:val="20"/>
                <w:color w:val="auto"/>
              </w:rPr>
            </w:pPr>
            <w:r>
              <w:rPr>
                <w:rFonts w:ascii="Arial" w:cs="Arial" w:eastAsia="Arial" w:hAnsi="Arial"/>
                <w:sz w:val="8"/>
                <w:szCs w:val="8"/>
                <w:color w:val="auto"/>
              </w:rPr>
              <w:t>1 %</w:t>
            </w:r>
          </w:p>
        </w:tc>
      </w:tr>
      <w:tr>
        <w:trPr>
          <w:trHeight w:val="134"/>
        </w:trPr>
        <w:tc>
          <w:tcPr>
            <w:tcW w:w="2680" w:type="dxa"/>
            <w:vAlign w:val="bottom"/>
            <w:shd w:val="clear" w:color="auto" w:fill="CFF0FC"/>
          </w:tcPr>
          <w:p>
            <w:pPr>
              <w:ind w:left="20"/>
              <w:spacing w:after="0"/>
              <w:rPr>
                <w:sz w:val="20"/>
                <w:szCs w:val="20"/>
                <w:color w:val="auto"/>
              </w:rPr>
            </w:pPr>
            <w:r>
              <w:rPr>
                <w:rFonts w:ascii="Arial" w:cs="Arial" w:eastAsia="Arial" w:hAnsi="Arial"/>
                <w:sz w:val="8"/>
                <w:szCs w:val="8"/>
                <w:i w:val="1"/>
                <w:iCs w:val="1"/>
                <w:color w:val="auto"/>
              </w:rPr>
              <w:t>LifeSpan Biosciences, Inc.</w:t>
            </w:r>
          </w:p>
        </w:tc>
        <w:tc>
          <w:tcPr>
            <w:tcW w:w="3000" w:type="dxa"/>
            <w:vAlign w:val="bottom"/>
            <w:shd w:val="clear" w:color="auto" w:fill="CFF0FC"/>
          </w:tcPr>
          <w:p>
            <w:pPr>
              <w:ind w:left="260"/>
              <w:spacing w:after="0"/>
              <w:rPr>
                <w:sz w:val="20"/>
                <w:szCs w:val="20"/>
                <w:color w:val="auto"/>
              </w:rPr>
            </w:pPr>
            <w:r>
              <w:rPr>
                <w:rFonts w:ascii="Arial" w:cs="Arial" w:eastAsia="Arial" w:hAnsi="Arial"/>
                <w:sz w:val="8"/>
                <w:szCs w:val="8"/>
                <w:color w:val="auto"/>
              </w:rPr>
              <w:t>Healthcare Products</w:t>
            </w: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680" w:type="dxa"/>
            <w:vAlign w:val="bottom"/>
          </w:tcPr>
          <w:p>
            <w:pPr>
              <w:ind w:left="140"/>
              <w:spacing w:after="0"/>
              <w:rPr>
                <w:sz w:val="20"/>
                <w:szCs w:val="20"/>
                <w:color w:val="auto"/>
              </w:rPr>
            </w:pPr>
            <w:r>
              <w:rPr>
                <w:rFonts w:ascii="Arial" w:cs="Arial" w:eastAsia="Arial" w:hAnsi="Arial"/>
                <w:sz w:val="8"/>
                <w:szCs w:val="8"/>
                <w:color w:val="auto"/>
              </w:rPr>
              <w:t>Subordinated Debt (j)</w:t>
            </w:r>
          </w:p>
        </w:tc>
        <w:tc>
          <w:tcPr>
            <w:tcW w:w="3000" w:type="dxa"/>
            <w:vAlign w:val="bottom"/>
          </w:tcPr>
          <w:p>
            <w:pPr>
              <w:spacing w:after="0"/>
              <w:rPr>
                <w:sz w:val="10"/>
                <w:szCs w:val="10"/>
                <w:color w:val="auto"/>
              </w:rPr>
            </w:pPr>
          </w:p>
        </w:tc>
        <w:tc>
          <w:tcPr>
            <w:tcW w:w="940" w:type="dxa"/>
            <w:vAlign w:val="bottom"/>
          </w:tcPr>
          <w:p>
            <w:pPr>
              <w:ind w:left="220"/>
              <w:spacing w:after="0"/>
              <w:rPr>
                <w:sz w:val="20"/>
                <w:szCs w:val="20"/>
                <w:color w:val="auto"/>
              </w:rPr>
            </w:pPr>
            <w:r>
              <w:rPr>
                <w:rFonts w:ascii="Arial" w:cs="Arial" w:eastAsia="Arial" w:hAnsi="Arial"/>
                <w:sz w:val="8"/>
                <w:szCs w:val="8"/>
                <w:color w:val="auto"/>
              </w:rPr>
              <w:t>11.50%/0.00%</w:t>
            </w:r>
          </w:p>
        </w:tc>
        <w:tc>
          <w:tcPr>
            <w:tcW w:w="820" w:type="dxa"/>
            <w:vAlign w:val="bottom"/>
          </w:tcPr>
          <w:p>
            <w:pPr>
              <w:ind w:left="220"/>
              <w:spacing w:after="0"/>
              <w:rPr>
                <w:sz w:val="20"/>
                <w:szCs w:val="20"/>
                <w:color w:val="auto"/>
              </w:rPr>
            </w:pPr>
            <w:r>
              <w:rPr>
                <w:rFonts w:ascii="Arial" w:cs="Arial" w:eastAsia="Arial" w:hAnsi="Arial"/>
                <w:sz w:val="8"/>
                <w:szCs w:val="8"/>
                <w:color w:val="auto"/>
              </w:rPr>
              <w:t>3/19/2021</w:t>
            </w:r>
          </w:p>
        </w:tc>
        <w:tc>
          <w:tcPr>
            <w:tcW w:w="980" w:type="dxa"/>
            <w:vAlign w:val="bottom"/>
          </w:tcPr>
          <w:p>
            <w:pPr>
              <w:ind w:left="200"/>
              <w:spacing w:after="0"/>
              <w:rPr>
                <w:sz w:val="20"/>
                <w:szCs w:val="20"/>
                <w:color w:val="auto"/>
              </w:rPr>
            </w:pPr>
            <w:r>
              <w:rPr>
                <w:rFonts w:ascii="Arial" w:cs="Arial" w:eastAsia="Arial" w:hAnsi="Arial"/>
                <w:sz w:val="8"/>
                <w:szCs w:val="8"/>
                <w:color w:val="auto"/>
              </w:rPr>
              <w:t>9/19/2026</w:t>
            </w:r>
          </w:p>
        </w:tc>
        <w:tc>
          <w:tcPr>
            <w:tcW w:w="740" w:type="dxa"/>
            <w:vAlign w:val="bottom"/>
          </w:tcPr>
          <w:p>
            <w:pPr>
              <w:jc w:val="right"/>
              <w:ind w:right="78"/>
              <w:spacing w:after="0"/>
              <w:rPr>
                <w:sz w:val="20"/>
                <w:szCs w:val="20"/>
                <w:color w:val="auto"/>
              </w:rPr>
            </w:pPr>
            <w:r>
              <w:rPr>
                <w:rFonts w:ascii="Arial" w:cs="Arial" w:eastAsia="Arial" w:hAnsi="Arial"/>
                <w:sz w:val="8"/>
                <w:szCs w:val="8"/>
                <w:color w:val="auto"/>
              </w:rPr>
              <w:t>16,000</w:t>
            </w:r>
          </w:p>
        </w:tc>
        <w:tc>
          <w:tcPr>
            <w:tcW w:w="660" w:type="dxa"/>
            <w:vAlign w:val="bottom"/>
          </w:tcPr>
          <w:p>
            <w:pPr>
              <w:jc w:val="right"/>
              <w:spacing w:after="0"/>
              <w:rPr>
                <w:sz w:val="20"/>
                <w:szCs w:val="20"/>
                <w:color w:val="auto"/>
              </w:rPr>
            </w:pPr>
            <w:r>
              <w:rPr>
                <w:rFonts w:ascii="Arial" w:cs="Arial" w:eastAsia="Arial" w:hAnsi="Arial"/>
                <w:sz w:val="8"/>
                <w:szCs w:val="8"/>
                <w:color w:val="auto"/>
              </w:rPr>
              <w:t>15,928</w:t>
            </w:r>
          </w:p>
        </w:tc>
        <w:tc>
          <w:tcPr>
            <w:tcW w:w="760" w:type="dxa"/>
            <w:vAlign w:val="bottom"/>
            <w:gridSpan w:val="2"/>
          </w:tcPr>
          <w:p>
            <w:pPr>
              <w:jc w:val="right"/>
              <w:ind w:right="18"/>
              <w:spacing w:after="0"/>
              <w:rPr>
                <w:sz w:val="20"/>
                <w:szCs w:val="20"/>
                <w:color w:val="auto"/>
              </w:rPr>
            </w:pPr>
            <w:r>
              <w:rPr>
                <w:rFonts w:ascii="Arial" w:cs="Arial" w:eastAsia="Arial" w:hAnsi="Arial"/>
                <w:sz w:val="8"/>
                <w:szCs w:val="8"/>
                <w:color w:val="auto"/>
              </w:rPr>
              <w:t>16,000</w:t>
            </w:r>
          </w:p>
        </w:tc>
        <w:tc>
          <w:tcPr>
            <w:tcW w:w="660" w:type="dxa"/>
            <w:vAlign w:val="bottom"/>
          </w:tcPr>
          <w:p>
            <w:pPr>
              <w:spacing w:after="0"/>
              <w:rPr>
                <w:sz w:val="10"/>
                <w:szCs w:val="10"/>
                <w:color w:val="auto"/>
              </w:rPr>
            </w:pPr>
          </w:p>
        </w:tc>
      </w:tr>
      <w:tr>
        <w:trPr>
          <w:trHeight w:val="133"/>
        </w:trPr>
        <w:tc>
          <w:tcPr>
            <w:tcW w:w="26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8"/>
                <w:szCs w:val="8"/>
                <w:color w:val="auto"/>
              </w:rPr>
              <w:t>Common Equity (100 shares) (j)</w:t>
            </w:r>
          </w:p>
        </w:tc>
        <w:tc>
          <w:tcPr>
            <w:tcW w:w="300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8"/>
                <w:szCs w:val="8"/>
                <w:color w:val="auto"/>
              </w:rPr>
              <w:t>3/19/2021</w:t>
            </w:r>
          </w:p>
        </w:tc>
        <w:tc>
          <w:tcPr>
            <w:tcW w:w="98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1,000</w:t>
            </w:r>
          </w:p>
        </w:tc>
        <w:tc>
          <w:tcPr>
            <w:tcW w:w="1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8"/>
                <w:szCs w:val="8"/>
                <w:color w:val="auto"/>
              </w:rPr>
              <w:t>997</w:t>
            </w:r>
          </w:p>
        </w:tc>
        <w:tc>
          <w:tcPr>
            <w:tcW w:w="660" w:type="dxa"/>
            <w:vAlign w:val="bottom"/>
            <w:tcBorders>
              <w:bottom w:val="single" w:sz="8" w:color="CFF0FC"/>
            </w:tcBorders>
            <w:shd w:val="clear" w:color="auto" w:fill="CFF0FC"/>
          </w:tcPr>
          <w:p>
            <w:pPr>
              <w:spacing w:after="0"/>
              <w:rPr>
                <w:sz w:val="11"/>
                <w:szCs w:val="11"/>
                <w:color w:val="auto"/>
              </w:rPr>
            </w:pPr>
          </w:p>
        </w:tc>
      </w:tr>
      <w:tr>
        <w:trPr>
          <w:trHeight w:val="113"/>
        </w:trPr>
        <w:tc>
          <w:tcPr>
            <w:tcW w:w="26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16,928</w:t>
            </w:r>
          </w:p>
        </w:tc>
        <w:tc>
          <w:tcPr>
            <w:tcW w:w="760" w:type="dxa"/>
            <w:vAlign w:val="bottom"/>
            <w:gridSpan w:val="2"/>
          </w:tcPr>
          <w:p>
            <w:pPr>
              <w:jc w:val="right"/>
              <w:ind w:right="18"/>
              <w:spacing w:after="0"/>
              <w:rPr>
                <w:sz w:val="20"/>
                <w:szCs w:val="20"/>
                <w:color w:val="auto"/>
              </w:rPr>
            </w:pPr>
            <w:r>
              <w:rPr>
                <w:rFonts w:ascii="Arial" w:cs="Arial" w:eastAsia="Arial" w:hAnsi="Arial"/>
                <w:sz w:val="8"/>
                <w:szCs w:val="8"/>
                <w:color w:val="auto"/>
              </w:rPr>
              <w:t>16,997</w:t>
            </w:r>
          </w:p>
        </w:tc>
        <w:tc>
          <w:tcPr>
            <w:tcW w:w="660" w:type="dxa"/>
            <w:vAlign w:val="bottom"/>
          </w:tcPr>
          <w:p>
            <w:pPr>
              <w:jc w:val="right"/>
              <w:spacing w:after="0"/>
              <w:rPr>
                <w:sz w:val="20"/>
                <w:szCs w:val="20"/>
                <w:color w:val="auto"/>
              </w:rPr>
            </w:pPr>
            <w:r>
              <w:rPr>
                <w:rFonts w:ascii="Arial" w:cs="Arial" w:eastAsia="Arial" w:hAnsi="Arial"/>
                <w:sz w:val="8"/>
                <w:szCs w:val="8"/>
                <w:color w:val="auto"/>
              </w:rPr>
              <w:t>4 %</w:t>
            </w:r>
          </w:p>
        </w:tc>
      </w:tr>
      <w:tr>
        <w:trPr>
          <w:trHeight w:val="134"/>
        </w:trPr>
        <w:tc>
          <w:tcPr>
            <w:tcW w:w="2680" w:type="dxa"/>
            <w:vAlign w:val="bottom"/>
            <w:shd w:val="clear" w:color="auto" w:fill="CFF0FC"/>
          </w:tcPr>
          <w:p>
            <w:pPr>
              <w:ind w:left="20"/>
              <w:spacing w:after="0"/>
              <w:rPr>
                <w:sz w:val="20"/>
                <w:szCs w:val="20"/>
                <w:color w:val="auto"/>
              </w:rPr>
            </w:pPr>
            <w:r>
              <w:rPr>
                <w:rFonts w:ascii="Arial" w:cs="Arial" w:eastAsia="Arial" w:hAnsi="Arial"/>
                <w:sz w:val="8"/>
                <w:szCs w:val="8"/>
                <w:i w:val="1"/>
                <w:iCs w:val="1"/>
                <w:color w:val="auto"/>
              </w:rPr>
              <w:t>LNG Indy, LLC (dba Kinetrex Energy) (n)</w:t>
            </w:r>
          </w:p>
        </w:tc>
        <w:tc>
          <w:tcPr>
            <w:tcW w:w="3000" w:type="dxa"/>
            <w:vAlign w:val="bottom"/>
            <w:shd w:val="clear" w:color="auto" w:fill="CFF0FC"/>
          </w:tcPr>
          <w:p>
            <w:pPr>
              <w:ind w:left="260"/>
              <w:spacing w:after="0"/>
              <w:rPr>
                <w:sz w:val="20"/>
                <w:szCs w:val="20"/>
                <w:color w:val="auto"/>
              </w:rPr>
            </w:pPr>
            <w:r>
              <w:rPr>
                <w:rFonts w:ascii="Arial" w:cs="Arial" w:eastAsia="Arial" w:hAnsi="Arial"/>
                <w:sz w:val="8"/>
                <w:szCs w:val="8"/>
                <w:color w:val="auto"/>
              </w:rPr>
              <w:t>Oil &amp; Gas Distribution</w:t>
            </w: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680" w:type="dxa"/>
            <w:vAlign w:val="bottom"/>
          </w:tcPr>
          <w:p>
            <w:pPr>
              <w:ind w:left="140"/>
              <w:spacing w:after="0"/>
              <w:rPr>
                <w:sz w:val="20"/>
                <w:szCs w:val="20"/>
                <w:color w:val="auto"/>
              </w:rPr>
            </w:pPr>
            <w:r>
              <w:rPr>
                <w:rFonts w:ascii="Arial" w:cs="Arial" w:eastAsia="Arial" w:hAnsi="Arial"/>
                <w:sz w:val="8"/>
                <w:szCs w:val="8"/>
                <w:color w:val="auto"/>
              </w:rPr>
              <w:t>Common Equity (500 units)</w:t>
            </w:r>
          </w:p>
        </w:tc>
        <w:tc>
          <w:tcPr>
            <w:tcW w:w="3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12/28/2016</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66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660" w:type="dxa"/>
            <w:vAlign w:val="bottom"/>
          </w:tcPr>
          <w:p>
            <w:pPr>
              <w:jc w:val="right"/>
              <w:spacing w:after="0"/>
              <w:rPr>
                <w:sz w:val="20"/>
                <w:szCs w:val="20"/>
                <w:color w:val="auto"/>
              </w:rPr>
            </w:pPr>
            <w:r>
              <w:rPr>
                <w:rFonts w:ascii="Arial" w:cs="Arial" w:eastAsia="Arial" w:hAnsi="Arial"/>
                <w:sz w:val="8"/>
                <w:szCs w:val="8"/>
                <w:color w:val="auto"/>
              </w:rPr>
              <w:t>0 %</w:t>
            </w:r>
          </w:p>
        </w:tc>
      </w:tr>
      <w:tr>
        <w:trPr>
          <w:trHeight w:val="134"/>
        </w:trPr>
        <w:tc>
          <w:tcPr>
            <w:tcW w:w="2680" w:type="dxa"/>
            <w:vAlign w:val="bottom"/>
            <w:shd w:val="clear" w:color="auto" w:fill="CFF0FC"/>
          </w:tcPr>
          <w:p>
            <w:pPr>
              <w:spacing w:after="0"/>
              <w:rPr>
                <w:sz w:val="11"/>
                <w:szCs w:val="11"/>
                <w:color w:val="auto"/>
              </w:rPr>
            </w:pPr>
          </w:p>
        </w:tc>
        <w:tc>
          <w:tcPr>
            <w:tcW w:w="30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680" w:type="dxa"/>
            <w:vAlign w:val="bottom"/>
          </w:tcPr>
          <w:p>
            <w:pPr>
              <w:ind w:left="20"/>
              <w:spacing w:after="0"/>
              <w:rPr>
                <w:sz w:val="20"/>
                <w:szCs w:val="20"/>
                <w:color w:val="auto"/>
              </w:rPr>
            </w:pPr>
            <w:r>
              <w:rPr>
                <w:rFonts w:ascii="Arial" w:cs="Arial" w:eastAsia="Arial" w:hAnsi="Arial"/>
                <w:sz w:val="8"/>
                <w:szCs w:val="8"/>
                <w:i w:val="1"/>
                <w:iCs w:val="1"/>
                <w:color w:val="auto"/>
              </w:rPr>
              <w:t>Midwest Transit Equipment, Inc.</w:t>
            </w:r>
          </w:p>
        </w:tc>
        <w:tc>
          <w:tcPr>
            <w:tcW w:w="3000" w:type="dxa"/>
            <w:vAlign w:val="bottom"/>
          </w:tcPr>
          <w:p>
            <w:pPr>
              <w:ind w:left="260"/>
              <w:spacing w:after="0"/>
              <w:rPr>
                <w:sz w:val="20"/>
                <w:szCs w:val="20"/>
                <w:color w:val="auto"/>
              </w:rPr>
            </w:pPr>
            <w:r>
              <w:rPr>
                <w:rFonts w:ascii="Arial" w:cs="Arial" w:eastAsia="Arial" w:hAnsi="Arial"/>
                <w:sz w:val="8"/>
                <w:szCs w:val="8"/>
                <w:color w:val="auto"/>
              </w:rPr>
              <w:t>Transportation services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4"/>
        </w:trPr>
        <w:tc>
          <w:tcPr>
            <w:tcW w:w="2680" w:type="dxa"/>
            <w:vAlign w:val="bottom"/>
            <w:shd w:val="clear" w:color="auto" w:fill="CFF0FC"/>
          </w:tcPr>
          <w:p>
            <w:pPr>
              <w:ind w:left="140"/>
              <w:spacing w:after="0"/>
              <w:rPr>
                <w:sz w:val="20"/>
                <w:szCs w:val="20"/>
                <w:color w:val="auto"/>
              </w:rPr>
            </w:pPr>
            <w:r>
              <w:rPr>
                <w:rFonts w:ascii="Arial" w:cs="Arial" w:eastAsia="Arial" w:hAnsi="Arial"/>
                <w:sz w:val="8"/>
                <w:szCs w:val="8"/>
                <w:color w:val="auto"/>
              </w:rPr>
              <w:t>Warrant (7,192 shares) (j)(m)</w:t>
            </w:r>
          </w:p>
        </w:tc>
        <w:tc>
          <w:tcPr>
            <w:tcW w:w="30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6/23/2017</w:t>
            </w: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180</w:t>
            </w: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w:t>
            </w:r>
          </w:p>
        </w:tc>
        <w:tc>
          <w:tcPr>
            <w:tcW w:w="660" w:type="dxa"/>
            <w:vAlign w:val="bottom"/>
            <w:shd w:val="clear" w:color="auto" w:fill="CFF0FC"/>
          </w:tcPr>
          <w:p>
            <w:pPr>
              <w:spacing w:after="0"/>
              <w:rPr>
                <w:sz w:val="11"/>
                <w:szCs w:val="11"/>
                <w:color w:val="auto"/>
              </w:rPr>
            </w:pPr>
          </w:p>
        </w:tc>
      </w:tr>
      <w:tr>
        <w:trPr>
          <w:trHeight w:val="126"/>
        </w:trPr>
        <w:tc>
          <w:tcPr>
            <w:tcW w:w="2680" w:type="dxa"/>
            <w:vAlign w:val="bottom"/>
          </w:tcPr>
          <w:p>
            <w:pPr>
              <w:ind w:left="140"/>
              <w:spacing w:after="0"/>
              <w:rPr>
                <w:sz w:val="20"/>
                <w:szCs w:val="20"/>
                <w:color w:val="auto"/>
              </w:rPr>
            </w:pPr>
            <w:r>
              <w:rPr>
                <w:rFonts w:ascii="Arial" w:cs="Arial" w:eastAsia="Arial" w:hAnsi="Arial"/>
                <w:sz w:val="8"/>
                <w:szCs w:val="8"/>
                <w:color w:val="auto"/>
              </w:rPr>
              <w:t>Warrant (4.79% of Junior Subordinated Notes) (j)(q)</w:t>
            </w:r>
          </w:p>
        </w:tc>
        <w:tc>
          <w:tcPr>
            <w:tcW w:w="3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6/23/2017</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190</w:t>
            </w:r>
          </w:p>
        </w:tc>
        <w:tc>
          <w:tcPr>
            <w:tcW w:w="100" w:type="dxa"/>
            <w:vAlign w:val="bottom"/>
          </w:tcPr>
          <w:p>
            <w:pPr>
              <w:spacing w:after="0"/>
              <w:rPr>
                <w:sz w:val="10"/>
                <w:szCs w:val="10"/>
                <w:color w:val="auto"/>
              </w:rPr>
            </w:pP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109</w:t>
            </w:r>
          </w:p>
        </w:tc>
        <w:tc>
          <w:tcPr>
            <w:tcW w:w="660" w:type="dxa"/>
            <w:vAlign w:val="bottom"/>
          </w:tcPr>
          <w:p>
            <w:pPr>
              <w:spacing w:after="0"/>
              <w:rPr>
                <w:sz w:val="10"/>
                <w:szCs w:val="10"/>
                <w:color w:val="auto"/>
              </w:rPr>
            </w:pPr>
          </w:p>
        </w:tc>
      </w:tr>
      <w:tr>
        <w:trPr>
          <w:trHeight w:val="120"/>
        </w:trPr>
        <w:tc>
          <w:tcPr>
            <w:tcW w:w="2680" w:type="dxa"/>
            <w:vAlign w:val="bottom"/>
            <w:shd w:val="clear" w:color="auto" w:fill="CFF0FC"/>
          </w:tcPr>
          <w:p>
            <w:pPr>
              <w:spacing w:after="0"/>
              <w:rPr>
                <w:sz w:val="10"/>
                <w:szCs w:val="10"/>
                <w:color w:val="auto"/>
              </w:rPr>
            </w:pPr>
          </w:p>
        </w:tc>
        <w:tc>
          <w:tcPr>
            <w:tcW w:w="30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370</w:t>
            </w:r>
          </w:p>
        </w:tc>
        <w:tc>
          <w:tcPr>
            <w:tcW w:w="760" w:type="dxa"/>
            <w:vAlign w:val="bottom"/>
            <w:gridSpan w:val="2"/>
            <w:shd w:val="clear" w:color="auto" w:fill="CFF0FC"/>
          </w:tcPr>
          <w:p>
            <w:pPr>
              <w:jc w:val="right"/>
              <w:ind w:right="18"/>
              <w:spacing w:after="0"/>
              <w:rPr>
                <w:sz w:val="20"/>
                <w:szCs w:val="20"/>
                <w:color w:val="auto"/>
              </w:rPr>
            </w:pPr>
            <w:r>
              <w:rPr>
                <w:rFonts w:ascii="Arial" w:cs="Arial" w:eastAsia="Arial" w:hAnsi="Arial"/>
                <w:sz w:val="8"/>
                <w:szCs w:val="8"/>
                <w:color w:val="auto"/>
              </w:rPr>
              <w:t>109</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0 %</w:t>
            </w:r>
          </w:p>
        </w:tc>
      </w:tr>
      <w:tr>
        <w:trPr>
          <w:trHeight w:val="120"/>
        </w:trPr>
        <w:tc>
          <w:tcPr>
            <w:tcW w:w="2680" w:type="dxa"/>
            <w:vAlign w:val="bottom"/>
          </w:tcPr>
          <w:p>
            <w:pPr>
              <w:ind w:left="20"/>
              <w:spacing w:after="0"/>
              <w:rPr>
                <w:sz w:val="20"/>
                <w:szCs w:val="20"/>
                <w:color w:val="auto"/>
              </w:rPr>
            </w:pPr>
            <w:r>
              <w:rPr>
                <w:rFonts w:ascii="Arial" w:cs="Arial" w:eastAsia="Arial" w:hAnsi="Arial"/>
                <w:sz w:val="8"/>
                <w:szCs w:val="8"/>
                <w:i w:val="1"/>
                <w:iCs w:val="1"/>
                <w:color w:val="auto"/>
              </w:rPr>
              <w:t>NGT Acquisition Holdings, LLC (dba Techniks Industries)</w:t>
            </w:r>
          </w:p>
        </w:tc>
        <w:tc>
          <w:tcPr>
            <w:tcW w:w="3000" w:type="dxa"/>
            <w:vAlign w:val="bottom"/>
          </w:tcPr>
          <w:p>
            <w:pPr>
              <w:ind w:left="260"/>
              <w:spacing w:after="0"/>
              <w:rPr>
                <w:sz w:val="20"/>
                <w:szCs w:val="20"/>
                <w:color w:val="auto"/>
              </w:rPr>
            </w:pPr>
            <w:r>
              <w:rPr>
                <w:rFonts w:ascii="Arial" w:cs="Arial" w:eastAsia="Arial" w:hAnsi="Arial"/>
                <w:sz w:val="8"/>
                <w:szCs w:val="8"/>
                <w:color w:val="auto"/>
              </w:rPr>
              <w:t>Component Manufacturing</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4"/>
        </w:trPr>
        <w:tc>
          <w:tcPr>
            <w:tcW w:w="2680" w:type="dxa"/>
            <w:vAlign w:val="bottom"/>
            <w:shd w:val="clear" w:color="auto" w:fill="CFF0FC"/>
          </w:tcPr>
          <w:p>
            <w:pPr>
              <w:ind w:left="140"/>
              <w:spacing w:after="0"/>
              <w:rPr>
                <w:sz w:val="20"/>
                <w:szCs w:val="20"/>
                <w:color w:val="auto"/>
              </w:rPr>
            </w:pPr>
            <w:r>
              <w:rPr>
                <w:rFonts w:ascii="Arial" w:cs="Arial" w:eastAsia="Arial" w:hAnsi="Arial"/>
                <w:sz w:val="8"/>
                <w:szCs w:val="8"/>
                <w:color w:val="auto"/>
              </w:rPr>
              <w:t>Common Equity (378 units) (j)</w:t>
            </w:r>
          </w:p>
        </w:tc>
        <w:tc>
          <w:tcPr>
            <w:tcW w:w="30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5/24/2017</w:t>
            </w: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500</w:t>
            </w:r>
          </w:p>
        </w:tc>
        <w:tc>
          <w:tcPr>
            <w:tcW w:w="760" w:type="dxa"/>
            <w:vAlign w:val="bottom"/>
            <w:gridSpan w:val="2"/>
            <w:shd w:val="clear" w:color="auto" w:fill="CFF0FC"/>
          </w:tcPr>
          <w:p>
            <w:pPr>
              <w:jc w:val="right"/>
              <w:ind w:right="18"/>
              <w:spacing w:after="0"/>
              <w:rPr>
                <w:sz w:val="20"/>
                <w:szCs w:val="20"/>
                <w:color w:val="auto"/>
              </w:rPr>
            </w:pPr>
            <w:r>
              <w:rPr>
                <w:rFonts w:ascii="Arial" w:cs="Arial" w:eastAsia="Arial" w:hAnsi="Arial"/>
                <w:sz w:val="8"/>
                <w:szCs w:val="8"/>
                <w:color w:val="auto"/>
              </w:rPr>
              <w:t>227</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0 %</w:t>
            </w:r>
          </w:p>
        </w:tc>
      </w:tr>
      <w:tr>
        <w:trPr>
          <w:trHeight w:val="127"/>
        </w:trPr>
        <w:tc>
          <w:tcPr>
            <w:tcW w:w="268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27"/>
        </w:trPr>
        <w:tc>
          <w:tcPr>
            <w:tcW w:w="2680" w:type="dxa"/>
            <w:vAlign w:val="bottom"/>
            <w:shd w:val="clear" w:color="auto" w:fill="CFF0FC"/>
          </w:tcPr>
          <w:p>
            <w:pPr>
              <w:ind w:left="20"/>
              <w:spacing w:after="0"/>
              <w:rPr>
                <w:sz w:val="20"/>
                <w:szCs w:val="20"/>
                <w:color w:val="auto"/>
              </w:rPr>
            </w:pPr>
            <w:r>
              <w:rPr>
                <w:rFonts w:ascii="Arial" w:cs="Arial" w:eastAsia="Arial" w:hAnsi="Arial"/>
                <w:sz w:val="8"/>
                <w:szCs w:val="8"/>
                <w:i w:val="1"/>
                <w:iCs w:val="1"/>
                <w:color w:val="auto"/>
              </w:rPr>
              <w:t>OMC Investors, LLC (dba Ohio Medical Corporation)</w:t>
            </w:r>
          </w:p>
        </w:tc>
        <w:tc>
          <w:tcPr>
            <w:tcW w:w="3000" w:type="dxa"/>
            <w:vAlign w:val="bottom"/>
            <w:shd w:val="clear" w:color="auto" w:fill="CFF0FC"/>
          </w:tcPr>
          <w:p>
            <w:pPr>
              <w:ind w:left="260"/>
              <w:spacing w:after="0"/>
              <w:rPr>
                <w:sz w:val="20"/>
                <w:szCs w:val="20"/>
                <w:color w:val="auto"/>
              </w:rPr>
            </w:pPr>
            <w:r>
              <w:rPr>
                <w:rFonts w:ascii="Arial" w:cs="Arial" w:eastAsia="Arial" w:hAnsi="Arial"/>
                <w:sz w:val="8"/>
                <w:szCs w:val="8"/>
                <w:color w:val="auto"/>
              </w:rPr>
              <w:t>Healthcare Products</w:t>
            </w: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680" w:type="dxa"/>
            <w:vAlign w:val="bottom"/>
          </w:tcPr>
          <w:p>
            <w:pPr>
              <w:ind w:left="140"/>
              <w:spacing w:after="0"/>
              <w:rPr>
                <w:sz w:val="20"/>
                <w:szCs w:val="20"/>
                <w:color w:val="auto"/>
              </w:rPr>
            </w:pPr>
            <w:r>
              <w:rPr>
                <w:rFonts w:ascii="Arial" w:cs="Arial" w:eastAsia="Arial" w:hAnsi="Arial"/>
                <w:sz w:val="8"/>
                <w:szCs w:val="8"/>
                <w:color w:val="auto"/>
              </w:rPr>
              <w:t>Second Lien Debt</w:t>
            </w:r>
          </w:p>
        </w:tc>
        <w:tc>
          <w:tcPr>
            <w:tcW w:w="3000" w:type="dxa"/>
            <w:vAlign w:val="bottom"/>
          </w:tcPr>
          <w:p>
            <w:pPr>
              <w:spacing w:after="0"/>
              <w:rPr>
                <w:sz w:val="10"/>
                <w:szCs w:val="10"/>
                <w:color w:val="auto"/>
              </w:rPr>
            </w:pPr>
          </w:p>
        </w:tc>
        <w:tc>
          <w:tcPr>
            <w:tcW w:w="940" w:type="dxa"/>
            <w:vAlign w:val="bottom"/>
          </w:tcPr>
          <w:p>
            <w:pPr>
              <w:ind w:left="220"/>
              <w:spacing w:after="0"/>
              <w:rPr>
                <w:sz w:val="20"/>
                <w:szCs w:val="20"/>
                <w:color w:val="auto"/>
              </w:rPr>
            </w:pPr>
            <w:r>
              <w:rPr>
                <w:rFonts w:ascii="Arial" w:cs="Arial" w:eastAsia="Arial" w:hAnsi="Arial"/>
                <w:sz w:val="8"/>
                <w:szCs w:val="8"/>
                <w:color w:val="auto"/>
              </w:rPr>
              <w:t>13.00%/0.00%</w:t>
            </w:r>
          </w:p>
        </w:tc>
        <w:tc>
          <w:tcPr>
            <w:tcW w:w="820" w:type="dxa"/>
            <w:vAlign w:val="bottom"/>
          </w:tcPr>
          <w:p>
            <w:pPr>
              <w:ind w:left="220"/>
              <w:spacing w:after="0"/>
              <w:rPr>
                <w:sz w:val="20"/>
                <w:szCs w:val="20"/>
                <w:color w:val="auto"/>
              </w:rPr>
            </w:pPr>
            <w:r>
              <w:rPr>
                <w:rFonts w:ascii="Arial" w:cs="Arial" w:eastAsia="Arial" w:hAnsi="Arial"/>
                <w:sz w:val="8"/>
                <w:szCs w:val="8"/>
                <w:color w:val="auto"/>
              </w:rPr>
              <w:t>1/26/2021</w:t>
            </w:r>
          </w:p>
        </w:tc>
        <w:tc>
          <w:tcPr>
            <w:tcW w:w="980" w:type="dxa"/>
            <w:vAlign w:val="bottom"/>
          </w:tcPr>
          <w:p>
            <w:pPr>
              <w:ind w:left="200"/>
              <w:spacing w:after="0"/>
              <w:rPr>
                <w:sz w:val="20"/>
                <w:szCs w:val="20"/>
                <w:color w:val="auto"/>
              </w:rPr>
            </w:pPr>
            <w:r>
              <w:rPr>
                <w:rFonts w:ascii="Arial" w:cs="Arial" w:eastAsia="Arial" w:hAnsi="Arial"/>
                <w:sz w:val="8"/>
                <w:szCs w:val="8"/>
                <w:color w:val="auto"/>
              </w:rPr>
              <w:t>6/30/2024</w:t>
            </w:r>
          </w:p>
        </w:tc>
        <w:tc>
          <w:tcPr>
            <w:tcW w:w="740" w:type="dxa"/>
            <w:vAlign w:val="bottom"/>
          </w:tcPr>
          <w:p>
            <w:pPr>
              <w:jc w:val="right"/>
              <w:ind w:right="78"/>
              <w:spacing w:after="0"/>
              <w:rPr>
                <w:sz w:val="20"/>
                <w:szCs w:val="20"/>
                <w:color w:val="auto"/>
              </w:rPr>
            </w:pPr>
            <w:r>
              <w:rPr>
                <w:rFonts w:ascii="Arial" w:cs="Arial" w:eastAsia="Arial" w:hAnsi="Arial"/>
                <w:sz w:val="8"/>
                <w:szCs w:val="8"/>
                <w:color w:val="auto"/>
              </w:rPr>
              <w:t>5,000</w:t>
            </w:r>
          </w:p>
        </w:tc>
        <w:tc>
          <w:tcPr>
            <w:tcW w:w="660" w:type="dxa"/>
            <w:vAlign w:val="bottom"/>
          </w:tcPr>
          <w:p>
            <w:pPr>
              <w:jc w:val="right"/>
              <w:spacing w:after="0"/>
              <w:rPr>
                <w:sz w:val="20"/>
                <w:szCs w:val="20"/>
                <w:color w:val="auto"/>
              </w:rPr>
            </w:pPr>
            <w:r>
              <w:rPr>
                <w:rFonts w:ascii="Arial" w:cs="Arial" w:eastAsia="Arial" w:hAnsi="Arial"/>
                <w:sz w:val="8"/>
                <w:szCs w:val="8"/>
                <w:color w:val="auto"/>
              </w:rPr>
              <w:t>4,960</w:t>
            </w:r>
          </w:p>
        </w:tc>
        <w:tc>
          <w:tcPr>
            <w:tcW w:w="760" w:type="dxa"/>
            <w:vAlign w:val="bottom"/>
            <w:gridSpan w:val="2"/>
          </w:tcPr>
          <w:p>
            <w:pPr>
              <w:jc w:val="right"/>
              <w:ind w:right="18"/>
              <w:spacing w:after="0"/>
              <w:rPr>
                <w:sz w:val="20"/>
                <w:szCs w:val="20"/>
                <w:color w:val="auto"/>
              </w:rPr>
            </w:pPr>
            <w:r>
              <w:rPr>
                <w:rFonts w:ascii="Arial" w:cs="Arial" w:eastAsia="Arial" w:hAnsi="Arial"/>
                <w:sz w:val="8"/>
                <w:szCs w:val="8"/>
                <w:color w:val="auto"/>
              </w:rPr>
              <w:t>5,000</w:t>
            </w:r>
          </w:p>
        </w:tc>
        <w:tc>
          <w:tcPr>
            <w:tcW w:w="660" w:type="dxa"/>
            <w:vAlign w:val="bottom"/>
          </w:tcPr>
          <w:p>
            <w:pPr>
              <w:spacing w:after="0"/>
              <w:rPr>
                <w:sz w:val="10"/>
                <w:szCs w:val="10"/>
                <w:color w:val="auto"/>
              </w:rPr>
            </w:pPr>
          </w:p>
        </w:tc>
      </w:tr>
      <w:tr>
        <w:trPr>
          <w:trHeight w:val="133"/>
        </w:trPr>
        <w:tc>
          <w:tcPr>
            <w:tcW w:w="26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8"/>
                <w:szCs w:val="8"/>
                <w:color w:val="auto"/>
              </w:rPr>
              <w:t>Common Equity (5,000 units)</w:t>
            </w:r>
          </w:p>
        </w:tc>
        <w:tc>
          <w:tcPr>
            <w:tcW w:w="300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8"/>
                <w:szCs w:val="8"/>
                <w:color w:val="auto"/>
              </w:rPr>
              <w:t>1/15/2016</w:t>
            </w:r>
          </w:p>
        </w:tc>
        <w:tc>
          <w:tcPr>
            <w:tcW w:w="98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215</w:t>
            </w:r>
          </w:p>
        </w:tc>
        <w:tc>
          <w:tcPr>
            <w:tcW w:w="1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8"/>
                <w:szCs w:val="8"/>
                <w:color w:val="auto"/>
              </w:rPr>
              <w:t>720</w:t>
            </w:r>
          </w:p>
        </w:tc>
        <w:tc>
          <w:tcPr>
            <w:tcW w:w="660" w:type="dxa"/>
            <w:vAlign w:val="bottom"/>
            <w:tcBorders>
              <w:bottom w:val="single" w:sz="8" w:color="CFF0FC"/>
            </w:tcBorders>
            <w:shd w:val="clear" w:color="auto" w:fill="CFF0FC"/>
          </w:tcPr>
          <w:p>
            <w:pPr>
              <w:spacing w:after="0"/>
              <w:rPr>
                <w:sz w:val="11"/>
                <w:szCs w:val="11"/>
                <w:color w:val="auto"/>
              </w:rPr>
            </w:pPr>
          </w:p>
        </w:tc>
      </w:tr>
      <w:tr>
        <w:trPr>
          <w:trHeight w:val="113"/>
        </w:trPr>
        <w:tc>
          <w:tcPr>
            <w:tcW w:w="26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5,175</w:t>
            </w:r>
          </w:p>
        </w:tc>
        <w:tc>
          <w:tcPr>
            <w:tcW w:w="760" w:type="dxa"/>
            <w:vAlign w:val="bottom"/>
            <w:gridSpan w:val="2"/>
          </w:tcPr>
          <w:p>
            <w:pPr>
              <w:jc w:val="right"/>
              <w:ind w:right="18"/>
              <w:spacing w:after="0"/>
              <w:rPr>
                <w:sz w:val="20"/>
                <w:szCs w:val="20"/>
                <w:color w:val="auto"/>
              </w:rPr>
            </w:pPr>
            <w:r>
              <w:rPr>
                <w:rFonts w:ascii="Arial" w:cs="Arial" w:eastAsia="Arial" w:hAnsi="Arial"/>
                <w:sz w:val="8"/>
                <w:szCs w:val="8"/>
                <w:color w:val="auto"/>
              </w:rPr>
              <w:t>5,720</w:t>
            </w:r>
          </w:p>
        </w:tc>
        <w:tc>
          <w:tcPr>
            <w:tcW w:w="660" w:type="dxa"/>
            <w:vAlign w:val="bottom"/>
          </w:tcPr>
          <w:p>
            <w:pPr>
              <w:jc w:val="right"/>
              <w:spacing w:after="0"/>
              <w:rPr>
                <w:sz w:val="20"/>
                <w:szCs w:val="20"/>
                <w:color w:val="auto"/>
              </w:rPr>
            </w:pPr>
            <w:r>
              <w:rPr>
                <w:rFonts w:ascii="Arial" w:cs="Arial" w:eastAsia="Arial" w:hAnsi="Arial"/>
                <w:sz w:val="8"/>
                <w:szCs w:val="8"/>
                <w:color w:val="auto"/>
              </w:rPr>
              <w:t>1 %</w:t>
            </w:r>
          </w:p>
        </w:tc>
      </w:tr>
      <w:tr>
        <w:trPr>
          <w:trHeight w:val="134"/>
        </w:trPr>
        <w:tc>
          <w:tcPr>
            <w:tcW w:w="2680" w:type="dxa"/>
            <w:vAlign w:val="bottom"/>
            <w:shd w:val="clear" w:color="auto" w:fill="CFF0FC"/>
          </w:tcPr>
          <w:p>
            <w:pPr>
              <w:ind w:left="20"/>
              <w:spacing w:after="0"/>
              <w:rPr>
                <w:sz w:val="20"/>
                <w:szCs w:val="20"/>
                <w:color w:val="auto"/>
              </w:rPr>
            </w:pPr>
            <w:r>
              <w:rPr>
                <w:rFonts w:ascii="Arial" w:cs="Arial" w:eastAsia="Arial" w:hAnsi="Arial"/>
                <w:sz w:val="8"/>
                <w:szCs w:val="8"/>
                <w:i w:val="1"/>
                <w:iCs w:val="1"/>
                <w:color w:val="auto"/>
              </w:rPr>
              <w:t>Palisade Company, LLC</w:t>
            </w:r>
          </w:p>
        </w:tc>
        <w:tc>
          <w:tcPr>
            <w:tcW w:w="3000" w:type="dxa"/>
            <w:vAlign w:val="bottom"/>
            <w:shd w:val="clear" w:color="auto" w:fill="CFF0FC"/>
          </w:tcPr>
          <w:p>
            <w:pPr>
              <w:ind w:left="260"/>
              <w:spacing w:after="0"/>
              <w:rPr>
                <w:sz w:val="20"/>
                <w:szCs w:val="20"/>
                <w:color w:val="auto"/>
              </w:rPr>
            </w:pPr>
            <w:r>
              <w:rPr>
                <w:rFonts w:ascii="Arial" w:cs="Arial" w:eastAsia="Arial" w:hAnsi="Arial"/>
                <w:sz w:val="8"/>
                <w:szCs w:val="8"/>
                <w:color w:val="auto"/>
              </w:rPr>
              <w:t>Information Technology Services</w:t>
            </w: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680" w:type="dxa"/>
            <w:vAlign w:val="bottom"/>
          </w:tcPr>
          <w:p>
            <w:pPr>
              <w:ind w:left="140"/>
              <w:spacing w:after="0"/>
              <w:rPr>
                <w:sz w:val="20"/>
                <w:szCs w:val="20"/>
                <w:color w:val="auto"/>
              </w:rPr>
            </w:pPr>
            <w:r>
              <w:rPr>
                <w:rFonts w:ascii="Arial" w:cs="Arial" w:eastAsia="Arial" w:hAnsi="Arial"/>
                <w:sz w:val="8"/>
                <w:szCs w:val="8"/>
                <w:color w:val="auto"/>
              </w:rPr>
              <w:t>Common Equity (50 shares) (j)</w:t>
            </w:r>
          </w:p>
        </w:tc>
        <w:tc>
          <w:tcPr>
            <w:tcW w:w="3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11/15/2018</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500</w:t>
            </w:r>
          </w:p>
        </w:tc>
        <w:tc>
          <w:tcPr>
            <w:tcW w:w="760" w:type="dxa"/>
            <w:vAlign w:val="bottom"/>
            <w:gridSpan w:val="2"/>
          </w:tcPr>
          <w:p>
            <w:pPr>
              <w:jc w:val="right"/>
              <w:ind w:right="18"/>
              <w:spacing w:after="0"/>
              <w:rPr>
                <w:sz w:val="20"/>
                <w:szCs w:val="20"/>
                <w:color w:val="auto"/>
              </w:rPr>
            </w:pPr>
            <w:r>
              <w:rPr>
                <w:rFonts w:ascii="Arial" w:cs="Arial" w:eastAsia="Arial" w:hAnsi="Arial"/>
                <w:sz w:val="8"/>
                <w:szCs w:val="8"/>
                <w:color w:val="auto"/>
              </w:rPr>
              <w:t>1,166</w:t>
            </w:r>
          </w:p>
        </w:tc>
        <w:tc>
          <w:tcPr>
            <w:tcW w:w="660" w:type="dxa"/>
            <w:vAlign w:val="bottom"/>
          </w:tcPr>
          <w:p>
            <w:pPr>
              <w:jc w:val="right"/>
              <w:spacing w:after="0"/>
              <w:rPr>
                <w:sz w:val="20"/>
                <w:szCs w:val="20"/>
                <w:color w:val="auto"/>
              </w:rPr>
            </w:pPr>
            <w:r>
              <w:rPr>
                <w:rFonts w:ascii="Arial" w:cs="Arial" w:eastAsia="Arial" w:hAnsi="Arial"/>
                <w:sz w:val="8"/>
                <w:szCs w:val="8"/>
                <w:color w:val="auto"/>
              </w:rPr>
              <w:t>0 %</w:t>
            </w:r>
          </w:p>
        </w:tc>
      </w:tr>
      <w:tr>
        <w:trPr>
          <w:trHeight w:val="134"/>
        </w:trPr>
        <w:tc>
          <w:tcPr>
            <w:tcW w:w="2680" w:type="dxa"/>
            <w:vAlign w:val="bottom"/>
            <w:shd w:val="clear" w:color="auto" w:fill="CFF0FC"/>
          </w:tcPr>
          <w:p>
            <w:pPr>
              <w:spacing w:after="0"/>
              <w:rPr>
                <w:sz w:val="11"/>
                <w:szCs w:val="11"/>
                <w:color w:val="auto"/>
              </w:rPr>
            </w:pPr>
          </w:p>
        </w:tc>
        <w:tc>
          <w:tcPr>
            <w:tcW w:w="30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680" w:type="dxa"/>
            <w:vAlign w:val="bottom"/>
          </w:tcPr>
          <w:p>
            <w:pPr>
              <w:ind w:left="20"/>
              <w:spacing w:after="0"/>
              <w:rPr>
                <w:sz w:val="20"/>
                <w:szCs w:val="20"/>
                <w:color w:val="auto"/>
              </w:rPr>
            </w:pPr>
            <w:r>
              <w:rPr>
                <w:rFonts w:ascii="Arial" w:cs="Arial" w:eastAsia="Arial" w:hAnsi="Arial"/>
                <w:sz w:val="8"/>
                <w:szCs w:val="8"/>
                <w:i w:val="1"/>
                <w:iCs w:val="1"/>
                <w:color w:val="auto"/>
              </w:rPr>
              <w:t>Palmetto Moon, LLC</w:t>
            </w:r>
          </w:p>
        </w:tc>
        <w:tc>
          <w:tcPr>
            <w:tcW w:w="3000" w:type="dxa"/>
            <w:vAlign w:val="bottom"/>
          </w:tcPr>
          <w:p>
            <w:pPr>
              <w:ind w:left="260"/>
              <w:spacing w:after="0"/>
              <w:rPr>
                <w:sz w:val="20"/>
                <w:szCs w:val="20"/>
                <w:color w:val="auto"/>
              </w:rPr>
            </w:pPr>
            <w:r>
              <w:rPr>
                <w:rFonts w:ascii="Arial" w:cs="Arial" w:eastAsia="Arial" w:hAnsi="Arial"/>
                <w:sz w:val="8"/>
                <w:szCs w:val="8"/>
                <w:color w:val="auto"/>
              </w:rPr>
              <w:t>Retail</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4"/>
        </w:trPr>
        <w:tc>
          <w:tcPr>
            <w:tcW w:w="2680" w:type="dxa"/>
            <w:vAlign w:val="bottom"/>
            <w:shd w:val="clear" w:color="auto" w:fill="CFF0FC"/>
          </w:tcPr>
          <w:p>
            <w:pPr>
              <w:ind w:left="140"/>
              <w:spacing w:after="0"/>
              <w:rPr>
                <w:sz w:val="20"/>
                <w:szCs w:val="20"/>
                <w:color w:val="auto"/>
              </w:rPr>
            </w:pPr>
            <w:r>
              <w:rPr>
                <w:rFonts w:ascii="Arial" w:cs="Arial" w:eastAsia="Arial" w:hAnsi="Arial"/>
                <w:sz w:val="8"/>
                <w:szCs w:val="8"/>
                <w:color w:val="auto"/>
              </w:rPr>
              <w:t>Common Equity (499 units) (j)</w:t>
            </w:r>
          </w:p>
        </w:tc>
        <w:tc>
          <w:tcPr>
            <w:tcW w:w="30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11/3/2016</w:t>
            </w: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460</w:t>
            </w:r>
          </w:p>
        </w:tc>
        <w:tc>
          <w:tcPr>
            <w:tcW w:w="760" w:type="dxa"/>
            <w:vAlign w:val="bottom"/>
            <w:gridSpan w:val="2"/>
            <w:shd w:val="clear" w:color="auto" w:fill="CFF0FC"/>
          </w:tcPr>
          <w:p>
            <w:pPr>
              <w:jc w:val="right"/>
              <w:ind w:right="18"/>
              <w:spacing w:after="0"/>
              <w:rPr>
                <w:sz w:val="20"/>
                <w:szCs w:val="20"/>
                <w:color w:val="auto"/>
              </w:rPr>
            </w:pPr>
            <w:r>
              <w:rPr>
                <w:rFonts w:ascii="Arial" w:cs="Arial" w:eastAsia="Arial" w:hAnsi="Arial"/>
                <w:sz w:val="8"/>
                <w:szCs w:val="8"/>
                <w:color w:val="auto"/>
              </w:rPr>
              <w:t>798</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0 %</w:t>
            </w:r>
          </w:p>
        </w:tc>
      </w:tr>
      <w:tr>
        <w:trPr>
          <w:trHeight w:val="127"/>
        </w:trPr>
        <w:tc>
          <w:tcPr>
            <w:tcW w:w="268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27"/>
        </w:trPr>
        <w:tc>
          <w:tcPr>
            <w:tcW w:w="2680" w:type="dxa"/>
            <w:vAlign w:val="bottom"/>
            <w:shd w:val="clear" w:color="auto" w:fill="CFF0FC"/>
          </w:tcPr>
          <w:p>
            <w:pPr>
              <w:ind w:left="20"/>
              <w:spacing w:after="0"/>
              <w:rPr>
                <w:sz w:val="20"/>
                <w:szCs w:val="20"/>
                <w:color w:val="auto"/>
              </w:rPr>
            </w:pPr>
            <w:r>
              <w:rPr>
                <w:rFonts w:ascii="Arial" w:cs="Arial" w:eastAsia="Arial" w:hAnsi="Arial"/>
                <w:sz w:val="8"/>
                <w:szCs w:val="8"/>
                <w:i w:val="1"/>
                <w:iCs w:val="1"/>
                <w:color w:val="auto"/>
              </w:rPr>
              <w:t>Pool &amp; Electrical Products, LLC</w:t>
            </w:r>
          </w:p>
        </w:tc>
        <w:tc>
          <w:tcPr>
            <w:tcW w:w="3000" w:type="dxa"/>
            <w:vAlign w:val="bottom"/>
            <w:shd w:val="clear" w:color="auto" w:fill="CFF0FC"/>
          </w:tcPr>
          <w:p>
            <w:pPr>
              <w:ind w:left="260"/>
              <w:spacing w:after="0"/>
              <w:rPr>
                <w:sz w:val="20"/>
                <w:szCs w:val="20"/>
                <w:color w:val="auto"/>
              </w:rPr>
            </w:pPr>
            <w:r>
              <w:rPr>
                <w:rFonts w:ascii="Arial" w:cs="Arial" w:eastAsia="Arial" w:hAnsi="Arial"/>
                <w:sz w:val="8"/>
                <w:szCs w:val="8"/>
                <w:color w:val="auto"/>
              </w:rPr>
              <w:t>Specialty Distribution</w:t>
            </w: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6240145</wp:posOffset>
            </wp:positionH>
            <wp:positionV relativeFrom="paragraph">
              <wp:posOffset>-9415780</wp:posOffset>
            </wp:positionV>
            <wp:extent cx="56515" cy="50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15" cy="5080"/>
                    </a:xfrm>
                    <a:prstGeom prst="rect">
                      <a:avLst/>
                    </a:prstGeom>
                    <a:noFill/>
                  </pic:spPr>
                </pic:pic>
              </a:graphicData>
            </a:graphic>
          </wp:anchor>
        </w:drawing>
        <w:drawing>
          <wp:anchor simplePos="0" relativeHeight="251657728" behindDoc="1" locked="0" layoutInCell="0" allowOverlap="1">
            <wp:simplePos x="0" y="0"/>
            <wp:positionH relativeFrom="column">
              <wp:posOffset>6715125</wp:posOffset>
            </wp:positionH>
            <wp:positionV relativeFrom="paragraph">
              <wp:posOffset>-9415780</wp:posOffset>
            </wp:positionV>
            <wp:extent cx="354330" cy="50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54330" cy="5080"/>
                    </a:xfrm>
                    <a:prstGeom prst="rect">
                      <a:avLst/>
                    </a:prstGeom>
                    <a:noFill/>
                  </pic:spPr>
                </pic:pic>
              </a:graphicData>
            </a:graphic>
          </wp:anchor>
        </w:drawing>
        <w:drawing>
          <wp:anchor simplePos="0" relativeHeight="251657728" behindDoc="1" locked="0" layoutInCell="0" allowOverlap="1">
            <wp:simplePos x="0" y="0"/>
            <wp:positionH relativeFrom="column">
              <wp:posOffset>6240145</wp:posOffset>
            </wp:positionH>
            <wp:positionV relativeFrom="paragraph">
              <wp:posOffset>-9085580</wp:posOffset>
            </wp:positionV>
            <wp:extent cx="56515" cy="50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15" cy="5080"/>
                    </a:xfrm>
                    <a:prstGeom prst="rect">
                      <a:avLst/>
                    </a:prstGeom>
                    <a:noFill/>
                  </pic:spPr>
                </pic:pic>
              </a:graphicData>
            </a:graphic>
          </wp:anchor>
        </w:drawing>
        <w:drawing>
          <wp:anchor simplePos="0" relativeHeight="251657728" behindDoc="1" locked="0" layoutInCell="0" allowOverlap="1">
            <wp:simplePos x="0" y="0"/>
            <wp:positionH relativeFrom="column">
              <wp:posOffset>6715125</wp:posOffset>
            </wp:positionH>
            <wp:positionV relativeFrom="paragraph">
              <wp:posOffset>-9085580</wp:posOffset>
            </wp:positionV>
            <wp:extent cx="354330" cy="50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54330" cy="5080"/>
                    </a:xfrm>
                    <a:prstGeom prst="rect">
                      <a:avLst/>
                    </a:prstGeom>
                    <a:noFill/>
                  </pic:spPr>
                </pic:pic>
              </a:graphicData>
            </a:graphic>
          </wp:anchor>
        </w:drawing>
        <w:drawing>
          <wp:anchor simplePos="0" relativeHeight="251657728" behindDoc="1" locked="0" layoutInCell="0" allowOverlap="1">
            <wp:simplePos x="0" y="0"/>
            <wp:positionH relativeFrom="column">
              <wp:posOffset>6240145</wp:posOffset>
            </wp:positionH>
            <wp:positionV relativeFrom="paragraph">
              <wp:posOffset>-8755380</wp:posOffset>
            </wp:positionV>
            <wp:extent cx="56515" cy="50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15" cy="5080"/>
                    </a:xfrm>
                    <a:prstGeom prst="rect">
                      <a:avLst/>
                    </a:prstGeom>
                    <a:noFill/>
                  </pic:spPr>
                </pic:pic>
              </a:graphicData>
            </a:graphic>
          </wp:anchor>
        </w:drawing>
        <w:drawing>
          <wp:anchor simplePos="0" relativeHeight="251657728" behindDoc="1" locked="0" layoutInCell="0" allowOverlap="1">
            <wp:simplePos x="0" y="0"/>
            <wp:positionH relativeFrom="column">
              <wp:posOffset>6715125</wp:posOffset>
            </wp:positionH>
            <wp:positionV relativeFrom="paragraph">
              <wp:posOffset>-8755380</wp:posOffset>
            </wp:positionV>
            <wp:extent cx="354330" cy="50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54330" cy="5080"/>
                    </a:xfrm>
                    <a:prstGeom prst="rect">
                      <a:avLst/>
                    </a:prstGeom>
                    <a:noFill/>
                  </pic:spPr>
                </pic:pic>
              </a:graphicData>
            </a:graphic>
          </wp:anchor>
        </w:drawing>
        <w:drawing>
          <wp:anchor simplePos="0" relativeHeight="251657728" behindDoc="1" locked="0" layoutInCell="0" allowOverlap="1">
            <wp:simplePos x="0" y="0"/>
            <wp:positionH relativeFrom="column">
              <wp:posOffset>6240145</wp:posOffset>
            </wp:positionH>
            <wp:positionV relativeFrom="paragraph">
              <wp:posOffset>-8417560</wp:posOffset>
            </wp:positionV>
            <wp:extent cx="56515" cy="50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15" cy="5080"/>
                    </a:xfrm>
                    <a:prstGeom prst="rect">
                      <a:avLst/>
                    </a:prstGeom>
                    <a:noFill/>
                  </pic:spPr>
                </pic:pic>
              </a:graphicData>
            </a:graphic>
          </wp:anchor>
        </w:drawing>
        <w:drawing>
          <wp:anchor simplePos="0" relativeHeight="251657728" behindDoc="1" locked="0" layoutInCell="0" allowOverlap="1">
            <wp:simplePos x="0" y="0"/>
            <wp:positionH relativeFrom="column">
              <wp:posOffset>6715125</wp:posOffset>
            </wp:positionH>
            <wp:positionV relativeFrom="paragraph">
              <wp:posOffset>-8417560</wp:posOffset>
            </wp:positionV>
            <wp:extent cx="354330" cy="50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54330" cy="5080"/>
                    </a:xfrm>
                    <a:prstGeom prst="rect">
                      <a:avLst/>
                    </a:prstGeom>
                    <a:noFill/>
                  </pic:spPr>
                </pic:pic>
              </a:graphicData>
            </a:graphic>
          </wp:anchor>
        </w:drawing>
        <w:drawing>
          <wp:anchor simplePos="0" relativeHeight="251657728" behindDoc="1" locked="0" layoutInCell="0" allowOverlap="1">
            <wp:simplePos x="0" y="0"/>
            <wp:positionH relativeFrom="column">
              <wp:posOffset>6240145</wp:posOffset>
            </wp:positionH>
            <wp:positionV relativeFrom="paragraph">
              <wp:posOffset>-6614160</wp:posOffset>
            </wp:positionV>
            <wp:extent cx="56515" cy="50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15" cy="5080"/>
                    </a:xfrm>
                    <a:prstGeom prst="rect">
                      <a:avLst/>
                    </a:prstGeom>
                    <a:noFill/>
                  </pic:spPr>
                </pic:pic>
              </a:graphicData>
            </a:graphic>
          </wp:anchor>
        </w:drawing>
        <w:drawing>
          <wp:anchor simplePos="0" relativeHeight="251657728" behindDoc="1" locked="0" layoutInCell="0" allowOverlap="1">
            <wp:simplePos x="0" y="0"/>
            <wp:positionH relativeFrom="column">
              <wp:posOffset>6715125</wp:posOffset>
            </wp:positionH>
            <wp:positionV relativeFrom="paragraph">
              <wp:posOffset>-6614160</wp:posOffset>
            </wp:positionV>
            <wp:extent cx="354330" cy="50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54330" cy="5080"/>
                    </a:xfrm>
                    <a:prstGeom prst="rect">
                      <a:avLst/>
                    </a:prstGeom>
                    <a:noFill/>
                  </pic:spPr>
                </pic:pic>
              </a:graphicData>
            </a:graphic>
          </wp:anchor>
        </w:drawing>
        <w:drawing>
          <wp:anchor simplePos="0" relativeHeight="251657728" behindDoc="1" locked="0" layoutInCell="0" allowOverlap="1">
            <wp:simplePos x="0" y="0"/>
            <wp:positionH relativeFrom="column">
              <wp:posOffset>6240145</wp:posOffset>
            </wp:positionH>
            <wp:positionV relativeFrom="paragraph">
              <wp:posOffset>-5559425</wp:posOffset>
            </wp:positionV>
            <wp:extent cx="56515" cy="50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15" cy="5080"/>
                    </a:xfrm>
                    <a:prstGeom prst="rect">
                      <a:avLst/>
                    </a:prstGeom>
                    <a:noFill/>
                  </pic:spPr>
                </pic:pic>
              </a:graphicData>
            </a:graphic>
          </wp:anchor>
        </w:drawing>
        <w:drawing>
          <wp:anchor simplePos="0" relativeHeight="251657728" behindDoc="1" locked="0" layoutInCell="0" allowOverlap="1">
            <wp:simplePos x="0" y="0"/>
            <wp:positionH relativeFrom="column">
              <wp:posOffset>6715125</wp:posOffset>
            </wp:positionH>
            <wp:positionV relativeFrom="paragraph">
              <wp:posOffset>-5559425</wp:posOffset>
            </wp:positionV>
            <wp:extent cx="354330" cy="50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54330" cy="5080"/>
                    </a:xfrm>
                    <a:prstGeom prst="rect">
                      <a:avLst/>
                    </a:prstGeom>
                    <a:noFill/>
                  </pic:spPr>
                </pic:pic>
              </a:graphicData>
            </a:graphic>
          </wp:anchor>
        </w:drawing>
        <w:drawing>
          <wp:anchor simplePos="0" relativeHeight="251657728" behindDoc="1" locked="0" layoutInCell="0" allowOverlap="1">
            <wp:simplePos x="0" y="0"/>
            <wp:positionH relativeFrom="column">
              <wp:posOffset>6240145</wp:posOffset>
            </wp:positionH>
            <wp:positionV relativeFrom="paragraph">
              <wp:posOffset>-3917315</wp:posOffset>
            </wp:positionV>
            <wp:extent cx="56515" cy="50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15" cy="5080"/>
                    </a:xfrm>
                    <a:prstGeom prst="rect">
                      <a:avLst/>
                    </a:prstGeom>
                    <a:noFill/>
                  </pic:spPr>
                </pic:pic>
              </a:graphicData>
            </a:graphic>
          </wp:anchor>
        </w:drawing>
        <w:drawing>
          <wp:anchor simplePos="0" relativeHeight="251657728" behindDoc="1" locked="0" layoutInCell="0" allowOverlap="1">
            <wp:simplePos x="0" y="0"/>
            <wp:positionH relativeFrom="column">
              <wp:posOffset>6715125</wp:posOffset>
            </wp:positionH>
            <wp:positionV relativeFrom="paragraph">
              <wp:posOffset>-3917315</wp:posOffset>
            </wp:positionV>
            <wp:extent cx="354330" cy="50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54330" cy="5080"/>
                    </a:xfrm>
                    <a:prstGeom prst="rect">
                      <a:avLst/>
                    </a:prstGeom>
                    <a:noFill/>
                  </pic:spPr>
                </pic:pic>
              </a:graphicData>
            </a:graphic>
          </wp:anchor>
        </w:drawing>
        <w:drawing>
          <wp:anchor simplePos="0" relativeHeight="251657728" behindDoc="1" locked="0" layoutInCell="0" allowOverlap="1">
            <wp:simplePos x="0" y="0"/>
            <wp:positionH relativeFrom="column">
              <wp:posOffset>6240145</wp:posOffset>
            </wp:positionH>
            <wp:positionV relativeFrom="paragraph">
              <wp:posOffset>-2934970</wp:posOffset>
            </wp:positionV>
            <wp:extent cx="56515" cy="50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15" cy="5080"/>
                    </a:xfrm>
                    <a:prstGeom prst="rect">
                      <a:avLst/>
                    </a:prstGeom>
                    <a:noFill/>
                  </pic:spPr>
                </pic:pic>
              </a:graphicData>
            </a:graphic>
          </wp:anchor>
        </w:drawing>
        <w:drawing>
          <wp:anchor simplePos="0" relativeHeight="251657728" behindDoc="1" locked="0" layoutInCell="0" allowOverlap="1">
            <wp:simplePos x="0" y="0"/>
            <wp:positionH relativeFrom="column">
              <wp:posOffset>6715125</wp:posOffset>
            </wp:positionH>
            <wp:positionV relativeFrom="paragraph">
              <wp:posOffset>-2934970</wp:posOffset>
            </wp:positionV>
            <wp:extent cx="354330" cy="50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54330" cy="5080"/>
                    </a:xfrm>
                    <a:prstGeom prst="rect">
                      <a:avLst/>
                    </a:prstGeom>
                    <a:noFill/>
                  </pic:spPr>
                </pic:pic>
              </a:graphicData>
            </a:graphic>
          </wp:anchor>
        </w:drawing>
        <w:drawing>
          <wp:anchor simplePos="0" relativeHeight="251657728" behindDoc="1" locked="0" layoutInCell="0" allowOverlap="1">
            <wp:simplePos x="0" y="0"/>
            <wp:positionH relativeFrom="column">
              <wp:posOffset>6240145</wp:posOffset>
            </wp:positionH>
            <wp:positionV relativeFrom="paragraph">
              <wp:posOffset>-2122170</wp:posOffset>
            </wp:positionV>
            <wp:extent cx="56515" cy="50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15" cy="5080"/>
                    </a:xfrm>
                    <a:prstGeom prst="rect">
                      <a:avLst/>
                    </a:prstGeom>
                    <a:noFill/>
                  </pic:spPr>
                </pic:pic>
              </a:graphicData>
            </a:graphic>
          </wp:anchor>
        </w:drawing>
        <w:drawing>
          <wp:anchor simplePos="0" relativeHeight="251657728" behindDoc="1" locked="0" layoutInCell="0" allowOverlap="1">
            <wp:simplePos x="0" y="0"/>
            <wp:positionH relativeFrom="column">
              <wp:posOffset>6715125</wp:posOffset>
            </wp:positionH>
            <wp:positionV relativeFrom="paragraph">
              <wp:posOffset>-2122170</wp:posOffset>
            </wp:positionV>
            <wp:extent cx="354330" cy="50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54330" cy="5080"/>
                    </a:xfrm>
                    <a:prstGeom prst="rect">
                      <a:avLst/>
                    </a:prstGeom>
                    <a:noFill/>
                  </pic:spPr>
                </pic:pic>
              </a:graphicData>
            </a:graphic>
          </wp:anchor>
        </w:drawing>
        <w:drawing>
          <wp:anchor simplePos="0" relativeHeight="251657728" behindDoc="1" locked="0" layoutInCell="0" allowOverlap="1">
            <wp:simplePos x="0" y="0"/>
            <wp:positionH relativeFrom="column">
              <wp:posOffset>6240145</wp:posOffset>
            </wp:positionH>
            <wp:positionV relativeFrom="paragraph">
              <wp:posOffset>-1791970</wp:posOffset>
            </wp:positionV>
            <wp:extent cx="56515" cy="50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15" cy="5080"/>
                    </a:xfrm>
                    <a:prstGeom prst="rect">
                      <a:avLst/>
                    </a:prstGeom>
                    <a:noFill/>
                  </pic:spPr>
                </pic:pic>
              </a:graphicData>
            </a:graphic>
          </wp:anchor>
        </w:drawing>
        <w:drawing>
          <wp:anchor simplePos="0" relativeHeight="251657728" behindDoc="1" locked="0" layoutInCell="0" allowOverlap="1">
            <wp:simplePos x="0" y="0"/>
            <wp:positionH relativeFrom="column">
              <wp:posOffset>6715125</wp:posOffset>
            </wp:positionH>
            <wp:positionV relativeFrom="paragraph">
              <wp:posOffset>-1791970</wp:posOffset>
            </wp:positionV>
            <wp:extent cx="354330" cy="50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54330" cy="5080"/>
                    </a:xfrm>
                    <a:prstGeom prst="rect">
                      <a:avLst/>
                    </a:prstGeom>
                    <a:noFill/>
                  </pic:spPr>
                </pic:pic>
              </a:graphicData>
            </a:graphic>
          </wp:anchor>
        </w:drawing>
        <w:drawing>
          <wp:anchor simplePos="0" relativeHeight="251657728" behindDoc="1" locked="0" layoutInCell="0" allowOverlap="1">
            <wp:simplePos x="0" y="0"/>
            <wp:positionH relativeFrom="column">
              <wp:posOffset>6240145</wp:posOffset>
            </wp:positionH>
            <wp:positionV relativeFrom="paragraph">
              <wp:posOffset>-648970</wp:posOffset>
            </wp:positionV>
            <wp:extent cx="56515" cy="50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15" cy="5080"/>
                    </a:xfrm>
                    <a:prstGeom prst="rect">
                      <a:avLst/>
                    </a:prstGeom>
                    <a:noFill/>
                  </pic:spPr>
                </pic:pic>
              </a:graphicData>
            </a:graphic>
          </wp:anchor>
        </w:drawing>
        <w:drawing>
          <wp:anchor simplePos="0" relativeHeight="251657728" behindDoc="1" locked="0" layoutInCell="0" allowOverlap="1">
            <wp:simplePos x="0" y="0"/>
            <wp:positionH relativeFrom="column">
              <wp:posOffset>6715125</wp:posOffset>
            </wp:positionH>
            <wp:positionV relativeFrom="paragraph">
              <wp:posOffset>-648970</wp:posOffset>
            </wp:positionV>
            <wp:extent cx="354330" cy="50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54330" cy="5080"/>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07" w:right="339" w:bottom="142"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12"/>
        </w:trPr>
        <w:tc>
          <w:tcPr>
            <w:tcW w:w="2620" w:type="dxa"/>
            <w:vAlign w:val="bottom"/>
          </w:tcPr>
          <w:p>
            <w:pPr>
              <w:ind w:left="140"/>
              <w:spacing w:after="0"/>
              <w:rPr>
                <w:sz w:val="20"/>
                <w:szCs w:val="20"/>
                <w:color w:val="auto"/>
              </w:rPr>
            </w:pPr>
            <w:r>
              <w:rPr>
                <w:rFonts w:ascii="Arial" w:cs="Arial" w:eastAsia="Arial" w:hAnsi="Arial"/>
                <w:sz w:val="8"/>
                <w:szCs w:val="8"/>
                <w:color w:val="auto"/>
              </w:rPr>
              <w:t>Second Lien Debt (j)</w:t>
            </w:r>
          </w:p>
        </w:tc>
        <w:tc>
          <w:tcPr>
            <w:tcW w:w="3060" w:type="dxa"/>
            <w:vAlign w:val="bottom"/>
          </w:tcPr>
          <w:p>
            <w:pPr>
              <w:spacing w:after="0"/>
              <w:rPr>
                <w:sz w:val="9"/>
                <w:szCs w:val="9"/>
                <w:color w:val="auto"/>
              </w:rPr>
            </w:pPr>
          </w:p>
        </w:tc>
        <w:tc>
          <w:tcPr>
            <w:tcW w:w="940" w:type="dxa"/>
            <w:vAlign w:val="bottom"/>
          </w:tcPr>
          <w:p>
            <w:pPr>
              <w:ind w:left="220"/>
              <w:spacing w:after="0"/>
              <w:rPr>
                <w:sz w:val="20"/>
                <w:szCs w:val="20"/>
                <w:color w:val="auto"/>
              </w:rPr>
            </w:pPr>
            <w:r>
              <w:rPr>
                <w:rFonts w:ascii="Arial" w:cs="Arial" w:eastAsia="Arial" w:hAnsi="Arial"/>
                <w:sz w:val="8"/>
                <w:szCs w:val="8"/>
                <w:color w:val="auto"/>
              </w:rPr>
              <w:t>11.75%/0.00%</w:t>
            </w:r>
          </w:p>
        </w:tc>
        <w:tc>
          <w:tcPr>
            <w:tcW w:w="820" w:type="dxa"/>
            <w:vAlign w:val="bottom"/>
          </w:tcPr>
          <w:p>
            <w:pPr>
              <w:ind w:left="220"/>
              <w:spacing w:after="0"/>
              <w:rPr>
                <w:sz w:val="20"/>
                <w:szCs w:val="20"/>
                <w:color w:val="auto"/>
              </w:rPr>
            </w:pPr>
            <w:r>
              <w:rPr>
                <w:rFonts w:ascii="Arial" w:cs="Arial" w:eastAsia="Arial" w:hAnsi="Arial"/>
                <w:sz w:val="8"/>
                <w:szCs w:val="8"/>
                <w:color w:val="auto"/>
              </w:rPr>
              <w:t>10/28/2020</w:t>
            </w:r>
          </w:p>
        </w:tc>
        <w:tc>
          <w:tcPr>
            <w:tcW w:w="980" w:type="dxa"/>
            <w:vAlign w:val="bottom"/>
          </w:tcPr>
          <w:p>
            <w:pPr>
              <w:ind w:left="200"/>
              <w:spacing w:after="0"/>
              <w:rPr>
                <w:sz w:val="20"/>
                <w:szCs w:val="20"/>
                <w:color w:val="auto"/>
              </w:rPr>
            </w:pPr>
            <w:r>
              <w:rPr>
                <w:rFonts w:ascii="Arial" w:cs="Arial" w:eastAsia="Arial" w:hAnsi="Arial"/>
                <w:sz w:val="8"/>
                <w:szCs w:val="8"/>
                <w:color w:val="auto"/>
              </w:rPr>
              <w:t>4/28/2027</w:t>
            </w:r>
          </w:p>
        </w:tc>
        <w:tc>
          <w:tcPr>
            <w:tcW w:w="740" w:type="dxa"/>
            <w:vAlign w:val="bottom"/>
          </w:tcPr>
          <w:p>
            <w:pPr>
              <w:jc w:val="right"/>
              <w:ind w:right="78"/>
              <w:spacing w:after="0"/>
              <w:rPr>
                <w:sz w:val="20"/>
                <w:szCs w:val="20"/>
                <w:color w:val="auto"/>
              </w:rPr>
            </w:pPr>
            <w:r>
              <w:rPr>
                <w:rFonts w:ascii="Arial" w:cs="Arial" w:eastAsia="Arial" w:hAnsi="Arial"/>
                <w:sz w:val="8"/>
                <w:szCs w:val="8"/>
                <w:color w:val="auto"/>
              </w:rPr>
              <w:t>12,000</w:t>
            </w:r>
          </w:p>
        </w:tc>
        <w:tc>
          <w:tcPr>
            <w:tcW w:w="8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11,897</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jc w:val="right"/>
              <w:ind w:right="18"/>
              <w:spacing w:after="0"/>
              <w:rPr>
                <w:sz w:val="20"/>
                <w:szCs w:val="20"/>
                <w:color w:val="auto"/>
              </w:rPr>
            </w:pPr>
            <w:r>
              <w:rPr>
                <w:rFonts w:ascii="Arial" w:cs="Arial" w:eastAsia="Arial" w:hAnsi="Arial"/>
                <w:sz w:val="8"/>
                <w:szCs w:val="8"/>
                <w:color w:val="auto"/>
              </w:rPr>
              <w:t>12,000</w:t>
            </w:r>
          </w:p>
        </w:tc>
        <w:tc>
          <w:tcPr>
            <w:tcW w:w="660" w:type="dxa"/>
            <w:vAlign w:val="bottom"/>
          </w:tcPr>
          <w:p>
            <w:pPr>
              <w:spacing w:after="0"/>
              <w:rPr>
                <w:sz w:val="9"/>
                <w:szCs w:val="9"/>
                <w:color w:val="auto"/>
              </w:rPr>
            </w:pPr>
          </w:p>
        </w:tc>
      </w:tr>
      <w:tr>
        <w:trPr>
          <w:trHeight w:val="133"/>
        </w:trPr>
        <w:tc>
          <w:tcPr>
            <w:tcW w:w="26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8"/>
                <w:szCs w:val="8"/>
                <w:color w:val="auto"/>
              </w:rPr>
              <w:t>Common Equity (15,000 units) (h)(j)</w:t>
            </w:r>
          </w:p>
        </w:tc>
        <w:tc>
          <w:tcPr>
            <w:tcW w:w="306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8"/>
                <w:szCs w:val="8"/>
                <w:color w:val="auto"/>
              </w:rPr>
              <w:t>10/28/2020</w:t>
            </w:r>
          </w:p>
        </w:tc>
        <w:tc>
          <w:tcPr>
            <w:tcW w:w="98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1,500</w:t>
            </w:r>
          </w:p>
        </w:tc>
        <w:tc>
          <w:tcPr>
            <w:tcW w:w="10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spacing w:after="0"/>
              <w:rPr>
                <w:sz w:val="11"/>
                <w:szCs w:val="11"/>
                <w:color w:val="auto"/>
              </w:rPr>
            </w:pPr>
          </w:p>
        </w:tc>
        <w:tc>
          <w:tcPr>
            <w:tcW w:w="46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8"/>
                <w:szCs w:val="8"/>
                <w:color w:val="auto"/>
              </w:rPr>
              <w:t>5,169</w:t>
            </w:r>
          </w:p>
        </w:tc>
        <w:tc>
          <w:tcPr>
            <w:tcW w:w="660" w:type="dxa"/>
            <w:vAlign w:val="bottom"/>
            <w:tcBorders>
              <w:bottom w:val="single" w:sz="8" w:color="CFF0FC"/>
            </w:tcBorders>
            <w:shd w:val="clear" w:color="auto" w:fill="CFF0FC"/>
          </w:tcPr>
          <w:p>
            <w:pPr>
              <w:spacing w:after="0"/>
              <w:rPr>
                <w:sz w:val="11"/>
                <w:szCs w:val="11"/>
                <w:color w:val="auto"/>
              </w:rPr>
            </w:pPr>
          </w:p>
        </w:tc>
      </w:tr>
      <w:tr>
        <w:trPr>
          <w:trHeight w:val="113"/>
        </w:trPr>
        <w:tc>
          <w:tcPr>
            <w:tcW w:w="26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13,397</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jc w:val="right"/>
              <w:ind w:right="18"/>
              <w:spacing w:after="0"/>
              <w:rPr>
                <w:sz w:val="20"/>
                <w:szCs w:val="20"/>
                <w:color w:val="auto"/>
              </w:rPr>
            </w:pPr>
            <w:r>
              <w:rPr>
                <w:rFonts w:ascii="Arial" w:cs="Arial" w:eastAsia="Arial" w:hAnsi="Arial"/>
                <w:sz w:val="8"/>
                <w:szCs w:val="8"/>
                <w:color w:val="auto"/>
              </w:rPr>
              <w:t>17,169</w:t>
            </w:r>
          </w:p>
        </w:tc>
        <w:tc>
          <w:tcPr>
            <w:tcW w:w="660" w:type="dxa"/>
            <w:vAlign w:val="bottom"/>
          </w:tcPr>
          <w:p>
            <w:pPr>
              <w:jc w:val="right"/>
              <w:spacing w:after="0"/>
              <w:rPr>
                <w:sz w:val="20"/>
                <w:szCs w:val="20"/>
                <w:color w:val="auto"/>
              </w:rPr>
            </w:pPr>
            <w:r>
              <w:rPr>
                <w:rFonts w:ascii="Arial" w:cs="Arial" w:eastAsia="Arial" w:hAnsi="Arial"/>
                <w:sz w:val="8"/>
                <w:szCs w:val="8"/>
                <w:color w:val="auto"/>
              </w:rPr>
              <w:t>4 %</w:t>
            </w:r>
          </w:p>
        </w:tc>
      </w:tr>
      <w:tr>
        <w:trPr>
          <w:trHeight w:val="134"/>
        </w:trPr>
        <w:tc>
          <w:tcPr>
            <w:tcW w:w="2620" w:type="dxa"/>
            <w:vAlign w:val="bottom"/>
            <w:shd w:val="clear" w:color="auto" w:fill="CFF0FC"/>
          </w:tcPr>
          <w:p>
            <w:pPr>
              <w:ind w:left="20"/>
              <w:spacing w:after="0"/>
              <w:rPr>
                <w:sz w:val="20"/>
                <w:szCs w:val="20"/>
                <w:color w:val="auto"/>
              </w:rPr>
            </w:pPr>
            <w:r>
              <w:rPr>
                <w:rFonts w:ascii="Arial" w:cs="Arial" w:eastAsia="Arial" w:hAnsi="Arial"/>
                <w:sz w:val="8"/>
                <w:szCs w:val="8"/>
                <w:i w:val="1"/>
                <w:iCs w:val="1"/>
                <w:color w:val="auto"/>
              </w:rPr>
              <w:t>Power Grid Components, Inc.</w:t>
            </w:r>
          </w:p>
        </w:tc>
        <w:tc>
          <w:tcPr>
            <w:tcW w:w="3060" w:type="dxa"/>
            <w:vAlign w:val="bottom"/>
            <w:shd w:val="clear" w:color="auto" w:fill="CFF0FC"/>
          </w:tcPr>
          <w:p>
            <w:pPr>
              <w:ind w:left="320"/>
              <w:spacing w:after="0"/>
              <w:rPr>
                <w:sz w:val="20"/>
                <w:szCs w:val="20"/>
                <w:color w:val="auto"/>
              </w:rPr>
            </w:pPr>
            <w:r>
              <w:rPr>
                <w:rFonts w:ascii="Arial" w:cs="Arial" w:eastAsia="Arial" w:hAnsi="Arial"/>
                <w:sz w:val="8"/>
                <w:szCs w:val="8"/>
                <w:color w:val="auto"/>
              </w:rPr>
              <w:t>Specialty Distribution</w:t>
            </w: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620" w:type="dxa"/>
            <w:vAlign w:val="bottom"/>
          </w:tcPr>
          <w:p>
            <w:pPr>
              <w:ind w:left="140"/>
              <w:spacing w:after="0"/>
              <w:rPr>
                <w:sz w:val="20"/>
                <w:szCs w:val="20"/>
                <w:color w:val="auto"/>
              </w:rPr>
            </w:pPr>
            <w:r>
              <w:rPr>
                <w:rFonts w:ascii="Arial" w:cs="Arial" w:eastAsia="Arial" w:hAnsi="Arial"/>
                <w:sz w:val="8"/>
                <w:szCs w:val="8"/>
                <w:color w:val="auto"/>
              </w:rPr>
              <w:t>Second Lien Debt (k)</w:t>
            </w:r>
          </w:p>
        </w:tc>
        <w:tc>
          <w:tcPr>
            <w:tcW w:w="3060" w:type="dxa"/>
            <w:vAlign w:val="bottom"/>
          </w:tcPr>
          <w:p>
            <w:pPr>
              <w:spacing w:after="0"/>
              <w:rPr>
                <w:sz w:val="10"/>
                <w:szCs w:val="10"/>
                <w:color w:val="auto"/>
              </w:rPr>
            </w:pPr>
          </w:p>
        </w:tc>
        <w:tc>
          <w:tcPr>
            <w:tcW w:w="940" w:type="dxa"/>
            <w:vAlign w:val="bottom"/>
          </w:tcPr>
          <w:p>
            <w:pPr>
              <w:ind w:left="220"/>
              <w:spacing w:after="0"/>
              <w:rPr>
                <w:sz w:val="20"/>
                <w:szCs w:val="20"/>
                <w:color w:val="auto"/>
              </w:rPr>
            </w:pPr>
            <w:r>
              <w:rPr>
                <w:rFonts w:ascii="Arial" w:cs="Arial" w:eastAsia="Arial" w:hAnsi="Arial"/>
                <w:sz w:val="8"/>
                <w:szCs w:val="8"/>
                <w:color w:val="auto"/>
              </w:rPr>
              <w:t>11.00%/1.00%</w:t>
            </w:r>
          </w:p>
        </w:tc>
        <w:tc>
          <w:tcPr>
            <w:tcW w:w="820" w:type="dxa"/>
            <w:vAlign w:val="bottom"/>
          </w:tcPr>
          <w:p>
            <w:pPr>
              <w:ind w:left="220"/>
              <w:spacing w:after="0"/>
              <w:rPr>
                <w:sz w:val="20"/>
                <w:szCs w:val="20"/>
                <w:color w:val="auto"/>
              </w:rPr>
            </w:pPr>
            <w:r>
              <w:rPr>
                <w:rFonts w:ascii="Arial" w:cs="Arial" w:eastAsia="Arial" w:hAnsi="Arial"/>
                <w:sz w:val="8"/>
                <w:szCs w:val="8"/>
                <w:color w:val="auto"/>
              </w:rPr>
              <w:t>4/12/2018</w:t>
            </w:r>
          </w:p>
        </w:tc>
        <w:tc>
          <w:tcPr>
            <w:tcW w:w="980" w:type="dxa"/>
            <w:vAlign w:val="bottom"/>
          </w:tcPr>
          <w:p>
            <w:pPr>
              <w:ind w:left="200"/>
              <w:spacing w:after="0"/>
              <w:rPr>
                <w:sz w:val="20"/>
                <w:szCs w:val="20"/>
                <w:color w:val="auto"/>
              </w:rPr>
            </w:pPr>
            <w:r>
              <w:rPr>
                <w:rFonts w:ascii="Arial" w:cs="Arial" w:eastAsia="Arial" w:hAnsi="Arial"/>
                <w:sz w:val="8"/>
                <w:szCs w:val="8"/>
                <w:color w:val="auto"/>
              </w:rPr>
              <w:t>12/2/2025</w:t>
            </w:r>
          </w:p>
        </w:tc>
        <w:tc>
          <w:tcPr>
            <w:tcW w:w="740" w:type="dxa"/>
            <w:vAlign w:val="bottom"/>
          </w:tcPr>
          <w:p>
            <w:pPr>
              <w:jc w:val="right"/>
              <w:ind w:right="78"/>
              <w:spacing w:after="0"/>
              <w:rPr>
                <w:sz w:val="20"/>
                <w:szCs w:val="20"/>
                <w:color w:val="auto"/>
              </w:rPr>
            </w:pPr>
            <w:r>
              <w:rPr>
                <w:rFonts w:ascii="Arial" w:cs="Arial" w:eastAsia="Arial" w:hAnsi="Arial"/>
                <w:sz w:val="8"/>
                <w:szCs w:val="8"/>
                <w:color w:val="auto"/>
              </w:rPr>
              <w:t>17,526</w:t>
            </w: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17,461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right"/>
              <w:ind w:right="18"/>
              <w:spacing w:after="0"/>
              <w:rPr>
                <w:sz w:val="20"/>
                <w:szCs w:val="20"/>
                <w:color w:val="auto"/>
              </w:rPr>
            </w:pPr>
            <w:r>
              <w:rPr>
                <w:rFonts w:ascii="Arial" w:cs="Arial" w:eastAsia="Arial" w:hAnsi="Arial"/>
                <w:sz w:val="8"/>
                <w:szCs w:val="8"/>
                <w:color w:val="auto"/>
              </w:rPr>
              <w:t>17,526</w:t>
            </w:r>
          </w:p>
        </w:tc>
        <w:tc>
          <w:tcPr>
            <w:tcW w:w="660" w:type="dxa"/>
            <w:vAlign w:val="bottom"/>
          </w:tcPr>
          <w:p>
            <w:pPr>
              <w:spacing w:after="0"/>
              <w:rPr>
                <w:sz w:val="10"/>
                <w:szCs w:val="10"/>
                <w:color w:val="auto"/>
              </w:rPr>
            </w:pPr>
          </w:p>
        </w:tc>
      </w:tr>
      <w:tr>
        <w:trPr>
          <w:trHeight w:val="134"/>
        </w:trPr>
        <w:tc>
          <w:tcPr>
            <w:tcW w:w="2620" w:type="dxa"/>
            <w:vAlign w:val="bottom"/>
            <w:shd w:val="clear" w:color="auto" w:fill="CFF0FC"/>
          </w:tcPr>
          <w:p>
            <w:pPr>
              <w:ind w:left="140"/>
              <w:spacing w:after="0"/>
              <w:rPr>
                <w:sz w:val="20"/>
                <w:szCs w:val="20"/>
                <w:color w:val="auto"/>
              </w:rPr>
            </w:pPr>
            <w:r>
              <w:rPr>
                <w:rFonts w:ascii="Arial" w:cs="Arial" w:eastAsia="Arial" w:hAnsi="Arial"/>
                <w:sz w:val="8"/>
                <w:szCs w:val="8"/>
                <w:color w:val="auto"/>
              </w:rPr>
              <w:t>Preferred Equity (392 shares) (j)</w:t>
            </w:r>
          </w:p>
        </w:tc>
        <w:tc>
          <w:tcPr>
            <w:tcW w:w="30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4/12/2018</w:t>
            </w: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8"/>
                <w:szCs w:val="8"/>
                <w:color w:val="auto"/>
              </w:rPr>
              <w:t>392</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549</w:t>
            </w:r>
          </w:p>
        </w:tc>
        <w:tc>
          <w:tcPr>
            <w:tcW w:w="660" w:type="dxa"/>
            <w:vAlign w:val="bottom"/>
            <w:shd w:val="clear" w:color="auto" w:fill="CFF0FC"/>
          </w:tcPr>
          <w:p>
            <w:pPr>
              <w:spacing w:after="0"/>
              <w:rPr>
                <w:sz w:val="11"/>
                <w:szCs w:val="11"/>
                <w:color w:val="auto"/>
              </w:rPr>
            </w:pPr>
          </w:p>
        </w:tc>
      </w:tr>
      <w:tr>
        <w:trPr>
          <w:trHeight w:val="120"/>
        </w:trPr>
        <w:tc>
          <w:tcPr>
            <w:tcW w:w="2620" w:type="dxa"/>
            <w:vAlign w:val="bottom"/>
          </w:tcPr>
          <w:p>
            <w:pPr>
              <w:ind w:left="140"/>
              <w:spacing w:after="0"/>
              <w:rPr>
                <w:sz w:val="20"/>
                <w:szCs w:val="20"/>
                <w:color w:val="auto"/>
              </w:rPr>
            </w:pPr>
            <w:r>
              <w:rPr>
                <w:rFonts w:ascii="Arial" w:cs="Arial" w:eastAsia="Arial" w:hAnsi="Arial"/>
                <w:sz w:val="8"/>
                <w:szCs w:val="8"/>
                <w:color w:val="auto"/>
              </w:rPr>
              <w:t>Preferred Equity (48 shares) (j)</w:t>
            </w:r>
          </w:p>
        </w:tc>
        <w:tc>
          <w:tcPr>
            <w:tcW w:w="3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12/2/2019</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48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right"/>
              <w:ind w:right="18"/>
              <w:spacing w:after="0"/>
              <w:rPr>
                <w:sz w:val="20"/>
                <w:szCs w:val="20"/>
                <w:color w:val="auto"/>
              </w:rPr>
            </w:pPr>
            <w:r>
              <w:rPr>
                <w:rFonts w:ascii="Arial" w:cs="Arial" w:eastAsia="Arial" w:hAnsi="Arial"/>
                <w:sz w:val="8"/>
                <w:szCs w:val="8"/>
                <w:color w:val="auto"/>
              </w:rPr>
              <w:t>68</w:t>
            </w:r>
          </w:p>
        </w:tc>
        <w:tc>
          <w:tcPr>
            <w:tcW w:w="660" w:type="dxa"/>
            <w:vAlign w:val="bottom"/>
          </w:tcPr>
          <w:p>
            <w:pPr>
              <w:spacing w:after="0"/>
              <w:rPr>
                <w:sz w:val="10"/>
                <w:szCs w:val="10"/>
                <w:color w:val="auto"/>
              </w:rPr>
            </w:pPr>
          </w:p>
        </w:tc>
      </w:tr>
      <w:tr>
        <w:trPr>
          <w:trHeight w:val="133"/>
        </w:trPr>
        <w:tc>
          <w:tcPr>
            <w:tcW w:w="26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8"/>
                <w:szCs w:val="8"/>
                <w:color w:val="auto"/>
              </w:rPr>
              <w:t>Common Equity (10,622 shares) (j)</w:t>
            </w:r>
          </w:p>
        </w:tc>
        <w:tc>
          <w:tcPr>
            <w:tcW w:w="306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8"/>
                <w:szCs w:val="8"/>
                <w:color w:val="auto"/>
              </w:rPr>
              <w:t>4/12/2018</w:t>
            </w:r>
          </w:p>
        </w:tc>
        <w:tc>
          <w:tcPr>
            <w:tcW w:w="98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462</w:t>
            </w:r>
          </w:p>
        </w:tc>
        <w:tc>
          <w:tcPr>
            <w:tcW w:w="10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spacing w:after="0"/>
              <w:rPr>
                <w:sz w:val="11"/>
                <w:szCs w:val="11"/>
                <w:color w:val="auto"/>
              </w:rPr>
            </w:pPr>
          </w:p>
        </w:tc>
        <w:tc>
          <w:tcPr>
            <w:tcW w:w="46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8"/>
                <w:szCs w:val="8"/>
                <w:color w:val="auto"/>
              </w:rPr>
              <w:t>281</w:t>
            </w:r>
          </w:p>
        </w:tc>
        <w:tc>
          <w:tcPr>
            <w:tcW w:w="660" w:type="dxa"/>
            <w:vAlign w:val="bottom"/>
            <w:tcBorders>
              <w:bottom w:val="single" w:sz="8" w:color="CFF0FC"/>
            </w:tcBorders>
            <w:shd w:val="clear" w:color="auto" w:fill="CFF0FC"/>
          </w:tcPr>
          <w:p>
            <w:pPr>
              <w:spacing w:after="0"/>
              <w:rPr>
                <w:sz w:val="11"/>
                <w:szCs w:val="11"/>
                <w:color w:val="auto"/>
              </w:rPr>
            </w:pPr>
          </w:p>
        </w:tc>
      </w:tr>
      <w:tr>
        <w:trPr>
          <w:trHeight w:val="113"/>
        </w:trPr>
        <w:tc>
          <w:tcPr>
            <w:tcW w:w="26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18,363</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jc w:val="right"/>
              <w:ind w:right="18"/>
              <w:spacing w:after="0"/>
              <w:rPr>
                <w:sz w:val="20"/>
                <w:szCs w:val="20"/>
                <w:color w:val="auto"/>
              </w:rPr>
            </w:pPr>
            <w:r>
              <w:rPr>
                <w:rFonts w:ascii="Arial" w:cs="Arial" w:eastAsia="Arial" w:hAnsi="Arial"/>
                <w:sz w:val="8"/>
                <w:szCs w:val="8"/>
                <w:color w:val="auto"/>
              </w:rPr>
              <w:t>18,424</w:t>
            </w:r>
          </w:p>
        </w:tc>
        <w:tc>
          <w:tcPr>
            <w:tcW w:w="660" w:type="dxa"/>
            <w:vAlign w:val="bottom"/>
          </w:tcPr>
          <w:p>
            <w:pPr>
              <w:jc w:val="right"/>
              <w:spacing w:after="0"/>
              <w:rPr>
                <w:sz w:val="20"/>
                <w:szCs w:val="20"/>
                <w:color w:val="auto"/>
              </w:rPr>
            </w:pPr>
            <w:r>
              <w:rPr>
                <w:rFonts w:ascii="Arial" w:cs="Arial" w:eastAsia="Arial" w:hAnsi="Arial"/>
                <w:sz w:val="8"/>
                <w:szCs w:val="8"/>
                <w:color w:val="auto"/>
              </w:rPr>
              <w:t>4 %</w:t>
            </w:r>
          </w:p>
        </w:tc>
      </w:tr>
      <w:tr>
        <w:trPr>
          <w:trHeight w:val="134"/>
        </w:trPr>
        <w:tc>
          <w:tcPr>
            <w:tcW w:w="2620" w:type="dxa"/>
            <w:vAlign w:val="bottom"/>
            <w:shd w:val="clear" w:color="auto" w:fill="CFF0FC"/>
          </w:tcPr>
          <w:p>
            <w:pPr>
              <w:ind w:left="20"/>
              <w:spacing w:after="0"/>
              <w:rPr>
                <w:sz w:val="20"/>
                <w:szCs w:val="20"/>
                <w:color w:val="auto"/>
              </w:rPr>
            </w:pPr>
            <w:r>
              <w:rPr>
                <w:rFonts w:ascii="Arial" w:cs="Arial" w:eastAsia="Arial" w:hAnsi="Arial"/>
                <w:sz w:val="8"/>
                <w:szCs w:val="8"/>
                <w:i w:val="1"/>
                <w:iCs w:val="1"/>
                <w:color w:val="auto"/>
              </w:rPr>
              <w:t>PowerGrid Services Acquisition, LLC</w:t>
            </w:r>
          </w:p>
        </w:tc>
        <w:tc>
          <w:tcPr>
            <w:tcW w:w="3060" w:type="dxa"/>
            <w:vAlign w:val="bottom"/>
            <w:shd w:val="clear" w:color="auto" w:fill="CFF0FC"/>
          </w:tcPr>
          <w:p>
            <w:pPr>
              <w:ind w:left="320"/>
              <w:spacing w:after="0"/>
              <w:rPr>
                <w:sz w:val="20"/>
                <w:szCs w:val="20"/>
                <w:color w:val="auto"/>
              </w:rPr>
            </w:pPr>
            <w:r>
              <w:rPr>
                <w:rFonts w:ascii="Arial" w:cs="Arial" w:eastAsia="Arial" w:hAnsi="Arial"/>
                <w:sz w:val="8"/>
                <w:szCs w:val="8"/>
                <w:color w:val="auto"/>
              </w:rPr>
              <w:t>Utilities: Services</w:t>
            </w: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620" w:type="dxa"/>
            <w:vAlign w:val="bottom"/>
          </w:tcPr>
          <w:p>
            <w:pPr>
              <w:ind w:left="140"/>
              <w:spacing w:after="0"/>
              <w:rPr>
                <w:sz w:val="20"/>
                <w:szCs w:val="20"/>
                <w:color w:val="auto"/>
              </w:rPr>
            </w:pPr>
            <w:r>
              <w:rPr>
                <w:rFonts w:ascii="Arial" w:cs="Arial" w:eastAsia="Arial" w:hAnsi="Arial"/>
                <w:sz w:val="8"/>
                <w:szCs w:val="8"/>
                <w:color w:val="auto"/>
              </w:rPr>
              <w:t>Second Lien Debt (j)</w:t>
            </w:r>
          </w:p>
        </w:tc>
        <w:tc>
          <w:tcPr>
            <w:tcW w:w="3060" w:type="dxa"/>
            <w:vAlign w:val="bottom"/>
          </w:tcPr>
          <w:p>
            <w:pPr>
              <w:ind w:left="2060"/>
              <w:spacing w:after="0"/>
              <w:rPr>
                <w:sz w:val="20"/>
                <w:szCs w:val="20"/>
                <w:color w:val="auto"/>
              </w:rPr>
            </w:pPr>
            <w:r>
              <w:rPr>
                <w:rFonts w:ascii="Arial" w:cs="Arial" w:eastAsia="Arial" w:hAnsi="Arial"/>
                <w:sz w:val="8"/>
                <w:szCs w:val="8"/>
                <w:color w:val="auto"/>
              </w:rPr>
              <w:t>(L + 9.50%) / (1.00%)</w:t>
            </w:r>
          </w:p>
        </w:tc>
        <w:tc>
          <w:tcPr>
            <w:tcW w:w="940" w:type="dxa"/>
            <w:vAlign w:val="bottom"/>
          </w:tcPr>
          <w:p>
            <w:pPr>
              <w:ind w:left="220"/>
              <w:spacing w:after="0"/>
              <w:rPr>
                <w:sz w:val="20"/>
                <w:szCs w:val="20"/>
                <w:color w:val="auto"/>
              </w:rPr>
            </w:pPr>
            <w:r>
              <w:rPr>
                <w:rFonts w:ascii="Arial" w:cs="Arial" w:eastAsia="Arial" w:hAnsi="Arial"/>
                <w:sz w:val="8"/>
                <w:szCs w:val="8"/>
                <w:color w:val="auto"/>
              </w:rPr>
              <w:t>10.50%/0.00%</w:t>
            </w:r>
          </w:p>
        </w:tc>
        <w:tc>
          <w:tcPr>
            <w:tcW w:w="820" w:type="dxa"/>
            <w:vAlign w:val="bottom"/>
          </w:tcPr>
          <w:p>
            <w:pPr>
              <w:ind w:left="220"/>
              <w:spacing w:after="0"/>
              <w:rPr>
                <w:sz w:val="20"/>
                <w:szCs w:val="20"/>
                <w:color w:val="auto"/>
              </w:rPr>
            </w:pPr>
            <w:r>
              <w:rPr>
                <w:rFonts w:ascii="Arial" w:cs="Arial" w:eastAsia="Arial" w:hAnsi="Arial"/>
                <w:sz w:val="8"/>
                <w:szCs w:val="8"/>
                <w:color w:val="auto"/>
              </w:rPr>
              <w:t>9/21/2021</w:t>
            </w:r>
          </w:p>
        </w:tc>
        <w:tc>
          <w:tcPr>
            <w:tcW w:w="980" w:type="dxa"/>
            <w:vAlign w:val="bottom"/>
          </w:tcPr>
          <w:p>
            <w:pPr>
              <w:ind w:left="200"/>
              <w:spacing w:after="0"/>
              <w:rPr>
                <w:sz w:val="20"/>
                <w:szCs w:val="20"/>
                <w:color w:val="auto"/>
              </w:rPr>
            </w:pPr>
            <w:r>
              <w:rPr>
                <w:rFonts w:ascii="Arial" w:cs="Arial" w:eastAsia="Arial" w:hAnsi="Arial"/>
                <w:sz w:val="8"/>
                <w:szCs w:val="8"/>
                <w:color w:val="auto"/>
              </w:rPr>
              <w:t>3/21/2029</w:t>
            </w:r>
          </w:p>
        </w:tc>
        <w:tc>
          <w:tcPr>
            <w:tcW w:w="740" w:type="dxa"/>
            <w:vAlign w:val="bottom"/>
          </w:tcPr>
          <w:p>
            <w:pPr>
              <w:jc w:val="right"/>
              <w:ind w:right="78"/>
              <w:spacing w:after="0"/>
              <w:rPr>
                <w:sz w:val="20"/>
                <w:szCs w:val="20"/>
                <w:color w:val="auto"/>
              </w:rPr>
            </w:pPr>
            <w:r>
              <w:rPr>
                <w:rFonts w:ascii="Arial" w:cs="Arial" w:eastAsia="Arial" w:hAnsi="Arial"/>
                <w:sz w:val="8"/>
                <w:szCs w:val="8"/>
                <w:color w:val="auto"/>
              </w:rPr>
              <w:t>10,062</w:t>
            </w: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9,950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right"/>
              <w:ind w:right="18"/>
              <w:spacing w:after="0"/>
              <w:rPr>
                <w:sz w:val="20"/>
                <w:szCs w:val="20"/>
                <w:color w:val="auto"/>
              </w:rPr>
            </w:pPr>
            <w:r>
              <w:rPr>
                <w:rFonts w:ascii="Arial" w:cs="Arial" w:eastAsia="Arial" w:hAnsi="Arial"/>
                <w:sz w:val="8"/>
                <w:szCs w:val="8"/>
                <w:color w:val="auto"/>
              </w:rPr>
              <w:t>9,950</w:t>
            </w:r>
          </w:p>
        </w:tc>
        <w:tc>
          <w:tcPr>
            <w:tcW w:w="660" w:type="dxa"/>
            <w:vAlign w:val="bottom"/>
          </w:tcPr>
          <w:p>
            <w:pPr>
              <w:spacing w:after="0"/>
              <w:rPr>
                <w:sz w:val="10"/>
                <w:szCs w:val="10"/>
                <w:color w:val="auto"/>
              </w:rPr>
            </w:pPr>
          </w:p>
        </w:tc>
      </w:tr>
      <w:tr>
        <w:trPr>
          <w:trHeight w:val="133"/>
        </w:trPr>
        <w:tc>
          <w:tcPr>
            <w:tcW w:w="26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8"/>
                <w:szCs w:val="8"/>
                <w:color w:val="auto"/>
              </w:rPr>
              <w:t>Common Equity (5,000 units) (h)(j)</w:t>
            </w:r>
          </w:p>
        </w:tc>
        <w:tc>
          <w:tcPr>
            <w:tcW w:w="306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8"/>
                <w:szCs w:val="8"/>
                <w:color w:val="auto"/>
              </w:rPr>
              <w:t>9/21/2021</w:t>
            </w:r>
          </w:p>
        </w:tc>
        <w:tc>
          <w:tcPr>
            <w:tcW w:w="98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500</w:t>
            </w:r>
          </w:p>
        </w:tc>
        <w:tc>
          <w:tcPr>
            <w:tcW w:w="10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spacing w:after="0"/>
              <w:rPr>
                <w:sz w:val="11"/>
                <w:szCs w:val="11"/>
                <w:color w:val="auto"/>
              </w:rPr>
            </w:pPr>
          </w:p>
        </w:tc>
        <w:tc>
          <w:tcPr>
            <w:tcW w:w="46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8"/>
                <w:szCs w:val="8"/>
                <w:color w:val="auto"/>
              </w:rPr>
              <w:t>500</w:t>
            </w:r>
          </w:p>
        </w:tc>
        <w:tc>
          <w:tcPr>
            <w:tcW w:w="660" w:type="dxa"/>
            <w:vAlign w:val="bottom"/>
            <w:tcBorders>
              <w:bottom w:val="single" w:sz="8" w:color="CFF0FC"/>
            </w:tcBorders>
            <w:shd w:val="clear" w:color="auto" w:fill="CFF0FC"/>
          </w:tcPr>
          <w:p>
            <w:pPr>
              <w:spacing w:after="0"/>
              <w:rPr>
                <w:sz w:val="11"/>
                <w:szCs w:val="11"/>
                <w:color w:val="auto"/>
              </w:rPr>
            </w:pPr>
          </w:p>
        </w:tc>
      </w:tr>
      <w:tr>
        <w:trPr>
          <w:trHeight w:val="113"/>
        </w:trPr>
        <w:tc>
          <w:tcPr>
            <w:tcW w:w="26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10,450</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jc w:val="right"/>
              <w:ind w:right="18"/>
              <w:spacing w:after="0"/>
              <w:rPr>
                <w:sz w:val="20"/>
                <w:szCs w:val="20"/>
                <w:color w:val="auto"/>
              </w:rPr>
            </w:pPr>
            <w:r>
              <w:rPr>
                <w:rFonts w:ascii="Arial" w:cs="Arial" w:eastAsia="Arial" w:hAnsi="Arial"/>
                <w:sz w:val="8"/>
                <w:szCs w:val="8"/>
                <w:color w:val="auto"/>
              </w:rPr>
              <w:t>10,450</w:t>
            </w:r>
          </w:p>
        </w:tc>
        <w:tc>
          <w:tcPr>
            <w:tcW w:w="660" w:type="dxa"/>
            <w:vAlign w:val="bottom"/>
          </w:tcPr>
          <w:p>
            <w:pPr>
              <w:jc w:val="right"/>
              <w:spacing w:after="0"/>
              <w:rPr>
                <w:sz w:val="20"/>
                <w:szCs w:val="20"/>
                <w:color w:val="auto"/>
              </w:rPr>
            </w:pPr>
            <w:r>
              <w:rPr>
                <w:rFonts w:ascii="Arial" w:cs="Arial" w:eastAsia="Arial" w:hAnsi="Arial"/>
                <w:sz w:val="8"/>
                <w:szCs w:val="8"/>
                <w:color w:val="auto"/>
              </w:rPr>
              <w:t>2 %</w:t>
            </w:r>
          </w:p>
        </w:tc>
      </w:tr>
      <w:tr>
        <w:trPr>
          <w:trHeight w:val="134"/>
        </w:trPr>
        <w:tc>
          <w:tcPr>
            <w:tcW w:w="2620" w:type="dxa"/>
            <w:vAlign w:val="bottom"/>
            <w:shd w:val="clear" w:color="auto" w:fill="CFF0FC"/>
          </w:tcPr>
          <w:p>
            <w:pPr>
              <w:ind w:left="20"/>
              <w:spacing w:after="0"/>
              <w:rPr>
                <w:sz w:val="20"/>
                <w:szCs w:val="20"/>
                <w:color w:val="auto"/>
              </w:rPr>
            </w:pPr>
            <w:r>
              <w:rPr>
                <w:rFonts w:ascii="Arial" w:cs="Arial" w:eastAsia="Arial" w:hAnsi="Arial"/>
                <w:sz w:val="8"/>
                <w:szCs w:val="8"/>
                <w:i w:val="1"/>
                <w:iCs w:val="1"/>
                <w:color w:val="auto"/>
              </w:rPr>
              <w:t>Prime AE Group, Inc.</w:t>
            </w:r>
          </w:p>
        </w:tc>
        <w:tc>
          <w:tcPr>
            <w:tcW w:w="3060" w:type="dxa"/>
            <w:vAlign w:val="bottom"/>
            <w:shd w:val="clear" w:color="auto" w:fill="CFF0FC"/>
          </w:tcPr>
          <w:p>
            <w:pPr>
              <w:ind w:left="320"/>
              <w:spacing w:after="0"/>
              <w:rPr>
                <w:sz w:val="20"/>
                <w:szCs w:val="20"/>
                <w:color w:val="auto"/>
              </w:rPr>
            </w:pPr>
            <w:r>
              <w:rPr>
                <w:rFonts w:ascii="Arial" w:cs="Arial" w:eastAsia="Arial" w:hAnsi="Arial"/>
                <w:sz w:val="8"/>
                <w:szCs w:val="8"/>
                <w:color w:val="auto"/>
              </w:rPr>
              <w:t>Business Services</w:t>
            </w: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620" w:type="dxa"/>
            <w:vAlign w:val="bottom"/>
          </w:tcPr>
          <w:p>
            <w:pPr>
              <w:ind w:left="140"/>
              <w:spacing w:after="0"/>
              <w:rPr>
                <w:sz w:val="20"/>
                <w:szCs w:val="20"/>
                <w:color w:val="auto"/>
              </w:rPr>
            </w:pPr>
            <w:r>
              <w:rPr>
                <w:rFonts w:ascii="Arial" w:cs="Arial" w:eastAsia="Arial" w:hAnsi="Arial"/>
                <w:sz w:val="8"/>
                <w:szCs w:val="8"/>
                <w:color w:val="auto"/>
              </w:rPr>
              <w:t>First Lien Debt (j)</w:t>
            </w:r>
          </w:p>
        </w:tc>
        <w:tc>
          <w:tcPr>
            <w:tcW w:w="3060" w:type="dxa"/>
            <w:vAlign w:val="bottom"/>
          </w:tcPr>
          <w:p>
            <w:pPr>
              <w:ind w:left="2060"/>
              <w:spacing w:after="0"/>
              <w:rPr>
                <w:sz w:val="20"/>
                <w:szCs w:val="20"/>
                <w:color w:val="auto"/>
              </w:rPr>
            </w:pPr>
            <w:r>
              <w:rPr>
                <w:rFonts w:ascii="Arial" w:cs="Arial" w:eastAsia="Arial" w:hAnsi="Arial"/>
                <w:sz w:val="8"/>
                <w:szCs w:val="8"/>
                <w:color w:val="auto"/>
              </w:rPr>
              <w:t>(L + 6.25%) / (2.00%)</w:t>
            </w:r>
          </w:p>
        </w:tc>
        <w:tc>
          <w:tcPr>
            <w:tcW w:w="940" w:type="dxa"/>
            <w:vAlign w:val="bottom"/>
          </w:tcPr>
          <w:p>
            <w:pPr>
              <w:ind w:left="220"/>
              <w:spacing w:after="0"/>
              <w:rPr>
                <w:sz w:val="20"/>
                <w:szCs w:val="20"/>
                <w:color w:val="auto"/>
              </w:rPr>
            </w:pPr>
            <w:r>
              <w:rPr>
                <w:rFonts w:ascii="Arial" w:cs="Arial" w:eastAsia="Arial" w:hAnsi="Arial"/>
                <w:sz w:val="8"/>
                <w:szCs w:val="8"/>
                <w:color w:val="auto"/>
              </w:rPr>
              <w:t>8.25%/0.00%</w:t>
            </w:r>
          </w:p>
        </w:tc>
        <w:tc>
          <w:tcPr>
            <w:tcW w:w="820" w:type="dxa"/>
            <w:vAlign w:val="bottom"/>
          </w:tcPr>
          <w:p>
            <w:pPr>
              <w:ind w:left="220"/>
              <w:spacing w:after="0"/>
              <w:rPr>
                <w:sz w:val="20"/>
                <w:szCs w:val="20"/>
                <w:color w:val="auto"/>
              </w:rPr>
            </w:pPr>
            <w:r>
              <w:rPr>
                <w:rFonts w:ascii="Arial" w:cs="Arial" w:eastAsia="Arial" w:hAnsi="Arial"/>
                <w:sz w:val="8"/>
                <w:szCs w:val="8"/>
                <w:color w:val="auto"/>
              </w:rPr>
              <w:t>11/25/2019</w:t>
            </w:r>
          </w:p>
        </w:tc>
        <w:tc>
          <w:tcPr>
            <w:tcW w:w="980" w:type="dxa"/>
            <w:vAlign w:val="bottom"/>
          </w:tcPr>
          <w:p>
            <w:pPr>
              <w:ind w:left="200"/>
              <w:spacing w:after="0"/>
              <w:rPr>
                <w:sz w:val="20"/>
                <w:szCs w:val="20"/>
                <w:color w:val="auto"/>
              </w:rPr>
            </w:pPr>
            <w:r>
              <w:rPr>
                <w:rFonts w:ascii="Arial" w:cs="Arial" w:eastAsia="Arial" w:hAnsi="Arial"/>
                <w:sz w:val="8"/>
                <w:szCs w:val="8"/>
                <w:color w:val="auto"/>
              </w:rPr>
              <w:t>11/25/2024</w:t>
            </w:r>
          </w:p>
        </w:tc>
        <w:tc>
          <w:tcPr>
            <w:tcW w:w="740" w:type="dxa"/>
            <w:vAlign w:val="bottom"/>
          </w:tcPr>
          <w:p>
            <w:pPr>
              <w:jc w:val="right"/>
              <w:ind w:right="78"/>
              <w:spacing w:after="0"/>
              <w:rPr>
                <w:sz w:val="20"/>
                <w:szCs w:val="20"/>
                <w:color w:val="auto"/>
              </w:rPr>
            </w:pPr>
            <w:r>
              <w:rPr>
                <w:rFonts w:ascii="Arial" w:cs="Arial" w:eastAsia="Arial" w:hAnsi="Arial"/>
                <w:sz w:val="8"/>
                <w:szCs w:val="8"/>
                <w:color w:val="auto"/>
              </w:rPr>
              <w:t>6,333</w:t>
            </w: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6,212</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right"/>
              <w:ind w:right="18"/>
              <w:spacing w:after="0"/>
              <w:rPr>
                <w:sz w:val="20"/>
                <w:szCs w:val="20"/>
                <w:color w:val="auto"/>
              </w:rPr>
            </w:pPr>
            <w:r>
              <w:rPr>
                <w:rFonts w:ascii="Arial" w:cs="Arial" w:eastAsia="Arial" w:hAnsi="Arial"/>
                <w:sz w:val="8"/>
                <w:szCs w:val="8"/>
                <w:color w:val="auto"/>
              </w:rPr>
              <w:t>6,333</w:t>
            </w:r>
          </w:p>
        </w:tc>
        <w:tc>
          <w:tcPr>
            <w:tcW w:w="660" w:type="dxa"/>
            <w:vAlign w:val="bottom"/>
          </w:tcPr>
          <w:p>
            <w:pPr>
              <w:spacing w:after="0"/>
              <w:rPr>
                <w:sz w:val="10"/>
                <w:szCs w:val="10"/>
                <w:color w:val="auto"/>
              </w:rPr>
            </w:pPr>
          </w:p>
        </w:tc>
      </w:tr>
      <w:tr>
        <w:trPr>
          <w:trHeight w:val="133"/>
        </w:trPr>
        <w:tc>
          <w:tcPr>
            <w:tcW w:w="26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8"/>
                <w:szCs w:val="8"/>
                <w:color w:val="auto"/>
              </w:rPr>
              <w:t>Preferred Equity (500,000 shares) (j)</w:t>
            </w:r>
          </w:p>
        </w:tc>
        <w:tc>
          <w:tcPr>
            <w:tcW w:w="306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8"/>
                <w:szCs w:val="8"/>
                <w:color w:val="auto"/>
              </w:rPr>
              <w:t>11/25/2019</w:t>
            </w:r>
          </w:p>
        </w:tc>
        <w:tc>
          <w:tcPr>
            <w:tcW w:w="98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500</w:t>
            </w:r>
          </w:p>
        </w:tc>
        <w:tc>
          <w:tcPr>
            <w:tcW w:w="10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spacing w:after="0"/>
              <w:rPr>
                <w:sz w:val="11"/>
                <w:szCs w:val="11"/>
                <w:color w:val="auto"/>
              </w:rPr>
            </w:pPr>
          </w:p>
        </w:tc>
        <w:tc>
          <w:tcPr>
            <w:tcW w:w="46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8"/>
                <w:szCs w:val="8"/>
                <w:color w:val="auto"/>
              </w:rPr>
              <w:t>292</w:t>
            </w:r>
          </w:p>
        </w:tc>
        <w:tc>
          <w:tcPr>
            <w:tcW w:w="660" w:type="dxa"/>
            <w:vAlign w:val="bottom"/>
            <w:tcBorders>
              <w:bottom w:val="single" w:sz="8" w:color="CFF0FC"/>
            </w:tcBorders>
            <w:shd w:val="clear" w:color="auto" w:fill="CFF0FC"/>
          </w:tcPr>
          <w:p>
            <w:pPr>
              <w:spacing w:after="0"/>
              <w:rPr>
                <w:sz w:val="11"/>
                <w:szCs w:val="11"/>
                <w:color w:val="auto"/>
              </w:rPr>
            </w:pPr>
          </w:p>
        </w:tc>
      </w:tr>
      <w:tr>
        <w:trPr>
          <w:trHeight w:val="113"/>
        </w:trPr>
        <w:tc>
          <w:tcPr>
            <w:tcW w:w="26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6,712</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jc w:val="right"/>
              <w:ind w:right="18"/>
              <w:spacing w:after="0"/>
              <w:rPr>
                <w:sz w:val="20"/>
                <w:szCs w:val="20"/>
                <w:color w:val="auto"/>
              </w:rPr>
            </w:pPr>
            <w:r>
              <w:rPr>
                <w:rFonts w:ascii="Arial" w:cs="Arial" w:eastAsia="Arial" w:hAnsi="Arial"/>
                <w:sz w:val="8"/>
                <w:szCs w:val="8"/>
                <w:color w:val="auto"/>
              </w:rPr>
              <w:t>6,625</w:t>
            </w:r>
          </w:p>
        </w:tc>
        <w:tc>
          <w:tcPr>
            <w:tcW w:w="660" w:type="dxa"/>
            <w:vAlign w:val="bottom"/>
          </w:tcPr>
          <w:p>
            <w:pPr>
              <w:jc w:val="right"/>
              <w:spacing w:after="0"/>
              <w:rPr>
                <w:sz w:val="20"/>
                <w:szCs w:val="20"/>
                <w:color w:val="auto"/>
              </w:rPr>
            </w:pPr>
            <w:r>
              <w:rPr>
                <w:rFonts w:ascii="Arial" w:cs="Arial" w:eastAsia="Arial" w:hAnsi="Arial"/>
                <w:sz w:val="8"/>
                <w:szCs w:val="8"/>
                <w:color w:val="auto"/>
              </w:rPr>
              <w:t>1 %</w:t>
            </w:r>
          </w:p>
        </w:tc>
      </w:tr>
      <w:tr>
        <w:trPr>
          <w:trHeight w:val="134"/>
        </w:trPr>
        <w:tc>
          <w:tcPr>
            <w:tcW w:w="2620" w:type="dxa"/>
            <w:vAlign w:val="bottom"/>
            <w:shd w:val="clear" w:color="auto" w:fill="CFF0FC"/>
          </w:tcPr>
          <w:p>
            <w:pPr>
              <w:ind w:left="20"/>
              <w:spacing w:after="0"/>
              <w:rPr>
                <w:sz w:val="20"/>
                <w:szCs w:val="20"/>
                <w:color w:val="auto"/>
              </w:rPr>
            </w:pPr>
            <w:r>
              <w:rPr>
                <w:rFonts w:ascii="Arial" w:cs="Arial" w:eastAsia="Arial" w:hAnsi="Arial"/>
                <w:sz w:val="8"/>
                <w:szCs w:val="8"/>
                <w:i w:val="1"/>
                <w:iCs w:val="1"/>
                <w:color w:val="auto"/>
              </w:rPr>
              <w:t>Pugh Lubricants, LLC (n)</w:t>
            </w:r>
          </w:p>
        </w:tc>
        <w:tc>
          <w:tcPr>
            <w:tcW w:w="3060" w:type="dxa"/>
            <w:vAlign w:val="bottom"/>
            <w:shd w:val="clear" w:color="auto" w:fill="CFF0FC"/>
          </w:tcPr>
          <w:p>
            <w:pPr>
              <w:ind w:left="320"/>
              <w:spacing w:after="0"/>
              <w:rPr>
                <w:sz w:val="20"/>
                <w:szCs w:val="20"/>
                <w:color w:val="auto"/>
              </w:rPr>
            </w:pPr>
            <w:r>
              <w:rPr>
                <w:rFonts w:ascii="Arial" w:cs="Arial" w:eastAsia="Arial" w:hAnsi="Arial"/>
                <w:sz w:val="8"/>
                <w:szCs w:val="8"/>
                <w:color w:val="auto"/>
              </w:rPr>
              <w:t>Specialty Distribution</w:t>
            </w: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620" w:type="dxa"/>
            <w:vAlign w:val="bottom"/>
          </w:tcPr>
          <w:p>
            <w:pPr>
              <w:ind w:left="140"/>
              <w:spacing w:after="0"/>
              <w:rPr>
                <w:sz w:val="20"/>
                <w:szCs w:val="20"/>
                <w:color w:val="auto"/>
              </w:rPr>
            </w:pPr>
            <w:r>
              <w:rPr>
                <w:rFonts w:ascii="Arial" w:cs="Arial" w:eastAsia="Arial" w:hAnsi="Arial"/>
                <w:sz w:val="8"/>
                <w:szCs w:val="8"/>
                <w:color w:val="auto"/>
              </w:rPr>
              <w:t>Common Equity (3,062 units) (h)(j)</w:t>
            </w:r>
          </w:p>
        </w:tc>
        <w:tc>
          <w:tcPr>
            <w:tcW w:w="3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11/10/2016</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right"/>
              <w:ind w:right="18"/>
              <w:spacing w:after="0"/>
              <w:rPr>
                <w:sz w:val="20"/>
                <w:szCs w:val="20"/>
                <w:color w:val="auto"/>
              </w:rPr>
            </w:pPr>
            <w:r>
              <w:rPr>
                <w:rFonts w:ascii="Arial" w:cs="Arial" w:eastAsia="Arial" w:hAnsi="Arial"/>
                <w:sz w:val="8"/>
                <w:szCs w:val="8"/>
                <w:color w:val="auto"/>
              </w:rPr>
              <w:t>9</w:t>
            </w:r>
          </w:p>
        </w:tc>
        <w:tc>
          <w:tcPr>
            <w:tcW w:w="660" w:type="dxa"/>
            <w:vAlign w:val="bottom"/>
          </w:tcPr>
          <w:p>
            <w:pPr>
              <w:jc w:val="right"/>
              <w:spacing w:after="0"/>
              <w:rPr>
                <w:sz w:val="20"/>
                <w:szCs w:val="20"/>
                <w:color w:val="auto"/>
              </w:rPr>
            </w:pPr>
            <w:r>
              <w:rPr>
                <w:rFonts w:ascii="Arial" w:cs="Arial" w:eastAsia="Arial" w:hAnsi="Arial"/>
                <w:sz w:val="8"/>
                <w:szCs w:val="8"/>
                <w:color w:val="auto"/>
              </w:rPr>
              <w:t>0 %</w:t>
            </w:r>
          </w:p>
        </w:tc>
      </w:tr>
      <w:tr>
        <w:trPr>
          <w:trHeight w:val="134"/>
        </w:trPr>
        <w:tc>
          <w:tcPr>
            <w:tcW w:w="2620" w:type="dxa"/>
            <w:vAlign w:val="bottom"/>
            <w:shd w:val="clear" w:color="auto" w:fill="CFF0FC"/>
          </w:tcPr>
          <w:p>
            <w:pPr>
              <w:spacing w:after="0"/>
              <w:rPr>
                <w:sz w:val="11"/>
                <w:szCs w:val="11"/>
                <w:color w:val="auto"/>
              </w:rPr>
            </w:pPr>
          </w:p>
        </w:tc>
        <w:tc>
          <w:tcPr>
            <w:tcW w:w="30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620" w:type="dxa"/>
            <w:vAlign w:val="bottom"/>
          </w:tcPr>
          <w:p>
            <w:pPr>
              <w:ind w:left="20"/>
              <w:spacing w:after="0"/>
              <w:rPr>
                <w:sz w:val="20"/>
                <w:szCs w:val="20"/>
                <w:color w:val="auto"/>
              </w:rPr>
            </w:pPr>
            <w:r>
              <w:rPr>
                <w:rFonts w:ascii="Arial" w:cs="Arial" w:eastAsia="Arial" w:hAnsi="Arial"/>
                <w:sz w:val="8"/>
                <w:szCs w:val="8"/>
                <w:i w:val="1"/>
                <w:iCs w:val="1"/>
                <w:color w:val="auto"/>
              </w:rPr>
              <w:t>Revenue Management Solutions, LLC</w:t>
            </w:r>
          </w:p>
        </w:tc>
        <w:tc>
          <w:tcPr>
            <w:tcW w:w="3060" w:type="dxa"/>
            <w:vAlign w:val="bottom"/>
          </w:tcPr>
          <w:p>
            <w:pPr>
              <w:ind w:left="320"/>
              <w:spacing w:after="0"/>
              <w:rPr>
                <w:sz w:val="20"/>
                <w:szCs w:val="20"/>
                <w:color w:val="auto"/>
              </w:rPr>
            </w:pPr>
            <w:r>
              <w:rPr>
                <w:rFonts w:ascii="Arial" w:cs="Arial" w:eastAsia="Arial" w:hAnsi="Arial"/>
                <w:sz w:val="8"/>
                <w:szCs w:val="8"/>
                <w:color w:val="auto"/>
              </w:rPr>
              <w:t>Information Technology Services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4"/>
        </w:trPr>
        <w:tc>
          <w:tcPr>
            <w:tcW w:w="2620" w:type="dxa"/>
            <w:vAlign w:val="bottom"/>
            <w:shd w:val="clear" w:color="auto" w:fill="CFF0FC"/>
          </w:tcPr>
          <w:p>
            <w:pPr>
              <w:ind w:left="140"/>
              <w:spacing w:after="0"/>
              <w:rPr>
                <w:sz w:val="20"/>
                <w:szCs w:val="20"/>
                <w:color w:val="auto"/>
              </w:rPr>
            </w:pPr>
            <w:r>
              <w:rPr>
                <w:rFonts w:ascii="Arial" w:cs="Arial" w:eastAsia="Arial" w:hAnsi="Arial"/>
                <w:sz w:val="8"/>
                <w:szCs w:val="8"/>
                <w:color w:val="auto"/>
              </w:rPr>
              <w:t>Common Equity (113 shares)</w:t>
            </w:r>
          </w:p>
        </w:tc>
        <w:tc>
          <w:tcPr>
            <w:tcW w:w="30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1/4/2017</w:t>
            </w: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8"/>
                <w:szCs w:val="8"/>
                <w:color w:val="auto"/>
              </w:rPr>
              <w:t>1,125</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6,319</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1 %</w:t>
            </w:r>
          </w:p>
        </w:tc>
      </w:tr>
      <w:tr>
        <w:trPr>
          <w:trHeight w:val="127"/>
        </w:trPr>
        <w:tc>
          <w:tcPr>
            <w:tcW w:w="26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27"/>
        </w:trPr>
        <w:tc>
          <w:tcPr>
            <w:tcW w:w="2620" w:type="dxa"/>
            <w:vAlign w:val="bottom"/>
            <w:shd w:val="clear" w:color="auto" w:fill="CFF0FC"/>
          </w:tcPr>
          <w:p>
            <w:pPr>
              <w:ind w:left="20"/>
              <w:spacing w:after="0"/>
              <w:rPr>
                <w:sz w:val="20"/>
                <w:szCs w:val="20"/>
                <w:color w:val="auto"/>
              </w:rPr>
            </w:pPr>
            <w:r>
              <w:rPr>
                <w:rFonts w:ascii="Arial" w:cs="Arial" w:eastAsia="Arial" w:hAnsi="Arial"/>
                <w:sz w:val="8"/>
                <w:szCs w:val="8"/>
                <w:i w:val="1"/>
                <w:iCs w:val="1"/>
                <w:color w:val="auto"/>
              </w:rPr>
              <w:t>Rhino Assembly Company, LLC</w:t>
            </w:r>
          </w:p>
        </w:tc>
        <w:tc>
          <w:tcPr>
            <w:tcW w:w="3060" w:type="dxa"/>
            <w:vAlign w:val="bottom"/>
            <w:shd w:val="clear" w:color="auto" w:fill="CFF0FC"/>
          </w:tcPr>
          <w:p>
            <w:pPr>
              <w:ind w:left="320"/>
              <w:spacing w:after="0"/>
              <w:rPr>
                <w:sz w:val="20"/>
                <w:szCs w:val="20"/>
                <w:color w:val="auto"/>
              </w:rPr>
            </w:pPr>
            <w:r>
              <w:rPr>
                <w:rFonts w:ascii="Arial" w:cs="Arial" w:eastAsia="Arial" w:hAnsi="Arial"/>
                <w:sz w:val="8"/>
                <w:szCs w:val="8"/>
                <w:color w:val="auto"/>
              </w:rPr>
              <w:t>Specialty Distribution</w:t>
            </w: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620" w:type="dxa"/>
            <w:vAlign w:val="bottom"/>
          </w:tcPr>
          <w:p>
            <w:pPr>
              <w:ind w:left="140"/>
              <w:spacing w:after="0"/>
              <w:rPr>
                <w:sz w:val="20"/>
                <w:szCs w:val="20"/>
                <w:color w:val="auto"/>
              </w:rPr>
            </w:pPr>
            <w:r>
              <w:rPr>
                <w:rFonts w:ascii="Arial" w:cs="Arial" w:eastAsia="Arial" w:hAnsi="Arial"/>
                <w:sz w:val="8"/>
                <w:szCs w:val="8"/>
                <w:color w:val="auto"/>
              </w:rPr>
              <w:t>Second Lien Debt (k)</w:t>
            </w:r>
          </w:p>
        </w:tc>
        <w:tc>
          <w:tcPr>
            <w:tcW w:w="3060" w:type="dxa"/>
            <w:vAlign w:val="bottom"/>
          </w:tcPr>
          <w:p>
            <w:pPr>
              <w:spacing w:after="0"/>
              <w:rPr>
                <w:sz w:val="10"/>
                <w:szCs w:val="10"/>
                <w:color w:val="auto"/>
              </w:rPr>
            </w:pPr>
          </w:p>
        </w:tc>
        <w:tc>
          <w:tcPr>
            <w:tcW w:w="940" w:type="dxa"/>
            <w:vAlign w:val="bottom"/>
          </w:tcPr>
          <w:p>
            <w:pPr>
              <w:ind w:left="220"/>
              <w:spacing w:after="0"/>
              <w:rPr>
                <w:sz w:val="20"/>
                <w:szCs w:val="20"/>
                <w:color w:val="auto"/>
              </w:rPr>
            </w:pPr>
            <w:r>
              <w:rPr>
                <w:rFonts w:ascii="Arial" w:cs="Arial" w:eastAsia="Arial" w:hAnsi="Arial"/>
                <w:sz w:val="8"/>
                <w:szCs w:val="8"/>
                <w:color w:val="auto"/>
              </w:rPr>
              <w:t>12.00%/1.50%</w:t>
            </w:r>
          </w:p>
        </w:tc>
        <w:tc>
          <w:tcPr>
            <w:tcW w:w="820" w:type="dxa"/>
            <w:vAlign w:val="bottom"/>
          </w:tcPr>
          <w:p>
            <w:pPr>
              <w:ind w:left="220"/>
              <w:spacing w:after="0"/>
              <w:rPr>
                <w:sz w:val="20"/>
                <w:szCs w:val="20"/>
                <w:color w:val="auto"/>
              </w:rPr>
            </w:pPr>
            <w:r>
              <w:rPr>
                <w:rFonts w:ascii="Arial" w:cs="Arial" w:eastAsia="Arial" w:hAnsi="Arial"/>
                <w:sz w:val="8"/>
                <w:szCs w:val="8"/>
                <w:color w:val="auto"/>
              </w:rPr>
              <w:t>8/11/2017</w:t>
            </w:r>
          </w:p>
        </w:tc>
        <w:tc>
          <w:tcPr>
            <w:tcW w:w="980" w:type="dxa"/>
            <w:vAlign w:val="bottom"/>
          </w:tcPr>
          <w:p>
            <w:pPr>
              <w:ind w:left="200"/>
              <w:spacing w:after="0"/>
              <w:rPr>
                <w:sz w:val="20"/>
                <w:szCs w:val="20"/>
                <w:color w:val="auto"/>
              </w:rPr>
            </w:pPr>
            <w:r>
              <w:rPr>
                <w:rFonts w:ascii="Arial" w:cs="Arial" w:eastAsia="Arial" w:hAnsi="Arial"/>
                <w:sz w:val="8"/>
                <w:szCs w:val="8"/>
                <w:color w:val="auto"/>
              </w:rPr>
              <w:t>2/11/2023</w:t>
            </w:r>
          </w:p>
        </w:tc>
        <w:tc>
          <w:tcPr>
            <w:tcW w:w="740" w:type="dxa"/>
            <w:vAlign w:val="bottom"/>
          </w:tcPr>
          <w:p>
            <w:pPr>
              <w:jc w:val="right"/>
              <w:ind w:right="78"/>
              <w:spacing w:after="0"/>
              <w:rPr>
                <w:sz w:val="20"/>
                <w:szCs w:val="20"/>
                <w:color w:val="auto"/>
              </w:rPr>
            </w:pPr>
            <w:r>
              <w:rPr>
                <w:rFonts w:ascii="Arial" w:cs="Arial" w:eastAsia="Arial" w:hAnsi="Arial"/>
                <w:sz w:val="8"/>
                <w:szCs w:val="8"/>
                <w:color w:val="auto"/>
              </w:rPr>
              <w:t>13,800</w:t>
            </w: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13,782</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right"/>
              <w:ind w:right="18"/>
              <w:spacing w:after="0"/>
              <w:rPr>
                <w:sz w:val="20"/>
                <w:szCs w:val="20"/>
                <w:color w:val="auto"/>
              </w:rPr>
            </w:pPr>
            <w:r>
              <w:rPr>
                <w:rFonts w:ascii="Arial" w:cs="Arial" w:eastAsia="Arial" w:hAnsi="Arial"/>
                <w:sz w:val="8"/>
                <w:szCs w:val="8"/>
                <w:color w:val="auto"/>
              </w:rPr>
              <w:t>13,800</w:t>
            </w:r>
          </w:p>
        </w:tc>
        <w:tc>
          <w:tcPr>
            <w:tcW w:w="660" w:type="dxa"/>
            <w:vAlign w:val="bottom"/>
          </w:tcPr>
          <w:p>
            <w:pPr>
              <w:spacing w:after="0"/>
              <w:rPr>
                <w:sz w:val="10"/>
                <w:szCs w:val="10"/>
                <w:color w:val="auto"/>
              </w:rPr>
            </w:pPr>
          </w:p>
        </w:tc>
      </w:tr>
      <w:tr>
        <w:trPr>
          <w:trHeight w:val="134"/>
        </w:trPr>
        <w:tc>
          <w:tcPr>
            <w:tcW w:w="2620" w:type="dxa"/>
            <w:vAlign w:val="bottom"/>
            <w:shd w:val="clear" w:color="auto" w:fill="CFF0FC"/>
          </w:tcPr>
          <w:p>
            <w:pPr>
              <w:ind w:left="140"/>
              <w:spacing w:after="0"/>
              <w:rPr>
                <w:sz w:val="20"/>
                <w:szCs w:val="20"/>
                <w:color w:val="auto"/>
              </w:rPr>
            </w:pPr>
            <w:r>
              <w:rPr>
                <w:rFonts w:ascii="Arial" w:cs="Arial" w:eastAsia="Arial" w:hAnsi="Arial"/>
                <w:sz w:val="8"/>
                <w:szCs w:val="8"/>
                <w:color w:val="auto"/>
              </w:rPr>
              <w:t>Delayed Draw Commitment ($875 unfunded commitment) (i)(j)</w:t>
            </w:r>
          </w:p>
        </w:tc>
        <w:tc>
          <w:tcPr>
            <w:tcW w:w="3060" w:type="dxa"/>
            <w:vAlign w:val="bottom"/>
            <w:shd w:val="clear" w:color="auto" w:fill="CFF0FC"/>
          </w:tcPr>
          <w:p>
            <w:pPr>
              <w:spacing w:after="0"/>
              <w:rPr>
                <w:sz w:val="11"/>
                <w:szCs w:val="11"/>
                <w:color w:val="auto"/>
              </w:rPr>
            </w:pPr>
          </w:p>
        </w:tc>
        <w:tc>
          <w:tcPr>
            <w:tcW w:w="940" w:type="dxa"/>
            <w:vAlign w:val="bottom"/>
            <w:shd w:val="clear" w:color="auto" w:fill="CFF0FC"/>
          </w:tcPr>
          <w:p>
            <w:pPr>
              <w:ind w:left="220"/>
              <w:spacing w:after="0"/>
              <w:rPr>
                <w:sz w:val="20"/>
                <w:szCs w:val="20"/>
                <w:color w:val="auto"/>
              </w:rPr>
            </w:pPr>
            <w:r>
              <w:rPr>
                <w:rFonts w:ascii="Arial" w:cs="Arial" w:eastAsia="Arial" w:hAnsi="Arial"/>
                <w:sz w:val="8"/>
                <w:szCs w:val="8"/>
                <w:color w:val="auto"/>
              </w:rPr>
              <w:t>12.00%/1.50%</w:t>
            </w: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8/11/2017</w:t>
            </w:r>
          </w:p>
        </w:tc>
        <w:tc>
          <w:tcPr>
            <w:tcW w:w="980" w:type="dxa"/>
            <w:vAlign w:val="bottom"/>
            <w:shd w:val="clear" w:color="auto" w:fill="CFF0FC"/>
          </w:tcPr>
          <w:p>
            <w:pPr>
              <w:ind w:left="200"/>
              <w:spacing w:after="0"/>
              <w:rPr>
                <w:sz w:val="20"/>
                <w:szCs w:val="20"/>
                <w:color w:val="auto"/>
              </w:rPr>
            </w:pPr>
            <w:r>
              <w:rPr>
                <w:rFonts w:ascii="Arial" w:cs="Arial" w:eastAsia="Arial" w:hAnsi="Arial"/>
                <w:sz w:val="8"/>
                <w:szCs w:val="8"/>
                <w:color w:val="auto"/>
              </w:rPr>
              <w:t>5/17/2022</w:t>
            </w:r>
          </w:p>
        </w:tc>
        <w:tc>
          <w:tcPr>
            <w:tcW w:w="820" w:type="dxa"/>
            <w:vAlign w:val="bottom"/>
            <w:gridSpan w:val="2"/>
            <w:shd w:val="clear" w:color="auto" w:fill="CFF0FC"/>
          </w:tcPr>
          <w:p>
            <w:pPr>
              <w:jc w:val="right"/>
              <w:ind w:right="158"/>
              <w:spacing w:after="0"/>
              <w:rPr>
                <w:sz w:val="20"/>
                <w:szCs w:val="20"/>
                <w:color w:val="auto"/>
              </w:rPr>
            </w:pPr>
            <w:r>
              <w:rPr>
                <w:rFonts w:ascii="Arial" w:cs="Arial" w:eastAsia="Arial" w:hAnsi="Arial"/>
                <w:sz w:val="8"/>
                <w:szCs w:val="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w:t>
            </w:r>
          </w:p>
        </w:tc>
        <w:tc>
          <w:tcPr>
            <w:tcW w:w="660" w:type="dxa"/>
            <w:vAlign w:val="bottom"/>
            <w:shd w:val="clear" w:color="auto" w:fill="CFF0FC"/>
          </w:tcPr>
          <w:p>
            <w:pPr>
              <w:spacing w:after="0"/>
              <w:rPr>
                <w:sz w:val="11"/>
                <w:szCs w:val="11"/>
                <w:color w:val="auto"/>
              </w:rPr>
            </w:pPr>
          </w:p>
        </w:tc>
      </w:tr>
      <w:tr>
        <w:trPr>
          <w:trHeight w:val="120"/>
        </w:trPr>
        <w:tc>
          <w:tcPr>
            <w:tcW w:w="2620" w:type="dxa"/>
            <w:vAlign w:val="bottom"/>
          </w:tcPr>
          <w:p>
            <w:pPr>
              <w:ind w:left="140"/>
              <w:spacing w:after="0"/>
              <w:rPr>
                <w:sz w:val="20"/>
                <w:szCs w:val="20"/>
                <w:color w:val="auto"/>
              </w:rPr>
            </w:pPr>
            <w:r>
              <w:rPr>
                <w:rFonts w:ascii="Arial" w:cs="Arial" w:eastAsia="Arial" w:hAnsi="Arial"/>
                <w:sz w:val="8"/>
                <w:szCs w:val="8"/>
                <w:color w:val="auto"/>
              </w:rPr>
              <w:t>Common Equity (Class A Units) (8,864 units) (h)(j)</w:t>
            </w:r>
          </w:p>
        </w:tc>
        <w:tc>
          <w:tcPr>
            <w:tcW w:w="3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8/11/2017</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944</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right"/>
              <w:ind w:right="18"/>
              <w:spacing w:after="0"/>
              <w:rPr>
                <w:sz w:val="20"/>
                <w:szCs w:val="20"/>
                <w:color w:val="auto"/>
              </w:rPr>
            </w:pPr>
            <w:r>
              <w:rPr>
                <w:rFonts w:ascii="Arial" w:cs="Arial" w:eastAsia="Arial" w:hAnsi="Arial"/>
                <w:sz w:val="8"/>
                <w:szCs w:val="8"/>
                <w:color w:val="auto"/>
              </w:rPr>
              <w:t>1,066</w:t>
            </w:r>
          </w:p>
        </w:tc>
        <w:tc>
          <w:tcPr>
            <w:tcW w:w="660" w:type="dxa"/>
            <w:vAlign w:val="bottom"/>
          </w:tcPr>
          <w:p>
            <w:pPr>
              <w:spacing w:after="0"/>
              <w:rPr>
                <w:sz w:val="10"/>
                <w:szCs w:val="10"/>
                <w:color w:val="auto"/>
              </w:rPr>
            </w:pPr>
          </w:p>
        </w:tc>
      </w:tr>
      <w:tr>
        <w:trPr>
          <w:trHeight w:val="134"/>
        </w:trPr>
        <w:tc>
          <w:tcPr>
            <w:tcW w:w="2620" w:type="dxa"/>
            <w:vAlign w:val="bottom"/>
            <w:shd w:val="clear" w:color="auto" w:fill="CFF0FC"/>
          </w:tcPr>
          <w:p>
            <w:pPr>
              <w:ind w:left="140"/>
              <w:spacing w:after="0"/>
              <w:rPr>
                <w:sz w:val="20"/>
                <w:szCs w:val="20"/>
                <w:color w:val="auto"/>
              </w:rPr>
            </w:pPr>
            <w:r>
              <w:rPr>
                <w:rFonts w:ascii="Arial" w:cs="Arial" w:eastAsia="Arial" w:hAnsi="Arial"/>
                <w:sz w:val="8"/>
                <w:szCs w:val="8"/>
                <w:color w:val="auto"/>
              </w:rPr>
              <w:t>Preferred Equity (Units N/A) (h)(j)</w:t>
            </w:r>
          </w:p>
        </w:tc>
        <w:tc>
          <w:tcPr>
            <w:tcW w:w="30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12/10/2020</w:t>
            </w: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8"/>
                <w:szCs w:val="8"/>
                <w:color w:val="auto"/>
              </w:rPr>
              <w:t>273</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286</w:t>
            </w:r>
          </w:p>
        </w:tc>
        <w:tc>
          <w:tcPr>
            <w:tcW w:w="660" w:type="dxa"/>
            <w:vAlign w:val="bottom"/>
            <w:shd w:val="clear" w:color="auto" w:fill="CFF0FC"/>
          </w:tcPr>
          <w:p>
            <w:pPr>
              <w:spacing w:after="0"/>
              <w:rPr>
                <w:sz w:val="11"/>
                <w:szCs w:val="11"/>
                <w:color w:val="auto"/>
              </w:rPr>
            </w:pPr>
          </w:p>
        </w:tc>
      </w:tr>
      <w:tr>
        <w:trPr>
          <w:trHeight w:val="126"/>
        </w:trPr>
        <w:tc>
          <w:tcPr>
            <w:tcW w:w="2620" w:type="dxa"/>
            <w:vAlign w:val="bottom"/>
          </w:tcPr>
          <w:p>
            <w:pPr>
              <w:ind w:left="140"/>
              <w:spacing w:after="0"/>
              <w:rPr>
                <w:sz w:val="20"/>
                <w:szCs w:val="20"/>
                <w:color w:val="auto"/>
              </w:rPr>
            </w:pPr>
            <w:r>
              <w:rPr>
                <w:rFonts w:ascii="Arial" w:cs="Arial" w:eastAsia="Arial" w:hAnsi="Arial"/>
                <w:sz w:val="8"/>
                <w:szCs w:val="8"/>
                <w:color w:val="auto"/>
              </w:rPr>
              <w:t>Common Equity (Class F Units) (710 units) (h)(j)</w:t>
            </w:r>
          </w:p>
        </w:tc>
        <w:tc>
          <w:tcPr>
            <w:tcW w:w="3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12/10/2020</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w:t>
            </w:r>
          </w:p>
        </w:tc>
        <w:tc>
          <w:tcPr>
            <w:tcW w:w="660" w:type="dxa"/>
            <w:vAlign w:val="bottom"/>
          </w:tcPr>
          <w:p>
            <w:pPr>
              <w:spacing w:after="0"/>
              <w:rPr>
                <w:sz w:val="10"/>
                <w:szCs w:val="10"/>
                <w:color w:val="auto"/>
              </w:rPr>
            </w:pPr>
          </w:p>
        </w:tc>
      </w:tr>
      <w:tr>
        <w:trPr>
          <w:trHeight w:val="120"/>
        </w:trPr>
        <w:tc>
          <w:tcPr>
            <w:tcW w:w="2620" w:type="dxa"/>
            <w:vAlign w:val="bottom"/>
            <w:shd w:val="clear" w:color="auto" w:fill="CFF0FC"/>
          </w:tcPr>
          <w:p>
            <w:pPr>
              <w:spacing w:after="0"/>
              <w:rPr>
                <w:sz w:val="10"/>
                <w:szCs w:val="10"/>
                <w:color w:val="auto"/>
              </w:rPr>
            </w:pPr>
          </w:p>
        </w:tc>
        <w:tc>
          <w:tcPr>
            <w:tcW w:w="30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8"/>
                <w:szCs w:val="8"/>
                <w:color w:val="auto"/>
              </w:rPr>
              <w:t>14,999</w:t>
            </w: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15,152</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3 %</w:t>
            </w:r>
          </w:p>
        </w:tc>
      </w:tr>
      <w:tr>
        <w:trPr>
          <w:trHeight w:val="120"/>
        </w:trPr>
        <w:tc>
          <w:tcPr>
            <w:tcW w:w="2620" w:type="dxa"/>
            <w:vAlign w:val="bottom"/>
          </w:tcPr>
          <w:p>
            <w:pPr>
              <w:ind w:left="20"/>
              <w:spacing w:after="0"/>
              <w:rPr>
                <w:sz w:val="20"/>
                <w:szCs w:val="20"/>
                <w:color w:val="auto"/>
              </w:rPr>
            </w:pPr>
            <w:r>
              <w:rPr>
                <w:rFonts w:ascii="Arial" w:cs="Arial" w:eastAsia="Arial" w:hAnsi="Arial"/>
                <w:sz w:val="8"/>
                <w:szCs w:val="8"/>
                <w:i w:val="1"/>
                <w:iCs w:val="1"/>
                <w:color w:val="auto"/>
              </w:rPr>
              <w:t>Road Safety Services, Inc.</w:t>
            </w:r>
          </w:p>
        </w:tc>
        <w:tc>
          <w:tcPr>
            <w:tcW w:w="3060" w:type="dxa"/>
            <w:vAlign w:val="bottom"/>
          </w:tcPr>
          <w:p>
            <w:pPr>
              <w:ind w:left="320"/>
              <w:spacing w:after="0"/>
              <w:rPr>
                <w:sz w:val="20"/>
                <w:szCs w:val="20"/>
                <w:color w:val="auto"/>
              </w:rPr>
            </w:pPr>
            <w:r>
              <w:rPr>
                <w:rFonts w:ascii="Arial" w:cs="Arial" w:eastAsia="Arial" w:hAnsi="Arial"/>
                <w:sz w:val="8"/>
                <w:szCs w:val="8"/>
                <w:color w:val="auto"/>
              </w:rPr>
              <w:t>Business Services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4"/>
        </w:trPr>
        <w:tc>
          <w:tcPr>
            <w:tcW w:w="2620" w:type="dxa"/>
            <w:vAlign w:val="bottom"/>
            <w:shd w:val="clear" w:color="auto" w:fill="CFF0FC"/>
          </w:tcPr>
          <w:p>
            <w:pPr>
              <w:ind w:left="140"/>
              <w:spacing w:after="0"/>
              <w:rPr>
                <w:sz w:val="20"/>
                <w:szCs w:val="20"/>
                <w:color w:val="auto"/>
              </w:rPr>
            </w:pPr>
            <w:r>
              <w:rPr>
                <w:rFonts w:ascii="Arial" w:cs="Arial" w:eastAsia="Arial" w:hAnsi="Arial"/>
                <w:sz w:val="8"/>
                <w:szCs w:val="8"/>
                <w:color w:val="auto"/>
              </w:rPr>
              <w:t>Second Lien Debt</w:t>
            </w:r>
          </w:p>
        </w:tc>
        <w:tc>
          <w:tcPr>
            <w:tcW w:w="3060" w:type="dxa"/>
            <w:vAlign w:val="bottom"/>
            <w:shd w:val="clear" w:color="auto" w:fill="CFF0FC"/>
          </w:tcPr>
          <w:p>
            <w:pPr>
              <w:spacing w:after="0"/>
              <w:rPr>
                <w:sz w:val="11"/>
                <w:szCs w:val="11"/>
                <w:color w:val="auto"/>
              </w:rPr>
            </w:pPr>
          </w:p>
        </w:tc>
        <w:tc>
          <w:tcPr>
            <w:tcW w:w="940" w:type="dxa"/>
            <w:vAlign w:val="bottom"/>
            <w:shd w:val="clear" w:color="auto" w:fill="CFF0FC"/>
          </w:tcPr>
          <w:p>
            <w:pPr>
              <w:ind w:left="220"/>
              <w:spacing w:after="0"/>
              <w:rPr>
                <w:sz w:val="20"/>
                <w:szCs w:val="20"/>
                <w:color w:val="auto"/>
              </w:rPr>
            </w:pPr>
            <w:r>
              <w:rPr>
                <w:rFonts w:ascii="Arial" w:cs="Arial" w:eastAsia="Arial" w:hAnsi="Arial"/>
                <w:sz w:val="8"/>
                <w:szCs w:val="8"/>
                <w:color w:val="auto"/>
              </w:rPr>
              <w:t>11.25%/1.50%</w:t>
            </w: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9/18/2018</w:t>
            </w:r>
          </w:p>
        </w:tc>
        <w:tc>
          <w:tcPr>
            <w:tcW w:w="980" w:type="dxa"/>
            <w:vAlign w:val="bottom"/>
            <w:shd w:val="clear" w:color="auto" w:fill="CFF0FC"/>
          </w:tcPr>
          <w:p>
            <w:pPr>
              <w:ind w:left="200"/>
              <w:spacing w:after="0"/>
              <w:rPr>
                <w:sz w:val="20"/>
                <w:szCs w:val="20"/>
                <w:color w:val="auto"/>
              </w:rPr>
            </w:pPr>
            <w:r>
              <w:rPr>
                <w:rFonts w:ascii="Arial" w:cs="Arial" w:eastAsia="Arial" w:hAnsi="Arial"/>
                <w:sz w:val="8"/>
                <w:szCs w:val="8"/>
                <w:color w:val="auto"/>
              </w:rPr>
              <w:t>3/18/2024</w:t>
            </w:r>
          </w:p>
        </w:tc>
        <w:tc>
          <w:tcPr>
            <w:tcW w:w="740" w:type="dxa"/>
            <w:vAlign w:val="bottom"/>
            <w:shd w:val="clear" w:color="auto" w:fill="CFF0FC"/>
          </w:tcPr>
          <w:p>
            <w:pPr>
              <w:jc w:val="right"/>
              <w:ind w:right="78"/>
              <w:spacing w:after="0"/>
              <w:rPr>
                <w:sz w:val="20"/>
                <w:szCs w:val="20"/>
                <w:color w:val="auto"/>
              </w:rPr>
            </w:pPr>
            <w:r>
              <w:rPr>
                <w:rFonts w:ascii="Arial" w:cs="Arial" w:eastAsia="Arial" w:hAnsi="Arial"/>
                <w:sz w:val="8"/>
                <w:szCs w:val="8"/>
                <w:color w:val="auto"/>
              </w:rPr>
              <w:t>10,484</w:t>
            </w: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8"/>
                <w:szCs w:val="8"/>
                <w:color w:val="auto"/>
              </w:rPr>
              <w:t>10,463</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10,484</w:t>
            </w:r>
          </w:p>
        </w:tc>
        <w:tc>
          <w:tcPr>
            <w:tcW w:w="660" w:type="dxa"/>
            <w:vAlign w:val="bottom"/>
            <w:shd w:val="clear" w:color="auto" w:fill="CFF0FC"/>
          </w:tcPr>
          <w:p>
            <w:pPr>
              <w:spacing w:after="0"/>
              <w:rPr>
                <w:sz w:val="11"/>
                <w:szCs w:val="11"/>
                <w:color w:val="auto"/>
              </w:rPr>
            </w:pPr>
          </w:p>
        </w:tc>
      </w:tr>
      <w:tr>
        <w:trPr>
          <w:trHeight w:val="126"/>
        </w:trPr>
        <w:tc>
          <w:tcPr>
            <w:tcW w:w="2620" w:type="dxa"/>
            <w:vAlign w:val="bottom"/>
          </w:tcPr>
          <w:p>
            <w:pPr>
              <w:ind w:left="140"/>
              <w:spacing w:after="0"/>
              <w:rPr>
                <w:sz w:val="20"/>
                <w:szCs w:val="20"/>
                <w:color w:val="auto"/>
              </w:rPr>
            </w:pPr>
            <w:r>
              <w:rPr>
                <w:rFonts w:ascii="Arial" w:cs="Arial" w:eastAsia="Arial" w:hAnsi="Arial"/>
                <w:sz w:val="8"/>
                <w:szCs w:val="8"/>
                <w:color w:val="auto"/>
              </w:rPr>
              <w:t>Common Equity (655 units)</w:t>
            </w:r>
          </w:p>
        </w:tc>
        <w:tc>
          <w:tcPr>
            <w:tcW w:w="3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9/18/2018</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621</w:t>
            </w:r>
          </w:p>
        </w:tc>
        <w:tc>
          <w:tcPr>
            <w:tcW w:w="1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877</w:t>
            </w:r>
          </w:p>
        </w:tc>
        <w:tc>
          <w:tcPr>
            <w:tcW w:w="660" w:type="dxa"/>
            <w:vAlign w:val="bottom"/>
          </w:tcPr>
          <w:p>
            <w:pPr>
              <w:spacing w:after="0"/>
              <w:rPr>
                <w:sz w:val="10"/>
                <w:szCs w:val="10"/>
                <w:color w:val="auto"/>
              </w:rPr>
            </w:pPr>
          </w:p>
        </w:tc>
      </w:tr>
      <w:tr>
        <w:trPr>
          <w:trHeight w:val="120"/>
        </w:trPr>
        <w:tc>
          <w:tcPr>
            <w:tcW w:w="2620" w:type="dxa"/>
            <w:vAlign w:val="bottom"/>
            <w:shd w:val="clear" w:color="auto" w:fill="CFF0FC"/>
          </w:tcPr>
          <w:p>
            <w:pPr>
              <w:spacing w:after="0"/>
              <w:rPr>
                <w:sz w:val="10"/>
                <w:szCs w:val="10"/>
                <w:color w:val="auto"/>
              </w:rPr>
            </w:pPr>
          </w:p>
        </w:tc>
        <w:tc>
          <w:tcPr>
            <w:tcW w:w="30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8"/>
                <w:szCs w:val="8"/>
                <w:color w:val="auto"/>
              </w:rPr>
              <w:t>11,084</w:t>
            </w: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11,361</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3 %</w:t>
            </w:r>
          </w:p>
        </w:tc>
      </w:tr>
      <w:tr>
        <w:trPr>
          <w:trHeight w:val="120"/>
        </w:trPr>
        <w:tc>
          <w:tcPr>
            <w:tcW w:w="2620" w:type="dxa"/>
            <w:vAlign w:val="bottom"/>
          </w:tcPr>
          <w:p>
            <w:pPr>
              <w:ind w:left="20"/>
              <w:spacing w:after="0"/>
              <w:rPr>
                <w:sz w:val="20"/>
                <w:szCs w:val="20"/>
                <w:color w:val="auto"/>
              </w:rPr>
            </w:pPr>
            <w:r>
              <w:rPr>
                <w:rFonts w:ascii="Arial" w:cs="Arial" w:eastAsia="Arial" w:hAnsi="Arial"/>
                <w:sz w:val="8"/>
                <w:szCs w:val="8"/>
                <w:i w:val="1"/>
                <w:iCs w:val="1"/>
                <w:color w:val="auto"/>
              </w:rPr>
              <w:t>SES Investors, LLC (dba SES Foam)</w:t>
            </w:r>
          </w:p>
        </w:tc>
        <w:tc>
          <w:tcPr>
            <w:tcW w:w="3060" w:type="dxa"/>
            <w:vAlign w:val="bottom"/>
          </w:tcPr>
          <w:p>
            <w:pPr>
              <w:ind w:left="320"/>
              <w:spacing w:after="0"/>
              <w:rPr>
                <w:sz w:val="20"/>
                <w:szCs w:val="20"/>
                <w:color w:val="auto"/>
              </w:rPr>
            </w:pPr>
            <w:r>
              <w:rPr>
                <w:rFonts w:ascii="Arial" w:cs="Arial" w:eastAsia="Arial" w:hAnsi="Arial"/>
                <w:sz w:val="8"/>
                <w:szCs w:val="8"/>
                <w:color w:val="auto"/>
              </w:rPr>
              <w:t>Building Products Manufacturing</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4"/>
        </w:trPr>
        <w:tc>
          <w:tcPr>
            <w:tcW w:w="2620" w:type="dxa"/>
            <w:vAlign w:val="bottom"/>
            <w:shd w:val="clear" w:color="auto" w:fill="CFF0FC"/>
          </w:tcPr>
          <w:p>
            <w:pPr>
              <w:ind w:left="140"/>
              <w:spacing w:after="0"/>
              <w:rPr>
                <w:sz w:val="20"/>
                <w:szCs w:val="20"/>
                <w:color w:val="auto"/>
              </w:rPr>
            </w:pPr>
            <w:r>
              <w:rPr>
                <w:rFonts w:ascii="Arial" w:cs="Arial" w:eastAsia="Arial" w:hAnsi="Arial"/>
                <w:sz w:val="8"/>
                <w:szCs w:val="8"/>
                <w:color w:val="auto"/>
              </w:rPr>
              <w:t>Common Equity (6,000 units) (h)(j)</w:t>
            </w:r>
          </w:p>
        </w:tc>
        <w:tc>
          <w:tcPr>
            <w:tcW w:w="30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9/8/2016</w:t>
            </w: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8"/>
                <w:szCs w:val="8"/>
                <w:color w:val="auto"/>
              </w:rPr>
              <w:t>585</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3,043</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1 %</w:t>
            </w:r>
          </w:p>
        </w:tc>
      </w:tr>
      <w:tr>
        <w:trPr>
          <w:trHeight w:val="127"/>
        </w:trPr>
        <w:tc>
          <w:tcPr>
            <w:tcW w:w="26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27"/>
        </w:trPr>
        <w:tc>
          <w:tcPr>
            <w:tcW w:w="2620" w:type="dxa"/>
            <w:vAlign w:val="bottom"/>
            <w:shd w:val="clear" w:color="auto" w:fill="CFF0FC"/>
          </w:tcPr>
          <w:p>
            <w:pPr>
              <w:ind w:left="20"/>
              <w:spacing w:after="0"/>
              <w:rPr>
                <w:sz w:val="20"/>
                <w:szCs w:val="20"/>
                <w:color w:val="auto"/>
              </w:rPr>
            </w:pPr>
            <w:r>
              <w:rPr>
                <w:rFonts w:ascii="Arial" w:cs="Arial" w:eastAsia="Arial" w:hAnsi="Arial"/>
                <w:sz w:val="8"/>
                <w:szCs w:val="8"/>
                <w:i w:val="1"/>
                <w:iCs w:val="1"/>
                <w:color w:val="auto"/>
              </w:rPr>
              <w:t>Specialized Elevator Services Holdings, LLC</w:t>
            </w:r>
          </w:p>
        </w:tc>
        <w:tc>
          <w:tcPr>
            <w:tcW w:w="3060" w:type="dxa"/>
            <w:vAlign w:val="bottom"/>
            <w:shd w:val="clear" w:color="auto" w:fill="CFF0FC"/>
          </w:tcPr>
          <w:p>
            <w:pPr>
              <w:ind w:left="320"/>
              <w:spacing w:after="0"/>
              <w:rPr>
                <w:sz w:val="20"/>
                <w:szCs w:val="20"/>
                <w:color w:val="auto"/>
              </w:rPr>
            </w:pPr>
            <w:r>
              <w:rPr>
                <w:rFonts w:ascii="Arial" w:cs="Arial" w:eastAsia="Arial" w:hAnsi="Arial"/>
                <w:sz w:val="8"/>
                <w:szCs w:val="8"/>
                <w:color w:val="auto"/>
              </w:rPr>
              <w:t>Business Services</w:t>
            </w: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620" w:type="dxa"/>
            <w:vAlign w:val="bottom"/>
          </w:tcPr>
          <w:p>
            <w:pPr>
              <w:ind w:left="140"/>
              <w:spacing w:after="0"/>
              <w:rPr>
                <w:sz w:val="20"/>
                <w:szCs w:val="20"/>
                <w:color w:val="auto"/>
              </w:rPr>
            </w:pPr>
            <w:r>
              <w:rPr>
                <w:rFonts w:ascii="Arial" w:cs="Arial" w:eastAsia="Arial" w:hAnsi="Arial"/>
                <w:sz w:val="8"/>
                <w:szCs w:val="8"/>
                <w:color w:val="auto"/>
              </w:rPr>
              <w:t>First Lien Debt (j)(y)</w:t>
            </w:r>
          </w:p>
        </w:tc>
        <w:tc>
          <w:tcPr>
            <w:tcW w:w="3060" w:type="dxa"/>
            <w:vAlign w:val="bottom"/>
          </w:tcPr>
          <w:p>
            <w:pPr>
              <w:ind w:left="2060"/>
              <w:spacing w:after="0"/>
              <w:rPr>
                <w:sz w:val="20"/>
                <w:szCs w:val="20"/>
                <w:color w:val="auto"/>
              </w:rPr>
            </w:pPr>
            <w:r>
              <w:rPr>
                <w:rFonts w:ascii="Arial" w:cs="Arial" w:eastAsia="Arial" w:hAnsi="Arial"/>
                <w:sz w:val="8"/>
                <w:szCs w:val="8"/>
                <w:color w:val="auto"/>
              </w:rPr>
              <w:t>(L + 5.50%) / (2.00%)</w:t>
            </w:r>
          </w:p>
        </w:tc>
        <w:tc>
          <w:tcPr>
            <w:tcW w:w="940" w:type="dxa"/>
            <w:vAlign w:val="bottom"/>
          </w:tcPr>
          <w:p>
            <w:pPr>
              <w:ind w:left="220"/>
              <w:spacing w:after="0"/>
              <w:rPr>
                <w:sz w:val="20"/>
                <w:szCs w:val="20"/>
                <w:color w:val="auto"/>
              </w:rPr>
            </w:pPr>
            <w:r>
              <w:rPr>
                <w:rFonts w:ascii="Arial" w:cs="Arial" w:eastAsia="Arial" w:hAnsi="Arial"/>
                <w:sz w:val="8"/>
                <w:szCs w:val="8"/>
                <w:color w:val="auto"/>
              </w:rPr>
              <w:t>7.50%/0.00%</w:t>
            </w:r>
          </w:p>
        </w:tc>
        <w:tc>
          <w:tcPr>
            <w:tcW w:w="820" w:type="dxa"/>
            <w:vAlign w:val="bottom"/>
          </w:tcPr>
          <w:p>
            <w:pPr>
              <w:ind w:left="220"/>
              <w:spacing w:after="0"/>
              <w:rPr>
                <w:sz w:val="20"/>
                <w:szCs w:val="20"/>
                <w:color w:val="auto"/>
              </w:rPr>
            </w:pPr>
            <w:r>
              <w:rPr>
                <w:rFonts w:ascii="Arial" w:cs="Arial" w:eastAsia="Arial" w:hAnsi="Arial"/>
                <w:sz w:val="8"/>
                <w:szCs w:val="8"/>
                <w:color w:val="auto"/>
              </w:rPr>
              <w:t>5/7/2019</w:t>
            </w:r>
          </w:p>
        </w:tc>
        <w:tc>
          <w:tcPr>
            <w:tcW w:w="980" w:type="dxa"/>
            <w:vAlign w:val="bottom"/>
          </w:tcPr>
          <w:p>
            <w:pPr>
              <w:ind w:left="200"/>
              <w:spacing w:after="0"/>
              <w:rPr>
                <w:sz w:val="20"/>
                <w:szCs w:val="20"/>
                <w:color w:val="auto"/>
              </w:rPr>
            </w:pPr>
            <w:r>
              <w:rPr>
                <w:rFonts w:ascii="Arial" w:cs="Arial" w:eastAsia="Arial" w:hAnsi="Arial"/>
                <w:sz w:val="8"/>
                <w:szCs w:val="8"/>
                <w:color w:val="auto"/>
              </w:rPr>
              <w:t>5/3/2024</w:t>
            </w:r>
          </w:p>
        </w:tc>
        <w:tc>
          <w:tcPr>
            <w:tcW w:w="740" w:type="dxa"/>
            <w:vAlign w:val="bottom"/>
          </w:tcPr>
          <w:p>
            <w:pPr>
              <w:jc w:val="right"/>
              <w:ind w:right="78"/>
              <w:spacing w:after="0"/>
              <w:rPr>
                <w:sz w:val="20"/>
                <w:szCs w:val="20"/>
                <w:color w:val="auto"/>
              </w:rPr>
            </w:pPr>
            <w:r>
              <w:rPr>
                <w:rFonts w:ascii="Arial" w:cs="Arial" w:eastAsia="Arial" w:hAnsi="Arial"/>
                <w:sz w:val="8"/>
                <w:szCs w:val="8"/>
                <w:color w:val="auto"/>
              </w:rPr>
              <w:t>12,889</w:t>
            </w: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12,806</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right"/>
              <w:ind w:right="18"/>
              <w:spacing w:after="0"/>
              <w:rPr>
                <w:sz w:val="20"/>
                <w:szCs w:val="20"/>
                <w:color w:val="auto"/>
              </w:rPr>
            </w:pPr>
            <w:r>
              <w:rPr>
                <w:rFonts w:ascii="Arial" w:cs="Arial" w:eastAsia="Arial" w:hAnsi="Arial"/>
                <w:sz w:val="8"/>
                <w:szCs w:val="8"/>
                <w:color w:val="auto"/>
              </w:rPr>
              <w:t>12,889</w:t>
            </w:r>
          </w:p>
        </w:tc>
        <w:tc>
          <w:tcPr>
            <w:tcW w:w="660" w:type="dxa"/>
            <w:vAlign w:val="bottom"/>
          </w:tcPr>
          <w:p>
            <w:pPr>
              <w:spacing w:after="0"/>
              <w:rPr>
                <w:sz w:val="10"/>
                <w:szCs w:val="10"/>
                <w:color w:val="auto"/>
              </w:rPr>
            </w:pPr>
          </w:p>
        </w:tc>
      </w:tr>
      <w:tr>
        <w:trPr>
          <w:trHeight w:val="133"/>
        </w:trPr>
        <w:tc>
          <w:tcPr>
            <w:tcW w:w="26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8"/>
                <w:szCs w:val="8"/>
                <w:color w:val="auto"/>
              </w:rPr>
              <w:t>Common Equity (596 units) (j)</w:t>
            </w:r>
          </w:p>
        </w:tc>
        <w:tc>
          <w:tcPr>
            <w:tcW w:w="306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8"/>
                <w:szCs w:val="8"/>
                <w:color w:val="auto"/>
              </w:rPr>
              <w:t>5/8/2019</w:t>
            </w:r>
          </w:p>
        </w:tc>
        <w:tc>
          <w:tcPr>
            <w:tcW w:w="98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596</w:t>
            </w:r>
          </w:p>
        </w:tc>
        <w:tc>
          <w:tcPr>
            <w:tcW w:w="10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spacing w:after="0"/>
              <w:rPr>
                <w:sz w:val="11"/>
                <w:szCs w:val="11"/>
                <w:color w:val="auto"/>
              </w:rPr>
            </w:pPr>
          </w:p>
        </w:tc>
        <w:tc>
          <w:tcPr>
            <w:tcW w:w="46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8"/>
                <w:szCs w:val="8"/>
                <w:color w:val="auto"/>
              </w:rPr>
              <w:t>719</w:t>
            </w:r>
          </w:p>
        </w:tc>
        <w:tc>
          <w:tcPr>
            <w:tcW w:w="660" w:type="dxa"/>
            <w:vAlign w:val="bottom"/>
            <w:tcBorders>
              <w:bottom w:val="single" w:sz="8" w:color="CFF0FC"/>
            </w:tcBorders>
            <w:shd w:val="clear" w:color="auto" w:fill="CFF0FC"/>
          </w:tcPr>
          <w:p>
            <w:pPr>
              <w:spacing w:after="0"/>
              <w:rPr>
                <w:sz w:val="11"/>
                <w:szCs w:val="11"/>
                <w:color w:val="auto"/>
              </w:rPr>
            </w:pPr>
          </w:p>
        </w:tc>
      </w:tr>
      <w:tr>
        <w:trPr>
          <w:trHeight w:val="113"/>
        </w:trPr>
        <w:tc>
          <w:tcPr>
            <w:tcW w:w="26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13,402</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jc w:val="right"/>
              <w:ind w:right="18"/>
              <w:spacing w:after="0"/>
              <w:rPr>
                <w:sz w:val="20"/>
                <w:szCs w:val="20"/>
                <w:color w:val="auto"/>
              </w:rPr>
            </w:pPr>
            <w:r>
              <w:rPr>
                <w:rFonts w:ascii="Arial" w:cs="Arial" w:eastAsia="Arial" w:hAnsi="Arial"/>
                <w:sz w:val="8"/>
                <w:szCs w:val="8"/>
                <w:color w:val="auto"/>
              </w:rPr>
              <w:t>13,608</w:t>
            </w:r>
          </w:p>
        </w:tc>
        <w:tc>
          <w:tcPr>
            <w:tcW w:w="660" w:type="dxa"/>
            <w:vAlign w:val="bottom"/>
          </w:tcPr>
          <w:p>
            <w:pPr>
              <w:jc w:val="right"/>
              <w:spacing w:after="0"/>
              <w:rPr>
                <w:sz w:val="20"/>
                <w:szCs w:val="20"/>
                <w:color w:val="auto"/>
              </w:rPr>
            </w:pPr>
            <w:r>
              <w:rPr>
                <w:rFonts w:ascii="Arial" w:cs="Arial" w:eastAsia="Arial" w:hAnsi="Arial"/>
                <w:sz w:val="8"/>
                <w:szCs w:val="8"/>
                <w:color w:val="auto"/>
              </w:rPr>
              <w:t>3 %</w:t>
            </w:r>
          </w:p>
        </w:tc>
      </w:tr>
      <w:tr>
        <w:trPr>
          <w:trHeight w:val="134"/>
        </w:trPr>
        <w:tc>
          <w:tcPr>
            <w:tcW w:w="2620" w:type="dxa"/>
            <w:vAlign w:val="bottom"/>
            <w:shd w:val="clear" w:color="auto" w:fill="CFF0FC"/>
          </w:tcPr>
          <w:p>
            <w:pPr>
              <w:ind w:left="20"/>
              <w:spacing w:after="0"/>
              <w:rPr>
                <w:sz w:val="20"/>
                <w:szCs w:val="20"/>
                <w:color w:val="auto"/>
              </w:rPr>
            </w:pPr>
            <w:r>
              <w:rPr>
                <w:rFonts w:ascii="Arial" w:cs="Arial" w:eastAsia="Arial" w:hAnsi="Arial"/>
                <w:sz w:val="8"/>
                <w:szCs w:val="8"/>
                <w:i w:val="1"/>
                <w:iCs w:val="1"/>
                <w:color w:val="auto"/>
              </w:rPr>
              <w:t>SpendMend LLC</w:t>
            </w:r>
          </w:p>
        </w:tc>
        <w:tc>
          <w:tcPr>
            <w:tcW w:w="3060" w:type="dxa"/>
            <w:vAlign w:val="bottom"/>
            <w:shd w:val="clear" w:color="auto" w:fill="CFF0FC"/>
          </w:tcPr>
          <w:p>
            <w:pPr>
              <w:ind w:left="320"/>
              <w:spacing w:after="0"/>
              <w:rPr>
                <w:sz w:val="20"/>
                <w:szCs w:val="20"/>
                <w:color w:val="auto"/>
              </w:rPr>
            </w:pPr>
            <w:r>
              <w:rPr>
                <w:rFonts w:ascii="Arial" w:cs="Arial" w:eastAsia="Arial" w:hAnsi="Arial"/>
                <w:sz w:val="8"/>
                <w:szCs w:val="8"/>
                <w:color w:val="auto"/>
              </w:rPr>
              <w:t>Business Services</w:t>
            </w: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620" w:type="dxa"/>
            <w:vAlign w:val="bottom"/>
          </w:tcPr>
          <w:p>
            <w:pPr>
              <w:ind w:left="140"/>
              <w:spacing w:after="0"/>
              <w:rPr>
                <w:sz w:val="20"/>
                <w:szCs w:val="20"/>
                <w:color w:val="auto"/>
              </w:rPr>
            </w:pPr>
            <w:r>
              <w:rPr>
                <w:rFonts w:ascii="Arial" w:cs="Arial" w:eastAsia="Arial" w:hAnsi="Arial"/>
                <w:sz w:val="8"/>
                <w:szCs w:val="8"/>
                <w:color w:val="auto"/>
              </w:rPr>
              <w:t>Common Equity (1,000,000 units)</w:t>
            </w:r>
          </w:p>
        </w:tc>
        <w:tc>
          <w:tcPr>
            <w:tcW w:w="3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1/8/2018</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994</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right"/>
              <w:ind w:right="18"/>
              <w:spacing w:after="0"/>
              <w:rPr>
                <w:sz w:val="20"/>
                <w:szCs w:val="20"/>
                <w:color w:val="auto"/>
              </w:rPr>
            </w:pPr>
            <w:r>
              <w:rPr>
                <w:rFonts w:ascii="Arial" w:cs="Arial" w:eastAsia="Arial" w:hAnsi="Arial"/>
                <w:sz w:val="8"/>
                <w:szCs w:val="8"/>
                <w:color w:val="auto"/>
              </w:rPr>
              <w:t>1,919</w:t>
            </w:r>
          </w:p>
        </w:tc>
        <w:tc>
          <w:tcPr>
            <w:tcW w:w="660" w:type="dxa"/>
            <w:vAlign w:val="bottom"/>
          </w:tcPr>
          <w:p>
            <w:pPr>
              <w:jc w:val="right"/>
              <w:spacing w:after="0"/>
              <w:rPr>
                <w:sz w:val="20"/>
                <w:szCs w:val="20"/>
                <w:color w:val="auto"/>
              </w:rPr>
            </w:pPr>
            <w:r>
              <w:rPr>
                <w:rFonts w:ascii="Arial" w:cs="Arial" w:eastAsia="Arial" w:hAnsi="Arial"/>
                <w:sz w:val="8"/>
                <w:szCs w:val="8"/>
                <w:color w:val="auto"/>
              </w:rPr>
              <w:t>0 %</w:t>
            </w:r>
          </w:p>
        </w:tc>
      </w:tr>
      <w:tr>
        <w:trPr>
          <w:trHeight w:val="134"/>
        </w:trPr>
        <w:tc>
          <w:tcPr>
            <w:tcW w:w="2620" w:type="dxa"/>
            <w:vAlign w:val="bottom"/>
            <w:shd w:val="clear" w:color="auto" w:fill="CFF0FC"/>
          </w:tcPr>
          <w:p>
            <w:pPr>
              <w:spacing w:after="0"/>
              <w:rPr>
                <w:sz w:val="11"/>
                <w:szCs w:val="11"/>
                <w:color w:val="auto"/>
              </w:rPr>
            </w:pPr>
          </w:p>
        </w:tc>
        <w:tc>
          <w:tcPr>
            <w:tcW w:w="30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620" w:type="dxa"/>
            <w:vAlign w:val="bottom"/>
          </w:tcPr>
          <w:p>
            <w:pPr>
              <w:ind w:left="20"/>
              <w:spacing w:after="0"/>
              <w:rPr>
                <w:sz w:val="20"/>
                <w:szCs w:val="20"/>
                <w:color w:val="auto"/>
              </w:rPr>
            </w:pPr>
            <w:r>
              <w:rPr>
                <w:rFonts w:ascii="Arial" w:cs="Arial" w:eastAsia="Arial" w:hAnsi="Arial"/>
                <w:sz w:val="8"/>
                <w:szCs w:val="8"/>
                <w:i w:val="1"/>
                <w:iCs w:val="1"/>
                <w:color w:val="auto"/>
              </w:rPr>
              <w:t>TransGo, LLC</w:t>
            </w:r>
          </w:p>
        </w:tc>
        <w:tc>
          <w:tcPr>
            <w:tcW w:w="3060" w:type="dxa"/>
            <w:vAlign w:val="bottom"/>
          </w:tcPr>
          <w:p>
            <w:pPr>
              <w:ind w:left="320"/>
              <w:spacing w:after="0"/>
              <w:rPr>
                <w:sz w:val="20"/>
                <w:szCs w:val="20"/>
                <w:color w:val="auto"/>
              </w:rPr>
            </w:pPr>
            <w:r>
              <w:rPr>
                <w:rFonts w:ascii="Arial" w:cs="Arial" w:eastAsia="Arial" w:hAnsi="Arial"/>
                <w:sz w:val="8"/>
                <w:szCs w:val="8"/>
                <w:color w:val="auto"/>
              </w:rPr>
              <w:t>Component Manufacturing</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4"/>
        </w:trPr>
        <w:tc>
          <w:tcPr>
            <w:tcW w:w="2620" w:type="dxa"/>
            <w:vAlign w:val="bottom"/>
            <w:shd w:val="clear" w:color="auto" w:fill="CFF0FC"/>
          </w:tcPr>
          <w:p>
            <w:pPr>
              <w:ind w:left="140"/>
              <w:spacing w:after="0"/>
              <w:rPr>
                <w:sz w:val="20"/>
                <w:szCs w:val="20"/>
                <w:color w:val="auto"/>
              </w:rPr>
            </w:pPr>
            <w:r>
              <w:rPr>
                <w:rFonts w:ascii="Arial" w:cs="Arial" w:eastAsia="Arial" w:hAnsi="Arial"/>
                <w:sz w:val="8"/>
                <w:szCs w:val="8"/>
                <w:color w:val="auto"/>
              </w:rPr>
              <w:t>Common Equity (500 units) (j)</w:t>
            </w:r>
          </w:p>
        </w:tc>
        <w:tc>
          <w:tcPr>
            <w:tcW w:w="30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2/28/2017</w:t>
            </w: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8"/>
                <w:szCs w:val="8"/>
                <w:color w:val="auto"/>
              </w:rPr>
              <w:t>403</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1,724</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0 %</w:t>
            </w:r>
          </w:p>
        </w:tc>
      </w:tr>
      <w:tr>
        <w:trPr>
          <w:trHeight w:val="127"/>
        </w:trPr>
        <w:tc>
          <w:tcPr>
            <w:tcW w:w="26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27"/>
        </w:trPr>
        <w:tc>
          <w:tcPr>
            <w:tcW w:w="2620" w:type="dxa"/>
            <w:vAlign w:val="bottom"/>
            <w:shd w:val="clear" w:color="auto" w:fill="CFF0FC"/>
          </w:tcPr>
          <w:p>
            <w:pPr>
              <w:ind w:left="20"/>
              <w:spacing w:after="0"/>
              <w:rPr>
                <w:sz w:val="20"/>
                <w:szCs w:val="20"/>
                <w:color w:val="auto"/>
              </w:rPr>
            </w:pPr>
            <w:r>
              <w:rPr>
                <w:rFonts w:ascii="Arial" w:cs="Arial" w:eastAsia="Arial" w:hAnsi="Arial"/>
                <w:sz w:val="8"/>
                <w:szCs w:val="8"/>
                <w:i w:val="1"/>
                <w:iCs w:val="1"/>
                <w:color w:val="auto"/>
              </w:rPr>
              <w:t>The Tranzonic Companies</w:t>
            </w:r>
          </w:p>
        </w:tc>
        <w:tc>
          <w:tcPr>
            <w:tcW w:w="3060" w:type="dxa"/>
            <w:vAlign w:val="bottom"/>
            <w:shd w:val="clear" w:color="auto" w:fill="CFF0FC"/>
          </w:tcPr>
          <w:p>
            <w:pPr>
              <w:ind w:left="320"/>
              <w:spacing w:after="0"/>
              <w:rPr>
                <w:sz w:val="20"/>
                <w:szCs w:val="20"/>
                <w:color w:val="auto"/>
              </w:rPr>
            </w:pPr>
            <w:r>
              <w:rPr>
                <w:rFonts w:ascii="Arial" w:cs="Arial" w:eastAsia="Arial" w:hAnsi="Arial"/>
                <w:sz w:val="8"/>
                <w:szCs w:val="8"/>
                <w:color w:val="auto"/>
              </w:rPr>
              <w:t>Specialty Distribution</w:t>
            </w: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620" w:type="dxa"/>
            <w:vAlign w:val="bottom"/>
          </w:tcPr>
          <w:p>
            <w:pPr>
              <w:ind w:left="140"/>
              <w:spacing w:after="0"/>
              <w:rPr>
                <w:sz w:val="20"/>
                <w:szCs w:val="20"/>
                <w:color w:val="auto"/>
              </w:rPr>
            </w:pPr>
            <w:r>
              <w:rPr>
                <w:rFonts w:ascii="Arial" w:cs="Arial" w:eastAsia="Arial" w:hAnsi="Arial"/>
                <w:sz w:val="8"/>
                <w:szCs w:val="8"/>
                <w:color w:val="auto"/>
              </w:rPr>
              <w:t>Subordinated Debt (j)</w:t>
            </w:r>
          </w:p>
        </w:tc>
        <w:tc>
          <w:tcPr>
            <w:tcW w:w="3060" w:type="dxa"/>
            <w:vAlign w:val="bottom"/>
          </w:tcPr>
          <w:p>
            <w:pPr>
              <w:spacing w:after="0"/>
              <w:rPr>
                <w:sz w:val="10"/>
                <w:szCs w:val="10"/>
                <w:color w:val="auto"/>
              </w:rPr>
            </w:pPr>
          </w:p>
        </w:tc>
        <w:tc>
          <w:tcPr>
            <w:tcW w:w="940" w:type="dxa"/>
            <w:vAlign w:val="bottom"/>
          </w:tcPr>
          <w:p>
            <w:pPr>
              <w:ind w:left="220"/>
              <w:spacing w:after="0"/>
              <w:rPr>
                <w:sz w:val="20"/>
                <w:szCs w:val="20"/>
                <w:color w:val="auto"/>
              </w:rPr>
            </w:pPr>
            <w:r>
              <w:rPr>
                <w:rFonts w:ascii="Arial" w:cs="Arial" w:eastAsia="Arial" w:hAnsi="Arial"/>
                <w:sz w:val="8"/>
                <w:szCs w:val="8"/>
                <w:color w:val="auto"/>
              </w:rPr>
              <w:t>10.00%/1.00%</w:t>
            </w:r>
          </w:p>
        </w:tc>
        <w:tc>
          <w:tcPr>
            <w:tcW w:w="820" w:type="dxa"/>
            <w:vAlign w:val="bottom"/>
          </w:tcPr>
          <w:p>
            <w:pPr>
              <w:ind w:left="220"/>
              <w:spacing w:after="0"/>
              <w:rPr>
                <w:sz w:val="20"/>
                <w:szCs w:val="20"/>
                <w:color w:val="auto"/>
              </w:rPr>
            </w:pPr>
            <w:r>
              <w:rPr>
                <w:rFonts w:ascii="Arial" w:cs="Arial" w:eastAsia="Arial" w:hAnsi="Arial"/>
                <w:sz w:val="8"/>
                <w:szCs w:val="8"/>
                <w:color w:val="auto"/>
              </w:rPr>
              <w:t>3/27/2018</w:t>
            </w:r>
          </w:p>
        </w:tc>
        <w:tc>
          <w:tcPr>
            <w:tcW w:w="980" w:type="dxa"/>
            <w:vAlign w:val="bottom"/>
          </w:tcPr>
          <w:p>
            <w:pPr>
              <w:ind w:left="200"/>
              <w:spacing w:after="0"/>
              <w:rPr>
                <w:sz w:val="20"/>
                <w:szCs w:val="20"/>
                <w:color w:val="auto"/>
              </w:rPr>
            </w:pPr>
            <w:r>
              <w:rPr>
                <w:rFonts w:ascii="Arial" w:cs="Arial" w:eastAsia="Arial" w:hAnsi="Arial"/>
                <w:sz w:val="8"/>
                <w:szCs w:val="8"/>
                <w:color w:val="auto"/>
              </w:rPr>
              <w:t>3/27/2025</w:t>
            </w:r>
          </w:p>
        </w:tc>
        <w:tc>
          <w:tcPr>
            <w:tcW w:w="740" w:type="dxa"/>
            <w:vAlign w:val="bottom"/>
          </w:tcPr>
          <w:p>
            <w:pPr>
              <w:jc w:val="right"/>
              <w:ind w:right="78"/>
              <w:spacing w:after="0"/>
              <w:rPr>
                <w:sz w:val="20"/>
                <w:szCs w:val="20"/>
                <w:color w:val="auto"/>
              </w:rPr>
            </w:pPr>
            <w:r>
              <w:rPr>
                <w:rFonts w:ascii="Arial" w:cs="Arial" w:eastAsia="Arial" w:hAnsi="Arial"/>
                <w:sz w:val="8"/>
                <w:szCs w:val="8"/>
                <w:color w:val="auto"/>
              </w:rPr>
              <w:t>7,055</w:t>
            </w: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7,019</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right"/>
              <w:ind w:right="18"/>
              <w:spacing w:after="0"/>
              <w:rPr>
                <w:sz w:val="20"/>
                <w:szCs w:val="20"/>
                <w:color w:val="auto"/>
              </w:rPr>
            </w:pPr>
            <w:r>
              <w:rPr>
                <w:rFonts w:ascii="Arial" w:cs="Arial" w:eastAsia="Arial" w:hAnsi="Arial"/>
                <w:sz w:val="8"/>
                <w:szCs w:val="8"/>
                <w:color w:val="auto"/>
              </w:rPr>
              <w:t>7,054</w:t>
            </w:r>
          </w:p>
        </w:tc>
        <w:tc>
          <w:tcPr>
            <w:tcW w:w="660" w:type="dxa"/>
            <w:vAlign w:val="bottom"/>
          </w:tcPr>
          <w:p>
            <w:pPr>
              <w:spacing w:after="0"/>
              <w:rPr>
                <w:sz w:val="10"/>
                <w:szCs w:val="10"/>
                <w:color w:val="auto"/>
              </w:rPr>
            </w:pPr>
          </w:p>
        </w:tc>
      </w:tr>
      <w:tr>
        <w:trPr>
          <w:trHeight w:val="134"/>
        </w:trPr>
        <w:tc>
          <w:tcPr>
            <w:tcW w:w="2620" w:type="dxa"/>
            <w:vAlign w:val="bottom"/>
            <w:shd w:val="clear" w:color="auto" w:fill="CFF0FC"/>
          </w:tcPr>
          <w:p>
            <w:pPr>
              <w:ind w:left="140"/>
              <w:spacing w:after="0"/>
              <w:rPr>
                <w:sz w:val="20"/>
                <w:szCs w:val="20"/>
                <w:color w:val="auto"/>
              </w:rPr>
            </w:pPr>
            <w:r>
              <w:rPr>
                <w:rFonts w:ascii="Arial" w:cs="Arial" w:eastAsia="Arial" w:hAnsi="Arial"/>
                <w:sz w:val="8"/>
                <w:szCs w:val="8"/>
                <w:color w:val="auto"/>
              </w:rPr>
              <w:t>Preferred Equity (5,653 units) (j)</w:t>
            </w:r>
          </w:p>
        </w:tc>
        <w:tc>
          <w:tcPr>
            <w:tcW w:w="30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3/27/2018</w:t>
            </w: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8"/>
                <w:szCs w:val="8"/>
                <w:color w:val="auto"/>
              </w:rPr>
              <w:t>565</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783</w:t>
            </w:r>
          </w:p>
        </w:tc>
        <w:tc>
          <w:tcPr>
            <w:tcW w:w="660" w:type="dxa"/>
            <w:vAlign w:val="bottom"/>
            <w:shd w:val="clear" w:color="auto" w:fill="CFF0FC"/>
          </w:tcPr>
          <w:p>
            <w:pPr>
              <w:spacing w:after="0"/>
              <w:rPr>
                <w:sz w:val="11"/>
                <w:szCs w:val="11"/>
                <w:color w:val="auto"/>
              </w:rPr>
            </w:pPr>
          </w:p>
        </w:tc>
      </w:tr>
      <w:tr>
        <w:trPr>
          <w:trHeight w:val="126"/>
        </w:trPr>
        <w:tc>
          <w:tcPr>
            <w:tcW w:w="2620" w:type="dxa"/>
            <w:vAlign w:val="bottom"/>
          </w:tcPr>
          <w:p>
            <w:pPr>
              <w:ind w:left="140"/>
              <w:spacing w:after="0"/>
              <w:rPr>
                <w:sz w:val="20"/>
                <w:szCs w:val="20"/>
                <w:color w:val="auto"/>
              </w:rPr>
            </w:pPr>
            <w:r>
              <w:rPr>
                <w:rFonts w:ascii="Arial" w:cs="Arial" w:eastAsia="Arial" w:hAnsi="Arial"/>
                <w:sz w:val="8"/>
                <w:szCs w:val="8"/>
                <w:color w:val="auto"/>
              </w:rPr>
              <w:t>Common Equity (1 units) (j)</w:t>
            </w:r>
          </w:p>
        </w:tc>
        <w:tc>
          <w:tcPr>
            <w:tcW w:w="3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3/27/2018</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1,311</w:t>
            </w:r>
          </w:p>
        </w:tc>
        <w:tc>
          <w:tcPr>
            <w:tcW w:w="660" w:type="dxa"/>
            <w:vAlign w:val="bottom"/>
          </w:tcPr>
          <w:p>
            <w:pPr>
              <w:spacing w:after="0"/>
              <w:rPr>
                <w:sz w:val="10"/>
                <w:szCs w:val="10"/>
                <w:color w:val="auto"/>
              </w:rPr>
            </w:pPr>
          </w:p>
        </w:tc>
      </w:tr>
      <w:tr>
        <w:trPr>
          <w:trHeight w:val="120"/>
        </w:trPr>
        <w:tc>
          <w:tcPr>
            <w:tcW w:w="2620" w:type="dxa"/>
            <w:vAlign w:val="bottom"/>
            <w:shd w:val="clear" w:color="auto" w:fill="CFF0FC"/>
          </w:tcPr>
          <w:p>
            <w:pPr>
              <w:spacing w:after="0"/>
              <w:rPr>
                <w:sz w:val="10"/>
                <w:szCs w:val="10"/>
                <w:color w:val="auto"/>
              </w:rPr>
            </w:pPr>
          </w:p>
        </w:tc>
        <w:tc>
          <w:tcPr>
            <w:tcW w:w="30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8"/>
                <w:szCs w:val="8"/>
                <w:color w:val="auto"/>
              </w:rPr>
              <w:t>7,584</w:t>
            </w: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9,148</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2 %</w:t>
            </w:r>
          </w:p>
        </w:tc>
      </w:tr>
      <w:tr>
        <w:trPr>
          <w:trHeight w:val="120"/>
        </w:trPr>
        <w:tc>
          <w:tcPr>
            <w:tcW w:w="2620" w:type="dxa"/>
            <w:vAlign w:val="bottom"/>
          </w:tcPr>
          <w:p>
            <w:pPr>
              <w:ind w:left="20"/>
              <w:spacing w:after="0"/>
              <w:rPr>
                <w:sz w:val="20"/>
                <w:szCs w:val="20"/>
                <w:color w:val="auto"/>
              </w:rPr>
            </w:pPr>
            <w:r>
              <w:rPr>
                <w:rFonts w:ascii="Arial" w:cs="Arial" w:eastAsia="Arial" w:hAnsi="Arial"/>
                <w:sz w:val="8"/>
                <w:szCs w:val="8"/>
                <w:i w:val="1"/>
                <w:iCs w:val="1"/>
                <w:color w:val="auto"/>
              </w:rPr>
              <w:t>UBEO, LLC</w:t>
            </w:r>
          </w:p>
        </w:tc>
        <w:tc>
          <w:tcPr>
            <w:tcW w:w="3060" w:type="dxa"/>
            <w:vAlign w:val="bottom"/>
          </w:tcPr>
          <w:p>
            <w:pPr>
              <w:ind w:left="320"/>
              <w:spacing w:after="0"/>
              <w:rPr>
                <w:sz w:val="20"/>
                <w:szCs w:val="20"/>
                <w:color w:val="auto"/>
              </w:rPr>
            </w:pPr>
            <w:r>
              <w:rPr>
                <w:rFonts w:ascii="Arial" w:cs="Arial" w:eastAsia="Arial" w:hAnsi="Arial"/>
                <w:sz w:val="8"/>
                <w:szCs w:val="8"/>
                <w:color w:val="auto"/>
              </w:rPr>
              <w:t>Business Services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4"/>
        </w:trPr>
        <w:tc>
          <w:tcPr>
            <w:tcW w:w="2620" w:type="dxa"/>
            <w:vAlign w:val="bottom"/>
            <w:shd w:val="clear" w:color="auto" w:fill="CFF0FC"/>
          </w:tcPr>
          <w:p>
            <w:pPr>
              <w:ind w:left="140"/>
              <w:spacing w:after="0"/>
              <w:rPr>
                <w:sz w:val="20"/>
                <w:szCs w:val="20"/>
                <w:color w:val="auto"/>
              </w:rPr>
            </w:pPr>
            <w:r>
              <w:rPr>
                <w:rFonts w:ascii="Arial" w:cs="Arial" w:eastAsia="Arial" w:hAnsi="Arial"/>
                <w:sz w:val="8"/>
                <w:szCs w:val="8"/>
                <w:color w:val="auto"/>
              </w:rPr>
              <w:t>Subordinated Debt (j)</w:t>
            </w:r>
          </w:p>
        </w:tc>
        <w:tc>
          <w:tcPr>
            <w:tcW w:w="3060" w:type="dxa"/>
            <w:vAlign w:val="bottom"/>
            <w:shd w:val="clear" w:color="auto" w:fill="CFF0FC"/>
          </w:tcPr>
          <w:p>
            <w:pPr>
              <w:spacing w:after="0"/>
              <w:rPr>
                <w:sz w:val="11"/>
                <w:szCs w:val="11"/>
                <w:color w:val="auto"/>
              </w:rPr>
            </w:pPr>
          </w:p>
        </w:tc>
        <w:tc>
          <w:tcPr>
            <w:tcW w:w="940" w:type="dxa"/>
            <w:vAlign w:val="bottom"/>
            <w:shd w:val="clear" w:color="auto" w:fill="CFF0FC"/>
          </w:tcPr>
          <w:p>
            <w:pPr>
              <w:ind w:left="220"/>
              <w:spacing w:after="0"/>
              <w:rPr>
                <w:sz w:val="20"/>
                <w:szCs w:val="20"/>
                <w:color w:val="auto"/>
              </w:rPr>
            </w:pPr>
            <w:r>
              <w:rPr>
                <w:rFonts w:ascii="Arial" w:cs="Arial" w:eastAsia="Arial" w:hAnsi="Arial"/>
                <w:sz w:val="8"/>
                <w:szCs w:val="8"/>
                <w:color w:val="auto"/>
              </w:rPr>
              <w:t>11.00%/0.00%</w:t>
            </w: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4/3/2018</w:t>
            </w:r>
          </w:p>
        </w:tc>
        <w:tc>
          <w:tcPr>
            <w:tcW w:w="980" w:type="dxa"/>
            <w:vAlign w:val="bottom"/>
            <w:shd w:val="clear" w:color="auto" w:fill="CFF0FC"/>
          </w:tcPr>
          <w:p>
            <w:pPr>
              <w:ind w:left="200"/>
              <w:spacing w:after="0"/>
              <w:rPr>
                <w:sz w:val="20"/>
                <w:szCs w:val="20"/>
                <w:color w:val="auto"/>
              </w:rPr>
            </w:pPr>
            <w:r>
              <w:rPr>
                <w:rFonts w:ascii="Arial" w:cs="Arial" w:eastAsia="Arial" w:hAnsi="Arial"/>
                <w:sz w:val="8"/>
                <w:szCs w:val="8"/>
                <w:color w:val="auto"/>
              </w:rPr>
              <w:t>10/3/2024</w:t>
            </w:r>
          </w:p>
        </w:tc>
        <w:tc>
          <w:tcPr>
            <w:tcW w:w="740" w:type="dxa"/>
            <w:vAlign w:val="bottom"/>
            <w:shd w:val="clear" w:color="auto" w:fill="CFF0FC"/>
          </w:tcPr>
          <w:p>
            <w:pPr>
              <w:jc w:val="right"/>
              <w:ind w:right="78"/>
              <w:spacing w:after="0"/>
              <w:rPr>
                <w:sz w:val="20"/>
                <w:szCs w:val="20"/>
                <w:color w:val="auto"/>
              </w:rPr>
            </w:pPr>
            <w:r>
              <w:rPr>
                <w:rFonts w:ascii="Arial" w:cs="Arial" w:eastAsia="Arial" w:hAnsi="Arial"/>
                <w:sz w:val="8"/>
                <w:szCs w:val="8"/>
                <w:color w:val="auto"/>
              </w:rPr>
              <w:t>13,893</w:t>
            </w: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8"/>
                <w:szCs w:val="8"/>
                <w:color w:val="auto"/>
              </w:rPr>
              <w:t>13,829</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13,893</w:t>
            </w:r>
          </w:p>
        </w:tc>
        <w:tc>
          <w:tcPr>
            <w:tcW w:w="660" w:type="dxa"/>
            <w:vAlign w:val="bottom"/>
            <w:shd w:val="clear" w:color="auto" w:fill="CFF0FC"/>
          </w:tcPr>
          <w:p>
            <w:pPr>
              <w:spacing w:after="0"/>
              <w:rPr>
                <w:sz w:val="11"/>
                <w:szCs w:val="11"/>
                <w:color w:val="auto"/>
              </w:rPr>
            </w:pPr>
          </w:p>
        </w:tc>
      </w:tr>
      <w:tr>
        <w:trPr>
          <w:trHeight w:val="126"/>
        </w:trPr>
        <w:tc>
          <w:tcPr>
            <w:tcW w:w="2620" w:type="dxa"/>
            <w:vAlign w:val="bottom"/>
          </w:tcPr>
          <w:p>
            <w:pPr>
              <w:ind w:left="140"/>
              <w:spacing w:after="0"/>
              <w:rPr>
                <w:sz w:val="20"/>
                <w:szCs w:val="20"/>
                <w:color w:val="auto"/>
              </w:rPr>
            </w:pPr>
            <w:r>
              <w:rPr>
                <w:rFonts w:ascii="Arial" w:cs="Arial" w:eastAsia="Arial" w:hAnsi="Arial"/>
                <w:sz w:val="8"/>
                <w:szCs w:val="8"/>
                <w:color w:val="auto"/>
              </w:rPr>
              <w:t>Common Equity (705,000 units) (h)(j)</w:t>
            </w:r>
          </w:p>
        </w:tc>
        <w:tc>
          <w:tcPr>
            <w:tcW w:w="3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4/3/2018</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655</w:t>
            </w:r>
          </w:p>
        </w:tc>
        <w:tc>
          <w:tcPr>
            <w:tcW w:w="1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885</w:t>
            </w:r>
          </w:p>
        </w:tc>
        <w:tc>
          <w:tcPr>
            <w:tcW w:w="660" w:type="dxa"/>
            <w:vAlign w:val="bottom"/>
          </w:tcPr>
          <w:p>
            <w:pPr>
              <w:spacing w:after="0"/>
              <w:rPr>
                <w:sz w:val="10"/>
                <w:szCs w:val="10"/>
                <w:color w:val="auto"/>
              </w:rPr>
            </w:pPr>
          </w:p>
        </w:tc>
      </w:tr>
      <w:tr>
        <w:trPr>
          <w:trHeight w:val="120"/>
        </w:trPr>
        <w:tc>
          <w:tcPr>
            <w:tcW w:w="2620" w:type="dxa"/>
            <w:vAlign w:val="bottom"/>
            <w:shd w:val="clear" w:color="auto" w:fill="CFF0FC"/>
          </w:tcPr>
          <w:p>
            <w:pPr>
              <w:spacing w:after="0"/>
              <w:rPr>
                <w:sz w:val="10"/>
                <w:szCs w:val="10"/>
                <w:color w:val="auto"/>
              </w:rPr>
            </w:pPr>
          </w:p>
        </w:tc>
        <w:tc>
          <w:tcPr>
            <w:tcW w:w="30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8"/>
                <w:szCs w:val="8"/>
                <w:color w:val="auto"/>
              </w:rPr>
              <w:t>14,484</w:t>
            </w: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14,778</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3 %</w:t>
            </w:r>
          </w:p>
        </w:tc>
      </w:tr>
      <w:tr>
        <w:trPr>
          <w:trHeight w:val="120"/>
        </w:trPr>
        <w:tc>
          <w:tcPr>
            <w:tcW w:w="2620" w:type="dxa"/>
            <w:vAlign w:val="bottom"/>
          </w:tcPr>
          <w:p>
            <w:pPr>
              <w:ind w:left="20"/>
              <w:spacing w:after="0"/>
              <w:rPr>
                <w:sz w:val="20"/>
                <w:szCs w:val="20"/>
                <w:color w:val="auto"/>
              </w:rPr>
            </w:pPr>
            <w:r>
              <w:rPr>
                <w:rFonts w:ascii="Arial" w:cs="Arial" w:eastAsia="Arial" w:hAnsi="Arial"/>
                <w:sz w:val="8"/>
                <w:szCs w:val="8"/>
                <w:i w:val="1"/>
                <w:iCs w:val="1"/>
                <w:color w:val="auto"/>
              </w:rPr>
              <w:t>United Biologics, LLC</w:t>
            </w:r>
          </w:p>
        </w:tc>
        <w:tc>
          <w:tcPr>
            <w:tcW w:w="3060" w:type="dxa"/>
            <w:vAlign w:val="bottom"/>
          </w:tcPr>
          <w:p>
            <w:pPr>
              <w:ind w:left="320"/>
              <w:spacing w:after="0"/>
              <w:rPr>
                <w:sz w:val="20"/>
                <w:szCs w:val="20"/>
                <w:color w:val="auto"/>
              </w:rPr>
            </w:pPr>
            <w:r>
              <w:rPr>
                <w:rFonts w:ascii="Arial" w:cs="Arial" w:eastAsia="Arial" w:hAnsi="Arial"/>
                <w:sz w:val="8"/>
                <w:szCs w:val="8"/>
                <w:color w:val="auto"/>
              </w:rPr>
              <w:t>Healthcare Services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4"/>
        </w:trPr>
        <w:tc>
          <w:tcPr>
            <w:tcW w:w="2620" w:type="dxa"/>
            <w:vAlign w:val="bottom"/>
            <w:shd w:val="clear" w:color="auto" w:fill="CFF0FC"/>
          </w:tcPr>
          <w:p>
            <w:pPr>
              <w:ind w:left="140"/>
              <w:spacing w:after="0"/>
              <w:rPr>
                <w:sz w:val="20"/>
                <w:szCs w:val="20"/>
                <w:color w:val="auto"/>
              </w:rPr>
            </w:pPr>
            <w:r>
              <w:rPr>
                <w:rFonts w:ascii="Arial" w:cs="Arial" w:eastAsia="Arial" w:hAnsi="Arial"/>
                <w:sz w:val="8"/>
                <w:szCs w:val="8"/>
                <w:color w:val="auto"/>
              </w:rPr>
              <w:t>Preferred Equity (98,377 units) (h)(j)</w:t>
            </w:r>
          </w:p>
        </w:tc>
        <w:tc>
          <w:tcPr>
            <w:tcW w:w="30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4/1/2012</w:t>
            </w: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8"/>
                <w:szCs w:val="8"/>
                <w:color w:val="auto"/>
              </w:rPr>
              <w:t>1,008</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w:t>
            </w:r>
          </w:p>
        </w:tc>
        <w:tc>
          <w:tcPr>
            <w:tcW w:w="660" w:type="dxa"/>
            <w:vAlign w:val="bottom"/>
            <w:shd w:val="clear" w:color="auto" w:fill="CFF0FC"/>
          </w:tcPr>
          <w:p>
            <w:pPr>
              <w:spacing w:after="0"/>
              <w:rPr>
                <w:sz w:val="11"/>
                <w:szCs w:val="11"/>
                <w:color w:val="auto"/>
              </w:rPr>
            </w:pPr>
          </w:p>
        </w:tc>
      </w:tr>
      <w:tr>
        <w:trPr>
          <w:trHeight w:val="126"/>
        </w:trPr>
        <w:tc>
          <w:tcPr>
            <w:tcW w:w="2620" w:type="dxa"/>
            <w:vAlign w:val="bottom"/>
          </w:tcPr>
          <w:p>
            <w:pPr>
              <w:ind w:left="140"/>
              <w:spacing w:after="0"/>
              <w:rPr>
                <w:sz w:val="20"/>
                <w:szCs w:val="20"/>
                <w:color w:val="auto"/>
              </w:rPr>
            </w:pPr>
            <w:r>
              <w:rPr>
                <w:rFonts w:ascii="Arial" w:cs="Arial" w:eastAsia="Arial" w:hAnsi="Arial"/>
                <w:sz w:val="8"/>
                <w:szCs w:val="8"/>
                <w:color w:val="auto"/>
              </w:rPr>
              <w:t>Warrant (57,469 units) (j)(m)</w:t>
            </w:r>
          </w:p>
        </w:tc>
        <w:tc>
          <w:tcPr>
            <w:tcW w:w="3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3/5/2012</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566</w:t>
            </w:r>
          </w:p>
        </w:tc>
        <w:tc>
          <w:tcPr>
            <w:tcW w:w="1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w:t>
            </w:r>
          </w:p>
        </w:tc>
        <w:tc>
          <w:tcPr>
            <w:tcW w:w="660" w:type="dxa"/>
            <w:vAlign w:val="bottom"/>
          </w:tcPr>
          <w:p>
            <w:pPr>
              <w:spacing w:after="0"/>
              <w:rPr>
                <w:sz w:val="10"/>
                <w:szCs w:val="10"/>
                <w:color w:val="auto"/>
              </w:rPr>
            </w:pPr>
          </w:p>
        </w:tc>
      </w:tr>
      <w:tr>
        <w:trPr>
          <w:trHeight w:val="120"/>
        </w:trPr>
        <w:tc>
          <w:tcPr>
            <w:tcW w:w="2620" w:type="dxa"/>
            <w:vAlign w:val="bottom"/>
            <w:shd w:val="clear" w:color="auto" w:fill="CFF0FC"/>
          </w:tcPr>
          <w:p>
            <w:pPr>
              <w:spacing w:after="0"/>
              <w:rPr>
                <w:sz w:val="10"/>
                <w:szCs w:val="10"/>
                <w:color w:val="auto"/>
              </w:rPr>
            </w:pPr>
          </w:p>
        </w:tc>
        <w:tc>
          <w:tcPr>
            <w:tcW w:w="30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8"/>
                <w:szCs w:val="8"/>
                <w:color w:val="auto"/>
              </w:rPr>
              <w:t>1,574</w:t>
            </w: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0 %</w:t>
            </w:r>
          </w:p>
        </w:tc>
      </w:tr>
      <w:tr>
        <w:trPr>
          <w:trHeight w:val="120"/>
        </w:trPr>
        <w:tc>
          <w:tcPr>
            <w:tcW w:w="2620" w:type="dxa"/>
            <w:vAlign w:val="bottom"/>
          </w:tcPr>
          <w:p>
            <w:pPr>
              <w:ind w:left="20"/>
              <w:spacing w:after="0"/>
              <w:rPr>
                <w:sz w:val="20"/>
                <w:szCs w:val="20"/>
                <w:color w:val="auto"/>
              </w:rPr>
            </w:pPr>
            <w:r>
              <w:rPr>
                <w:rFonts w:ascii="Arial" w:cs="Arial" w:eastAsia="Arial" w:hAnsi="Arial"/>
                <w:sz w:val="8"/>
                <w:szCs w:val="8"/>
                <w:i w:val="1"/>
                <w:iCs w:val="1"/>
                <w:color w:val="auto"/>
              </w:rPr>
              <w:t>UPG Company, LLC</w:t>
            </w:r>
          </w:p>
        </w:tc>
        <w:tc>
          <w:tcPr>
            <w:tcW w:w="3060" w:type="dxa"/>
            <w:vAlign w:val="bottom"/>
          </w:tcPr>
          <w:p>
            <w:pPr>
              <w:ind w:left="320"/>
              <w:spacing w:after="0"/>
              <w:rPr>
                <w:sz w:val="20"/>
                <w:szCs w:val="20"/>
                <w:color w:val="auto"/>
              </w:rPr>
            </w:pPr>
            <w:r>
              <w:rPr>
                <w:rFonts w:ascii="Arial" w:cs="Arial" w:eastAsia="Arial" w:hAnsi="Arial"/>
                <w:sz w:val="8"/>
                <w:szCs w:val="8"/>
                <w:color w:val="auto"/>
              </w:rPr>
              <w:t>Component Manufacturing</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4"/>
        </w:trPr>
        <w:tc>
          <w:tcPr>
            <w:tcW w:w="2620" w:type="dxa"/>
            <w:vAlign w:val="bottom"/>
            <w:shd w:val="clear" w:color="auto" w:fill="CFF0FC"/>
          </w:tcPr>
          <w:p>
            <w:pPr>
              <w:ind w:left="140"/>
              <w:spacing w:after="0"/>
              <w:rPr>
                <w:sz w:val="20"/>
                <w:szCs w:val="20"/>
                <w:color w:val="auto"/>
              </w:rPr>
            </w:pPr>
            <w:r>
              <w:rPr>
                <w:rFonts w:ascii="Arial" w:cs="Arial" w:eastAsia="Arial" w:hAnsi="Arial"/>
                <w:sz w:val="8"/>
                <w:szCs w:val="8"/>
                <w:color w:val="auto"/>
              </w:rPr>
              <w:t>First Lien Debt (j)(al)</w:t>
            </w:r>
          </w:p>
        </w:tc>
        <w:tc>
          <w:tcPr>
            <w:tcW w:w="3060" w:type="dxa"/>
            <w:vAlign w:val="bottom"/>
            <w:shd w:val="clear" w:color="auto" w:fill="CFF0FC"/>
          </w:tcPr>
          <w:p>
            <w:pPr>
              <w:ind w:left="2060"/>
              <w:spacing w:after="0"/>
              <w:rPr>
                <w:sz w:val="20"/>
                <w:szCs w:val="20"/>
                <w:color w:val="auto"/>
              </w:rPr>
            </w:pPr>
            <w:r>
              <w:rPr>
                <w:rFonts w:ascii="Arial" w:cs="Arial" w:eastAsia="Arial" w:hAnsi="Arial"/>
                <w:sz w:val="8"/>
                <w:szCs w:val="8"/>
                <w:color w:val="auto"/>
              </w:rPr>
              <w:t>(L + 8.25%) / (0.50%)</w:t>
            </w:r>
          </w:p>
        </w:tc>
        <w:tc>
          <w:tcPr>
            <w:tcW w:w="940" w:type="dxa"/>
            <w:vAlign w:val="bottom"/>
            <w:shd w:val="clear" w:color="auto" w:fill="CFF0FC"/>
          </w:tcPr>
          <w:p>
            <w:pPr>
              <w:ind w:left="220"/>
              <w:spacing w:after="0"/>
              <w:rPr>
                <w:sz w:val="20"/>
                <w:szCs w:val="20"/>
                <w:color w:val="auto"/>
              </w:rPr>
            </w:pPr>
            <w:r>
              <w:rPr>
                <w:rFonts w:ascii="Arial" w:cs="Arial" w:eastAsia="Arial" w:hAnsi="Arial"/>
                <w:sz w:val="8"/>
                <w:szCs w:val="8"/>
                <w:color w:val="auto"/>
              </w:rPr>
              <w:t>8.75%/0.00%</w:t>
            </w: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6/21/2021</w:t>
            </w:r>
          </w:p>
        </w:tc>
        <w:tc>
          <w:tcPr>
            <w:tcW w:w="980" w:type="dxa"/>
            <w:vAlign w:val="bottom"/>
            <w:shd w:val="clear" w:color="auto" w:fill="CFF0FC"/>
          </w:tcPr>
          <w:p>
            <w:pPr>
              <w:ind w:left="200"/>
              <w:spacing w:after="0"/>
              <w:rPr>
                <w:sz w:val="20"/>
                <w:szCs w:val="20"/>
                <w:color w:val="auto"/>
              </w:rPr>
            </w:pPr>
            <w:r>
              <w:rPr>
                <w:rFonts w:ascii="Arial" w:cs="Arial" w:eastAsia="Arial" w:hAnsi="Arial"/>
                <w:sz w:val="8"/>
                <w:szCs w:val="8"/>
                <w:color w:val="auto"/>
              </w:rPr>
              <w:t>6/21/2024</w:t>
            </w:r>
          </w:p>
        </w:tc>
        <w:tc>
          <w:tcPr>
            <w:tcW w:w="740" w:type="dxa"/>
            <w:vAlign w:val="bottom"/>
            <w:shd w:val="clear" w:color="auto" w:fill="CFF0FC"/>
          </w:tcPr>
          <w:p>
            <w:pPr>
              <w:jc w:val="right"/>
              <w:ind w:right="78"/>
              <w:spacing w:after="0"/>
              <w:rPr>
                <w:sz w:val="20"/>
                <w:szCs w:val="20"/>
                <w:color w:val="auto"/>
              </w:rPr>
            </w:pPr>
            <w:r>
              <w:rPr>
                <w:rFonts w:ascii="Arial" w:cs="Arial" w:eastAsia="Arial" w:hAnsi="Arial"/>
                <w:sz w:val="8"/>
                <w:szCs w:val="8"/>
                <w:color w:val="auto"/>
              </w:rPr>
              <w:t>12,000</w:t>
            </w: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8"/>
                <w:szCs w:val="8"/>
                <w:color w:val="auto"/>
              </w:rPr>
              <w:t>11,914</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11,914</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3 %</w:t>
            </w:r>
          </w:p>
        </w:tc>
      </w:tr>
      <w:tr>
        <w:trPr>
          <w:trHeight w:val="127"/>
        </w:trPr>
        <w:tc>
          <w:tcPr>
            <w:tcW w:w="26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27"/>
        </w:trPr>
        <w:tc>
          <w:tcPr>
            <w:tcW w:w="2620" w:type="dxa"/>
            <w:vAlign w:val="bottom"/>
            <w:shd w:val="clear" w:color="auto" w:fill="CFF0FC"/>
          </w:tcPr>
          <w:p>
            <w:pPr>
              <w:ind w:left="20"/>
              <w:spacing w:after="0"/>
              <w:rPr>
                <w:sz w:val="20"/>
                <w:szCs w:val="20"/>
                <w:color w:val="auto"/>
              </w:rPr>
            </w:pPr>
            <w:r>
              <w:rPr>
                <w:rFonts w:ascii="Arial" w:cs="Arial" w:eastAsia="Arial" w:hAnsi="Arial"/>
                <w:sz w:val="8"/>
                <w:szCs w:val="8"/>
                <w:i w:val="1"/>
                <w:iCs w:val="1"/>
                <w:color w:val="auto"/>
              </w:rPr>
              <w:t>Virginia Tile Company, LLC</w:t>
            </w:r>
          </w:p>
        </w:tc>
        <w:tc>
          <w:tcPr>
            <w:tcW w:w="3060" w:type="dxa"/>
            <w:vAlign w:val="bottom"/>
            <w:shd w:val="clear" w:color="auto" w:fill="CFF0FC"/>
          </w:tcPr>
          <w:p>
            <w:pPr>
              <w:ind w:left="320"/>
              <w:spacing w:after="0"/>
              <w:rPr>
                <w:sz w:val="20"/>
                <w:szCs w:val="20"/>
                <w:color w:val="auto"/>
              </w:rPr>
            </w:pPr>
            <w:r>
              <w:rPr>
                <w:rFonts w:ascii="Arial" w:cs="Arial" w:eastAsia="Arial" w:hAnsi="Arial"/>
                <w:sz w:val="8"/>
                <w:szCs w:val="8"/>
                <w:color w:val="auto"/>
              </w:rPr>
              <w:t>Specialty Distribution</w:t>
            </w: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620" w:type="dxa"/>
            <w:vAlign w:val="bottom"/>
          </w:tcPr>
          <w:p>
            <w:pPr>
              <w:ind w:left="140"/>
              <w:spacing w:after="0"/>
              <w:rPr>
                <w:sz w:val="20"/>
                <w:szCs w:val="20"/>
                <w:color w:val="auto"/>
              </w:rPr>
            </w:pPr>
            <w:r>
              <w:rPr>
                <w:rFonts w:ascii="Arial" w:cs="Arial" w:eastAsia="Arial" w:hAnsi="Arial"/>
                <w:sz w:val="8"/>
                <w:szCs w:val="8"/>
                <w:color w:val="auto"/>
              </w:rPr>
              <w:t>Common Equity (17 units) (j)</w:t>
            </w:r>
          </w:p>
        </w:tc>
        <w:tc>
          <w:tcPr>
            <w:tcW w:w="3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12/19/2014</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342</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right"/>
              <w:ind w:right="18"/>
              <w:spacing w:after="0"/>
              <w:rPr>
                <w:sz w:val="20"/>
                <w:szCs w:val="20"/>
                <w:color w:val="auto"/>
              </w:rPr>
            </w:pPr>
            <w:r>
              <w:rPr>
                <w:rFonts w:ascii="Arial" w:cs="Arial" w:eastAsia="Arial" w:hAnsi="Arial"/>
                <w:sz w:val="8"/>
                <w:szCs w:val="8"/>
                <w:color w:val="auto"/>
              </w:rPr>
              <w:t>766</w:t>
            </w:r>
          </w:p>
        </w:tc>
        <w:tc>
          <w:tcPr>
            <w:tcW w:w="660" w:type="dxa"/>
            <w:vAlign w:val="bottom"/>
          </w:tcPr>
          <w:p>
            <w:pPr>
              <w:jc w:val="right"/>
              <w:spacing w:after="0"/>
              <w:rPr>
                <w:sz w:val="20"/>
                <w:szCs w:val="20"/>
                <w:color w:val="auto"/>
              </w:rPr>
            </w:pPr>
            <w:r>
              <w:rPr>
                <w:rFonts w:ascii="Arial" w:cs="Arial" w:eastAsia="Arial" w:hAnsi="Arial"/>
                <w:sz w:val="8"/>
                <w:szCs w:val="8"/>
                <w:color w:val="auto"/>
              </w:rPr>
              <w:t>0 %</w:t>
            </w:r>
          </w:p>
        </w:tc>
      </w:tr>
      <w:tr>
        <w:trPr>
          <w:trHeight w:val="134"/>
        </w:trPr>
        <w:tc>
          <w:tcPr>
            <w:tcW w:w="2620" w:type="dxa"/>
            <w:vAlign w:val="bottom"/>
            <w:shd w:val="clear" w:color="auto" w:fill="CFF0FC"/>
          </w:tcPr>
          <w:p>
            <w:pPr>
              <w:spacing w:after="0"/>
              <w:rPr>
                <w:sz w:val="11"/>
                <w:szCs w:val="11"/>
                <w:color w:val="auto"/>
              </w:rPr>
            </w:pPr>
          </w:p>
        </w:tc>
        <w:tc>
          <w:tcPr>
            <w:tcW w:w="30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620" w:type="dxa"/>
            <w:vAlign w:val="bottom"/>
          </w:tcPr>
          <w:p>
            <w:pPr>
              <w:ind w:left="20"/>
              <w:spacing w:after="0"/>
              <w:rPr>
                <w:sz w:val="20"/>
                <w:szCs w:val="20"/>
                <w:color w:val="auto"/>
              </w:rPr>
            </w:pPr>
            <w:r>
              <w:rPr>
                <w:rFonts w:ascii="Arial" w:cs="Arial" w:eastAsia="Arial" w:hAnsi="Arial"/>
                <w:sz w:val="8"/>
                <w:szCs w:val="8"/>
                <w:i w:val="1"/>
                <w:iCs w:val="1"/>
                <w:color w:val="auto"/>
              </w:rPr>
              <w:t>Western's Smokehouse, LLC</w:t>
            </w:r>
          </w:p>
        </w:tc>
        <w:tc>
          <w:tcPr>
            <w:tcW w:w="3060" w:type="dxa"/>
            <w:vAlign w:val="bottom"/>
          </w:tcPr>
          <w:p>
            <w:pPr>
              <w:ind w:left="320"/>
              <w:spacing w:after="0"/>
              <w:rPr>
                <w:sz w:val="20"/>
                <w:szCs w:val="20"/>
                <w:color w:val="auto"/>
              </w:rPr>
            </w:pPr>
            <w:r>
              <w:rPr>
                <w:rFonts w:ascii="Arial" w:cs="Arial" w:eastAsia="Arial" w:hAnsi="Arial"/>
                <w:sz w:val="8"/>
                <w:szCs w:val="8"/>
                <w:color w:val="auto"/>
              </w:rPr>
              <w:t>Consumer Products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4"/>
        </w:trPr>
        <w:tc>
          <w:tcPr>
            <w:tcW w:w="2620" w:type="dxa"/>
            <w:vAlign w:val="bottom"/>
            <w:shd w:val="clear" w:color="auto" w:fill="CFF0FC"/>
          </w:tcPr>
          <w:p>
            <w:pPr>
              <w:ind w:left="140"/>
              <w:spacing w:after="0"/>
              <w:rPr>
                <w:sz w:val="20"/>
                <w:szCs w:val="20"/>
                <w:color w:val="auto"/>
              </w:rPr>
            </w:pPr>
            <w:r>
              <w:rPr>
                <w:rFonts w:ascii="Arial" w:cs="Arial" w:eastAsia="Arial" w:hAnsi="Arial"/>
                <w:sz w:val="8"/>
                <w:szCs w:val="8"/>
                <w:color w:val="auto"/>
              </w:rPr>
              <w:t>First Lien Debt (j)(ab)</w:t>
            </w:r>
          </w:p>
        </w:tc>
        <w:tc>
          <w:tcPr>
            <w:tcW w:w="3060" w:type="dxa"/>
            <w:vAlign w:val="bottom"/>
            <w:shd w:val="clear" w:color="auto" w:fill="CFF0FC"/>
          </w:tcPr>
          <w:p>
            <w:pPr>
              <w:ind w:left="2060"/>
              <w:spacing w:after="0"/>
              <w:rPr>
                <w:sz w:val="20"/>
                <w:szCs w:val="20"/>
                <w:color w:val="auto"/>
              </w:rPr>
            </w:pPr>
            <w:r>
              <w:rPr>
                <w:rFonts w:ascii="Arial" w:cs="Arial" w:eastAsia="Arial" w:hAnsi="Arial"/>
                <w:sz w:val="8"/>
                <w:szCs w:val="8"/>
                <w:color w:val="auto"/>
              </w:rPr>
              <w:t>(L + 6.50%) / (1.25%)</w:t>
            </w:r>
          </w:p>
        </w:tc>
        <w:tc>
          <w:tcPr>
            <w:tcW w:w="940" w:type="dxa"/>
            <w:vAlign w:val="bottom"/>
            <w:shd w:val="clear" w:color="auto" w:fill="CFF0FC"/>
          </w:tcPr>
          <w:p>
            <w:pPr>
              <w:ind w:left="220"/>
              <w:spacing w:after="0"/>
              <w:rPr>
                <w:sz w:val="20"/>
                <w:szCs w:val="20"/>
                <w:color w:val="auto"/>
              </w:rPr>
            </w:pPr>
            <w:r>
              <w:rPr>
                <w:rFonts w:ascii="Arial" w:cs="Arial" w:eastAsia="Arial" w:hAnsi="Arial"/>
                <w:sz w:val="8"/>
                <w:szCs w:val="8"/>
                <w:color w:val="auto"/>
              </w:rPr>
              <w:t>7.75%/0.00%</w:t>
            </w: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2/28/2020</w:t>
            </w:r>
          </w:p>
        </w:tc>
        <w:tc>
          <w:tcPr>
            <w:tcW w:w="980" w:type="dxa"/>
            <w:vAlign w:val="bottom"/>
            <w:shd w:val="clear" w:color="auto" w:fill="CFF0FC"/>
          </w:tcPr>
          <w:p>
            <w:pPr>
              <w:ind w:left="200"/>
              <w:spacing w:after="0"/>
              <w:rPr>
                <w:sz w:val="20"/>
                <w:szCs w:val="20"/>
                <w:color w:val="auto"/>
              </w:rPr>
            </w:pPr>
            <w:r>
              <w:rPr>
                <w:rFonts w:ascii="Arial" w:cs="Arial" w:eastAsia="Arial" w:hAnsi="Arial"/>
                <w:sz w:val="8"/>
                <w:szCs w:val="8"/>
                <w:color w:val="auto"/>
              </w:rPr>
              <w:t>12/23/2024</w:t>
            </w:r>
          </w:p>
        </w:tc>
        <w:tc>
          <w:tcPr>
            <w:tcW w:w="740" w:type="dxa"/>
            <w:vAlign w:val="bottom"/>
            <w:shd w:val="clear" w:color="auto" w:fill="CFF0FC"/>
          </w:tcPr>
          <w:p>
            <w:pPr>
              <w:jc w:val="right"/>
              <w:ind w:right="78"/>
              <w:spacing w:after="0"/>
              <w:rPr>
                <w:sz w:val="20"/>
                <w:szCs w:val="20"/>
                <w:color w:val="auto"/>
              </w:rPr>
            </w:pPr>
            <w:r>
              <w:rPr>
                <w:rFonts w:ascii="Arial" w:cs="Arial" w:eastAsia="Arial" w:hAnsi="Arial"/>
                <w:sz w:val="8"/>
                <w:szCs w:val="8"/>
                <w:color w:val="auto"/>
              </w:rPr>
              <w:t>9,625</w:t>
            </w: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8"/>
                <w:szCs w:val="8"/>
                <w:color w:val="auto"/>
              </w:rPr>
              <w:t>9,524</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9,625</w:t>
            </w:r>
          </w:p>
        </w:tc>
        <w:tc>
          <w:tcPr>
            <w:tcW w:w="660" w:type="dxa"/>
            <w:vAlign w:val="bottom"/>
            <w:shd w:val="clear" w:color="auto" w:fill="CFF0FC"/>
          </w:tcPr>
          <w:p>
            <w:pPr>
              <w:jc w:val="right"/>
              <w:spacing w:after="0"/>
              <w:rPr>
                <w:sz w:val="20"/>
                <w:szCs w:val="20"/>
                <w:color w:val="auto"/>
              </w:rPr>
            </w:pPr>
            <w:r>
              <w:rPr>
                <w:rFonts w:ascii="Arial" w:cs="Arial" w:eastAsia="Arial" w:hAnsi="Arial"/>
                <w:sz w:val="8"/>
                <w:szCs w:val="8"/>
                <w:color w:val="auto"/>
              </w:rPr>
              <w:t>2 %</w:t>
            </w:r>
          </w:p>
        </w:tc>
      </w:tr>
      <w:tr>
        <w:trPr>
          <w:trHeight w:val="127"/>
        </w:trPr>
        <w:tc>
          <w:tcPr>
            <w:tcW w:w="26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27"/>
        </w:trPr>
        <w:tc>
          <w:tcPr>
            <w:tcW w:w="2620" w:type="dxa"/>
            <w:vAlign w:val="bottom"/>
            <w:shd w:val="clear" w:color="auto" w:fill="CFF0FC"/>
          </w:tcPr>
          <w:p>
            <w:pPr>
              <w:ind w:left="20"/>
              <w:spacing w:after="0"/>
              <w:rPr>
                <w:sz w:val="20"/>
                <w:szCs w:val="20"/>
                <w:color w:val="auto"/>
              </w:rPr>
            </w:pPr>
            <w:r>
              <w:rPr>
                <w:rFonts w:ascii="Arial" w:cs="Arial" w:eastAsia="Arial" w:hAnsi="Arial"/>
                <w:sz w:val="8"/>
                <w:szCs w:val="8"/>
                <w:i w:val="1"/>
                <w:iCs w:val="1"/>
                <w:color w:val="auto"/>
              </w:rPr>
              <w:t>Winona Foods, Inc.</w:t>
            </w:r>
          </w:p>
        </w:tc>
        <w:tc>
          <w:tcPr>
            <w:tcW w:w="3060" w:type="dxa"/>
            <w:vAlign w:val="bottom"/>
            <w:shd w:val="clear" w:color="auto" w:fill="CFF0FC"/>
          </w:tcPr>
          <w:p>
            <w:pPr>
              <w:ind w:left="320"/>
              <w:spacing w:after="0"/>
              <w:rPr>
                <w:sz w:val="20"/>
                <w:szCs w:val="20"/>
                <w:color w:val="auto"/>
              </w:rPr>
            </w:pPr>
            <w:r>
              <w:rPr>
                <w:rFonts w:ascii="Arial" w:cs="Arial" w:eastAsia="Arial" w:hAnsi="Arial"/>
                <w:sz w:val="8"/>
                <w:szCs w:val="8"/>
                <w:color w:val="auto"/>
              </w:rPr>
              <w:t>Specialty Distribution</w:t>
            </w: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620" w:type="dxa"/>
            <w:vAlign w:val="bottom"/>
          </w:tcPr>
          <w:p>
            <w:pPr>
              <w:ind w:left="140"/>
              <w:spacing w:after="0"/>
              <w:rPr>
                <w:sz w:val="20"/>
                <w:szCs w:val="20"/>
                <w:color w:val="auto"/>
              </w:rPr>
            </w:pPr>
            <w:r>
              <w:rPr>
                <w:rFonts w:ascii="Arial" w:cs="Arial" w:eastAsia="Arial" w:hAnsi="Arial"/>
                <w:sz w:val="8"/>
                <w:szCs w:val="8"/>
                <w:color w:val="auto"/>
              </w:rPr>
              <w:t>First Lien Debt (j)(am)</w:t>
            </w:r>
          </w:p>
        </w:tc>
        <w:tc>
          <w:tcPr>
            <w:tcW w:w="3060" w:type="dxa"/>
            <w:vAlign w:val="bottom"/>
          </w:tcPr>
          <w:p>
            <w:pPr>
              <w:ind w:left="2060"/>
              <w:spacing w:after="0"/>
              <w:rPr>
                <w:sz w:val="20"/>
                <w:szCs w:val="20"/>
                <w:color w:val="auto"/>
              </w:rPr>
            </w:pPr>
            <w:r>
              <w:rPr>
                <w:rFonts w:ascii="Arial" w:cs="Arial" w:eastAsia="Arial" w:hAnsi="Arial"/>
                <w:sz w:val="8"/>
                <w:szCs w:val="8"/>
                <w:color w:val="auto"/>
              </w:rPr>
              <w:t>(L + 12.00%) / (1.00%)</w:t>
            </w:r>
          </w:p>
        </w:tc>
        <w:tc>
          <w:tcPr>
            <w:tcW w:w="940" w:type="dxa"/>
            <w:vAlign w:val="bottom"/>
          </w:tcPr>
          <w:p>
            <w:pPr>
              <w:ind w:left="220"/>
              <w:spacing w:after="0"/>
              <w:rPr>
                <w:sz w:val="20"/>
                <w:szCs w:val="20"/>
                <w:color w:val="auto"/>
              </w:rPr>
            </w:pPr>
            <w:r>
              <w:rPr>
                <w:rFonts w:ascii="Arial" w:cs="Arial" w:eastAsia="Arial" w:hAnsi="Arial"/>
                <w:sz w:val="8"/>
                <w:szCs w:val="8"/>
                <w:color w:val="auto"/>
              </w:rPr>
              <w:t>13.00%/0.00%</w:t>
            </w:r>
          </w:p>
        </w:tc>
        <w:tc>
          <w:tcPr>
            <w:tcW w:w="820" w:type="dxa"/>
            <w:vAlign w:val="bottom"/>
          </w:tcPr>
          <w:p>
            <w:pPr>
              <w:ind w:left="220"/>
              <w:spacing w:after="0"/>
              <w:rPr>
                <w:sz w:val="20"/>
                <w:szCs w:val="20"/>
                <w:color w:val="auto"/>
              </w:rPr>
            </w:pPr>
            <w:r>
              <w:rPr>
                <w:rFonts w:ascii="Arial" w:cs="Arial" w:eastAsia="Arial" w:hAnsi="Arial"/>
                <w:sz w:val="8"/>
                <w:szCs w:val="8"/>
                <w:color w:val="auto"/>
              </w:rPr>
              <w:t>4/1/2021</w:t>
            </w:r>
          </w:p>
        </w:tc>
        <w:tc>
          <w:tcPr>
            <w:tcW w:w="980" w:type="dxa"/>
            <w:vAlign w:val="bottom"/>
          </w:tcPr>
          <w:p>
            <w:pPr>
              <w:ind w:left="200"/>
              <w:spacing w:after="0"/>
              <w:rPr>
                <w:sz w:val="20"/>
                <w:szCs w:val="20"/>
                <w:color w:val="auto"/>
              </w:rPr>
            </w:pPr>
            <w:r>
              <w:rPr>
                <w:rFonts w:ascii="Arial" w:cs="Arial" w:eastAsia="Arial" w:hAnsi="Arial"/>
                <w:sz w:val="8"/>
                <w:szCs w:val="8"/>
                <w:color w:val="auto"/>
              </w:rPr>
              <w:t>4/1/2026</w:t>
            </w:r>
          </w:p>
        </w:tc>
        <w:tc>
          <w:tcPr>
            <w:tcW w:w="740" w:type="dxa"/>
            <w:vAlign w:val="bottom"/>
          </w:tcPr>
          <w:p>
            <w:pPr>
              <w:jc w:val="right"/>
              <w:ind w:right="78"/>
              <w:spacing w:after="0"/>
              <w:rPr>
                <w:sz w:val="20"/>
                <w:szCs w:val="20"/>
                <w:color w:val="auto"/>
              </w:rPr>
            </w:pPr>
            <w:r>
              <w:rPr>
                <w:rFonts w:ascii="Arial" w:cs="Arial" w:eastAsia="Arial" w:hAnsi="Arial"/>
                <w:sz w:val="8"/>
                <w:szCs w:val="8"/>
                <w:color w:val="auto"/>
              </w:rPr>
              <w:t>4,000</w:t>
            </w: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3,872</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right"/>
              <w:ind w:right="18"/>
              <w:spacing w:after="0"/>
              <w:rPr>
                <w:sz w:val="20"/>
                <w:szCs w:val="20"/>
                <w:color w:val="auto"/>
              </w:rPr>
            </w:pPr>
            <w:r>
              <w:rPr>
                <w:rFonts w:ascii="Arial" w:cs="Arial" w:eastAsia="Arial" w:hAnsi="Arial"/>
                <w:sz w:val="8"/>
                <w:szCs w:val="8"/>
                <w:color w:val="auto"/>
              </w:rPr>
              <w:t>3,871</w:t>
            </w:r>
          </w:p>
        </w:tc>
        <w:tc>
          <w:tcPr>
            <w:tcW w:w="660" w:type="dxa"/>
            <w:vAlign w:val="bottom"/>
          </w:tcPr>
          <w:p>
            <w:pPr>
              <w:spacing w:after="0"/>
              <w:rPr>
                <w:sz w:val="10"/>
                <w:szCs w:val="10"/>
                <w:color w:val="auto"/>
              </w:rPr>
            </w:pPr>
          </w:p>
        </w:tc>
      </w:tr>
      <w:tr>
        <w:trPr>
          <w:trHeight w:val="153"/>
        </w:trPr>
        <w:tc>
          <w:tcPr>
            <w:tcW w:w="26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8"/>
                <w:szCs w:val="8"/>
                <w:color w:val="auto"/>
              </w:rPr>
              <w:t>First Lien Debt</w:t>
            </w:r>
          </w:p>
        </w:tc>
        <w:tc>
          <w:tcPr>
            <w:tcW w:w="3060" w:type="dxa"/>
            <w:vAlign w:val="bottom"/>
            <w:tcBorders>
              <w:bottom w:val="single" w:sz="8" w:color="CFF0FC"/>
            </w:tcBorders>
            <w:shd w:val="clear" w:color="auto" w:fill="CFF0FC"/>
          </w:tcPr>
          <w:p>
            <w:pPr>
              <w:ind w:left="2060"/>
              <w:spacing w:after="0"/>
              <w:rPr>
                <w:sz w:val="20"/>
                <w:szCs w:val="20"/>
                <w:color w:val="auto"/>
              </w:rPr>
            </w:pPr>
            <w:r>
              <w:rPr>
                <w:rFonts w:ascii="Arial" w:cs="Arial" w:eastAsia="Arial" w:hAnsi="Arial"/>
                <w:sz w:val="8"/>
                <w:szCs w:val="8"/>
                <w:color w:val="auto"/>
              </w:rPr>
              <w:t>(L + 13.00%) / (1.00%)</w:t>
            </w:r>
          </w:p>
        </w:tc>
        <w:tc>
          <w:tcPr>
            <w:tcW w:w="9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8"/>
                <w:szCs w:val="8"/>
                <w:color w:val="auto"/>
              </w:rPr>
              <w:t>14.00%/0.00%</w:t>
            </w:r>
          </w:p>
        </w:tc>
        <w:tc>
          <w:tcPr>
            <w:tcW w:w="8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8"/>
                <w:szCs w:val="8"/>
                <w:color w:val="auto"/>
              </w:rPr>
              <w:t>4/1/2021</w:t>
            </w:r>
          </w:p>
        </w:tc>
        <w:tc>
          <w:tcPr>
            <w:tcW w:w="9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8"/>
                <w:szCs w:val="8"/>
                <w:color w:val="auto"/>
              </w:rPr>
              <w:t>4/1/2026</w:t>
            </w:r>
          </w:p>
        </w:tc>
        <w:tc>
          <w:tcPr>
            <w:tcW w:w="740" w:type="dxa"/>
            <w:vAlign w:val="bottom"/>
            <w:tcBorders>
              <w:bottom w:val="single" w:sz="8" w:color="CFF0FC"/>
            </w:tcBorders>
            <w:shd w:val="clear" w:color="auto" w:fill="CFF0FC"/>
          </w:tcPr>
          <w:p>
            <w:pPr>
              <w:jc w:val="right"/>
              <w:ind w:right="78"/>
              <w:spacing w:after="0"/>
              <w:rPr>
                <w:sz w:val="20"/>
                <w:szCs w:val="20"/>
                <w:color w:val="auto"/>
              </w:rPr>
            </w:pPr>
            <w:r>
              <w:rPr>
                <w:rFonts w:ascii="Arial" w:cs="Arial" w:eastAsia="Arial" w:hAnsi="Arial"/>
                <w:sz w:val="8"/>
                <w:szCs w:val="8"/>
                <w:color w:val="auto"/>
              </w:rPr>
              <w:t>7,000</w:t>
            </w:r>
          </w:p>
        </w:tc>
        <w:tc>
          <w:tcPr>
            <w:tcW w:w="8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6,953</w:t>
            </w:r>
          </w:p>
        </w:tc>
        <w:tc>
          <w:tcPr>
            <w:tcW w:w="10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8"/>
                <w:szCs w:val="8"/>
                <w:color w:val="auto"/>
              </w:rPr>
              <w:t>6,953</w:t>
            </w:r>
          </w:p>
        </w:tc>
        <w:tc>
          <w:tcPr>
            <w:tcW w:w="660" w:type="dxa"/>
            <w:vAlign w:val="bottom"/>
            <w:tcBorders>
              <w:bottom w:val="single" w:sz="8" w:color="CFF0FC"/>
            </w:tcBorders>
            <w:shd w:val="clear" w:color="auto" w:fill="CFF0FC"/>
          </w:tcPr>
          <w:p>
            <w:pPr>
              <w:spacing w:after="0"/>
              <w:rPr>
                <w:sz w:val="13"/>
                <w:szCs w:val="13"/>
                <w:color w:val="auto"/>
              </w:rPr>
            </w:pPr>
          </w:p>
        </w:tc>
      </w:tr>
      <w:tr>
        <w:trPr>
          <w:trHeight w:val="106"/>
        </w:trPr>
        <w:tc>
          <w:tcPr>
            <w:tcW w:w="26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10,825</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jc w:val="right"/>
              <w:ind w:right="18"/>
              <w:spacing w:after="0"/>
              <w:rPr>
                <w:sz w:val="20"/>
                <w:szCs w:val="20"/>
                <w:color w:val="auto"/>
              </w:rPr>
            </w:pPr>
            <w:r>
              <w:rPr>
                <w:rFonts w:ascii="Arial" w:cs="Arial" w:eastAsia="Arial" w:hAnsi="Arial"/>
                <w:sz w:val="8"/>
                <w:szCs w:val="8"/>
                <w:color w:val="auto"/>
              </w:rPr>
              <w:t>10,824</w:t>
            </w:r>
          </w:p>
        </w:tc>
        <w:tc>
          <w:tcPr>
            <w:tcW w:w="660" w:type="dxa"/>
            <w:vAlign w:val="bottom"/>
          </w:tcPr>
          <w:p>
            <w:pPr>
              <w:jc w:val="right"/>
              <w:spacing w:after="0"/>
              <w:rPr>
                <w:sz w:val="20"/>
                <w:szCs w:val="20"/>
                <w:color w:val="auto"/>
              </w:rPr>
            </w:pPr>
            <w:r>
              <w:rPr>
                <w:rFonts w:ascii="Arial" w:cs="Arial" w:eastAsia="Arial" w:hAnsi="Arial"/>
                <w:sz w:val="8"/>
                <w:szCs w:val="8"/>
                <w:color w:val="auto"/>
              </w:rPr>
              <w:t>2 %</w:t>
            </w:r>
          </w:p>
        </w:tc>
      </w:tr>
      <w:tr>
        <w:trPr>
          <w:trHeight w:val="134"/>
        </w:trPr>
        <w:tc>
          <w:tcPr>
            <w:tcW w:w="2620" w:type="dxa"/>
            <w:vAlign w:val="bottom"/>
            <w:shd w:val="clear" w:color="auto" w:fill="CFF0FC"/>
          </w:tcPr>
          <w:p>
            <w:pPr>
              <w:ind w:left="20"/>
              <w:spacing w:after="0"/>
              <w:rPr>
                <w:sz w:val="20"/>
                <w:szCs w:val="20"/>
                <w:color w:val="auto"/>
              </w:rPr>
            </w:pPr>
            <w:r>
              <w:rPr>
                <w:rFonts w:ascii="Arial" w:cs="Arial" w:eastAsia="Arial" w:hAnsi="Arial"/>
                <w:sz w:val="8"/>
                <w:szCs w:val="8"/>
                <w:i w:val="1"/>
                <w:iCs w:val="1"/>
                <w:color w:val="auto"/>
              </w:rPr>
              <w:t>Wonderware Holdings, LLC (dba CORE Business Technologies)</w:t>
            </w:r>
          </w:p>
        </w:tc>
        <w:tc>
          <w:tcPr>
            <w:tcW w:w="3060" w:type="dxa"/>
            <w:vAlign w:val="bottom"/>
            <w:shd w:val="clear" w:color="auto" w:fill="CFF0FC"/>
          </w:tcPr>
          <w:p>
            <w:pPr>
              <w:ind w:left="320"/>
              <w:spacing w:after="0"/>
              <w:rPr>
                <w:sz w:val="20"/>
                <w:szCs w:val="20"/>
                <w:color w:val="auto"/>
              </w:rPr>
            </w:pPr>
            <w:r>
              <w:rPr>
                <w:rFonts w:ascii="Arial" w:cs="Arial" w:eastAsia="Arial" w:hAnsi="Arial"/>
                <w:sz w:val="8"/>
                <w:szCs w:val="8"/>
                <w:color w:val="auto"/>
              </w:rPr>
              <w:t>Information Technology Services</w:t>
            </w: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620" w:type="dxa"/>
            <w:vAlign w:val="bottom"/>
          </w:tcPr>
          <w:p>
            <w:pPr>
              <w:ind w:left="140"/>
              <w:spacing w:after="0"/>
              <w:rPr>
                <w:sz w:val="20"/>
                <w:szCs w:val="20"/>
                <w:color w:val="auto"/>
              </w:rPr>
            </w:pPr>
            <w:r>
              <w:rPr>
                <w:rFonts w:ascii="Arial" w:cs="Arial" w:eastAsia="Arial" w:hAnsi="Arial"/>
                <w:sz w:val="8"/>
                <w:szCs w:val="8"/>
                <w:color w:val="auto"/>
              </w:rPr>
              <w:t>First Lien Debt ($2,000 unfunded commitment) (k)(z)</w:t>
            </w:r>
          </w:p>
        </w:tc>
        <w:tc>
          <w:tcPr>
            <w:tcW w:w="3060" w:type="dxa"/>
            <w:vAlign w:val="bottom"/>
          </w:tcPr>
          <w:p>
            <w:pPr>
              <w:ind w:left="2060"/>
              <w:spacing w:after="0"/>
              <w:rPr>
                <w:sz w:val="20"/>
                <w:szCs w:val="20"/>
                <w:color w:val="auto"/>
              </w:rPr>
            </w:pPr>
            <w:r>
              <w:rPr>
                <w:rFonts w:ascii="Arial" w:cs="Arial" w:eastAsia="Arial" w:hAnsi="Arial"/>
                <w:sz w:val="8"/>
                <w:szCs w:val="8"/>
                <w:color w:val="auto"/>
              </w:rPr>
              <w:t>(L + 7.25%) / (1.00%)</w:t>
            </w:r>
          </w:p>
        </w:tc>
        <w:tc>
          <w:tcPr>
            <w:tcW w:w="940" w:type="dxa"/>
            <w:vAlign w:val="bottom"/>
          </w:tcPr>
          <w:p>
            <w:pPr>
              <w:ind w:left="220"/>
              <w:spacing w:after="0"/>
              <w:rPr>
                <w:sz w:val="20"/>
                <w:szCs w:val="20"/>
                <w:color w:val="auto"/>
              </w:rPr>
            </w:pPr>
            <w:r>
              <w:rPr>
                <w:rFonts w:ascii="Arial" w:cs="Arial" w:eastAsia="Arial" w:hAnsi="Arial"/>
                <w:sz w:val="8"/>
                <w:szCs w:val="8"/>
                <w:color w:val="auto"/>
              </w:rPr>
              <w:t>8.25%/0.00%</w:t>
            </w:r>
          </w:p>
        </w:tc>
        <w:tc>
          <w:tcPr>
            <w:tcW w:w="820" w:type="dxa"/>
            <w:vAlign w:val="bottom"/>
          </w:tcPr>
          <w:p>
            <w:pPr>
              <w:ind w:left="220"/>
              <w:spacing w:after="0"/>
              <w:rPr>
                <w:sz w:val="20"/>
                <w:szCs w:val="20"/>
                <w:color w:val="auto"/>
              </w:rPr>
            </w:pPr>
            <w:r>
              <w:rPr>
                <w:rFonts w:ascii="Arial" w:cs="Arial" w:eastAsia="Arial" w:hAnsi="Arial"/>
                <w:sz w:val="8"/>
                <w:szCs w:val="8"/>
                <w:color w:val="auto"/>
              </w:rPr>
              <w:t>2/10/2021</w:t>
            </w:r>
          </w:p>
        </w:tc>
        <w:tc>
          <w:tcPr>
            <w:tcW w:w="980" w:type="dxa"/>
            <w:vAlign w:val="bottom"/>
          </w:tcPr>
          <w:p>
            <w:pPr>
              <w:ind w:left="200"/>
              <w:spacing w:after="0"/>
              <w:rPr>
                <w:sz w:val="20"/>
                <w:szCs w:val="20"/>
                <w:color w:val="auto"/>
              </w:rPr>
            </w:pPr>
            <w:r>
              <w:rPr>
                <w:rFonts w:ascii="Arial" w:cs="Arial" w:eastAsia="Arial" w:hAnsi="Arial"/>
                <w:sz w:val="8"/>
                <w:szCs w:val="8"/>
                <w:color w:val="auto"/>
              </w:rPr>
              <w:t>2/9/2026</w:t>
            </w:r>
          </w:p>
        </w:tc>
        <w:tc>
          <w:tcPr>
            <w:tcW w:w="740" w:type="dxa"/>
            <w:vAlign w:val="bottom"/>
          </w:tcPr>
          <w:p>
            <w:pPr>
              <w:jc w:val="right"/>
              <w:ind w:right="78"/>
              <w:spacing w:after="0"/>
              <w:rPr>
                <w:sz w:val="20"/>
                <w:szCs w:val="20"/>
                <w:color w:val="auto"/>
              </w:rPr>
            </w:pPr>
            <w:r>
              <w:rPr>
                <w:rFonts w:ascii="Arial" w:cs="Arial" w:eastAsia="Arial" w:hAnsi="Arial"/>
                <w:sz w:val="8"/>
                <w:szCs w:val="8"/>
                <w:color w:val="auto"/>
              </w:rPr>
              <w:t>6,500</w:t>
            </w: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6,458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right"/>
              <w:ind w:right="18"/>
              <w:spacing w:after="0"/>
              <w:rPr>
                <w:sz w:val="20"/>
                <w:szCs w:val="20"/>
                <w:color w:val="auto"/>
              </w:rPr>
            </w:pPr>
            <w:r>
              <w:rPr>
                <w:rFonts w:ascii="Arial" w:cs="Arial" w:eastAsia="Arial" w:hAnsi="Arial"/>
                <w:sz w:val="8"/>
                <w:szCs w:val="8"/>
                <w:color w:val="auto"/>
              </w:rPr>
              <w:t>6,500</w:t>
            </w:r>
          </w:p>
        </w:tc>
        <w:tc>
          <w:tcPr>
            <w:tcW w:w="660" w:type="dxa"/>
            <w:vAlign w:val="bottom"/>
          </w:tcPr>
          <w:p>
            <w:pPr>
              <w:jc w:val="right"/>
              <w:spacing w:after="0"/>
              <w:rPr>
                <w:sz w:val="20"/>
                <w:szCs w:val="20"/>
                <w:color w:val="auto"/>
              </w:rPr>
            </w:pPr>
            <w:r>
              <w:rPr>
                <w:rFonts w:ascii="Arial" w:cs="Arial" w:eastAsia="Arial" w:hAnsi="Arial"/>
                <w:sz w:val="8"/>
                <w:szCs w:val="8"/>
                <w:color w:val="auto"/>
              </w:rPr>
              <w:t>2 %</w:t>
            </w:r>
          </w:p>
        </w:tc>
      </w:tr>
      <w:tr>
        <w:trPr>
          <w:trHeight w:val="134"/>
        </w:trPr>
        <w:tc>
          <w:tcPr>
            <w:tcW w:w="2620" w:type="dxa"/>
            <w:vAlign w:val="bottom"/>
            <w:shd w:val="clear" w:color="auto" w:fill="CFF0FC"/>
          </w:tcPr>
          <w:p>
            <w:pPr>
              <w:spacing w:after="0"/>
              <w:rPr>
                <w:sz w:val="11"/>
                <w:szCs w:val="11"/>
                <w:color w:val="auto"/>
              </w:rPr>
            </w:pPr>
          </w:p>
        </w:tc>
        <w:tc>
          <w:tcPr>
            <w:tcW w:w="30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620" w:type="dxa"/>
            <w:vAlign w:val="bottom"/>
          </w:tcPr>
          <w:p>
            <w:pPr>
              <w:ind w:left="20"/>
              <w:spacing w:after="0"/>
              <w:rPr>
                <w:sz w:val="20"/>
                <w:szCs w:val="20"/>
                <w:color w:val="auto"/>
              </w:rPr>
            </w:pPr>
            <w:r>
              <w:rPr>
                <w:rFonts w:ascii="Arial" w:cs="Arial" w:eastAsia="Arial" w:hAnsi="Arial"/>
                <w:sz w:val="8"/>
                <w:szCs w:val="8"/>
                <w:i w:val="1"/>
                <w:iCs w:val="1"/>
                <w:color w:val="auto"/>
              </w:rPr>
              <w:t>Worldwide Express Operations, LLC</w:t>
            </w:r>
          </w:p>
        </w:tc>
        <w:tc>
          <w:tcPr>
            <w:tcW w:w="3060" w:type="dxa"/>
            <w:vAlign w:val="bottom"/>
          </w:tcPr>
          <w:p>
            <w:pPr>
              <w:ind w:left="320"/>
              <w:spacing w:after="0"/>
              <w:rPr>
                <w:sz w:val="20"/>
                <w:szCs w:val="20"/>
                <w:color w:val="auto"/>
              </w:rPr>
            </w:pPr>
            <w:r>
              <w:rPr>
                <w:rFonts w:ascii="Arial" w:cs="Arial" w:eastAsia="Arial" w:hAnsi="Arial"/>
                <w:sz w:val="8"/>
                <w:szCs w:val="8"/>
                <w:color w:val="auto"/>
              </w:rPr>
              <w:t>Transportation services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4"/>
        </w:trPr>
        <w:tc>
          <w:tcPr>
            <w:tcW w:w="2620" w:type="dxa"/>
            <w:vAlign w:val="bottom"/>
            <w:shd w:val="clear" w:color="auto" w:fill="CFF0FC"/>
          </w:tcPr>
          <w:p>
            <w:pPr>
              <w:ind w:left="140"/>
              <w:spacing w:after="0"/>
              <w:rPr>
                <w:sz w:val="20"/>
                <w:szCs w:val="20"/>
                <w:color w:val="auto"/>
              </w:rPr>
            </w:pPr>
            <w:r>
              <w:rPr>
                <w:rFonts w:ascii="Arial" w:cs="Arial" w:eastAsia="Arial" w:hAnsi="Arial"/>
                <w:sz w:val="8"/>
                <w:szCs w:val="8"/>
                <w:color w:val="auto"/>
              </w:rPr>
              <w:t>Second Lien Debt (j)</w:t>
            </w:r>
          </w:p>
        </w:tc>
        <w:tc>
          <w:tcPr>
            <w:tcW w:w="3060" w:type="dxa"/>
            <w:vAlign w:val="bottom"/>
            <w:shd w:val="clear" w:color="auto" w:fill="CFF0FC"/>
          </w:tcPr>
          <w:p>
            <w:pPr>
              <w:ind w:left="2060"/>
              <w:spacing w:after="0"/>
              <w:rPr>
                <w:sz w:val="20"/>
                <w:szCs w:val="20"/>
                <w:color w:val="auto"/>
              </w:rPr>
            </w:pPr>
            <w:r>
              <w:rPr>
                <w:rFonts w:ascii="Arial" w:cs="Arial" w:eastAsia="Arial" w:hAnsi="Arial"/>
                <w:sz w:val="8"/>
                <w:szCs w:val="8"/>
                <w:color w:val="auto"/>
              </w:rPr>
              <w:t>(L + 7.00%) / (0.75%)</w:t>
            </w:r>
          </w:p>
        </w:tc>
        <w:tc>
          <w:tcPr>
            <w:tcW w:w="940" w:type="dxa"/>
            <w:vAlign w:val="bottom"/>
            <w:shd w:val="clear" w:color="auto" w:fill="CFF0FC"/>
          </w:tcPr>
          <w:p>
            <w:pPr>
              <w:ind w:left="220"/>
              <w:spacing w:after="0"/>
              <w:rPr>
                <w:sz w:val="20"/>
                <w:szCs w:val="20"/>
                <w:color w:val="auto"/>
              </w:rPr>
            </w:pPr>
            <w:r>
              <w:rPr>
                <w:rFonts w:ascii="Arial" w:cs="Arial" w:eastAsia="Arial" w:hAnsi="Arial"/>
                <w:sz w:val="8"/>
                <w:szCs w:val="8"/>
                <w:color w:val="auto"/>
              </w:rPr>
              <w:t>7.75%/0.00%</w:t>
            </w:r>
          </w:p>
        </w:tc>
        <w:tc>
          <w:tcPr>
            <w:tcW w:w="820" w:type="dxa"/>
            <w:vAlign w:val="bottom"/>
            <w:shd w:val="clear" w:color="auto" w:fill="CFF0FC"/>
          </w:tcPr>
          <w:p>
            <w:pPr>
              <w:ind w:left="220"/>
              <w:spacing w:after="0"/>
              <w:rPr>
                <w:sz w:val="20"/>
                <w:szCs w:val="20"/>
                <w:color w:val="auto"/>
              </w:rPr>
            </w:pPr>
            <w:r>
              <w:rPr>
                <w:rFonts w:ascii="Arial" w:cs="Arial" w:eastAsia="Arial" w:hAnsi="Arial"/>
                <w:sz w:val="8"/>
                <w:szCs w:val="8"/>
                <w:color w:val="auto"/>
              </w:rPr>
              <w:t>8/2/2021</w:t>
            </w:r>
          </w:p>
        </w:tc>
        <w:tc>
          <w:tcPr>
            <w:tcW w:w="980" w:type="dxa"/>
            <w:vAlign w:val="bottom"/>
            <w:shd w:val="clear" w:color="auto" w:fill="CFF0FC"/>
          </w:tcPr>
          <w:p>
            <w:pPr>
              <w:ind w:left="200"/>
              <w:spacing w:after="0"/>
              <w:rPr>
                <w:sz w:val="20"/>
                <w:szCs w:val="20"/>
                <w:color w:val="auto"/>
              </w:rPr>
            </w:pPr>
            <w:r>
              <w:rPr>
                <w:rFonts w:ascii="Arial" w:cs="Arial" w:eastAsia="Arial" w:hAnsi="Arial"/>
                <w:sz w:val="8"/>
                <w:szCs w:val="8"/>
                <w:color w:val="auto"/>
              </w:rPr>
              <w:t>7/26/2029</w:t>
            </w:r>
          </w:p>
        </w:tc>
        <w:tc>
          <w:tcPr>
            <w:tcW w:w="740" w:type="dxa"/>
            <w:vAlign w:val="bottom"/>
            <w:shd w:val="clear" w:color="auto" w:fill="CFF0FC"/>
          </w:tcPr>
          <w:p>
            <w:pPr>
              <w:jc w:val="right"/>
              <w:ind w:right="78"/>
              <w:spacing w:after="0"/>
              <w:rPr>
                <w:sz w:val="20"/>
                <w:szCs w:val="20"/>
                <w:color w:val="auto"/>
              </w:rPr>
            </w:pPr>
            <w:r>
              <w:rPr>
                <w:rFonts w:ascii="Arial" w:cs="Arial" w:eastAsia="Arial" w:hAnsi="Arial"/>
                <w:sz w:val="8"/>
                <w:szCs w:val="8"/>
                <w:color w:val="auto"/>
              </w:rPr>
              <w:t>20,000</w:t>
            </w: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8"/>
                <w:szCs w:val="8"/>
                <w:color w:val="auto"/>
              </w:rPr>
              <w:t>19,363</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6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19,363</w:t>
            </w:r>
          </w:p>
        </w:tc>
        <w:tc>
          <w:tcPr>
            <w:tcW w:w="660" w:type="dxa"/>
            <w:vAlign w:val="bottom"/>
            <w:shd w:val="clear" w:color="auto" w:fill="CFF0FC"/>
          </w:tcPr>
          <w:p>
            <w:pPr>
              <w:spacing w:after="0"/>
              <w:rPr>
                <w:sz w:val="11"/>
                <w:szCs w:val="11"/>
                <w:color w:val="auto"/>
              </w:rPr>
            </w:pPr>
          </w:p>
        </w:tc>
      </w:tr>
      <w:tr>
        <w:trPr>
          <w:trHeight w:val="120"/>
        </w:trPr>
        <w:tc>
          <w:tcPr>
            <w:tcW w:w="2620" w:type="dxa"/>
            <w:vAlign w:val="bottom"/>
          </w:tcPr>
          <w:p>
            <w:pPr>
              <w:ind w:left="140"/>
              <w:spacing w:after="0"/>
              <w:rPr>
                <w:sz w:val="20"/>
                <w:szCs w:val="20"/>
                <w:color w:val="auto"/>
              </w:rPr>
            </w:pPr>
            <w:r>
              <w:rPr>
                <w:rFonts w:ascii="Arial" w:cs="Arial" w:eastAsia="Arial" w:hAnsi="Arial"/>
                <w:sz w:val="8"/>
                <w:szCs w:val="8"/>
                <w:color w:val="auto"/>
              </w:rPr>
              <w:t>Common Equity (795,000) (j)</w:t>
            </w:r>
          </w:p>
        </w:tc>
        <w:tc>
          <w:tcPr>
            <w:tcW w:w="3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Arial" w:cs="Arial" w:eastAsia="Arial" w:hAnsi="Arial"/>
                <w:sz w:val="8"/>
                <w:szCs w:val="8"/>
                <w:color w:val="auto"/>
              </w:rPr>
              <w:t>7/21/2021</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795</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right"/>
              <w:ind w:right="18"/>
              <w:spacing w:after="0"/>
              <w:rPr>
                <w:sz w:val="20"/>
                <w:szCs w:val="20"/>
                <w:color w:val="auto"/>
              </w:rPr>
            </w:pPr>
            <w:r>
              <w:rPr>
                <w:rFonts w:ascii="Arial" w:cs="Arial" w:eastAsia="Arial" w:hAnsi="Arial"/>
                <w:sz w:val="8"/>
                <w:szCs w:val="8"/>
                <w:color w:val="auto"/>
              </w:rPr>
              <w:t>795</w:t>
            </w:r>
          </w:p>
        </w:tc>
        <w:tc>
          <w:tcPr>
            <w:tcW w:w="660" w:type="dxa"/>
            <w:vAlign w:val="bottom"/>
          </w:tcPr>
          <w:p>
            <w:pPr>
              <w:spacing w:after="0"/>
              <w:rPr>
                <w:sz w:val="10"/>
                <w:szCs w:val="10"/>
                <w:color w:val="auto"/>
              </w:rPr>
            </w:pPr>
          </w:p>
        </w:tc>
      </w:tr>
      <w:tr>
        <w:trPr>
          <w:trHeight w:val="133"/>
        </w:trPr>
        <w:tc>
          <w:tcPr>
            <w:tcW w:w="26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8"/>
                <w:szCs w:val="8"/>
                <w:color w:val="auto"/>
              </w:rPr>
              <w:t>Common Equity (752,380 units) (h)(j)</w:t>
            </w:r>
          </w:p>
        </w:tc>
        <w:tc>
          <w:tcPr>
            <w:tcW w:w="306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8"/>
                <w:szCs w:val="8"/>
                <w:color w:val="auto"/>
              </w:rPr>
              <w:t>7/26/2021</w:t>
            </w:r>
          </w:p>
        </w:tc>
        <w:tc>
          <w:tcPr>
            <w:tcW w:w="98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225</w:t>
            </w:r>
          </w:p>
        </w:tc>
        <w:tc>
          <w:tcPr>
            <w:tcW w:w="10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spacing w:after="0"/>
              <w:rPr>
                <w:sz w:val="11"/>
                <w:szCs w:val="11"/>
                <w:color w:val="auto"/>
              </w:rPr>
            </w:pPr>
          </w:p>
        </w:tc>
        <w:tc>
          <w:tcPr>
            <w:tcW w:w="46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8"/>
                <w:szCs w:val="8"/>
                <w:color w:val="auto"/>
              </w:rPr>
              <w:t>225</w:t>
            </w:r>
          </w:p>
        </w:tc>
        <w:tc>
          <w:tcPr>
            <w:tcW w:w="660" w:type="dxa"/>
            <w:vAlign w:val="bottom"/>
            <w:tcBorders>
              <w:bottom w:val="single" w:sz="8" w:color="CFF0FC"/>
            </w:tcBorders>
            <w:shd w:val="clear" w:color="auto" w:fill="CFF0FC"/>
          </w:tcPr>
          <w:p>
            <w:pPr>
              <w:spacing w:after="0"/>
              <w:rPr>
                <w:sz w:val="11"/>
                <w:szCs w:val="11"/>
                <w:color w:val="auto"/>
              </w:rPr>
            </w:pPr>
          </w:p>
        </w:tc>
      </w:tr>
      <w:tr>
        <w:trPr>
          <w:trHeight w:val="113"/>
        </w:trPr>
        <w:tc>
          <w:tcPr>
            <w:tcW w:w="26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20,383</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jc w:val="right"/>
              <w:ind w:right="18"/>
              <w:spacing w:after="0"/>
              <w:rPr>
                <w:sz w:val="20"/>
                <w:szCs w:val="20"/>
                <w:color w:val="auto"/>
              </w:rPr>
            </w:pPr>
            <w:r>
              <w:rPr>
                <w:rFonts w:ascii="Arial" w:cs="Arial" w:eastAsia="Arial" w:hAnsi="Arial"/>
                <w:sz w:val="8"/>
                <w:szCs w:val="8"/>
                <w:color w:val="auto"/>
              </w:rPr>
              <w:t>20,383</w:t>
            </w:r>
          </w:p>
        </w:tc>
        <w:tc>
          <w:tcPr>
            <w:tcW w:w="660" w:type="dxa"/>
            <w:vAlign w:val="bottom"/>
          </w:tcPr>
          <w:p>
            <w:pPr>
              <w:jc w:val="right"/>
              <w:spacing w:after="0"/>
              <w:rPr>
                <w:sz w:val="20"/>
                <w:szCs w:val="20"/>
                <w:color w:val="auto"/>
              </w:rPr>
            </w:pPr>
            <w:r>
              <w:rPr>
                <w:rFonts w:ascii="Arial" w:cs="Arial" w:eastAsia="Arial" w:hAnsi="Arial"/>
                <w:sz w:val="8"/>
                <w:szCs w:val="8"/>
                <w:color w:val="auto"/>
              </w:rPr>
              <w:t>5 %</w:t>
            </w:r>
          </w:p>
        </w:tc>
      </w:tr>
      <w:tr>
        <w:trPr>
          <w:trHeight w:val="134"/>
        </w:trPr>
        <w:tc>
          <w:tcPr>
            <w:tcW w:w="2620" w:type="dxa"/>
            <w:vAlign w:val="bottom"/>
            <w:shd w:val="clear" w:color="auto" w:fill="CFF0FC"/>
          </w:tcPr>
          <w:p>
            <w:pPr>
              <w:ind w:left="20"/>
              <w:spacing w:after="0"/>
              <w:rPr>
                <w:sz w:val="20"/>
                <w:szCs w:val="20"/>
                <w:color w:val="auto"/>
              </w:rPr>
            </w:pPr>
            <w:r>
              <w:rPr>
                <w:rFonts w:ascii="Arial" w:cs="Arial" w:eastAsia="Arial" w:hAnsi="Arial"/>
                <w:sz w:val="8"/>
                <w:szCs w:val="8"/>
                <w:i w:val="1"/>
                <w:iCs w:val="1"/>
                <w:color w:val="auto"/>
              </w:rPr>
              <w:t>Xeeva, Inc.</w:t>
            </w:r>
          </w:p>
        </w:tc>
        <w:tc>
          <w:tcPr>
            <w:tcW w:w="3060" w:type="dxa"/>
            <w:vAlign w:val="bottom"/>
            <w:shd w:val="clear" w:color="auto" w:fill="CFF0FC"/>
          </w:tcPr>
          <w:p>
            <w:pPr>
              <w:ind w:left="320"/>
              <w:spacing w:after="0"/>
              <w:rPr>
                <w:sz w:val="20"/>
                <w:szCs w:val="20"/>
                <w:color w:val="auto"/>
              </w:rPr>
            </w:pPr>
            <w:r>
              <w:rPr>
                <w:rFonts w:ascii="Arial" w:cs="Arial" w:eastAsia="Arial" w:hAnsi="Arial"/>
                <w:sz w:val="8"/>
                <w:szCs w:val="8"/>
                <w:color w:val="auto"/>
              </w:rPr>
              <w:t>Information Technology Services</w:t>
            </w:r>
          </w:p>
        </w:tc>
        <w:tc>
          <w:tcPr>
            <w:tcW w:w="9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20"/>
        </w:trPr>
        <w:tc>
          <w:tcPr>
            <w:tcW w:w="2620" w:type="dxa"/>
            <w:vAlign w:val="bottom"/>
          </w:tcPr>
          <w:p>
            <w:pPr>
              <w:ind w:left="140"/>
              <w:spacing w:after="0"/>
              <w:rPr>
                <w:sz w:val="20"/>
                <w:szCs w:val="20"/>
                <w:color w:val="auto"/>
              </w:rPr>
            </w:pPr>
            <w:r>
              <w:rPr>
                <w:rFonts w:ascii="Arial" w:cs="Arial" w:eastAsia="Arial" w:hAnsi="Arial"/>
                <w:sz w:val="8"/>
                <w:szCs w:val="8"/>
                <w:color w:val="auto"/>
              </w:rPr>
              <w:t>First Lien Debt (j)</w:t>
            </w:r>
          </w:p>
        </w:tc>
        <w:tc>
          <w:tcPr>
            <w:tcW w:w="3060" w:type="dxa"/>
            <w:vAlign w:val="bottom"/>
          </w:tcPr>
          <w:p>
            <w:pPr>
              <w:ind w:left="2060"/>
              <w:spacing w:after="0"/>
              <w:rPr>
                <w:sz w:val="20"/>
                <w:szCs w:val="20"/>
                <w:color w:val="auto"/>
              </w:rPr>
            </w:pPr>
            <w:r>
              <w:rPr>
                <w:rFonts w:ascii="Arial" w:cs="Arial" w:eastAsia="Arial" w:hAnsi="Arial"/>
                <w:sz w:val="8"/>
                <w:szCs w:val="8"/>
                <w:color w:val="auto"/>
              </w:rPr>
              <w:t>(L + 10.50%) / (1.50%)</w:t>
            </w:r>
          </w:p>
        </w:tc>
        <w:tc>
          <w:tcPr>
            <w:tcW w:w="940" w:type="dxa"/>
            <w:vAlign w:val="bottom"/>
          </w:tcPr>
          <w:p>
            <w:pPr>
              <w:ind w:left="220"/>
              <w:spacing w:after="0"/>
              <w:rPr>
                <w:sz w:val="20"/>
                <w:szCs w:val="20"/>
                <w:color w:val="auto"/>
              </w:rPr>
            </w:pPr>
            <w:r>
              <w:rPr>
                <w:rFonts w:ascii="Arial" w:cs="Arial" w:eastAsia="Arial" w:hAnsi="Arial"/>
                <w:sz w:val="8"/>
                <w:szCs w:val="8"/>
                <w:color w:val="auto"/>
              </w:rPr>
              <w:t>12.00%/0.00%</w:t>
            </w:r>
          </w:p>
        </w:tc>
        <w:tc>
          <w:tcPr>
            <w:tcW w:w="820" w:type="dxa"/>
            <w:vAlign w:val="bottom"/>
          </w:tcPr>
          <w:p>
            <w:pPr>
              <w:ind w:left="220"/>
              <w:spacing w:after="0"/>
              <w:rPr>
                <w:sz w:val="20"/>
                <w:szCs w:val="20"/>
                <w:color w:val="auto"/>
              </w:rPr>
            </w:pPr>
            <w:r>
              <w:rPr>
                <w:rFonts w:ascii="Arial" w:cs="Arial" w:eastAsia="Arial" w:hAnsi="Arial"/>
                <w:sz w:val="8"/>
                <w:szCs w:val="8"/>
                <w:color w:val="auto"/>
              </w:rPr>
              <w:t>2/11/2021</w:t>
            </w:r>
          </w:p>
        </w:tc>
        <w:tc>
          <w:tcPr>
            <w:tcW w:w="980" w:type="dxa"/>
            <w:vAlign w:val="bottom"/>
          </w:tcPr>
          <w:p>
            <w:pPr>
              <w:ind w:left="200"/>
              <w:spacing w:after="0"/>
              <w:rPr>
                <w:sz w:val="20"/>
                <w:szCs w:val="20"/>
                <w:color w:val="auto"/>
              </w:rPr>
            </w:pPr>
            <w:r>
              <w:rPr>
                <w:rFonts w:ascii="Arial" w:cs="Arial" w:eastAsia="Arial" w:hAnsi="Arial"/>
                <w:sz w:val="8"/>
                <w:szCs w:val="8"/>
                <w:color w:val="auto"/>
              </w:rPr>
              <w:t>2/11/2026</w:t>
            </w:r>
          </w:p>
        </w:tc>
        <w:tc>
          <w:tcPr>
            <w:tcW w:w="740" w:type="dxa"/>
            <w:vAlign w:val="bottom"/>
          </w:tcPr>
          <w:p>
            <w:pPr>
              <w:jc w:val="right"/>
              <w:ind w:right="78"/>
              <w:spacing w:after="0"/>
              <w:rPr>
                <w:sz w:val="20"/>
                <w:szCs w:val="20"/>
                <w:color w:val="auto"/>
              </w:rPr>
            </w:pPr>
            <w:r>
              <w:rPr>
                <w:rFonts w:ascii="Arial" w:cs="Arial" w:eastAsia="Arial" w:hAnsi="Arial"/>
                <w:sz w:val="8"/>
                <w:szCs w:val="8"/>
                <w:color w:val="auto"/>
              </w:rPr>
              <w:t>8,900</w:t>
            </w: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8,854</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right"/>
              <w:ind w:right="18"/>
              <w:spacing w:after="0"/>
              <w:rPr>
                <w:sz w:val="20"/>
                <w:szCs w:val="20"/>
                <w:color w:val="auto"/>
              </w:rPr>
            </w:pPr>
            <w:r>
              <w:rPr>
                <w:rFonts w:ascii="Arial" w:cs="Arial" w:eastAsia="Arial" w:hAnsi="Arial"/>
                <w:sz w:val="8"/>
                <w:szCs w:val="8"/>
                <w:color w:val="auto"/>
              </w:rPr>
              <w:t>8,900</w:t>
            </w:r>
          </w:p>
        </w:tc>
        <w:tc>
          <w:tcPr>
            <w:tcW w:w="660" w:type="dxa"/>
            <w:vAlign w:val="bottom"/>
          </w:tcPr>
          <w:p>
            <w:pPr>
              <w:jc w:val="right"/>
              <w:spacing w:after="0"/>
              <w:rPr>
                <w:sz w:val="20"/>
                <w:szCs w:val="20"/>
                <w:color w:val="auto"/>
              </w:rPr>
            </w:pPr>
            <w:r>
              <w:rPr>
                <w:rFonts w:ascii="Arial" w:cs="Arial" w:eastAsia="Arial" w:hAnsi="Arial"/>
                <w:sz w:val="8"/>
                <w:szCs w:val="8"/>
                <w:color w:val="auto"/>
              </w:rPr>
              <w:t>2 %</w:t>
            </w:r>
          </w:p>
        </w:tc>
      </w:tr>
      <w:tr>
        <w:trPr>
          <w:trHeight w:val="134"/>
        </w:trPr>
        <w:tc>
          <w:tcPr>
            <w:tcW w:w="2620" w:type="dxa"/>
            <w:vAlign w:val="bottom"/>
            <w:tcBorders>
              <w:bottom w:val="single" w:sz="8" w:color="CFF0FC"/>
            </w:tcBorders>
            <w:shd w:val="clear" w:color="auto" w:fill="CFF0FC"/>
          </w:tcPr>
          <w:p>
            <w:pPr>
              <w:spacing w:after="0"/>
              <w:rPr>
                <w:sz w:val="11"/>
                <w:szCs w:val="11"/>
                <w:color w:val="auto"/>
              </w:rPr>
            </w:pPr>
          </w:p>
        </w:tc>
        <w:tc>
          <w:tcPr>
            <w:tcW w:w="306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spacing w:after="0"/>
              <w:rPr>
                <w:sz w:val="11"/>
                <w:szCs w:val="11"/>
                <w:color w:val="auto"/>
              </w:rPr>
            </w:pPr>
          </w:p>
        </w:tc>
        <w:tc>
          <w:tcPr>
            <w:tcW w:w="46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r>
      <w:tr>
        <w:trPr>
          <w:trHeight w:val="119"/>
        </w:trPr>
        <w:tc>
          <w:tcPr>
            <w:tcW w:w="2620" w:type="dxa"/>
            <w:vAlign w:val="bottom"/>
          </w:tcPr>
          <w:p>
            <w:pPr>
              <w:ind w:left="20"/>
              <w:spacing w:after="0"/>
              <w:rPr>
                <w:sz w:val="20"/>
                <w:szCs w:val="20"/>
                <w:color w:val="auto"/>
              </w:rPr>
            </w:pPr>
            <w:r>
              <w:rPr>
                <w:rFonts w:ascii="Arial" w:cs="Arial" w:eastAsia="Arial" w:hAnsi="Arial"/>
                <w:sz w:val="8"/>
                <w:szCs w:val="8"/>
                <w:b w:val="1"/>
                <w:bCs w:val="1"/>
                <w:color w:val="auto"/>
              </w:rPr>
              <w:t>Total Non-control/Non-affiliate Investments</w:t>
            </w:r>
          </w:p>
        </w:tc>
        <w:tc>
          <w:tcPr>
            <w:tcW w:w="3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w w:val="88"/>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545,353</w:t>
            </w:r>
          </w:p>
        </w:tc>
        <w:tc>
          <w:tcPr>
            <w:tcW w:w="100" w:type="dxa"/>
            <w:vAlign w:val="bottom"/>
          </w:tcPr>
          <w:p>
            <w:pPr>
              <w:spacing w:after="0"/>
              <w:rPr>
                <w:sz w:val="10"/>
                <w:szCs w:val="10"/>
                <w:color w:val="auto"/>
              </w:rPr>
            </w:pPr>
          </w:p>
        </w:tc>
        <w:tc>
          <w:tcPr>
            <w:tcW w:w="200" w:type="dxa"/>
            <w:vAlign w:val="bottom"/>
            <w:tcBorders>
              <w:bottom w:val="single" w:sz="8" w:color="auto"/>
            </w:tcBorders>
          </w:tcPr>
          <w:p>
            <w:pPr>
              <w:jc w:val="right"/>
              <w:ind w:right="98"/>
              <w:spacing w:after="0"/>
              <w:rPr>
                <w:sz w:val="20"/>
                <w:szCs w:val="20"/>
                <w:color w:val="auto"/>
              </w:rPr>
            </w:pPr>
            <w:r>
              <w:rPr>
                <w:rFonts w:ascii="Arial" w:cs="Arial" w:eastAsia="Arial" w:hAnsi="Arial"/>
                <w:sz w:val="8"/>
                <w:szCs w:val="8"/>
                <w:color w:val="auto"/>
                <w:w w:val="88"/>
              </w:rPr>
              <w:t>$</w:t>
            </w:r>
          </w:p>
        </w:tc>
        <w:tc>
          <w:tcPr>
            <w:tcW w:w="4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568,787</w:t>
            </w:r>
          </w:p>
        </w:tc>
        <w:tc>
          <w:tcPr>
            <w:tcW w:w="660" w:type="dxa"/>
            <w:vAlign w:val="bottom"/>
          </w:tcPr>
          <w:p>
            <w:pPr>
              <w:jc w:val="right"/>
              <w:spacing w:after="0"/>
              <w:rPr>
                <w:sz w:val="20"/>
                <w:szCs w:val="20"/>
                <w:color w:val="auto"/>
              </w:rPr>
            </w:pPr>
            <w:r>
              <w:rPr>
                <w:rFonts w:ascii="Arial" w:cs="Arial" w:eastAsia="Arial" w:hAnsi="Arial"/>
                <w:sz w:val="8"/>
                <w:szCs w:val="8"/>
                <w:color w:val="auto"/>
              </w:rPr>
              <w:t>127 %</w:t>
            </w:r>
          </w:p>
        </w:tc>
      </w:tr>
      <w:tr>
        <w:trPr>
          <w:trHeight w:val="20"/>
        </w:trPr>
        <w:tc>
          <w:tcPr>
            <w:tcW w:w="26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05"/>
        </w:trPr>
        <w:tc>
          <w:tcPr>
            <w:tcW w:w="2620" w:type="dxa"/>
            <w:vAlign w:val="bottom"/>
            <w:tcBorders>
              <w:bottom w:val="single" w:sz="8" w:color="CFF0FC"/>
            </w:tcBorders>
            <w:shd w:val="clear" w:color="auto" w:fill="CFF0FC"/>
          </w:tcPr>
          <w:p>
            <w:pPr>
              <w:spacing w:after="0"/>
              <w:rPr>
                <w:sz w:val="9"/>
                <w:szCs w:val="9"/>
                <w:color w:val="auto"/>
              </w:rPr>
            </w:pPr>
          </w:p>
        </w:tc>
        <w:tc>
          <w:tcPr>
            <w:tcW w:w="3060" w:type="dxa"/>
            <w:vAlign w:val="bottom"/>
            <w:tcBorders>
              <w:bottom w:val="single" w:sz="8" w:color="CFF0FC"/>
            </w:tcBorders>
            <w:shd w:val="clear" w:color="auto" w:fill="CFF0FC"/>
          </w:tcPr>
          <w:p>
            <w:pPr>
              <w:spacing w:after="0"/>
              <w:rPr>
                <w:sz w:val="9"/>
                <w:szCs w:val="9"/>
                <w:color w:val="auto"/>
              </w:rPr>
            </w:pPr>
          </w:p>
        </w:tc>
        <w:tc>
          <w:tcPr>
            <w:tcW w:w="940" w:type="dxa"/>
            <w:vAlign w:val="bottom"/>
            <w:tcBorders>
              <w:bottom w:val="single" w:sz="8" w:color="CFF0FC"/>
            </w:tcBorders>
            <w:shd w:val="clear" w:color="auto" w:fill="CFF0FC"/>
          </w:tcPr>
          <w:p>
            <w:pPr>
              <w:spacing w:after="0"/>
              <w:rPr>
                <w:sz w:val="9"/>
                <w:szCs w:val="9"/>
                <w:color w:val="auto"/>
              </w:rPr>
            </w:pPr>
          </w:p>
        </w:tc>
        <w:tc>
          <w:tcPr>
            <w:tcW w:w="820" w:type="dxa"/>
            <w:vAlign w:val="bottom"/>
            <w:tcBorders>
              <w:bottom w:val="single" w:sz="8" w:color="CFF0FC"/>
            </w:tcBorders>
            <w:shd w:val="clear" w:color="auto" w:fill="CFF0FC"/>
          </w:tcPr>
          <w:p>
            <w:pPr>
              <w:spacing w:after="0"/>
              <w:rPr>
                <w:sz w:val="9"/>
                <w:szCs w:val="9"/>
                <w:color w:val="auto"/>
              </w:rPr>
            </w:pPr>
          </w:p>
        </w:tc>
        <w:tc>
          <w:tcPr>
            <w:tcW w:w="98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auto"/>
            </w:tcBorders>
            <w:shd w:val="clear" w:color="auto" w:fill="CFF0FC"/>
          </w:tcPr>
          <w:p>
            <w:pPr>
              <w:spacing w:after="0"/>
              <w:rPr>
                <w:sz w:val="9"/>
                <w:szCs w:val="9"/>
                <w:color w:val="auto"/>
              </w:rPr>
            </w:pPr>
          </w:p>
        </w:tc>
        <w:tc>
          <w:tcPr>
            <w:tcW w:w="580" w:type="dxa"/>
            <w:vAlign w:val="bottom"/>
            <w:tcBorders>
              <w:bottom w:val="single" w:sz="8" w:color="auto"/>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200" w:type="dxa"/>
            <w:vAlign w:val="bottom"/>
            <w:tcBorders>
              <w:bottom w:val="single" w:sz="8" w:color="auto"/>
            </w:tcBorders>
            <w:shd w:val="clear" w:color="auto" w:fill="CFF0FC"/>
          </w:tcPr>
          <w:p>
            <w:pPr>
              <w:spacing w:after="0"/>
              <w:rPr>
                <w:sz w:val="9"/>
                <w:szCs w:val="9"/>
                <w:color w:val="auto"/>
              </w:rPr>
            </w:pPr>
          </w:p>
        </w:tc>
        <w:tc>
          <w:tcPr>
            <w:tcW w:w="460" w:type="dxa"/>
            <w:vAlign w:val="bottom"/>
            <w:tcBorders>
              <w:bottom w:val="single" w:sz="8" w:color="auto"/>
            </w:tcBorders>
            <w:shd w:val="clear" w:color="auto" w:fill="CFF0FC"/>
          </w:tcPr>
          <w:p>
            <w:pPr>
              <w:spacing w:after="0"/>
              <w:rPr>
                <w:sz w:val="9"/>
                <w:szCs w:val="9"/>
                <w:color w:val="auto"/>
              </w:rPr>
            </w:pPr>
          </w:p>
        </w:tc>
        <w:tc>
          <w:tcPr>
            <w:tcW w:w="660" w:type="dxa"/>
            <w:vAlign w:val="bottom"/>
            <w:tcBorders>
              <w:bottom w:val="single" w:sz="8" w:color="CFF0FC"/>
            </w:tcBorders>
            <w:shd w:val="clear" w:color="auto" w:fill="CFF0FC"/>
          </w:tcPr>
          <w:p>
            <w:pPr>
              <w:spacing w:after="0"/>
              <w:rPr>
                <w:sz w:val="9"/>
                <w:szCs w:val="9"/>
                <w:color w:val="auto"/>
              </w:rPr>
            </w:pPr>
          </w:p>
        </w:tc>
      </w:tr>
      <w:tr>
        <w:trPr>
          <w:trHeight w:val="119"/>
        </w:trPr>
        <w:tc>
          <w:tcPr>
            <w:tcW w:w="2620" w:type="dxa"/>
            <w:vAlign w:val="bottom"/>
          </w:tcPr>
          <w:p>
            <w:pPr>
              <w:ind w:left="20"/>
              <w:spacing w:after="0"/>
              <w:rPr>
                <w:sz w:val="20"/>
                <w:szCs w:val="20"/>
                <w:color w:val="auto"/>
              </w:rPr>
            </w:pPr>
            <w:r>
              <w:rPr>
                <w:rFonts w:ascii="Arial" w:cs="Arial" w:eastAsia="Arial" w:hAnsi="Arial"/>
                <w:sz w:val="8"/>
                <w:szCs w:val="8"/>
                <w:b w:val="1"/>
                <w:bCs w:val="1"/>
                <w:color w:val="auto"/>
              </w:rPr>
              <w:t>Total Investments</w:t>
            </w:r>
          </w:p>
        </w:tc>
        <w:tc>
          <w:tcPr>
            <w:tcW w:w="3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20" w:type="dxa"/>
            <w:vAlign w:val="bottom"/>
            <w:gridSpan w:val="2"/>
          </w:tcPr>
          <w:p>
            <w:pPr>
              <w:jc w:val="right"/>
              <w:spacing w:after="0"/>
              <w:rPr>
                <w:sz w:val="20"/>
                <w:szCs w:val="20"/>
                <w:color w:val="auto"/>
              </w:rPr>
            </w:pPr>
            <w:r>
              <w:rPr>
                <w:rFonts w:ascii="Arial" w:cs="Arial" w:eastAsia="Arial" w:hAnsi="Arial"/>
                <w:sz w:val="8"/>
                <w:szCs w:val="8"/>
                <w:color w:val="auto"/>
              </w:rPr>
              <w:t>$</w:t>
            </w:r>
          </w:p>
        </w:tc>
        <w:tc>
          <w:tcPr>
            <w:tcW w:w="580" w:type="dxa"/>
            <w:vAlign w:val="bottom"/>
          </w:tcPr>
          <w:p>
            <w:pPr>
              <w:jc w:val="right"/>
              <w:spacing w:after="0"/>
              <w:rPr>
                <w:sz w:val="20"/>
                <w:szCs w:val="20"/>
                <w:color w:val="auto"/>
              </w:rPr>
            </w:pPr>
            <w:r>
              <w:rPr>
                <w:rFonts w:ascii="Arial" w:cs="Arial" w:eastAsia="Arial" w:hAnsi="Arial"/>
                <w:sz w:val="8"/>
                <w:szCs w:val="8"/>
                <w:color w:val="auto"/>
              </w:rPr>
              <w:t>631,263</w:t>
            </w:r>
          </w:p>
        </w:tc>
        <w:tc>
          <w:tcPr>
            <w:tcW w:w="300" w:type="dxa"/>
            <w:vAlign w:val="bottom"/>
            <w:gridSpan w:val="2"/>
          </w:tcPr>
          <w:p>
            <w:pPr>
              <w:jc w:val="right"/>
              <w:ind w:right="98"/>
              <w:spacing w:after="0"/>
              <w:rPr>
                <w:sz w:val="20"/>
                <w:szCs w:val="20"/>
                <w:color w:val="auto"/>
              </w:rPr>
            </w:pPr>
            <w:r>
              <w:rPr>
                <w:rFonts w:ascii="Arial" w:cs="Arial" w:eastAsia="Arial" w:hAnsi="Arial"/>
                <w:sz w:val="8"/>
                <w:szCs w:val="8"/>
                <w:color w:val="auto"/>
              </w:rPr>
              <w:t>$</w:t>
            </w:r>
          </w:p>
        </w:tc>
        <w:tc>
          <w:tcPr>
            <w:tcW w:w="460" w:type="dxa"/>
            <w:vAlign w:val="bottom"/>
          </w:tcPr>
          <w:p>
            <w:pPr>
              <w:jc w:val="right"/>
              <w:ind w:right="18"/>
              <w:spacing w:after="0"/>
              <w:rPr>
                <w:sz w:val="20"/>
                <w:szCs w:val="20"/>
                <w:color w:val="auto"/>
              </w:rPr>
            </w:pPr>
            <w:r>
              <w:rPr>
                <w:rFonts w:ascii="Arial" w:cs="Arial" w:eastAsia="Arial" w:hAnsi="Arial"/>
                <w:sz w:val="8"/>
                <w:szCs w:val="8"/>
                <w:color w:val="auto"/>
              </w:rPr>
              <w:t>719,124</w:t>
            </w:r>
          </w:p>
        </w:tc>
        <w:tc>
          <w:tcPr>
            <w:tcW w:w="660" w:type="dxa"/>
            <w:vAlign w:val="bottom"/>
          </w:tcPr>
          <w:p>
            <w:pPr>
              <w:jc w:val="right"/>
              <w:spacing w:after="0"/>
              <w:rPr>
                <w:sz w:val="20"/>
                <w:szCs w:val="20"/>
                <w:color w:val="auto"/>
              </w:rPr>
            </w:pPr>
            <w:r>
              <w:rPr>
                <w:rFonts w:ascii="Arial" w:cs="Arial" w:eastAsia="Arial" w:hAnsi="Arial"/>
                <w:sz w:val="8"/>
                <w:szCs w:val="8"/>
                <w:color w:val="auto"/>
              </w:rPr>
              <w:t>161 %</w:t>
            </w:r>
          </w:p>
        </w:tc>
      </w:tr>
      <w:tr>
        <w:trPr>
          <w:trHeight w:val="20"/>
        </w:trPr>
        <w:tc>
          <w:tcPr>
            <w:tcW w:w="26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6240145</wp:posOffset>
            </wp:positionH>
            <wp:positionV relativeFrom="paragraph">
              <wp:posOffset>-7008495</wp:posOffset>
            </wp:positionV>
            <wp:extent cx="56515" cy="50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15" cy="5080"/>
                    </a:xfrm>
                    <a:prstGeom prst="rect">
                      <a:avLst/>
                    </a:prstGeom>
                    <a:noFill/>
                  </pic:spPr>
                </pic:pic>
              </a:graphicData>
            </a:graphic>
          </wp:anchor>
        </w:drawing>
        <w:drawing>
          <wp:anchor simplePos="0" relativeHeight="251657728" behindDoc="1" locked="0" layoutInCell="0" allowOverlap="1">
            <wp:simplePos x="0" y="0"/>
            <wp:positionH relativeFrom="column">
              <wp:posOffset>6715125</wp:posOffset>
            </wp:positionH>
            <wp:positionV relativeFrom="paragraph">
              <wp:posOffset>-7008495</wp:posOffset>
            </wp:positionV>
            <wp:extent cx="354330" cy="50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54330" cy="5080"/>
                    </a:xfrm>
                    <a:prstGeom prst="rect">
                      <a:avLst/>
                    </a:prstGeom>
                    <a:noFill/>
                  </pic:spPr>
                </pic:pic>
              </a:graphicData>
            </a:graphic>
          </wp:anchor>
        </w:drawing>
        <w:drawing>
          <wp:anchor simplePos="0" relativeHeight="251657728" behindDoc="1" locked="0" layoutInCell="0" allowOverlap="1">
            <wp:simplePos x="0" y="0"/>
            <wp:positionH relativeFrom="column">
              <wp:posOffset>6240145</wp:posOffset>
            </wp:positionH>
            <wp:positionV relativeFrom="paragraph">
              <wp:posOffset>-6517640</wp:posOffset>
            </wp:positionV>
            <wp:extent cx="56515" cy="50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15" cy="5080"/>
                    </a:xfrm>
                    <a:prstGeom prst="rect">
                      <a:avLst/>
                    </a:prstGeom>
                    <a:noFill/>
                  </pic:spPr>
                </pic:pic>
              </a:graphicData>
            </a:graphic>
          </wp:anchor>
        </w:drawing>
        <w:drawing>
          <wp:anchor simplePos="0" relativeHeight="251657728" behindDoc="1" locked="0" layoutInCell="0" allowOverlap="1">
            <wp:simplePos x="0" y="0"/>
            <wp:positionH relativeFrom="column">
              <wp:posOffset>6715125</wp:posOffset>
            </wp:positionH>
            <wp:positionV relativeFrom="paragraph">
              <wp:posOffset>-6517640</wp:posOffset>
            </wp:positionV>
            <wp:extent cx="354330" cy="50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54330" cy="5080"/>
                    </a:xfrm>
                    <a:prstGeom prst="rect">
                      <a:avLst/>
                    </a:prstGeom>
                    <a:noFill/>
                  </pic:spPr>
                </pic:pic>
              </a:graphicData>
            </a:graphic>
          </wp:anchor>
        </w:drawing>
        <w:drawing>
          <wp:anchor simplePos="0" relativeHeight="251657728" behindDoc="1" locked="0" layoutInCell="0" allowOverlap="1">
            <wp:simplePos x="0" y="0"/>
            <wp:positionH relativeFrom="column">
              <wp:posOffset>6240145</wp:posOffset>
            </wp:positionH>
            <wp:positionV relativeFrom="paragraph">
              <wp:posOffset>-6187440</wp:posOffset>
            </wp:positionV>
            <wp:extent cx="56515" cy="50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15" cy="5080"/>
                    </a:xfrm>
                    <a:prstGeom prst="rect">
                      <a:avLst/>
                    </a:prstGeom>
                    <a:noFill/>
                  </pic:spPr>
                </pic:pic>
              </a:graphicData>
            </a:graphic>
          </wp:anchor>
        </w:drawing>
        <w:drawing>
          <wp:anchor simplePos="0" relativeHeight="251657728" behindDoc="1" locked="0" layoutInCell="0" allowOverlap="1">
            <wp:simplePos x="0" y="0"/>
            <wp:positionH relativeFrom="column">
              <wp:posOffset>6715125</wp:posOffset>
            </wp:positionH>
            <wp:positionV relativeFrom="paragraph">
              <wp:posOffset>-6187440</wp:posOffset>
            </wp:positionV>
            <wp:extent cx="354330" cy="50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54330" cy="5080"/>
                    </a:xfrm>
                    <a:prstGeom prst="rect">
                      <a:avLst/>
                    </a:prstGeom>
                    <a:noFill/>
                  </pic:spPr>
                </pic:pic>
              </a:graphicData>
            </a:graphic>
          </wp:anchor>
        </w:drawing>
        <w:drawing>
          <wp:anchor simplePos="0" relativeHeight="251657728" behindDoc="1" locked="0" layoutInCell="0" allowOverlap="1">
            <wp:simplePos x="0" y="0"/>
            <wp:positionH relativeFrom="column">
              <wp:posOffset>6240145</wp:posOffset>
            </wp:positionH>
            <wp:positionV relativeFrom="paragraph">
              <wp:posOffset>-5857240</wp:posOffset>
            </wp:positionV>
            <wp:extent cx="56515" cy="50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15" cy="5080"/>
                    </a:xfrm>
                    <a:prstGeom prst="rect">
                      <a:avLst/>
                    </a:prstGeom>
                    <a:noFill/>
                  </pic:spPr>
                </pic:pic>
              </a:graphicData>
            </a:graphic>
          </wp:anchor>
        </w:drawing>
        <w:drawing>
          <wp:anchor simplePos="0" relativeHeight="251657728" behindDoc="1" locked="0" layoutInCell="0" allowOverlap="1">
            <wp:simplePos x="0" y="0"/>
            <wp:positionH relativeFrom="column">
              <wp:posOffset>6715125</wp:posOffset>
            </wp:positionH>
            <wp:positionV relativeFrom="paragraph">
              <wp:posOffset>-5857240</wp:posOffset>
            </wp:positionV>
            <wp:extent cx="354330" cy="50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54330" cy="5080"/>
                    </a:xfrm>
                    <a:prstGeom prst="rect">
                      <a:avLst/>
                    </a:prstGeom>
                    <a:noFill/>
                  </pic:spPr>
                </pic:pic>
              </a:graphicData>
            </a:graphic>
          </wp:anchor>
        </w:drawing>
        <w:drawing>
          <wp:anchor simplePos="0" relativeHeight="251657728" behindDoc="1" locked="0" layoutInCell="0" allowOverlap="1">
            <wp:simplePos x="0" y="0"/>
            <wp:positionH relativeFrom="column">
              <wp:posOffset>6240145</wp:posOffset>
            </wp:positionH>
            <wp:positionV relativeFrom="paragraph">
              <wp:posOffset>-3900805</wp:posOffset>
            </wp:positionV>
            <wp:extent cx="56515" cy="50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15" cy="5080"/>
                    </a:xfrm>
                    <a:prstGeom prst="rect">
                      <a:avLst/>
                    </a:prstGeom>
                    <a:noFill/>
                  </pic:spPr>
                </pic:pic>
              </a:graphicData>
            </a:graphic>
          </wp:anchor>
        </w:drawing>
        <w:drawing>
          <wp:anchor simplePos="0" relativeHeight="251657728" behindDoc="1" locked="0" layoutInCell="0" allowOverlap="1">
            <wp:simplePos x="0" y="0"/>
            <wp:positionH relativeFrom="column">
              <wp:posOffset>6715125</wp:posOffset>
            </wp:positionH>
            <wp:positionV relativeFrom="paragraph">
              <wp:posOffset>-3900805</wp:posOffset>
            </wp:positionV>
            <wp:extent cx="354330" cy="50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54330" cy="5080"/>
                    </a:xfrm>
                    <a:prstGeom prst="rect">
                      <a:avLst/>
                    </a:prstGeom>
                    <a:noFill/>
                  </pic:spPr>
                </pic:pic>
              </a:graphicData>
            </a:graphic>
          </wp:anchor>
        </w:drawing>
        <w:drawing>
          <wp:anchor simplePos="0" relativeHeight="251657728" behindDoc="1" locked="0" layoutInCell="0" allowOverlap="1">
            <wp:simplePos x="0" y="0"/>
            <wp:positionH relativeFrom="column">
              <wp:posOffset>6240145</wp:posOffset>
            </wp:positionH>
            <wp:positionV relativeFrom="paragraph">
              <wp:posOffset>-1292860</wp:posOffset>
            </wp:positionV>
            <wp:extent cx="56515" cy="50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15" cy="5080"/>
                    </a:xfrm>
                    <a:prstGeom prst="rect">
                      <a:avLst/>
                    </a:prstGeom>
                    <a:noFill/>
                  </pic:spPr>
                </pic:pic>
              </a:graphicData>
            </a:graphic>
          </wp:anchor>
        </w:drawing>
        <w:drawing>
          <wp:anchor simplePos="0" relativeHeight="251657728" behindDoc="1" locked="0" layoutInCell="0" allowOverlap="1">
            <wp:simplePos x="0" y="0"/>
            <wp:positionH relativeFrom="column">
              <wp:posOffset>6715125</wp:posOffset>
            </wp:positionH>
            <wp:positionV relativeFrom="paragraph">
              <wp:posOffset>-1292860</wp:posOffset>
            </wp:positionV>
            <wp:extent cx="354330" cy="50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54330" cy="5080"/>
                    </a:xfrm>
                    <a:prstGeom prst="rect">
                      <a:avLst/>
                    </a:prstGeom>
                    <a:noFill/>
                  </pic:spPr>
                </pic:pic>
              </a:graphicData>
            </a:graphic>
          </wp:anchor>
        </w:drawing>
        <w:drawing>
          <wp:anchor simplePos="0" relativeHeight="251657728" behindDoc="1" locked="0" layoutInCell="0" allowOverlap="1">
            <wp:simplePos x="0" y="0"/>
            <wp:positionH relativeFrom="column">
              <wp:posOffset>6240145</wp:posOffset>
            </wp:positionH>
            <wp:positionV relativeFrom="paragraph">
              <wp:posOffset>-632460</wp:posOffset>
            </wp:positionV>
            <wp:extent cx="56515" cy="50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515" cy="5080"/>
                    </a:xfrm>
                    <a:prstGeom prst="rect">
                      <a:avLst/>
                    </a:prstGeom>
                    <a:noFill/>
                  </pic:spPr>
                </pic:pic>
              </a:graphicData>
            </a:graphic>
          </wp:anchor>
        </w:drawing>
        <w:drawing>
          <wp:anchor simplePos="0" relativeHeight="251657728" behindDoc="1" locked="0" layoutInCell="0" allowOverlap="1">
            <wp:simplePos x="0" y="0"/>
            <wp:positionH relativeFrom="column">
              <wp:posOffset>6715125</wp:posOffset>
            </wp:positionH>
            <wp:positionV relativeFrom="paragraph">
              <wp:posOffset>-632460</wp:posOffset>
            </wp:positionV>
            <wp:extent cx="354330" cy="50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54330" cy="5080"/>
                    </a:xfrm>
                    <a:prstGeom prst="rect">
                      <a:avLst/>
                    </a:prstGeom>
                    <a:noFill/>
                  </pic:spPr>
                </pic:pic>
              </a:graphicData>
            </a:graphic>
          </wp:anchor>
        </w:drawing>
        <w:drawing>
          <wp:anchor simplePos="0" relativeHeight="251657728" behindDoc="1" locked="0" layoutInCell="0" allowOverlap="1">
            <wp:simplePos x="0" y="0"/>
            <wp:positionH relativeFrom="column">
              <wp:posOffset>6240145</wp:posOffset>
            </wp:positionH>
            <wp:positionV relativeFrom="paragraph">
              <wp:posOffset>-302260</wp:posOffset>
            </wp:positionV>
            <wp:extent cx="56515" cy="50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515" cy="5080"/>
                    </a:xfrm>
                    <a:prstGeom prst="rect">
                      <a:avLst/>
                    </a:prstGeom>
                    <a:noFill/>
                  </pic:spPr>
                </pic:pic>
              </a:graphicData>
            </a:graphic>
          </wp:anchor>
        </w:drawing>
        <w:drawing>
          <wp:anchor simplePos="0" relativeHeight="251657728" behindDoc="1" locked="0" layoutInCell="0" allowOverlap="1">
            <wp:simplePos x="0" y="0"/>
            <wp:positionH relativeFrom="column">
              <wp:posOffset>6715125</wp:posOffset>
            </wp:positionH>
            <wp:positionV relativeFrom="paragraph">
              <wp:posOffset>-302260</wp:posOffset>
            </wp:positionV>
            <wp:extent cx="354330" cy="50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54330" cy="5080"/>
                    </a:xfrm>
                    <a:prstGeom prst="rect">
                      <a:avLst/>
                    </a:prstGeom>
                    <a:noFill/>
                  </pic:spPr>
                </pic:pic>
              </a:graphicData>
            </a:graphic>
          </wp:anchor>
        </w:drawing>
        <w:drawing>
          <wp:anchor simplePos="0" relativeHeight="251657728" behindDoc="1" locked="0" layoutInCell="0" allowOverlap="1">
            <wp:simplePos x="0" y="0"/>
            <wp:positionH relativeFrom="column">
              <wp:posOffset>6240145</wp:posOffset>
            </wp:positionH>
            <wp:positionV relativeFrom="paragraph">
              <wp:posOffset>-109220</wp:posOffset>
            </wp:positionV>
            <wp:extent cx="56515" cy="50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515" cy="5080"/>
                    </a:xfrm>
                    <a:prstGeom prst="rect">
                      <a:avLst/>
                    </a:prstGeom>
                    <a:noFill/>
                  </pic:spPr>
                </pic:pic>
              </a:graphicData>
            </a:graphic>
          </wp:anchor>
        </w:drawing>
        <w:drawing>
          <wp:anchor simplePos="0" relativeHeight="251657728" behindDoc="1" locked="0" layoutInCell="0" allowOverlap="1">
            <wp:simplePos x="0" y="0"/>
            <wp:positionH relativeFrom="column">
              <wp:posOffset>6715125</wp:posOffset>
            </wp:positionH>
            <wp:positionV relativeFrom="paragraph">
              <wp:posOffset>-109220</wp:posOffset>
            </wp:positionV>
            <wp:extent cx="354330" cy="50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54330" cy="5080"/>
                    </a:xfrm>
                    <a:prstGeom prst="rect">
                      <a:avLst/>
                    </a:prstGeom>
                    <a:noFill/>
                  </pic:spPr>
                </pic:pic>
              </a:graphicData>
            </a:graphic>
          </wp:anchor>
        </w:drawing>
      </w:r>
    </w:p>
    <w:p>
      <w:pPr>
        <w:spacing w:after="0" w:line="304" w:lineRule="exact"/>
        <w:rPr>
          <w:sz w:val="20"/>
          <w:szCs w:val="20"/>
          <w:color w:val="auto"/>
        </w:rPr>
      </w:pPr>
    </w:p>
    <w:p>
      <w:pPr>
        <w:ind w:left="180" w:hanging="179"/>
        <w:spacing w:after="0"/>
        <w:tabs>
          <w:tab w:leader="none" w:pos="180" w:val="left"/>
        </w:tabs>
        <w:numPr>
          <w:ilvl w:val="0"/>
          <w:numId w:val="3"/>
        </w:numPr>
        <w:rPr>
          <w:rFonts w:ascii="Arial" w:cs="Arial" w:eastAsia="Arial" w:hAnsi="Arial"/>
          <w:sz w:val="14"/>
          <w:szCs w:val="14"/>
          <w:color w:val="auto"/>
        </w:rPr>
      </w:pPr>
      <w:r>
        <w:rPr>
          <w:rFonts w:ascii="Arial" w:cs="Arial" w:eastAsia="Arial" w:hAnsi="Arial"/>
          <w:sz w:val="14"/>
          <w:szCs w:val="14"/>
          <w:color w:val="auto"/>
        </w:rPr>
        <w:t>See Note 3 to the consolidated financial statements for portfolio composition by geographic location.</w:t>
      </w:r>
    </w:p>
    <w:p>
      <w:pPr>
        <w:spacing w:after="0" w:line="168" w:lineRule="exact"/>
        <w:rPr>
          <w:rFonts w:ascii="Arial" w:cs="Arial" w:eastAsia="Arial" w:hAnsi="Arial"/>
          <w:sz w:val="14"/>
          <w:szCs w:val="14"/>
          <w:color w:val="auto"/>
        </w:rPr>
      </w:pPr>
    </w:p>
    <w:p>
      <w:pPr>
        <w:ind w:left="200" w:hanging="199"/>
        <w:spacing w:after="0"/>
        <w:tabs>
          <w:tab w:leader="none" w:pos="200" w:val="left"/>
        </w:tabs>
        <w:numPr>
          <w:ilvl w:val="0"/>
          <w:numId w:val="3"/>
        </w:numPr>
        <w:rPr>
          <w:rFonts w:ascii="Arial" w:cs="Arial" w:eastAsia="Arial" w:hAnsi="Arial"/>
          <w:sz w:val="14"/>
          <w:szCs w:val="14"/>
          <w:color w:val="auto"/>
        </w:rPr>
      </w:pPr>
      <w:r>
        <w:rPr>
          <w:rFonts w:ascii="Arial" w:cs="Arial" w:eastAsia="Arial" w:hAnsi="Arial"/>
          <w:sz w:val="14"/>
          <w:szCs w:val="14"/>
          <w:color w:val="auto"/>
        </w:rPr>
        <w:t>Equity ownership may be held in shares or units of companies related to the portfolio companies.</w:t>
      </w:r>
    </w:p>
    <w:p>
      <w:pPr>
        <w:spacing w:after="0" w:line="168" w:lineRule="exact"/>
        <w:rPr>
          <w:rFonts w:ascii="Arial" w:cs="Arial" w:eastAsia="Arial" w:hAnsi="Arial"/>
          <w:sz w:val="14"/>
          <w:szCs w:val="14"/>
          <w:color w:val="auto"/>
        </w:rPr>
      </w:pPr>
    </w:p>
    <w:p>
      <w:pPr>
        <w:ind w:left="180" w:hanging="179"/>
        <w:spacing w:after="0"/>
        <w:tabs>
          <w:tab w:leader="none" w:pos="180" w:val="left"/>
        </w:tabs>
        <w:numPr>
          <w:ilvl w:val="0"/>
          <w:numId w:val="3"/>
        </w:numPr>
        <w:rPr>
          <w:rFonts w:ascii="Arial" w:cs="Arial" w:eastAsia="Arial" w:hAnsi="Arial"/>
          <w:sz w:val="14"/>
          <w:szCs w:val="14"/>
          <w:color w:val="auto"/>
        </w:rPr>
      </w:pPr>
      <w:r>
        <w:rPr>
          <w:rFonts w:ascii="Arial" w:cs="Arial" w:eastAsia="Arial" w:hAnsi="Arial"/>
          <w:sz w:val="14"/>
          <w:szCs w:val="14"/>
          <w:color w:val="auto"/>
        </w:rPr>
        <w:t>All debt investments are income producing, unless otherwise indicated. Equity investments are non-income producing unless otherwise noted.</w:t>
      </w:r>
    </w:p>
    <w:p>
      <w:pPr>
        <w:spacing w:after="0" w:line="168" w:lineRule="exact"/>
        <w:rPr>
          <w:rFonts w:ascii="Arial" w:cs="Arial" w:eastAsia="Arial" w:hAnsi="Arial"/>
          <w:sz w:val="14"/>
          <w:szCs w:val="14"/>
          <w:color w:val="auto"/>
        </w:rPr>
      </w:pPr>
    </w:p>
    <w:p>
      <w:pPr>
        <w:ind w:firstLine="1"/>
        <w:spacing w:after="0" w:line="262" w:lineRule="auto"/>
        <w:tabs>
          <w:tab w:leader="none" w:pos="196" w:val="left"/>
        </w:tabs>
        <w:numPr>
          <w:ilvl w:val="0"/>
          <w:numId w:val="3"/>
        </w:numPr>
        <w:rPr>
          <w:rFonts w:ascii="Arial" w:cs="Arial" w:eastAsia="Arial" w:hAnsi="Arial"/>
          <w:sz w:val="14"/>
          <w:szCs w:val="14"/>
          <w:color w:val="auto"/>
        </w:rPr>
      </w:pPr>
      <w:r>
        <w:rPr>
          <w:rFonts w:ascii="Arial" w:cs="Arial" w:eastAsia="Arial" w:hAnsi="Arial"/>
          <w:sz w:val="14"/>
          <w:szCs w:val="14"/>
          <w:color w:val="auto"/>
        </w:rPr>
        <w:t>Variable rate investments bear interest at a rate indexed to LIBOR (L), which is reset monthly, bimonthly, quarterly, or semi-annually. Certain variable rate investments also include a LIBOR interest rate floor. For each investment, the Company has provided the spread over the reference rate and the LIBOR floor, if any, as of September 30, 2021.</w:t>
      </w:r>
    </w:p>
    <w:p>
      <w:pPr>
        <w:spacing w:after="0" w:line="142" w:lineRule="exact"/>
        <w:rPr>
          <w:rFonts w:ascii="Arial" w:cs="Arial" w:eastAsia="Arial" w:hAnsi="Arial"/>
          <w:sz w:val="14"/>
          <w:szCs w:val="14"/>
          <w:color w:val="auto"/>
        </w:rPr>
      </w:pPr>
    </w:p>
    <w:p>
      <w:pPr>
        <w:ind w:left="180" w:hanging="179"/>
        <w:spacing w:after="0"/>
        <w:tabs>
          <w:tab w:leader="none" w:pos="180" w:val="left"/>
        </w:tabs>
        <w:numPr>
          <w:ilvl w:val="0"/>
          <w:numId w:val="3"/>
        </w:numPr>
        <w:rPr>
          <w:rFonts w:ascii="Arial" w:cs="Arial" w:eastAsia="Arial" w:hAnsi="Arial"/>
          <w:sz w:val="12"/>
          <w:szCs w:val="12"/>
          <w:color w:val="auto"/>
        </w:rPr>
      </w:pPr>
      <w:r>
        <w:rPr>
          <w:rFonts w:ascii="Arial" w:cs="Arial" w:eastAsia="Arial" w:hAnsi="Arial"/>
          <w:sz w:val="12"/>
          <w:szCs w:val="12"/>
          <w:color w:val="auto"/>
        </w:rPr>
        <w:t>Rate includes the cash interest or dividend rate and paid-in-kind interest or dividend rate, if any, as of September 30, 2021. Generally, payment-in-kind interest can be paid-in-kind or all in cash.</w:t>
      </w:r>
    </w:p>
    <w:p>
      <w:pPr>
        <w:spacing w:after="0" w:line="191" w:lineRule="exact"/>
        <w:rPr>
          <w:rFonts w:ascii="Arial" w:cs="Arial" w:eastAsia="Arial" w:hAnsi="Arial"/>
          <w:sz w:val="12"/>
          <w:szCs w:val="12"/>
          <w:color w:val="auto"/>
        </w:rPr>
      </w:pPr>
    </w:p>
    <w:p>
      <w:pPr>
        <w:ind w:left="180" w:hanging="179"/>
        <w:spacing w:after="0"/>
        <w:tabs>
          <w:tab w:leader="none" w:pos="18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Investment date represents the date of the initial investment in the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5975" cy="412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color w:val="auto"/>
        </w:rPr>
        <w:t>security.</w:t>
      </w:r>
    </w:p>
    <w:p>
      <w:pPr>
        <w:spacing w:after="0" w:line="169" w:lineRule="exact"/>
        <w:rPr>
          <w:sz w:val="20"/>
          <w:szCs w:val="20"/>
          <w:color w:val="auto"/>
        </w:rPr>
      </w:pPr>
    </w:p>
    <w:p>
      <w:pPr>
        <w:ind w:firstLine="1"/>
        <w:spacing w:after="0" w:line="346" w:lineRule="auto"/>
        <w:tabs>
          <w:tab w:leader="none" w:pos="195"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spacing w:after="0" w:line="96" w:lineRule="exact"/>
        <w:rPr>
          <w:rFonts w:ascii="Arial" w:cs="Arial" w:eastAsia="Arial" w:hAnsi="Arial"/>
          <w:sz w:val="12"/>
          <w:szCs w:val="12"/>
          <w:color w:val="auto"/>
        </w:rPr>
      </w:pPr>
    </w:p>
    <w:p>
      <w:pPr>
        <w:ind w:left="200" w:hanging="199"/>
        <w:spacing w:after="0"/>
        <w:tabs>
          <w:tab w:leader="none" w:pos="20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Investment is held by a taxable subsidiary of the Company.</w:t>
      </w:r>
    </w:p>
    <w:p>
      <w:pPr>
        <w:spacing w:after="0" w:line="168" w:lineRule="exact"/>
        <w:rPr>
          <w:rFonts w:ascii="Arial" w:cs="Arial" w:eastAsia="Arial" w:hAnsi="Arial"/>
          <w:sz w:val="14"/>
          <w:szCs w:val="14"/>
          <w:color w:val="auto"/>
        </w:rPr>
      </w:pPr>
    </w:p>
    <w:p>
      <w:pPr>
        <w:ind w:firstLine="1"/>
        <w:spacing w:after="0" w:line="262" w:lineRule="auto"/>
        <w:tabs>
          <w:tab w:leader="none" w:pos="173"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disclosed commitment represents the unfunded amount as of September 30, 2021. The Company is earning 0.50% interest on the unfunded balance of the commitment. The interest rate disclosed represents the rate which will be earned if the commitment is funded.</w:t>
      </w:r>
    </w:p>
    <w:p>
      <w:pPr>
        <w:spacing w:after="0" w:line="142" w:lineRule="exact"/>
        <w:rPr>
          <w:rFonts w:ascii="Arial" w:cs="Arial" w:eastAsia="Arial" w:hAnsi="Arial"/>
          <w:sz w:val="14"/>
          <w:szCs w:val="14"/>
          <w:color w:val="auto"/>
        </w:rPr>
      </w:pPr>
    </w:p>
    <w:p>
      <w:pPr>
        <w:ind w:firstLine="1"/>
        <w:spacing w:after="0" w:line="262" w:lineRule="auto"/>
        <w:tabs>
          <w:tab w:leader="none" w:pos="177" w:val="left"/>
        </w:tabs>
        <w:numPr>
          <w:ilvl w:val="0"/>
          <w:numId w:val="4"/>
        </w:numPr>
        <w:rPr>
          <w:rFonts w:ascii="Arial" w:cs="Arial" w:eastAsia="Arial" w:hAnsi="Arial"/>
          <w:sz w:val="14"/>
          <w:szCs w:val="14"/>
          <w:color w:val="auto"/>
        </w:rPr>
      </w:pPr>
      <w:r>
        <w:rPr>
          <w:rFonts w:ascii="Arial" w:cs="Arial" w:eastAsia="Arial" w:hAnsi="Arial"/>
          <w:sz w:val="14"/>
          <w:szCs w:val="14"/>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pacing w:after="0" w:line="142" w:lineRule="exact"/>
        <w:rPr>
          <w:rFonts w:ascii="Arial" w:cs="Arial" w:eastAsia="Arial" w:hAnsi="Arial"/>
          <w:sz w:val="14"/>
          <w:szCs w:val="14"/>
          <w:color w:val="auto"/>
        </w:rPr>
      </w:pPr>
    </w:p>
    <w:p>
      <w:pPr>
        <w:ind w:firstLine="1"/>
        <w:spacing w:after="0" w:line="262" w:lineRule="auto"/>
        <w:tabs>
          <w:tab w:leader="none" w:pos="194"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pacing w:after="0" w:line="142" w:lineRule="exact"/>
        <w:rPr>
          <w:rFonts w:ascii="Arial" w:cs="Arial" w:eastAsia="Arial" w:hAnsi="Arial"/>
          <w:sz w:val="14"/>
          <w:szCs w:val="14"/>
          <w:color w:val="auto"/>
        </w:rPr>
      </w:pPr>
    </w:p>
    <w:p>
      <w:pPr>
        <w:ind w:firstLine="1"/>
        <w:spacing w:after="0" w:line="346" w:lineRule="auto"/>
        <w:tabs>
          <w:tab w:leader="none" w:pos="162" w:val="left"/>
        </w:tabs>
        <w:numPr>
          <w:ilvl w:val="0"/>
          <w:numId w:val="4"/>
        </w:numPr>
        <w:rPr>
          <w:rFonts w:ascii="Arial" w:cs="Arial" w:eastAsia="Arial" w:hAnsi="Arial"/>
          <w:sz w:val="12"/>
          <w:szCs w:val="12"/>
          <w:color w:val="auto"/>
        </w:rPr>
      </w:pPr>
      <w:r>
        <w:rPr>
          <w:rFonts w:ascii="Arial" w:cs="Arial" w:eastAsia="Arial" w:hAnsi="Arial"/>
          <w:sz w:val="12"/>
          <w:szCs w:val="12"/>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spacing w:after="0" w:line="96" w:lineRule="exact"/>
        <w:rPr>
          <w:rFonts w:ascii="Arial" w:cs="Arial" w:eastAsia="Arial" w:hAnsi="Arial"/>
          <w:sz w:val="12"/>
          <w:szCs w:val="12"/>
          <w:color w:val="auto"/>
        </w:rPr>
      </w:pPr>
    </w:p>
    <w:p>
      <w:pPr>
        <w:ind w:firstLine="1"/>
        <w:spacing w:after="0" w:line="262" w:lineRule="auto"/>
        <w:tabs>
          <w:tab w:leader="none" w:pos="230" w:val="left"/>
        </w:tabs>
        <w:numPr>
          <w:ilvl w:val="0"/>
          <w:numId w:val="4"/>
        </w:numPr>
        <w:rPr>
          <w:rFonts w:ascii="Arial" w:cs="Arial" w:eastAsia="Arial" w:hAnsi="Arial"/>
          <w:sz w:val="14"/>
          <w:szCs w:val="14"/>
          <w:color w:val="auto"/>
        </w:rPr>
      </w:pPr>
      <w:r>
        <w:rPr>
          <w:rFonts w:ascii="Arial" w:cs="Arial" w:eastAsia="Arial" w:hAnsi="Arial"/>
          <w:sz w:val="14"/>
          <w:szCs w:val="14"/>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spacing w:after="0" w:line="142" w:lineRule="exact"/>
        <w:rPr>
          <w:rFonts w:ascii="Arial" w:cs="Arial" w:eastAsia="Arial" w:hAnsi="Arial"/>
          <w:sz w:val="14"/>
          <w:szCs w:val="14"/>
          <w:color w:val="auto"/>
        </w:rPr>
      </w:pPr>
    </w:p>
    <w:p>
      <w:pPr>
        <w:ind w:left="200" w:hanging="199"/>
        <w:spacing w:after="0"/>
        <w:tabs>
          <w:tab w:leader="none" w:pos="20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Investment in portfolio company that has sold its operations and is in the process of winding down.</w:t>
      </w:r>
    </w:p>
    <w:p>
      <w:pPr>
        <w:spacing w:after="0" w:line="168" w:lineRule="exact"/>
        <w:rPr>
          <w:rFonts w:ascii="Arial" w:cs="Arial" w:eastAsia="Arial" w:hAnsi="Arial"/>
          <w:sz w:val="14"/>
          <w:szCs w:val="14"/>
          <w:color w:val="auto"/>
        </w:rPr>
      </w:pPr>
    </w:p>
    <w:p>
      <w:pPr>
        <w:ind w:firstLine="1"/>
        <w:spacing w:after="0" w:line="346" w:lineRule="auto"/>
        <w:tabs>
          <w:tab w:leader="none" w:pos="193"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Company sold a participating interest of approximately $0.3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spacing w:after="0" w:line="96" w:lineRule="exact"/>
        <w:rPr>
          <w:rFonts w:ascii="Arial" w:cs="Arial" w:eastAsia="Arial" w:hAnsi="Arial"/>
          <w:sz w:val="12"/>
          <w:szCs w:val="12"/>
          <w:color w:val="auto"/>
        </w:rPr>
      </w:pPr>
    </w:p>
    <w:p>
      <w:pPr>
        <w:jc w:val="both"/>
        <w:ind w:firstLine="1"/>
        <w:spacing w:after="0" w:line="254" w:lineRule="auto"/>
        <w:tabs>
          <w:tab w:leader="none" w:pos="207"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3.64%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48" w:lineRule="exact"/>
        <w:rPr>
          <w:rFonts w:ascii="Arial" w:cs="Arial" w:eastAsia="Arial" w:hAnsi="Arial"/>
          <w:sz w:val="14"/>
          <w:szCs w:val="14"/>
          <w:color w:val="auto"/>
        </w:rPr>
      </w:pPr>
    </w:p>
    <w:p>
      <w:pPr>
        <w:ind w:left="200" w:hanging="199"/>
        <w:spacing w:after="0"/>
        <w:tabs>
          <w:tab w:leader="none" w:pos="200" w:val="left"/>
        </w:tabs>
        <w:numPr>
          <w:ilvl w:val="0"/>
          <w:numId w:val="4"/>
        </w:numPr>
        <w:rPr>
          <w:rFonts w:ascii="Arial" w:cs="Arial" w:eastAsia="Arial" w:hAnsi="Arial"/>
          <w:sz w:val="14"/>
          <w:szCs w:val="14"/>
          <w:color w:val="auto"/>
        </w:rPr>
      </w:pPr>
      <w:r>
        <w:rPr>
          <w:rFonts w:ascii="Arial" w:cs="Arial" w:eastAsia="Arial" w:hAnsi="Arial"/>
          <w:sz w:val="14"/>
          <w:szCs w:val="14"/>
          <w:color w:val="auto"/>
        </w:rPr>
        <w:t>Warrant entitles the Company to purchase 4.79% of the outstanding principal of Junior Subordinated Notes prior to exercise, and is non-income producing.</w:t>
      </w:r>
    </w:p>
    <w:p>
      <w:pPr>
        <w:spacing w:after="0" w:line="168" w:lineRule="exact"/>
        <w:rPr>
          <w:rFonts w:ascii="Arial" w:cs="Arial" w:eastAsia="Arial" w:hAnsi="Arial"/>
          <w:sz w:val="14"/>
          <w:szCs w:val="14"/>
          <w:color w:val="auto"/>
        </w:rPr>
      </w:pPr>
    </w:p>
    <w:p>
      <w:pPr>
        <w:jc w:val="both"/>
        <w:ind w:firstLine="1"/>
        <w:spacing w:after="0" w:line="254" w:lineRule="auto"/>
        <w:tabs>
          <w:tab w:leader="none" w:pos="185"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4.59%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48" w:lineRule="exact"/>
        <w:rPr>
          <w:rFonts w:ascii="Arial" w:cs="Arial" w:eastAsia="Arial" w:hAnsi="Arial"/>
          <w:sz w:val="14"/>
          <w:szCs w:val="14"/>
          <w:color w:val="auto"/>
        </w:rPr>
      </w:pPr>
    </w:p>
    <w:p>
      <w:pPr>
        <w:jc w:val="both"/>
        <w:ind w:firstLine="1"/>
        <w:spacing w:after="0" w:line="254" w:lineRule="auto"/>
        <w:tabs>
          <w:tab w:leader="none" w:pos="192"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2.74%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48" w:lineRule="exact"/>
        <w:rPr>
          <w:rFonts w:ascii="Arial" w:cs="Arial" w:eastAsia="Arial" w:hAnsi="Arial"/>
          <w:sz w:val="14"/>
          <w:szCs w:val="14"/>
          <w:color w:val="auto"/>
        </w:rPr>
      </w:pPr>
    </w:p>
    <w:p>
      <w:pPr>
        <w:jc w:val="both"/>
        <w:ind w:firstLine="1"/>
        <w:spacing w:after="0" w:line="254" w:lineRule="auto"/>
        <w:tabs>
          <w:tab w:leader="none" w:pos="164" w:val="left"/>
        </w:tabs>
        <w:numPr>
          <w:ilvl w:val="0"/>
          <w:numId w:val="4"/>
        </w:numPr>
        <w:rPr>
          <w:rFonts w:ascii="Arial" w:cs="Arial" w:eastAsia="Arial" w:hAnsi="Arial"/>
          <w:sz w:val="14"/>
          <w:szCs w:val="14"/>
          <w:color w:val="auto"/>
        </w:rPr>
      </w:pPr>
      <w:r>
        <w:rPr>
          <w:rFonts w:ascii="Arial" w:cs="Arial" w:eastAsia="Arial" w:hAnsi="Arial"/>
          <w:sz w:val="14"/>
          <w:szCs w:val="14"/>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spacing w:after="0" w:line="148" w:lineRule="exact"/>
        <w:rPr>
          <w:rFonts w:ascii="Arial" w:cs="Arial" w:eastAsia="Arial" w:hAnsi="Arial"/>
          <w:sz w:val="14"/>
          <w:szCs w:val="14"/>
          <w:color w:val="auto"/>
        </w:rPr>
      </w:pPr>
    </w:p>
    <w:p>
      <w:pPr>
        <w:jc w:val="both"/>
        <w:ind w:firstLine="1"/>
        <w:spacing w:after="0" w:line="254" w:lineRule="auto"/>
        <w:tabs>
          <w:tab w:leader="none" w:pos="197"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cash interest amount of 3.00% and PIK interest amount of 1.00%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48" w:lineRule="exact"/>
        <w:rPr>
          <w:rFonts w:ascii="Arial" w:cs="Arial" w:eastAsia="Arial" w:hAnsi="Arial"/>
          <w:sz w:val="14"/>
          <w:szCs w:val="14"/>
          <w:color w:val="auto"/>
        </w:rPr>
      </w:pPr>
    </w:p>
    <w:p>
      <w:pPr>
        <w:jc w:val="both"/>
        <w:ind w:firstLine="1"/>
        <w:spacing w:after="0" w:line="254" w:lineRule="auto"/>
        <w:tabs>
          <w:tab w:leader="none" w:pos="207"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4.21%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48" w:lineRule="exact"/>
        <w:rPr>
          <w:rFonts w:ascii="Arial" w:cs="Arial" w:eastAsia="Arial" w:hAnsi="Arial"/>
          <w:sz w:val="14"/>
          <w:szCs w:val="14"/>
          <w:color w:val="auto"/>
        </w:rPr>
      </w:pPr>
    </w:p>
    <w:p>
      <w:pPr>
        <w:jc w:val="both"/>
        <w:ind w:firstLine="1"/>
        <w:spacing w:after="0" w:line="254" w:lineRule="auto"/>
        <w:tabs>
          <w:tab w:leader="none" w:pos="235"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7.13%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48" w:lineRule="exact"/>
        <w:rPr>
          <w:rFonts w:ascii="Arial" w:cs="Arial" w:eastAsia="Arial" w:hAnsi="Arial"/>
          <w:sz w:val="14"/>
          <w:szCs w:val="14"/>
          <w:color w:val="auto"/>
        </w:rPr>
      </w:pPr>
    </w:p>
    <w:p>
      <w:pPr>
        <w:jc w:val="both"/>
        <w:ind w:firstLine="1"/>
        <w:spacing w:after="0" w:line="254" w:lineRule="auto"/>
        <w:tabs>
          <w:tab w:leader="none" w:pos="207"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2.83%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48" w:lineRule="exact"/>
        <w:rPr>
          <w:rFonts w:ascii="Arial" w:cs="Arial" w:eastAsia="Arial" w:hAnsi="Arial"/>
          <w:sz w:val="14"/>
          <w:szCs w:val="14"/>
          <w:color w:val="auto"/>
        </w:rPr>
      </w:pPr>
    </w:p>
    <w:p>
      <w:pPr>
        <w:jc w:val="both"/>
        <w:ind w:firstLine="1"/>
        <w:spacing w:after="0" w:line="254" w:lineRule="auto"/>
        <w:tabs>
          <w:tab w:leader="none" w:pos="207"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2.99%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10" w:name="page11"/>
    <w:bookmarkEnd w:id="10"/>
    <w:p>
      <w:pPr>
        <w:jc w:val="both"/>
        <w:ind w:firstLine="1"/>
        <w:spacing w:after="0" w:line="25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5.77%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48" w:lineRule="exact"/>
        <w:rPr>
          <w:sz w:val="20"/>
          <w:szCs w:val="20"/>
          <w:color w:val="auto"/>
        </w:rPr>
      </w:pPr>
    </w:p>
    <w:p>
      <w:pPr>
        <w:ind w:firstLine="1"/>
        <w:spacing w:after="0" w:line="346" w:lineRule="auto"/>
        <w:tabs>
          <w:tab w:leader="none" w:pos="247"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Company sold a participating interest of approximately $4.0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(ab) In addition to the interest earned based on the stated interest rate of this security, the Company is entitled to receive an additional interest amount of 3.43%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4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(ac) The disclosed commitment represents the unfunded amount as of September 30, 2021. The Company is earning 1.00% interest on the unfunded balance of the commitment. The interest rate disclosed represents the rate earned on the outstanding, funded balance of the commitment.</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(ad) In addition to the interest earned based on the stated interest rate of this security, the Company is entitled to receive an additional interest amount of 3.30%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(ae) In addition to the interest earned based on the stated interest rate of this security, the Company is entitled to receive an additional interest amount of 3.31%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(af) In addition to the interest earned based on the stated interest rate of this security, the Company is entitled to receive an additional interest amount of 3.50%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(ag) In addition to the interest earned based on the stated interest rate of this security, the Company is entitled to receive an additional interest amount of 5.65%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(ah) In addition to the interest earned based on the stated interest rate of this security, the Company is entitled to receive an additional interest amount of 1.74%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(ai) In addition to the interest earned based on the stated interest rate of this security, the Company is entitled to receive an additional interest amount of 4.84%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(aj) In addition to the interest earned based on the stated interest rate of this security, the Company is entitled to receive an additional interest amount of 4.11%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(ak) In addition to the interest earned based on the stated interest rate of this security, the Company is entitled to receive an additional interest amount of 4.83%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(al) In addition to the interest earned based on the stated interest rate of this security, the Company is entitled to receive an additional interest amount of 3.56%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(am) In addition to the interest earned based on the stated interest rate of this security, the Company is entitled to receive an additional interest amount of 7.89%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48" w:lineRule="exact"/>
        <w:rPr>
          <w:sz w:val="20"/>
          <w:szCs w:val="20"/>
          <w:color w:val="auto"/>
        </w:rPr>
      </w:pPr>
    </w:p>
    <w:p>
      <w:pPr>
        <w:jc w:val="both"/>
        <w:spacing w:after="0" w:line="346" w:lineRule="auto"/>
        <w:rPr>
          <w:sz w:val="20"/>
          <w:szCs w:val="20"/>
          <w:color w:val="auto"/>
        </w:rPr>
      </w:pPr>
      <w:r>
        <w:rPr>
          <w:rFonts w:ascii="Arial" w:cs="Arial" w:eastAsia="Arial" w:hAnsi="Arial"/>
          <w:sz w:val="12"/>
          <w:szCs w:val="12"/>
          <w:color w:val="auto"/>
        </w:rPr>
        <w:t>(an) The Company sold a participating interest of approximately $13.5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Notes to Consolidated Financial Statements (unaudited).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Schedule of Investments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2020</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920" w:type="dxa"/>
            <w:vAlign w:val="bottom"/>
            <w:gridSpan w:val="4"/>
          </w:tcPr>
          <w:p>
            <w:pPr>
              <w:ind w:left="20"/>
              <w:spacing w:after="0"/>
              <w:rPr>
                <w:sz w:val="20"/>
                <w:szCs w:val="20"/>
                <w:color w:val="auto"/>
              </w:rPr>
            </w:pPr>
            <w:r>
              <w:rPr>
                <w:rFonts w:ascii="Arial" w:cs="Arial" w:eastAsia="Arial" w:hAnsi="Arial"/>
                <w:sz w:val="8"/>
                <w:szCs w:val="8"/>
                <w:b w:val="1"/>
                <w:bCs w:val="1"/>
                <w:color w:val="auto"/>
              </w:rPr>
              <w:t>Portfolio Company (a)(b)</w:t>
            </w:r>
          </w:p>
        </w:tc>
        <w:tc>
          <w:tcPr>
            <w:tcW w:w="2260" w:type="dxa"/>
            <w:vAlign w:val="bottom"/>
          </w:tcPr>
          <w:p>
            <w:pPr>
              <w:spacing w:after="0"/>
              <w:rPr>
                <w:sz w:val="9"/>
                <w:szCs w:val="9"/>
                <w:color w:val="auto"/>
              </w:rPr>
            </w:pPr>
          </w:p>
        </w:tc>
        <w:tc>
          <w:tcPr>
            <w:tcW w:w="1200" w:type="dxa"/>
            <w:vAlign w:val="bottom"/>
          </w:tcPr>
          <w:p>
            <w:pPr>
              <w:ind w:left="200"/>
              <w:spacing w:after="0"/>
              <w:rPr>
                <w:sz w:val="20"/>
                <w:szCs w:val="20"/>
                <w:color w:val="auto"/>
              </w:rPr>
            </w:pPr>
            <w:r>
              <w:rPr>
                <w:rFonts w:ascii="Arial" w:cs="Arial" w:eastAsia="Arial" w:hAnsi="Arial"/>
                <w:sz w:val="8"/>
                <w:szCs w:val="8"/>
                <w:b w:val="1"/>
                <w:bCs w:val="1"/>
                <w:color w:val="auto"/>
              </w:rPr>
              <w:t>Variable Index</w:t>
            </w:r>
          </w:p>
        </w:tc>
        <w:tc>
          <w:tcPr>
            <w:tcW w:w="820" w:type="dxa"/>
            <w:vAlign w:val="bottom"/>
          </w:tcPr>
          <w:p>
            <w:pPr>
              <w:ind w:left="180"/>
              <w:spacing w:after="0"/>
              <w:rPr>
                <w:sz w:val="20"/>
                <w:szCs w:val="20"/>
                <w:color w:val="auto"/>
              </w:rPr>
            </w:pPr>
            <w:r>
              <w:rPr>
                <w:rFonts w:ascii="Arial" w:cs="Arial" w:eastAsia="Arial" w:hAnsi="Arial"/>
                <w:sz w:val="8"/>
                <w:szCs w:val="8"/>
                <w:b w:val="1"/>
                <w:bCs w:val="1"/>
                <w:color w:val="auto"/>
              </w:rPr>
              <w:t>Rate (e)</w:t>
            </w:r>
          </w:p>
        </w:tc>
        <w:tc>
          <w:tcPr>
            <w:tcW w:w="640" w:type="dxa"/>
            <w:vAlign w:val="bottom"/>
          </w:tcPr>
          <w:p>
            <w:pPr>
              <w:ind w:left="120"/>
              <w:spacing w:after="0"/>
              <w:rPr>
                <w:sz w:val="20"/>
                <w:szCs w:val="20"/>
                <w:color w:val="auto"/>
              </w:rPr>
            </w:pPr>
            <w:r>
              <w:rPr>
                <w:rFonts w:ascii="Arial" w:cs="Arial" w:eastAsia="Arial" w:hAnsi="Arial"/>
                <w:sz w:val="8"/>
                <w:szCs w:val="8"/>
                <w:b w:val="1"/>
                <w:bCs w:val="1"/>
                <w:color w:val="auto"/>
              </w:rPr>
              <w:t>Investment</w:t>
            </w: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jc w:val="right"/>
              <w:ind w:right="58"/>
              <w:spacing w:after="0"/>
              <w:rPr>
                <w:sz w:val="20"/>
                <w:szCs w:val="20"/>
                <w:color w:val="auto"/>
              </w:rPr>
            </w:pPr>
            <w:r>
              <w:rPr>
                <w:rFonts w:ascii="Arial" w:cs="Arial" w:eastAsia="Arial" w:hAnsi="Arial"/>
                <w:sz w:val="8"/>
                <w:szCs w:val="8"/>
                <w:b w:val="1"/>
                <w:bCs w:val="1"/>
                <w:color w:val="auto"/>
              </w:rPr>
              <w:t>Principal</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jc w:val="right"/>
              <w:ind w:right="138"/>
              <w:spacing w:after="0"/>
              <w:rPr>
                <w:sz w:val="20"/>
                <w:szCs w:val="20"/>
                <w:color w:val="auto"/>
              </w:rPr>
            </w:pPr>
            <w:r>
              <w:rPr>
                <w:rFonts w:ascii="Arial" w:cs="Arial" w:eastAsia="Arial" w:hAnsi="Arial"/>
                <w:sz w:val="8"/>
                <w:szCs w:val="8"/>
                <w:b w:val="1"/>
                <w:bCs w:val="1"/>
                <w:color w:val="auto"/>
              </w:rPr>
              <w:t>Fair</w:t>
            </w:r>
          </w:p>
        </w:tc>
        <w:tc>
          <w:tcPr>
            <w:tcW w:w="40" w:type="dxa"/>
            <w:vAlign w:val="bottom"/>
          </w:tcPr>
          <w:p>
            <w:pPr>
              <w:spacing w:after="0"/>
              <w:rPr>
                <w:sz w:val="9"/>
                <w:szCs w:val="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8"/>
                <w:szCs w:val="8"/>
                <w:b w:val="1"/>
                <w:bCs w:val="1"/>
                <w:color w:val="auto"/>
              </w:rPr>
              <w:t>Percent of</w:t>
            </w:r>
          </w:p>
        </w:tc>
      </w:tr>
      <w:tr>
        <w:trPr>
          <w:trHeight w:val="134"/>
        </w:trPr>
        <w:tc>
          <w:tcPr>
            <w:tcW w:w="2920" w:type="dxa"/>
            <w:vAlign w:val="bottom"/>
            <w:gridSpan w:val="4"/>
          </w:tcPr>
          <w:p>
            <w:pPr>
              <w:ind w:left="20"/>
              <w:spacing w:after="0"/>
              <w:rPr>
                <w:sz w:val="20"/>
                <w:szCs w:val="20"/>
                <w:color w:val="auto"/>
              </w:rPr>
            </w:pPr>
            <w:r>
              <w:rPr>
                <w:rFonts w:ascii="Arial" w:cs="Arial" w:eastAsia="Arial" w:hAnsi="Arial"/>
                <w:sz w:val="8"/>
                <w:szCs w:val="8"/>
                <w:b w:val="1"/>
                <w:bCs w:val="1"/>
                <w:color w:val="auto"/>
              </w:rPr>
              <w:t>Investment Type (c)</w:t>
            </w:r>
          </w:p>
        </w:tc>
        <w:tc>
          <w:tcPr>
            <w:tcW w:w="2260" w:type="dxa"/>
            <w:vAlign w:val="bottom"/>
          </w:tcPr>
          <w:p>
            <w:pPr>
              <w:ind w:left="800"/>
              <w:spacing w:after="0"/>
              <w:rPr>
                <w:sz w:val="20"/>
                <w:szCs w:val="20"/>
                <w:color w:val="auto"/>
              </w:rPr>
            </w:pPr>
            <w:r>
              <w:rPr>
                <w:rFonts w:ascii="Arial" w:cs="Arial" w:eastAsia="Arial" w:hAnsi="Arial"/>
                <w:sz w:val="8"/>
                <w:szCs w:val="8"/>
                <w:b w:val="1"/>
                <w:bCs w:val="1"/>
                <w:color w:val="auto"/>
              </w:rPr>
              <w:t>Industry</w:t>
            </w:r>
          </w:p>
        </w:tc>
        <w:tc>
          <w:tcPr>
            <w:tcW w:w="1200" w:type="dxa"/>
            <w:vAlign w:val="bottom"/>
          </w:tcPr>
          <w:p>
            <w:pPr>
              <w:ind w:left="200"/>
              <w:spacing w:after="0"/>
              <w:rPr>
                <w:sz w:val="20"/>
                <w:szCs w:val="20"/>
                <w:color w:val="auto"/>
              </w:rPr>
            </w:pPr>
            <w:r>
              <w:rPr>
                <w:rFonts w:ascii="Arial" w:cs="Arial" w:eastAsia="Arial" w:hAnsi="Arial"/>
                <w:sz w:val="8"/>
                <w:szCs w:val="8"/>
                <w:b w:val="1"/>
                <w:bCs w:val="1"/>
                <w:color w:val="auto"/>
              </w:rPr>
              <w:t>Spread / Floor (d)</w:t>
            </w:r>
          </w:p>
        </w:tc>
        <w:tc>
          <w:tcPr>
            <w:tcW w:w="820" w:type="dxa"/>
            <w:vAlign w:val="bottom"/>
          </w:tcPr>
          <w:p>
            <w:pPr>
              <w:ind w:left="180"/>
              <w:spacing w:after="0"/>
              <w:rPr>
                <w:sz w:val="20"/>
                <w:szCs w:val="20"/>
                <w:color w:val="auto"/>
              </w:rPr>
            </w:pPr>
            <w:r>
              <w:rPr>
                <w:rFonts w:ascii="Arial" w:cs="Arial" w:eastAsia="Arial" w:hAnsi="Arial"/>
                <w:sz w:val="8"/>
                <w:szCs w:val="8"/>
                <w:b w:val="1"/>
                <w:bCs w:val="1"/>
                <w:color w:val="auto"/>
              </w:rPr>
              <w:t>Cash/PIK</w:t>
            </w:r>
          </w:p>
        </w:tc>
        <w:tc>
          <w:tcPr>
            <w:tcW w:w="640" w:type="dxa"/>
            <w:vAlign w:val="bottom"/>
          </w:tcPr>
          <w:p>
            <w:pPr>
              <w:ind w:left="120"/>
              <w:spacing w:after="0"/>
              <w:rPr>
                <w:sz w:val="20"/>
                <w:szCs w:val="20"/>
                <w:color w:val="auto"/>
              </w:rPr>
            </w:pPr>
            <w:r>
              <w:rPr>
                <w:rFonts w:ascii="Arial" w:cs="Arial" w:eastAsia="Arial" w:hAnsi="Arial"/>
                <w:sz w:val="8"/>
                <w:szCs w:val="8"/>
                <w:b w:val="1"/>
                <w:bCs w:val="1"/>
                <w:color w:val="auto"/>
              </w:rPr>
              <w:t>Date (f)</w:t>
            </w:r>
          </w:p>
        </w:tc>
        <w:tc>
          <w:tcPr>
            <w:tcW w:w="580" w:type="dxa"/>
            <w:vAlign w:val="bottom"/>
          </w:tcPr>
          <w:p>
            <w:pPr>
              <w:ind w:left="120"/>
              <w:spacing w:after="0"/>
              <w:rPr>
                <w:sz w:val="20"/>
                <w:szCs w:val="20"/>
                <w:color w:val="auto"/>
              </w:rPr>
            </w:pPr>
            <w:r>
              <w:rPr>
                <w:rFonts w:ascii="Arial" w:cs="Arial" w:eastAsia="Arial" w:hAnsi="Arial"/>
                <w:sz w:val="8"/>
                <w:szCs w:val="8"/>
                <w:b w:val="1"/>
                <w:bCs w:val="1"/>
                <w:color w:val="auto"/>
              </w:rPr>
              <w:t>Maturity</w:t>
            </w:r>
          </w:p>
        </w:tc>
        <w:tc>
          <w:tcPr>
            <w:tcW w:w="160" w:type="dxa"/>
            <w:vAlign w:val="bottom"/>
          </w:tcPr>
          <w:p>
            <w:pPr>
              <w:spacing w:after="0"/>
              <w:rPr>
                <w:sz w:val="11"/>
                <w:szCs w:val="11"/>
                <w:color w:val="auto"/>
              </w:rPr>
            </w:pPr>
          </w:p>
        </w:tc>
        <w:tc>
          <w:tcPr>
            <w:tcW w:w="460" w:type="dxa"/>
            <w:vAlign w:val="bottom"/>
          </w:tcPr>
          <w:p>
            <w:pPr>
              <w:jc w:val="right"/>
              <w:ind w:right="78"/>
              <w:spacing w:after="0"/>
              <w:rPr>
                <w:sz w:val="20"/>
                <w:szCs w:val="20"/>
                <w:color w:val="auto"/>
              </w:rPr>
            </w:pPr>
            <w:r>
              <w:rPr>
                <w:rFonts w:ascii="Arial" w:cs="Arial" w:eastAsia="Arial" w:hAnsi="Arial"/>
                <w:sz w:val="8"/>
                <w:szCs w:val="8"/>
                <w:b w:val="1"/>
                <w:bCs w:val="1"/>
                <w:color w:val="auto"/>
              </w:rPr>
              <w:t>Amount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ind w:right="158"/>
              <w:spacing w:after="0"/>
              <w:rPr>
                <w:sz w:val="20"/>
                <w:szCs w:val="20"/>
                <w:color w:val="auto"/>
              </w:rPr>
            </w:pPr>
            <w:r>
              <w:rPr>
                <w:rFonts w:ascii="Arial" w:cs="Arial" w:eastAsia="Arial" w:hAnsi="Arial"/>
                <w:sz w:val="8"/>
                <w:szCs w:val="8"/>
                <w:b w:val="1"/>
                <w:bCs w:val="1"/>
                <w:color w:val="auto"/>
              </w:rPr>
              <w:t>Cost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ind w:right="58"/>
              <w:spacing w:after="0"/>
              <w:rPr>
                <w:sz w:val="20"/>
                <w:szCs w:val="20"/>
                <w:color w:val="auto"/>
              </w:rPr>
            </w:pPr>
            <w:r>
              <w:rPr>
                <w:rFonts w:ascii="Arial" w:cs="Arial" w:eastAsia="Arial" w:hAnsi="Arial"/>
                <w:sz w:val="8"/>
                <w:szCs w:val="8"/>
                <w:b w:val="1"/>
                <w:bCs w:val="1"/>
                <w:color w:val="auto"/>
                <w:w w:val="94"/>
              </w:rPr>
              <w:t>Value (g)</w:t>
            </w:r>
          </w:p>
        </w:tc>
        <w:tc>
          <w:tcPr>
            <w:tcW w:w="4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8"/>
                <w:szCs w:val="8"/>
                <w:b w:val="1"/>
                <w:bCs w:val="1"/>
                <w:color w:val="auto"/>
              </w:rPr>
              <w:t>Net Assets</w:t>
            </w:r>
          </w:p>
        </w:tc>
      </w:tr>
      <w:tr>
        <w:trPr>
          <w:trHeight w:val="126"/>
        </w:trPr>
        <w:tc>
          <w:tcPr>
            <w:tcW w:w="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tcPr>
          <w:p>
            <w:pPr>
              <w:spacing w:after="0"/>
              <w:rPr>
                <w:sz w:val="10"/>
                <w:szCs w:val="10"/>
                <w:color w:val="auto"/>
              </w:rPr>
            </w:pPr>
          </w:p>
        </w:tc>
        <w:tc>
          <w:tcPr>
            <w:tcW w:w="22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01"/>
        </w:trPr>
        <w:tc>
          <w:tcPr>
            <w:tcW w:w="2920" w:type="dxa"/>
            <w:vAlign w:val="bottom"/>
            <w:gridSpan w:val="4"/>
            <w:shd w:val="clear" w:color="auto" w:fill="DBEEF4"/>
          </w:tcPr>
          <w:p>
            <w:pPr>
              <w:ind w:left="20"/>
              <w:spacing w:after="0"/>
              <w:rPr>
                <w:sz w:val="20"/>
                <w:szCs w:val="20"/>
                <w:color w:val="auto"/>
              </w:rPr>
            </w:pPr>
            <w:r>
              <w:rPr>
                <w:rFonts w:ascii="Arial" w:cs="Arial" w:eastAsia="Arial" w:hAnsi="Arial"/>
                <w:sz w:val="8"/>
                <w:szCs w:val="8"/>
                <w:b w:val="1"/>
                <w:bCs w:val="1"/>
                <w:color w:val="auto"/>
              </w:rPr>
              <w:t>Control Investments (t)</w:t>
            </w:r>
          </w:p>
        </w:tc>
        <w:tc>
          <w:tcPr>
            <w:tcW w:w="2260" w:type="dxa"/>
            <w:vAlign w:val="bottom"/>
            <w:shd w:val="clear" w:color="auto" w:fill="DBEEF4"/>
          </w:tcPr>
          <w:p>
            <w:pPr>
              <w:spacing w:after="0"/>
              <w:rPr>
                <w:sz w:val="8"/>
                <w:szCs w:val="8"/>
                <w:color w:val="auto"/>
              </w:rPr>
            </w:pPr>
          </w:p>
        </w:tc>
        <w:tc>
          <w:tcPr>
            <w:tcW w:w="1200" w:type="dxa"/>
            <w:vAlign w:val="bottom"/>
            <w:shd w:val="clear" w:color="auto" w:fill="DBEEF4"/>
          </w:tcPr>
          <w:p>
            <w:pPr>
              <w:spacing w:after="0"/>
              <w:rPr>
                <w:sz w:val="8"/>
                <w:szCs w:val="8"/>
                <w:color w:val="auto"/>
              </w:rPr>
            </w:pPr>
          </w:p>
        </w:tc>
        <w:tc>
          <w:tcPr>
            <w:tcW w:w="820" w:type="dxa"/>
            <w:vAlign w:val="bottom"/>
            <w:shd w:val="clear" w:color="auto" w:fill="DBEEF4"/>
          </w:tcPr>
          <w:p>
            <w:pPr>
              <w:spacing w:after="0"/>
              <w:rPr>
                <w:sz w:val="8"/>
                <w:szCs w:val="8"/>
                <w:color w:val="auto"/>
              </w:rPr>
            </w:pPr>
          </w:p>
        </w:tc>
        <w:tc>
          <w:tcPr>
            <w:tcW w:w="640" w:type="dxa"/>
            <w:vAlign w:val="bottom"/>
            <w:shd w:val="clear" w:color="auto" w:fill="DBEEF4"/>
          </w:tcPr>
          <w:p>
            <w:pPr>
              <w:spacing w:after="0"/>
              <w:rPr>
                <w:sz w:val="8"/>
                <w:szCs w:val="8"/>
                <w:color w:val="auto"/>
              </w:rPr>
            </w:pPr>
          </w:p>
        </w:tc>
        <w:tc>
          <w:tcPr>
            <w:tcW w:w="580" w:type="dxa"/>
            <w:vAlign w:val="bottom"/>
            <w:shd w:val="clear" w:color="auto" w:fill="DBEEF4"/>
          </w:tcPr>
          <w:p>
            <w:pPr>
              <w:spacing w:after="0"/>
              <w:rPr>
                <w:sz w:val="8"/>
                <w:szCs w:val="8"/>
                <w:color w:val="auto"/>
              </w:rPr>
            </w:pPr>
          </w:p>
        </w:tc>
        <w:tc>
          <w:tcPr>
            <w:tcW w:w="160" w:type="dxa"/>
            <w:vAlign w:val="bottom"/>
            <w:shd w:val="clear" w:color="auto" w:fill="DBEEF4"/>
          </w:tcPr>
          <w:p>
            <w:pPr>
              <w:spacing w:after="0"/>
              <w:rPr>
                <w:sz w:val="8"/>
                <w:szCs w:val="8"/>
                <w:color w:val="auto"/>
              </w:rPr>
            </w:pPr>
          </w:p>
        </w:tc>
        <w:tc>
          <w:tcPr>
            <w:tcW w:w="460" w:type="dxa"/>
            <w:vAlign w:val="bottom"/>
            <w:shd w:val="clear" w:color="auto" w:fill="DBEEF4"/>
          </w:tcPr>
          <w:p>
            <w:pPr>
              <w:spacing w:after="0"/>
              <w:rPr>
                <w:sz w:val="8"/>
                <w:szCs w:val="8"/>
                <w:color w:val="auto"/>
              </w:rPr>
            </w:pPr>
          </w:p>
        </w:tc>
        <w:tc>
          <w:tcPr>
            <w:tcW w:w="120" w:type="dxa"/>
            <w:vAlign w:val="bottom"/>
            <w:shd w:val="clear" w:color="auto" w:fill="DBEEF4"/>
          </w:tcPr>
          <w:p>
            <w:pPr>
              <w:spacing w:after="0"/>
              <w:rPr>
                <w:sz w:val="8"/>
                <w:szCs w:val="8"/>
                <w:color w:val="auto"/>
              </w:rPr>
            </w:pPr>
          </w:p>
        </w:tc>
        <w:tc>
          <w:tcPr>
            <w:tcW w:w="100" w:type="dxa"/>
            <w:vAlign w:val="bottom"/>
            <w:shd w:val="clear" w:color="auto" w:fill="DBEEF4"/>
          </w:tcPr>
          <w:p>
            <w:pPr>
              <w:spacing w:after="0"/>
              <w:rPr>
                <w:sz w:val="8"/>
                <w:szCs w:val="8"/>
                <w:color w:val="auto"/>
              </w:rPr>
            </w:pPr>
          </w:p>
        </w:tc>
        <w:tc>
          <w:tcPr>
            <w:tcW w:w="140" w:type="dxa"/>
            <w:vAlign w:val="bottom"/>
            <w:shd w:val="clear" w:color="auto" w:fill="DBEEF4"/>
          </w:tcPr>
          <w:p>
            <w:pPr>
              <w:spacing w:after="0"/>
              <w:rPr>
                <w:sz w:val="8"/>
                <w:szCs w:val="8"/>
                <w:color w:val="auto"/>
              </w:rPr>
            </w:pPr>
          </w:p>
        </w:tc>
        <w:tc>
          <w:tcPr>
            <w:tcW w:w="420" w:type="dxa"/>
            <w:vAlign w:val="bottom"/>
            <w:shd w:val="clear" w:color="auto" w:fill="DBEEF4"/>
          </w:tcPr>
          <w:p>
            <w:pPr>
              <w:spacing w:after="0"/>
              <w:rPr>
                <w:sz w:val="8"/>
                <w:szCs w:val="8"/>
                <w:color w:val="auto"/>
              </w:rPr>
            </w:pPr>
          </w:p>
        </w:tc>
        <w:tc>
          <w:tcPr>
            <w:tcW w:w="200" w:type="dxa"/>
            <w:vAlign w:val="bottom"/>
            <w:shd w:val="clear" w:color="auto" w:fill="DBEEF4"/>
          </w:tcPr>
          <w:p>
            <w:pPr>
              <w:spacing w:after="0"/>
              <w:rPr>
                <w:sz w:val="8"/>
                <w:szCs w:val="8"/>
                <w:color w:val="auto"/>
              </w:rPr>
            </w:pPr>
          </w:p>
        </w:tc>
        <w:tc>
          <w:tcPr>
            <w:tcW w:w="60" w:type="dxa"/>
            <w:vAlign w:val="bottom"/>
            <w:shd w:val="clear" w:color="auto" w:fill="DBEEF4"/>
          </w:tcPr>
          <w:p>
            <w:pPr>
              <w:spacing w:after="0"/>
              <w:rPr>
                <w:sz w:val="8"/>
                <w:szCs w:val="8"/>
                <w:color w:val="auto"/>
              </w:rPr>
            </w:pPr>
          </w:p>
        </w:tc>
        <w:tc>
          <w:tcPr>
            <w:tcW w:w="440" w:type="dxa"/>
            <w:vAlign w:val="bottom"/>
            <w:shd w:val="clear" w:color="auto" w:fill="DBEEF4"/>
          </w:tcPr>
          <w:p>
            <w:pPr>
              <w:spacing w:after="0"/>
              <w:rPr>
                <w:sz w:val="8"/>
                <w:szCs w:val="8"/>
                <w:color w:val="auto"/>
              </w:rPr>
            </w:pPr>
          </w:p>
        </w:tc>
        <w:tc>
          <w:tcPr>
            <w:tcW w:w="40" w:type="dxa"/>
            <w:vAlign w:val="bottom"/>
            <w:shd w:val="clear" w:color="auto" w:fill="DBEEF4"/>
          </w:tcPr>
          <w:p>
            <w:pPr>
              <w:spacing w:after="0"/>
              <w:rPr>
                <w:sz w:val="8"/>
                <w:szCs w:val="8"/>
                <w:color w:val="auto"/>
              </w:rPr>
            </w:pPr>
          </w:p>
        </w:tc>
        <w:tc>
          <w:tcPr>
            <w:tcW w:w="560" w:type="dxa"/>
            <w:vAlign w:val="bottom"/>
            <w:shd w:val="clear" w:color="auto" w:fill="DBEEF4"/>
          </w:tcPr>
          <w:p>
            <w:pPr>
              <w:spacing w:after="0"/>
              <w:rPr>
                <w:sz w:val="8"/>
                <w:szCs w:val="8"/>
                <w:color w:val="auto"/>
              </w:rPr>
            </w:pPr>
          </w:p>
        </w:tc>
        <w:tc>
          <w:tcPr>
            <w:tcW w:w="120" w:type="dxa"/>
            <w:vAlign w:val="bottom"/>
            <w:shd w:val="clear" w:color="auto" w:fill="DBEEF4"/>
          </w:tcPr>
          <w:p>
            <w:pPr>
              <w:spacing w:after="0"/>
              <w:rPr>
                <w:sz w:val="8"/>
                <w:szCs w:val="8"/>
                <w:color w:val="auto"/>
              </w:rPr>
            </w:pPr>
          </w:p>
        </w:tc>
      </w:tr>
      <w:tr>
        <w:trPr>
          <w:trHeight w:val="25"/>
        </w:trPr>
        <w:tc>
          <w:tcPr>
            <w:tcW w:w="20" w:type="dxa"/>
            <w:vAlign w:val="bottom"/>
            <w:shd w:val="clear" w:color="auto" w:fill="DBEEF4"/>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shd w:val="clear" w:color="auto" w:fill="DBEEF4"/>
          </w:tcPr>
          <w:p>
            <w:pPr>
              <w:spacing w:after="0"/>
              <w:rPr>
                <w:sz w:val="2"/>
                <w:szCs w:val="2"/>
                <w:color w:val="auto"/>
              </w:rPr>
            </w:pPr>
          </w:p>
        </w:tc>
        <w:tc>
          <w:tcPr>
            <w:tcW w:w="1540" w:type="dxa"/>
            <w:vAlign w:val="bottom"/>
            <w:shd w:val="clear" w:color="auto" w:fill="DBEEF4"/>
          </w:tcPr>
          <w:p>
            <w:pPr>
              <w:spacing w:after="0"/>
              <w:rPr>
                <w:sz w:val="2"/>
                <w:szCs w:val="2"/>
                <w:color w:val="auto"/>
              </w:rPr>
            </w:pPr>
          </w:p>
        </w:tc>
        <w:tc>
          <w:tcPr>
            <w:tcW w:w="2260" w:type="dxa"/>
            <w:vAlign w:val="bottom"/>
            <w:shd w:val="clear" w:color="auto" w:fill="DBEEF4"/>
          </w:tcPr>
          <w:p>
            <w:pPr>
              <w:spacing w:after="0"/>
              <w:rPr>
                <w:sz w:val="2"/>
                <w:szCs w:val="2"/>
                <w:color w:val="auto"/>
              </w:rPr>
            </w:pPr>
          </w:p>
        </w:tc>
        <w:tc>
          <w:tcPr>
            <w:tcW w:w="1200" w:type="dxa"/>
            <w:vAlign w:val="bottom"/>
            <w:shd w:val="clear" w:color="auto" w:fill="DBEEF4"/>
          </w:tcPr>
          <w:p>
            <w:pPr>
              <w:spacing w:after="0"/>
              <w:rPr>
                <w:sz w:val="2"/>
                <w:szCs w:val="2"/>
                <w:color w:val="auto"/>
              </w:rPr>
            </w:pPr>
          </w:p>
        </w:tc>
        <w:tc>
          <w:tcPr>
            <w:tcW w:w="820" w:type="dxa"/>
            <w:vAlign w:val="bottom"/>
            <w:shd w:val="clear" w:color="auto" w:fill="DBEEF4"/>
          </w:tcPr>
          <w:p>
            <w:pPr>
              <w:spacing w:after="0"/>
              <w:rPr>
                <w:sz w:val="2"/>
                <w:szCs w:val="2"/>
                <w:color w:val="auto"/>
              </w:rPr>
            </w:pPr>
          </w:p>
        </w:tc>
        <w:tc>
          <w:tcPr>
            <w:tcW w:w="640" w:type="dxa"/>
            <w:vAlign w:val="bottom"/>
            <w:shd w:val="clear" w:color="auto" w:fill="DBEEF4"/>
          </w:tcPr>
          <w:p>
            <w:pPr>
              <w:spacing w:after="0"/>
              <w:rPr>
                <w:sz w:val="2"/>
                <w:szCs w:val="2"/>
                <w:color w:val="auto"/>
              </w:rPr>
            </w:pPr>
          </w:p>
        </w:tc>
        <w:tc>
          <w:tcPr>
            <w:tcW w:w="580" w:type="dxa"/>
            <w:vAlign w:val="bottom"/>
            <w:shd w:val="clear" w:color="auto" w:fill="DBEEF4"/>
          </w:tcPr>
          <w:p>
            <w:pPr>
              <w:spacing w:after="0"/>
              <w:rPr>
                <w:sz w:val="2"/>
                <w:szCs w:val="2"/>
                <w:color w:val="auto"/>
              </w:rPr>
            </w:pPr>
          </w:p>
        </w:tc>
        <w:tc>
          <w:tcPr>
            <w:tcW w:w="160" w:type="dxa"/>
            <w:vAlign w:val="bottom"/>
            <w:shd w:val="clear" w:color="auto" w:fill="DBEEF4"/>
          </w:tcPr>
          <w:p>
            <w:pPr>
              <w:spacing w:after="0"/>
              <w:rPr>
                <w:sz w:val="2"/>
                <w:szCs w:val="2"/>
                <w:color w:val="auto"/>
              </w:rPr>
            </w:pPr>
          </w:p>
        </w:tc>
        <w:tc>
          <w:tcPr>
            <w:tcW w:w="460" w:type="dxa"/>
            <w:vAlign w:val="bottom"/>
            <w:shd w:val="clear" w:color="auto" w:fill="DBEEF4"/>
          </w:tcPr>
          <w:p>
            <w:pPr>
              <w:spacing w:after="0"/>
              <w:rPr>
                <w:sz w:val="2"/>
                <w:szCs w:val="2"/>
                <w:color w:val="auto"/>
              </w:rPr>
            </w:pPr>
          </w:p>
        </w:tc>
        <w:tc>
          <w:tcPr>
            <w:tcW w:w="120" w:type="dxa"/>
            <w:vAlign w:val="bottom"/>
            <w:shd w:val="clear" w:color="auto" w:fill="DBEEF4"/>
          </w:tcPr>
          <w:p>
            <w:pPr>
              <w:spacing w:after="0"/>
              <w:rPr>
                <w:sz w:val="2"/>
                <w:szCs w:val="2"/>
                <w:color w:val="auto"/>
              </w:rPr>
            </w:pPr>
          </w:p>
        </w:tc>
        <w:tc>
          <w:tcPr>
            <w:tcW w:w="100" w:type="dxa"/>
            <w:vAlign w:val="bottom"/>
            <w:shd w:val="clear" w:color="auto" w:fill="DBEEF4"/>
          </w:tcPr>
          <w:p>
            <w:pPr>
              <w:spacing w:after="0"/>
              <w:rPr>
                <w:sz w:val="2"/>
                <w:szCs w:val="2"/>
                <w:color w:val="auto"/>
              </w:rPr>
            </w:pPr>
          </w:p>
        </w:tc>
        <w:tc>
          <w:tcPr>
            <w:tcW w:w="140" w:type="dxa"/>
            <w:vAlign w:val="bottom"/>
            <w:shd w:val="clear" w:color="auto" w:fill="DBEEF4"/>
          </w:tcPr>
          <w:p>
            <w:pPr>
              <w:spacing w:after="0"/>
              <w:rPr>
                <w:sz w:val="2"/>
                <w:szCs w:val="2"/>
                <w:color w:val="auto"/>
              </w:rPr>
            </w:pPr>
          </w:p>
        </w:tc>
        <w:tc>
          <w:tcPr>
            <w:tcW w:w="420" w:type="dxa"/>
            <w:vAlign w:val="bottom"/>
            <w:shd w:val="clear" w:color="auto" w:fill="DBEEF4"/>
          </w:tcPr>
          <w:p>
            <w:pPr>
              <w:spacing w:after="0"/>
              <w:rPr>
                <w:sz w:val="2"/>
                <w:szCs w:val="2"/>
                <w:color w:val="auto"/>
              </w:rPr>
            </w:pPr>
          </w:p>
        </w:tc>
        <w:tc>
          <w:tcPr>
            <w:tcW w:w="200" w:type="dxa"/>
            <w:vAlign w:val="bottom"/>
            <w:shd w:val="clear" w:color="auto" w:fill="DBEEF4"/>
          </w:tcPr>
          <w:p>
            <w:pPr>
              <w:spacing w:after="0"/>
              <w:rPr>
                <w:sz w:val="2"/>
                <w:szCs w:val="2"/>
                <w:color w:val="auto"/>
              </w:rPr>
            </w:pPr>
          </w:p>
        </w:tc>
        <w:tc>
          <w:tcPr>
            <w:tcW w:w="60" w:type="dxa"/>
            <w:vAlign w:val="bottom"/>
            <w:shd w:val="clear" w:color="auto" w:fill="DBEEF4"/>
          </w:tcPr>
          <w:p>
            <w:pPr>
              <w:spacing w:after="0"/>
              <w:rPr>
                <w:sz w:val="2"/>
                <w:szCs w:val="2"/>
                <w:color w:val="auto"/>
              </w:rPr>
            </w:pPr>
          </w:p>
        </w:tc>
        <w:tc>
          <w:tcPr>
            <w:tcW w:w="440" w:type="dxa"/>
            <w:vAlign w:val="bottom"/>
            <w:shd w:val="clear" w:color="auto" w:fill="DBEEF4"/>
          </w:tcPr>
          <w:p>
            <w:pPr>
              <w:spacing w:after="0"/>
              <w:rPr>
                <w:sz w:val="2"/>
                <w:szCs w:val="2"/>
                <w:color w:val="auto"/>
              </w:rPr>
            </w:pPr>
          </w:p>
        </w:tc>
        <w:tc>
          <w:tcPr>
            <w:tcW w:w="40" w:type="dxa"/>
            <w:vAlign w:val="bottom"/>
            <w:shd w:val="clear" w:color="auto" w:fill="DBEEF4"/>
          </w:tcPr>
          <w:p>
            <w:pPr>
              <w:spacing w:after="0"/>
              <w:rPr>
                <w:sz w:val="2"/>
                <w:szCs w:val="2"/>
                <w:color w:val="auto"/>
              </w:rPr>
            </w:pPr>
          </w:p>
        </w:tc>
        <w:tc>
          <w:tcPr>
            <w:tcW w:w="560" w:type="dxa"/>
            <w:vAlign w:val="bottom"/>
            <w:shd w:val="clear" w:color="auto" w:fill="DBEEF4"/>
          </w:tcPr>
          <w:p>
            <w:pPr>
              <w:spacing w:after="0"/>
              <w:rPr>
                <w:sz w:val="2"/>
                <w:szCs w:val="2"/>
                <w:color w:val="auto"/>
              </w:rPr>
            </w:pPr>
          </w:p>
        </w:tc>
        <w:tc>
          <w:tcPr>
            <w:tcW w:w="120" w:type="dxa"/>
            <w:vAlign w:val="bottom"/>
            <w:shd w:val="clear" w:color="auto" w:fill="DBEEF4"/>
          </w:tcPr>
          <w:p>
            <w:pPr>
              <w:spacing w:after="0"/>
              <w:rPr>
                <w:sz w:val="2"/>
                <w:szCs w:val="2"/>
                <w:color w:val="auto"/>
              </w:rPr>
            </w:pPr>
          </w:p>
        </w:tc>
      </w:tr>
      <w:tr>
        <w:trPr>
          <w:trHeight w:val="120"/>
        </w:trPr>
        <w:tc>
          <w:tcPr>
            <w:tcW w:w="2920" w:type="dxa"/>
            <w:vAlign w:val="bottom"/>
            <w:gridSpan w:val="4"/>
          </w:tcPr>
          <w:p>
            <w:pPr>
              <w:ind w:left="20"/>
              <w:spacing w:after="0"/>
              <w:rPr>
                <w:sz w:val="20"/>
                <w:szCs w:val="20"/>
                <w:color w:val="auto"/>
              </w:rPr>
            </w:pPr>
            <w:r>
              <w:rPr>
                <w:rFonts w:ascii="Arial" w:cs="Arial" w:eastAsia="Arial" w:hAnsi="Arial"/>
                <w:sz w:val="8"/>
                <w:szCs w:val="8"/>
                <w:i w:val="1"/>
                <w:iCs w:val="1"/>
                <w:color w:val="auto"/>
              </w:rPr>
              <w:t>FDS Avionics Corp. (dba Flight Display Systems)</w:t>
            </w:r>
          </w:p>
        </w:tc>
        <w:tc>
          <w:tcPr>
            <w:tcW w:w="2260" w:type="dxa"/>
            <w:vAlign w:val="bottom"/>
          </w:tcPr>
          <w:p>
            <w:pPr>
              <w:ind w:left="800"/>
              <w:spacing w:after="0"/>
              <w:rPr>
                <w:sz w:val="20"/>
                <w:szCs w:val="20"/>
                <w:color w:val="auto"/>
              </w:rPr>
            </w:pPr>
            <w:r>
              <w:rPr>
                <w:rFonts w:ascii="Arial" w:cs="Arial" w:eastAsia="Arial" w:hAnsi="Arial"/>
                <w:sz w:val="8"/>
                <w:szCs w:val="8"/>
                <w:color w:val="auto"/>
              </w:rPr>
              <w:t>Aerospace &amp; Defense Manufacturing</w:t>
            </w: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4"/>
        </w:trPr>
        <w:tc>
          <w:tcPr>
            <w:tcW w:w="20" w:type="dxa"/>
            <w:vAlign w:val="bottom"/>
            <w:shd w:val="clear" w:color="auto" w:fill="DBEEF4"/>
          </w:tcPr>
          <w:p>
            <w:pPr>
              <w:spacing w:after="0"/>
              <w:rPr>
                <w:sz w:val="11"/>
                <w:szCs w:val="11"/>
                <w:color w:val="auto"/>
              </w:rPr>
            </w:pPr>
          </w:p>
        </w:tc>
        <w:tc>
          <w:tcPr>
            <w:tcW w:w="2900" w:type="dxa"/>
            <w:vAlign w:val="bottom"/>
            <w:gridSpan w:val="3"/>
            <w:shd w:val="clear" w:color="auto" w:fill="DBEEF4"/>
          </w:tcPr>
          <w:p>
            <w:pPr>
              <w:ind w:left="80"/>
              <w:spacing w:after="0"/>
              <w:rPr>
                <w:sz w:val="20"/>
                <w:szCs w:val="20"/>
                <w:color w:val="auto"/>
              </w:rPr>
            </w:pPr>
            <w:r>
              <w:rPr>
                <w:rFonts w:ascii="Arial" w:cs="Arial" w:eastAsia="Arial" w:hAnsi="Arial"/>
                <w:sz w:val="8"/>
                <w:szCs w:val="8"/>
                <w:color w:val="auto"/>
              </w:rPr>
              <w:t>Second Lien Debt</w:t>
            </w:r>
          </w:p>
        </w:tc>
        <w:tc>
          <w:tcPr>
            <w:tcW w:w="2260" w:type="dxa"/>
            <w:vAlign w:val="bottom"/>
            <w:shd w:val="clear" w:color="auto" w:fill="DBEEF4"/>
          </w:tcPr>
          <w:p>
            <w:pPr>
              <w:spacing w:after="0"/>
              <w:rPr>
                <w:sz w:val="11"/>
                <w:szCs w:val="11"/>
                <w:color w:val="auto"/>
              </w:rPr>
            </w:pPr>
          </w:p>
        </w:tc>
        <w:tc>
          <w:tcPr>
            <w:tcW w:w="1200" w:type="dxa"/>
            <w:vAlign w:val="bottom"/>
            <w:shd w:val="clear" w:color="auto" w:fill="DBEEF4"/>
          </w:tcPr>
          <w:p>
            <w:pPr>
              <w:spacing w:after="0"/>
              <w:rPr>
                <w:sz w:val="11"/>
                <w:szCs w:val="11"/>
                <w:color w:val="auto"/>
              </w:rPr>
            </w:pPr>
          </w:p>
        </w:tc>
        <w:tc>
          <w:tcPr>
            <w:tcW w:w="820" w:type="dxa"/>
            <w:vAlign w:val="bottom"/>
            <w:shd w:val="clear" w:color="auto" w:fill="DBEEF4"/>
          </w:tcPr>
          <w:p>
            <w:pPr>
              <w:ind w:left="180"/>
              <w:spacing w:after="0"/>
              <w:rPr>
                <w:sz w:val="20"/>
                <w:szCs w:val="20"/>
                <w:color w:val="auto"/>
              </w:rPr>
            </w:pPr>
            <w:r>
              <w:rPr>
                <w:rFonts w:ascii="Arial" w:cs="Arial" w:eastAsia="Arial" w:hAnsi="Arial"/>
                <w:sz w:val="8"/>
                <w:szCs w:val="8"/>
                <w:color w:val="auto"/>
              </w:rPr>
              <w:t>6.00%/9.00%</w:t>
            </w:r>
          </w:p>
        </w:tc>
        <w:tc>
          <w:tcPr>
            <w:tcW w:w="640" w:type="dxa"/>
            <w:vAlign w:val="bottom"/>
            <w:shd w:val="clear" w:color="auto" w:fill="DBEEF4"/>
          </w:tcPr>
          <w:p>
            <w:pPr>
              <w:ind w:left="120"/>
              <w:spacing w:after="0"/>
              <w:rPr>
                <w:sz w:val="20"/>
                <w:szCs w:val="20"/>
                <w:color w:val="auto"/>
              </w:rPr>
            </w:pPr>
            <w:r>
              <w:rPr>
                <w:rFonts w:ascii="Arial" w:cs="Arial" w:eastAsia="Arial" w:hAnsi="Arial"/>
                <w:sz w:val="8"/>
                <w:szCs w:val="8"/>
                <w:color w:val="auto"/>
              </w:rPr>
              <w:t>11/5/2014</w:t>
            </w:r>
          </w:p>
        </w:tc>
        <w:tc>
          <w:tcPr>
            <w:tcW w:w="580" w:type="dxa"/>
            <w:vAlign w:val="bottom"/>
            <w:shd w:val="clear" w:color="auto" w:fill="DBEEF4"/>
          </w:tcPr>
          <w:p>
            <w:pPr>
              <w:ind w:left="120"/>
              <w:spacing w:after="0"/>
              <w:rPr>
                <w:sz w:val="20"/>
                <w:szCs w:val="20"/>
                <w:color w:val="auto"/>
              </w:rPr>
            </w:pPr>
            <w:r>
              <w:rPr>
                <w:rFonts w:ascii="Arial" w:cs="Arial" w:eastAsia="Arial" w:hAnsi="Arial"/>
                <w:sz w:val="8"/>
                <w:szCs w:val="8"/>
                <w:color w:val="auto"/>
              </w:rPr>
              <w:t>12/31/2021</w:t>
            </w:r>
          </w:p>
        </w:tc>
        <w:tc>
          <w:tcPr>
            <w:tcW w:w="160" w:type="dxa"/>
            <w:vAlign w:val="bottom"/>
            <w:shd w:val="clear" w:color="auto" w:fill="DBEEF4"/>
          </w:tcPr>
          <w:p>
            <w:pPr>
              <w:jc w:val="right"/>
              <w:spacing w:after="0"/>
              <w:rPr>
                <w:sz w:val="20"/>
                <w:szCs w:val="20"/>
                <w:color w:val="auto"/>
              </w:rPr>
            </w:pPr>
            <w:r>
              <w:rPr>
                <w:rFonts w:ascii="Arial" w:cs="Arial" w:eastAsia="Arial" w:hAnsi="Arial"/>
                <w:sz w:val="8"/>
                <w:szCs w:val="8"/>
                <w:color w:val="auto"/>
              </w:rPr>
              <w:t>$</w:t>
            </w:r>
          </w:p>
        </w:tc>
        <w:tc>
          <w:tcPr>
            <w:tcW w:w="460" w:type="dxa"/>
            <w:vAlign w:val="bottom"/>
            <w:shd w:val="clear" w:color="auto" w:fill="DBEEF4"/>
          </w:tcPr>
          <w:p>
            <w:pPr>
              <w:jc w:val="right"/>
              <w:spacing w:after="0"/>
              <w:rPr>
                <w:sz w:val="20"/>
                <w:szCs w:val="20"/>
                <w:color w:val="auto"/>
              </w:rPr>
            </w:pPr>
            <w:r>
              <w:rPr>
                <w:rFonts w:ascii="Arial" w:cs="Arial" w:eastAsia="Arial" w:hAnsi="Arial"/>
                <w:sz w:val="8"/>
                <w:szCs w:val="8"/>
                <w:color w:val="auto"/>
              </w:rPr>
              <w:t>4,836</w:t>
            </w:r>
          </w:p>
        </w:tc>
        <w:tc>
          <w:tcPr>
            <w:tcW w:w="360" w:type="dxa"/>
            <w:vAlign w:val="bottom"/>
            <w:gridSpan w:val="3"/>
            <w:shd w:val="clear" w:color="auto" w:fill="DBEEF4"/>
          </w:tcPr>
          <w:p>
            <w:pPr>
              <w:jc w:val="right"/>
              <w:ind w:right="80"/>
              <w:spacing w:after="0"/>
              <w:rPr>
                <w:sz w:val="20"/>
                <w:szCs w:val="20"/>
                <w:color w:val="auto"/>
              </w:rPr>
            </w:pPr>
            <w:r>
              <w:rPr>
                <w:rFonts w:ascii="Arial" w:cs="Arial" w:eastAsia="Arial" w:hAnsi="Arial"/>
                <w:sz w:val="8"/>
                <w:szCs w:val="8"/>
                <w:color w:val="auto"/>
              </w:rPr>
              <w:t>$</w:t>
            </w:r>
          </w:p>
        </w:tc>
        <w:tc>
          <w:tcPr>
            <w:tcW w:w="420" w:type="dxa"/>
            <w:vAlign w:val="bottom"/>
            <w:shd w:val="clear" w:color="auto" w:fill="DBEEF4"/>
          </w:tcPr>
          <w:p>
            <w:pPr>
              <w:jc w:val="right"/>
              <w:spacing w:after="0"/>
              <w:rPr>
                <w:sz w:val="20"/>
                <w:szCs w:val="20"/>
                <w:color w:val="auto"/>
              </w:rPr>
            </w:pPr>
            <w:r>
              <w:rPr>
                <w:rFonts w:ascii="Arial" w:cs="Arial" w:eastAsia="Arial" w:hAnsi="Arial"/>
                <w:sz w:val="8"/>
                <w:szCs w:val="8"/>
                <w:color w:val="auto"/>
              </w:rPr>
              <w:t>4,836</w:t>
            </w:r>
          </w:p>
        </w:tc>
        <w:tc>
          <w:tcPr>
            <w:tcW w:w="260" w:type="dxa"/>
            <w:vAlign w:val="bottom"/>
            <w:gridSpan w:val="2"/>
            <w:shd w:val="clear" w:color="auto" w:fill="DBEEF4"/>
          </w:tcPr>
          <w:p>
            <w:pPr>
              <w:jc w:val="right"/>
              <w:spacing w:after="0"/>
              <w:rPr>
                <w:sz w:val="20"/>
                <w:szCs w:val="20"/>
                <w:color w:val="auto"/>
              </w:rPr>
            </w:pPr>
            <w:r>
              <w:rPr>
                <w:rFonts w:ascii="Arial" w:cs="Arial" w:eastAsia="Arial" w:hAnsi="Arial"/>
                <w:sz w:val="8"/>
                <w:szCs w:val="8"/>
                <w:color w:val="auto"/>
              </w:rPr>
              <w:t>$</w:t>
            </w: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4,836</w:t>
            </w:r>
          </w:p>
        </w:tc>
        <w:tc>
          <w:tcPr>
            <w:tcW w:w="40" w:type="dxa"/>
            <w:vAlign w:val="bottom"/>
            <w:shd w:val="clear" w:color="auto" w:fill="DBEEF4"/>
          </w:tcPr>
          <w:p>
            <w:pPr>
              <w:spacing w:after="0"/>
              <w:rPr>
                <w:sz w:val="11"/>
                <w:szCs w:val="11"/>
                <w:color w:val="auto"/>
              </w:rPr>
            </w:pPr>
          </w:p>
        </w:tc>
        <w:tc>
          <w:tcPr>
            <w:tcW w:w="5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r>
      <w:tr>
        <w:trPr>
          <w:trHeight w:val="120"/>
        </w:trPr>
        <w:tc>
          <w:tcPr>
            <w:tcW w:w="20" w:type="dxa"/>
            <w:vAlign w:val="bottom"/>
          </w:tcPr>
          <w:p>
            <w:pPr>
              <w:spacing w:after="0"/>
              <w:rPr>
                <w:sz w:val="10"/>
                <w:szCs w:val="10"/>
                <w:color w:val="auto"/>
              </w:rPr>
            </w:pPr>
          </w:p>
        </w:tc>
        <w:tc>
          <w:tcPr>
            <w:tcW w:w="2900" w:type="dxa"/>
            <w:vAlign w:val="bottom"/>
            <w:gridSpan w:val="3"/>
          </w:tcPr>
          <w:p>
            <w:pPr>
              <w:ind w:left="80"/>
              <w:spacing w:after="0"/>
              <w:rPr>
                <w:sz w:val="20"/>
                <w:szCs w:val="20"/>
                <w:color w:val="auto"/>
              </w:rPr>
            </w:pPr>
            <w:r>
              <w:rPr>
                <w:rFonts w:ascii="Arial" w:cs="Arial" w:eastAsia="Arial" w:hAnsi="Arial"/>
                <w:sz w:val="8"/>
                <w:szCs w:val="8"/>
                <w:color w:val="auto"/>
              </w:rPr>
              <w:t>Revolving Loan ($30 unfunded commitment)</w:t>
            </w:r>
          </w:p>
        </w:tc>
        <w:tc>
          <w:tcPr>
            <w:tcW w:w="2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ind w:left="180"/>
              <w:spacing w:after="0"/>
              <w:rPr>
                <w:sz w:val="20"/>
                <w:szCs w:val="20"/>
                <w:color w:val="auto"/>
              </w:rPr>
            </w:pPr>
            <w:r>
              <w:rPr>
                <w:rFonts w:ascii="Arial" w:cs="Arial" w:eastAsia="Arial" w:hAnsi="Arial"/>
                <w:sz w:val="8"/>
                <w:szCs w:val="8"/>
                <w:color w:val="auto"/>
              </w:rPr>
              <w:t>6.00%/9.00%</w:t>
            </w:r>
          </w:p>
        </w:tc>
        <w:tc>
          <w:tcPr>
            <w:tcW w:w="640" w:type="dxa"/>
            <w:vAlign w:val="bottom"/>
          </w:tcPr>
          <w:p>
            <w:pPr>
              <w:ind w:left="120"/>
              <w:spacing w:after="0"/>
              <w:rPr>
                <w:sz w:val="20"/>
                <w:szCs w:val="20"/>
                <w:color w:val="auto"/>
              </w:rPr>
            </w:pPr>
            <w:r>
              <w:rPr>
                <w:rFonts w:ascii="Arial" w:cs="Arial" w:eastAsia="Arial" w:hAnsi="Arial"/>
                <w:sz w:val="8"/>
                <w:szCs w:val="8"/>
                <w:color w:val="auto"/>
              </w:rPr>
              <w:t>4/12/2018</w:t>
            </w:r>
          </w:p>
        </w:tc>
        <w:tc>
          <w:tcPr>
            <w:tcW w:w="580" w:type="dxa"/>
            <w:vAlign w:val="bottom"/>
          </w:tcPr>
          <w:p>
            <w:pPr>
              <w:ind w:left="120"/>
              <w:spacing w:after="0"/>
              <w:rPr>
                <w:sz w:val="20"/>
                <w:szCs w:val="20"/>
                <w:color w:val="auto"/>
              </w:rPr>
            </w:pPr>
            <w:r>
              <w:rPr>
                <w:rFonts w:ascii="Arial" w:cs="Arial" w:eastAsia="Arial" w:hAnsi="Arial"/>
                <w:sz w:val="8"/>
                <w:szCs w:val="8"/>
                <w:color w:val="auto"/>
              </w:rPr>
              <w:t>12/31/2021</w:t>
            </w:r>
          </w:p>
        </w:tc>
        <w:tc>
          <w:tcPr>
            <w:tcW w:w="1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286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8"/>
                <w:szCs w:val="8"/>
                <w:color w:val="auto"/>
              </w:rPr>
              <w:t>286</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286</w:t>
            </w: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4"/>
        </w:trPr>
        <w:tc>
          <w:tcPr>
            <w:tcW w:w="20" w:type="dxa"/>
            <w:vAlign w:val="bottom"/>
            <w:shd w:val="clear" w:color="auto" w:fill="DBEEF4"/>
          </w:tcPr>
          <w:p>
            <w:pPr>
              <w:spacing w:after="0"/>
              <w:rPr>
                <w:sz w:val="11"/>
                <w:szCs w:val="11"/>
                <w:color w:val="auto"/>
              </w:rPr>
            </w:pPr>
          </w:p>
        </w:tc>
        <w:tc>
          <w:tcPr>
            <w:tcW w:w="2900" w:type="dxa"/>
            <w:vAlign w:val="bottom"/>
            <w:gridSpan w:val="3"/>
            <w:shd w:val="clear" w:color="auto" w:fill="DBEEF4"/>
          </w:tcPr>
          <w:p>
            <w:pPr>
              <w:ind w:left="80"/>
              <w:spacing w:after="0"/>
              <w:rPr>
                <w:sz w:val="20"/>
                <w:szCs w:val="20"/>
                <w:color w:val="auto"/>
              </w:rPr>
            </w:pPr>
            <w:r>
              <w:rPr>
                <w:rFonts w:ascii="Arial" w:cs="Arial" w:eastAsia="Arial" w:hAnsi="Arial"/>
                <w:sz w:val="8"/>
                <w:szCs w:val="8"/>
                <w:color w:val="auto"/>
              </w:rPr>
              <w:t>Common Equity (7,478 shares) (j)</w:t>
            </w:r>
          </w:p>
        </w:tc>
        <w:tc>
          <w:tcPr>
            <w:tcW w:w="2260" w:type="dxa"/>
            <w:vAlign w:val="bottom"/>
            <w:shd w:val="clear" w:color="auto" w:fill="DBEEF4"/>
          </w:tcPr>
          <w:p>
            <w:pPr>
              <w:spacing w:after="0"/>
              <w:rPr>
                <w:sz w:val="11"/>
                <w:szCs w:val="11"/>
                <w:color w:val="auto"/>
              </w:rPr>
            </w:pPr>
          </w:p>
        </w:tc>
        <w:tc>
          <w:tcPr>
            <w:tcW w:w="1200" w:type="dxa"/>
            <w:vAlign w:val="bottom"/>
            <w:shd w:val="clear" w:color="auto" w:fill="DBEEF4"/>
          </w:tcPr>
          <w:p>
            <w:pPr>
              <w:spacing w:after="0"/>
              <w:rPr>
                <w:sz w:val="11"/>
                <w:szCs w:val="11"/>
                <w:color w:val="auto"/>
              </w:rPr>
            </w:pP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ind w:left="120"/>
              <w:spacing w:after="0"/>
              <w:rPr>
                <w:sz w:val="20"/>
                <w:szCs w:val="20"/>
                <w:color w:val="auto"/>
              </w:rPr>
            </w:pPr>
            <w:r>
              <w:rPr>
                <w:rFonts w:ascii="Arial" w:cs="Arial" w:eastAsia="Arial" w:hAnsi="Arial"/>
                <w:sz w:val="8"/>
                <w:szCs w:val="8"/>
                <w:color w:val="auto"/>
              </w:rPr>
              <w:t>11/10/2017</w:t>
            </w:r>
          </w:p>
        </w:tc>
        <w:tc>
          <w:tcPr>
            <w:tcW w:w="580" w:type="dxa"/>
            <w:vAlign w:val="bottom"/>
            <w:shd w:val="clear" w:color="auto" w:fill="DBEEF4"/>
          </w:tcPr>
          <w:p>
            <w:pPr>
              <w:spacing w:after="0"/>
              <w:rPr>
                <w:sz w:val="11"/>
                <w:szCs w:val="11"/>
                <w:color w:val="auto"/>
              </w:rPr>
            </w:pPr>
          </w:p>
        </w:tc>
        <w:tc>
          <w:tcPr>
            <w:tcW w:w="160" w:type="dxa"/>
            <w:vAlign w:val="bottom"/>
            <w:shd w:val="clear" w:color="auto" w:fill="DBEEF4"/>
          </w:tcPr>
          <w:p>
            <w:pPr>
              <w:spacing w:after="0"/>
              <w:rPr>
                <w:sz w:val="11"/>
                <w:szCs w:val="11"/>
                <w:color w:val="auto"/>
              </w:rPr>
            </w:pPr>
          </w:p>
        </w:tc>
        <w:tc>
          <w:tcPr>
            <w:tcW w:w="4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1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8"/>
                <w:szCs w:val="8"/>
                <w:color w:val="auto"/>
              </w:rPr>
              <w:t>748</w:t>
            </w:r>
          </w:p>
        </w:tc>
        <w:tc>
          <w:tcPr>
            <w:tcW w:w="200" w:type="dxa"/>
            <w:vAlign w:val="bottom"/>
            <w:shd w:val="clear" w:color="auto" w:fill="DBEEF4"/>
          </w:tcPr>
          <w:p>
            <w:pPr>
              <w:spacing w:after="0"/>
              <w:rPr>
                <w:sz w:val="11"/>
                <w:szCs w:val="11"/>
                <w:color w:val="auto"/>
              </w:rPr>
            </w:pPr>
          </w:p>
        </w:tc>
        <w:tc>
          <w:tcPr>
            <w:tcW w:w="60" w:type="dxa"/>
            <w:vAlign w:val="bottom"/>
            <w:shd w:val="clear" w:color="auto" w:fill="DBEEF4"/>
          </w:tcPr>
          <w:p>
            <w:pPr>
              <w:spacing w:after="0"/>
              <w:rPr>
                <w:sz w:val="11"/>
                <w:szCs w:val="11"/>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w:t>
            </w:r>
          </w:p>
        </w:tc>
        <w:tc>
          <w:tcPr>
            <w:tcW w:w="40" w:type="dxa"/>
            <w:vAlign w:val="bottom"/>
            <w:shd w:val="clear" w:color="auto" w:fill="DBEEF4"/>
          </w:tcPr>
          <w:p>
            <w:pPr>
              <w:spacing w:after="0"/>
              <w:rPr>
                <w:sz w:val="11"/>
                <w:szCs w:val="11"/>
                <w:color w:val="auto"/>
              </w:rPr>
            </w:pPr>
          </w:p>
        </w:tc>
        <w:tc>
          <w:tcPr>
            <w:tcW w:w="5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r>
      <w:tr>
        <w:trPr>
          <w:trHeight w:val="126"/>
        </w:trPr>
        <w:tc>
          <w:tcPr>
            <w:tcW w:w="20" w:type="dxa"/>
            <w:vAlign w:val="bottom"/>
          </w:tcPr>
          <w:p>
            <w:pPr>
              <w:spacing w:after="0"/>
              <w:rPr>
                <w:sz w:val="10"/>
                <w:szCs w:val="10"/>
                <w:color w:val="auto"/>
              </w:rPr>
            </w:pPr>
          </w:p>
        </w:tc>
        <w:tc>
          <w:tcPr>
            <w:tcW w:w="2900" w:type="dxa"/>
            <w:vAlign w:val="bottom"/>
            <w:gridSpan w:val="3"/>
          </w:tcPr>
          <w:p>
            <w:pPr>
              <w:ind w:left="80"/>
              <w:spacing w:after="0"/>
              <w:rPr>
                <w:sz w:val="20"/>
                <w:szCs w:val="20"/>
                <w:color w:val="auto"/>
              </w:rPr>
            </w:pPr>
            <w:r>
              <w:rPr>
                <w:rFonts w:ascii="Arial" w:cs="Arial" w:eastAsia="Arial" w:hAnsi="Arial"/>
                <w:sz w:val="8"/>
                <w:szCs w:val="8"/>
                <w:color w:val="auto"/>
              </w:rPr>
              <w:t>Preferred Equity (2,550 shares)</w:t>
            </w:r>
          </w:p>
        </w:tc>
        <w:tc>
          <w:tcPr>
            <w:tcW w:w="2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8"/>
                <w:szCs w:val="8"/>
                <w:color w:val="auto"/>
              </w:rPr>
              <w:t>12/26/2019</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2,550</w:t>
            </w:r>
          </w:p>
        </w:tc>
        <w:tc>
          <w:tcPr>
            <w:tcW w:w="2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2,269</w:t>
            </w: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0"/>
        </w:trPr>
        <w:tc>
          <w:tcPr>
            <w:tcW w:w="20" w:type="dxa"/>
            <w:vAlign w:val="bottom"/>
            <w:shd w:val="clear" w:color="auto" w:fill="DBEEF4"/>
          </w:tcPr>
          <w:p>
            <w:pPr>
              <w:spacing w:after="0"/>
              <w:rPr>
                <w:sz w:val="10"/>
                <w:szCs w:val="10"/>
                <w:color w:val="auto"/>
              </w:rPr>
            </w:pPr>
          </w:p>
        </w:tc>
        <w:tc>
          <w:tcPr>
            <w:tcW w:w="840" w:type="dxa"/>
            <w:vAlign w:val="bottom"/>
            <w:shd w:val="clear" w:color="auto" w:fill="DBEEF4"/>
          </w:tcPr>
          <w:p>
            <w:pPr>
              <w:spacing w:after="0"/>
              <w:rPr>
                <w:sz w:val="10"/>
                <w:szCs w:val="10"/>
                <w:color w:val="auto"/>
              </w:rPr>
            </w:pPr>
          </w:p>
        </w:tc>
        <w:tc>
          <w:tcPr>
            <w:tcW w:w="520" w:type="dxa"/>
            <w:vAlign w:val="bottom"/>
            <w:shd w:val="clear" w:color="auto" w:fill="DBEEF4"/>
          </w:tcPr>
          <w:p>
            <w:pPr>
              <w:spacing w:after="0"/>
              <w:rPr>
                <w:sz w:val="10"/>
                <w:szCs w:val="10"/>
                <w:color w:val="auto"/>
              </w:rPr>
            </w:pPr>
          </w:p>
        </w:tc>
        <w:tc>
          <w:tcPr>
            <w:tcW w:w="1540" w:type="dxa"/>
            <w:vAlign w:val="bottom"/>
            <w:shd w:val="clear" w:color="auto" w:fill="DBEEF4"/>
          </w:tcPr>
          <w:p>
            <w:pPr>
              <w:spacing w:after="0"/>
              <w:rPr>
                <w:sz w:val="10"/>
                <w:szCs w:val="10"/>
                <w:color w:val="auto"/>
              </w:rPr>
            </w:pPr>
          </w:p>
        </w:tc>
        <w:tc>
          <w:tcPr>
            <w:tcW w:w="2260" w:type="dxa"/>
            <w:vAlign w:val="bottom"/>
            <w:shd w:val="clear" w:color="auto" w:fill="DBEEF4"/>
          </w:tcPr>
          <w:p>
            <w:pPr>
              <w:spacing w:after="0"/>
              <w:rPr>
                <w:sz w:val="10"/>
                <w:szCs w:val="10"/>
                <w:color w:val="auto"/>
              </w:rPr>
            </w:pPr>
          </w:p>
        </w:tc>
        <w:tc>
          <w:tcPr>
            <w:tcW w:w="1200" w:type="dxa"/>
            <w:vAlign w:val="bottom"/>
            <w:shd w:val="clear" w:color="auto" w:fill="DBEEF4"/>
          </w:tcPr>
          <w:p>
            <w:pPr>
              <w:spacing w:after="0"/>
              <w:rPr>
                <w:sz w:val="10"/>
                <w:szCs w:val="10"/>
                <w:color w:val="auto"/>
              </w:rPr>
            </w:pPr>
          </w:p>
        </w:tc>
        <w:tc>
          <w:tcPr>
            <w:tcW w:w="820" w:type="dxa"/>
            <w:vAlign w:val="bottom"/>
            <w:shd w:val="clear" w:color="auto" w:fill="DBEEF4"/>
          </w:tcPr>
          <w:p>
            <w:pPr>
              <w:spacing w:after="0"/>
              <w:rPr>
                <w:sz w:val="10"/>
                <w:szCs w:val="10"/>
                <w:color w:val="auto"/>
              </w:rPr>
            </w:pPr>
          </w:p>
        </w:tc>
        <w:tc>
          <w:tcPr>
            <w:tcW w:w="640" w:type="dxa"/>
            <w:vAlign w:val="bottom"/>
            <w:shd w:val="clear" w:color="auto" w:fill="DBEEF4"/>
          </w:tcPr>
          <w:p>
            <w:pPr>
              <w:spacing w:after="0"/>
              <w:rPr>
                <w:sz w:val="10"/>
                <w:szCs w:val="10"/>
                <w:color w:val="auto"/>
              </w:rPr>
            </w:pPr>
          </w:p>
        </w:tc>
        <w:tc>
          <w:tcPr>
            <w:tcW w:w="580" w:type="dxa"/>
            <w:vAlign w:val="bottom"/>
            <w:shd w:val="clear" w:color="auto" w:fill="DBEEF4"/>
          </w:tcPr>
          <w:p>
            <w:pPr>
              <w:spacing w:after="0"/>
              <w:rPr>
                <w:sz w:val="10"/>
                <w:szCs w:val="10"/>
                <w:color w:val="auto"/>
              </w:rPr>
            </w:pPr>
          </w:p>
        </w:tc>
        <w:tc>
          <w:tcPr>
            <w:tcW w:w="160" w:type="dxa"/>
            <w:vAlign w:val="bottom"/>
            <w:shd w:val="clear" w:color="auto" w:fill="DBEEF4"/>
          </w:tcPr>
          <w:p>
            <w:pPr>
              <w:spacing w:after="0"/>
              <w:rPr>
                <w:sz w:val="10"/>
                <w:szCs w:val="10"/>
                <w:color w:val="auto"/>
              </w:rPr>
            </w:pPr>
          </w:p>
        </w:tc>
        <w:tc>
          <w:tcPr>
            <w:tcW w:w="460" w:type="dxa"/>
            <w:vAlign w:val="bottom"/>
            <w:shd w:val="clear" w:color="auto" w:fill="DBEEF4"/>
          </w:tcPr>
          <w:p>
            <w:pPr>
              <w:spacing w:after="0"/>
              <w:rPr>
                <w:sz w:val="10"/>
                <w:szCs w:val="10"/>
                <w:color w:val="auto"/>
              </w:rPr>
            </w:pPr>
          </w:p>
        </w:tc>
        <w:tc>
          <w:tcPr>
            <w:tcW w:w="120" w:type="dxa"/>
            <w:vAlign w:val="bottom"/>
            <w:shd w:val="clear" w:color="auto" w:fill="DBEEF4"/>
          </w:tcPr>
          <w:p>
            <w:pPr>
              <w:spacing w:after="0"/>
              <w:rPr>
                <w:sz w:val="10"/>
                <w:szCs w:val="10"/>
                <w:color w:val="auto"/>
              </w:rPr>
            </w:pPr>
          </w:p>
        </w:tc>
        <w:tc>
          <w:tcPr>
            <w:tcW w:w="100" w:type="dxa"/>
            <w:vAlign w:val="bottom"/>
            <w:shd w:val="clear" w:color="auto" w:fill="DBEEF4"/>
          </w:tcPr>
          <w:p>
            <w:pPr>
              <w:spacing w:after="0"/>
              <w:rPr>
                <w:sz w:val="10"/>
                <w:szCs w:val="10"/>
                <w:color w:val="auto"/>
              </w:rPr>
            </w:pPr>
          </w:p>
        </w:tc>
        <w:tc>
          <w:tcPr>
            <w:tcW w:w="140" w:type="dxa"/>
            <w:vAlign w:val="bottom"/>
            <w:shd w:val="clear" w:color="auto" w:fill="DBEEF4"/>
          </w:tcPr>
          <w:p>
            <w:pPr>
              <w:spacing w:after="0"/>
              <w:rPr>
                <w:sz w:val="10"/>
                <w:szCs w:val="10"/>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8"/>
                <w:szCs w:val="8"/>
                <w:color w:val="auto"/>
              </w:rPr>
              <w:t>8,420</w:t>
            </w:r>
          </w:p>
        </w:tc>
        <w:tc>
          <w:tcPr>
            <w:tcW w:w="200" w:type="dxa"/>
            <w:vAlign w:val="bottom"/>
            <w:shd w:val="clear" w:color="auto" w:fill="DBEEF4"/>
          </w:tcPr>
          <w:p>
            <w:pPr>
              <w:spacing w:after="0"/>
              <w:rPr>
                <w:sz w:val="10"/>
                <w:szCs w:val="10"/>
                <w:color w:val="auto"/>
              </w:rPr>
            </w:pPr>
          </w:p>
        </w:tc>
        <w:tc>
          <w:tcPr>
            <w:tcW w:w="60" w:type="dxa"/>
            <w:vAlign w:val="bottom"/>
            <w:shd w:val="clear" w:color="auto" w:fill="DBEEF4"/>
          </w:tcPr>
          <w:p>
            <w:pPr>
              <w:spacing w:after="0"/>
              <w:rPr>
                <w:sz w:val="10"/>
                <w:szCs w:val="10"/>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7,391</w:t>
            </w:r>
          </w:p>
        </w:tc>
        <w:tc>
          <w:tcPr>
            <w:tcW w:w="720" w:type="dxa"/>
            <w:vAlign w:val="bottom"/>
            <w:gridSpan w:val="3"/>
            <w:shd w:val="clear" w:color="auto" w:fill="DBEEF4"/>
          </w:tcPr>
          <w:p>
            <w:pPr>
              <w:jc w:val="right"/>
              <w:ind w:right="40"/>
              <w:spacing w:after="0"/>
              <w:rPr>
                <w:sz w:val="20"/>
                <w:szCs w:val="20"/>
                <w:color w:val="auto"/>
              </w:rPr>
            </w:pPr>
            <w:r>
              <w:rPr>
                <w:rFonts w:ascii="Arial" w:cs="Arial" w:eastAsia="Arial" w:hAnsi="Arial"/>
                <w:sz w:val="8"/>
                <w:szCs w:val="8"/>
                <w:color w:val="auto"/>
              </w:rPr>
              <w:t>2 %</w:t>
            </w:r>
          </w:p>
        </w:tc>
      </w:tr>
      <w:tr>
        <w:trPr>
          <w:trHeight w:val="120"/>
        </w:trPr>
        <w:tc>
          <w:tcPr>
            <w:tcW w:w="2920" w:type="dxa"/>
            <w:vAlign w:val="bottom"/>
            <w:gridSpan w:val="4"/>
          </w:tcPr>
          <w:p>
            <w:pPr>
              <w:ind w:left="20"/>
              <w:spacing w:after="0"/>
              <w:rPr>
                <w:sz w:val="20"/>
                <w:szCs w:val="20"/>
                <w:color w:val="auto"/>
              </w:rPr>
            </w:pPr>
            <w:r>
              <w:rPr>
                <w:rFonts w:ascii="Arial" w:cs="Arial" w:eastAsia="Arial" w:hAnsi="Arial"/>
                <w:sz w:val="8"/>
                <w:szCs w:val="8"/>
                <w:i w:val="1"/>
                <w:iCs w:val="1"/>
                <w:color w:val="auto"/>
              </w:rPr>
              <w:t>US GreenFiber, LLC</w:t>
            </w:r>
          </w:p>
        </w:tc>
        <w:tc>
          <w:tcPr>
            <w:tcW w:w="2260" w:type="dxa"/>
            <w:vAlign w:val="bottom"/>
          </w:tcPr>
          <w:p>
            <w:pPr>
              <w:ind w:left="800"/>
              <w:spacing w:after="0"/>
              <w:rPr>
                <w:sz w:val="20"/>
                <w:szCs w:val="20"/>
                <w:color w:val="auto"/>
              </w:rPr>
            </w:pPr>
            <w:r>
              <w:rPr>
                <w:rFonts w:ascii="Arial" w:cs="Arial" w:eastAsia="Arial" w:hAnsi="Arial"/>
                <w:sz w:val="8"/>
                <w:szCs w:val="8"/>
                <w:color w:val="auto"/>
              </w:rPr>
              <w:t>Building Products Manufacturing</w:t>
            </w: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4"/>
        </w:trPr>
        <w:tc>
          <w:tcPr>
            <w:tcW w:w="20" w:type="dxa"/>
            <w:vAlign w:val="bottom"/>
            <w:shd w:val="clear" w:color="auto" w:fill="DBEEF4"/>
          </w:tcPr>
          <w:p>
            <w:pPr>
              <w:spacing w:after="0"/>
              <w:rPr>
                <w:sz w:val="11"/>
                <w:szCs w:val="11"/>
                <w:color w:val="auto"/>
              </w:rPr>
            </w:pPr>
          </w:p>
        </w:tc>
        <w:tc>
          <w:tcPr>
            <w:tcW w:w="2900" w:type="dxa"/>
            <w:vAlign w:val="bottom"/>
            <w:gridSpan w:val="3"/>
            <w:shd w:val="clear" w:color="auto" w:fill="DBEEF4"/>
          </w:tcPr>
          <w:p>
            <w:pPr>
              <w:ind w:left="80"/>
              <w:spacing w:after="0"/>
              <w:rPr>
                <w:sz w:val="20"/>
                <w:szCs w:val="20"/>
                <w:color w:val="auto"/>
              </w:rPr>
            </w:pPr>
            <w:r>
              <w:rPr>
                <w:rFonts w:ascii="Arial" w:cs="Arial" w:eastAsia="Arial" w:hAnsi="Arial"/>
                <w:sz w:val="8"/>
                <w:szCs w:val="8"/>
                <w:color w:val="auto"/>
              </w:rPr>
              <w:t>Second Lien Debt (j)</w:t>
            </w:r>
          </w:p>
        </w:tc>
        <w:tc>
          <w:tcPr>
            <w:tcW w:w="2260" w:type="dxa"/>
            <w:vAlign w:val="bottom"/>
            <w:shd w:val="clear" w:color="auto" w:fill="DBEEF4"/>
          </w:tcPr>
          <w:p>
            <w:pPr>
              <w:spacing w:after="0"/>
              <w:rPr>
                <w:sz w:val="11"/>
                <w:szCs w:val="11"/>
                <w:color w:val="auto"/>
              </w:rPr>
            </w:pPr>
          </w:p>
        </w:tc>
        <w:tc>
          <w:tcPr>
            <w:tcW w:w="1200" w:type="dxa"/>
            <w:vAlign w:val="bottom"/>
            <w:shd w:val="clear" w:color="auto" w:fill="DBEEF4"/>
          </w:tcPr>
          <w:p>
            <w:pPr>
              <w:spacing w:after="0"/>
              <w:rPr>
                <w:sz w:val="11"/>
                <w:szCs w:val="11"/>
                <w:color w:val="auto"/>
              </w:rPr>
            </w:pPr>
          </w:p>
        </w:tc>
        <w:tc>
          <w:tcPr>
            <w:tcW w:w="820" w:type="dxa"/>
            <w:vAlign w:val="bottom"/>
            <w:shd w:val="clear" w:color="auto" w:fill="DBEEF4"/>
          </w:tcPr>
          <w:p>
            <w:pPr>
              <w:ind w:left="180"/>
              <w:spacing w:after="0"/>
              <w:rPr>
                <w:sz w:val="20"/>
                <w:szCs w:val="20"/>
                <w:color w:val="auto"/>
              </w:rPr>
            </w:pPr>
            <w:r>
              <w:rPr>
                <w:rFonts w:ascii="Arial" w:cs="Arial" w:eastAsia="Arial" w:hAnsi="Arial"/>
                <w:sz w:val="8"/>
                <w:szCs w:val="8"/>
                <w:color w:val="auto"/>
              </w:rPr>
              <w:t>8.00%/5.00%</w:t>
            </w:r>
          </w:p>
        </w:tc>
        <w:tc>
          <w:tcPr>
            <w:tcW w:w="640" w:type="dxa"/>
            <w:vAlign w:val="bottom"/>
            <w:shd w:val="clear" w:color="auto" w:fill="DBEEF4"/>
          </w:tcPr>
          <w:p>
            <w:pPr>
              <w:ind w:left="120"/>
              <w:spacing w:after="0"/>
              <w:rPr>
                <w:sz w:val="20"/>
                <w:szCs w:val="20"/>
                <w:color w:val="auto"/>
              </w:rPr>
            </w:pPr>
            <w:r>
              <w:rPr>
                <w:rFonts w:ascii="Arial" w:cs="Arial" w:eastAsia="Arial" w:hAnsi="Arial"/>
                <w:sz w:val="8"/>
                <w:szCs w:val="8"/>
                <w:color w:val="auto"/>
              </w:rPr>
              <w:t>7/3/2014</w:t>
            </w:r>
          </w:p>
        </w:tc>
        <w:tc>
          <w:tcPr>
            <w:tcW w:w="580" w:type="dxa"/>
            <w:vAlign w:val="bottom"/>
            <w:shd w:val="clear" w:color="auto" w:fill="DBEEF4"/>
          </w:tcPr>
          <w:p>
            <w:pPr>
              <w:ind w:left="120"/>
              <w:spacing w:after="0"/>
              <w:rPr>
                <w:sz w:val="20"/>
                <w:szCs w:val="20"/>
                <w:color w:val="auto"/>
              </w:rPr>
            </w:pPr>
            <w:r>
              <w:rPr>
                <w:rFonts w:ascii="Arial" w:cs="Arial" w:eastAsia="Arial" w:hAnsi="Arial"/>
                <w:sz w:val="8"/>
                <w:szCs w:val="8"/>
                <w:color w:val="auto"/>
              </w:rPr>
              <w:t>8/30/2024</w:t>
            </w:r>
          </w:p>
        </w:tc>
        <w:tc>
          <w:tcPr>
            <w:tcW w:w="160" w:type="dxa"/>
            <w:vAlign w:val="bottom"/>
            <w:shd w:val="clear" w:color="auto" w:fill="DBEEF4"/>
          </w:tcPr>
          <w:p>
            <w:pPr>
              <w:spacing w:after="0"/>
              <w:rPr>
                <w:sz w:val="11"/>
                <w:szCs w:val="11"/>
                <w:color w:val="auto"/>
              </w:rPr>
            </w:pPr>
          </w:p>
        </w:tc>
        <w:tc>
          <w:tcPr>
            <w:tcW w:w="460" w:type="dxa"/>
            <w:vAlign w:val="bottom"/>
            <w:shd w:val="clear" w:color="auto" w:fill="DBEEF4"/>
          </w:tcPr>
          <w:p>
            <w:pPr>
              <w:jc w:val="right"/>
              <w:spacing w:after="0"/>
              <w:rPr>
                <w:sz w:val="20"/>
                <w:szCs w:val="20"/>
                <w:color w:val="auto"/>
              </w:rPr>
            </w:pPr>
            <w:r>
              <w:rPr>
                <w:rFonts w:ascii="Arial" w:cs="Arial" w:eastAsia="Arial" w:hAnsi="Arial"/>
                <w:sz w:val="8"/>
                <w:szCs w:val="8"/>
                <w:color w:val="auto"/>
              </w:rPr>
              <w:t>15,382</w:t>
            </w:r>
          </w:p>
        </w:tc>
        <w:tc>
          <w:tcPr>
            <w:tcW w:w="120" w:type="dxa"/>
            <w:vAlign w:val="bottom"/>
            <w:shd w:val="clear" w:color="auto" w:fill="DBEEF4"/>
          </w:tcPr>
          <w:p>
            <w:pPr>
              <w:spacing w:after="0"/>
              <w:rPr>
                <w:sz w:val="11"/>
                <w:szCs w:val="11"/>
                <w:color w:val="auto"/>
              </w:rPr>
            </w:pPr>
          </w:p>
        </w:tc>
        <w:tc>
          <w:tcPr>
            <w:tcW w:w="1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8"/>
                <w:szCs w:val="8"/>
                <w:color w:val="auto"/>
              </w:rPr>
              <w:t>15,378</w:t>
            </w:r>
          </w:p>
        </w:tc>
        <w:tc>
          <w:tcPr>
            <w:tcW w:w="200" w:type="dxa"/>
            <w:vAlign w:val="bottom"/>
            <w:shd w:val="clear" w:color="auto" w:fill="DBEEF4"/>
          </w:tcPr>
          <w:p>
            <w:pPr>
              <w:spacing w:after="0"/>
              <w:rPr>
                <w:sz w:val="11"/>
                <w:szCs w:val="11"/>
                <w:color w:val="auto"/>
              </w:rPr>
            </w:pPr>
          </w:p>
        </w:tc>
        <w:tc>
          <w:tcPr>
            <w:tcW w:w="60" w:type="dxa"/>
            <w:vAlign w:val="bottom"/>
            <w:shd w:val="clear" w:color="auto" w:fill="DBEEF4"/>
          </w:tcPr>
          <w:p>
            <w:pPr>
              <w:spacing w:after="0"/>
              <w:rPr>
                <w:sz w:val="11"/>
                <w:szCs w:val="11"/>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13,078</w:t>
            </w:r>
          </w:p>
        </w:tc>
        <w:tc>
          <w:tcPr>
            <w:tcW w:w="40" w:type="dxa"/>
            <w:vAlign w:val="bottom"/>
            <w:shd w:val="clear" w:color="auto" w:fill="DBEEF4"/>
          </w:tcPr>
          <w:p>
            <w:pPr>
              <w:spacing w:after="0"/>
              <w:rPr>
                <w:sz w:val="11"/>
                <w:szCs w:val="11"/>
                <w:color w:val="auto"/>
              </w:rPr>
            </w:pPr>
          </w:p>
        </w:tc>
        <w:tc>
          <w:tcPr>
            <w:tcW w:w="5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r>
      <w:tr>
        <w:trPr>
          <w:trHeight w:val="120"/>
        </w:trPr>
        <w:tc>
          <w:tcPr>
            <w:tcW w:w="20" w:type="dxa"/>
            <w:vAlign w:val="bottom"/>
          </w:tcPr>
          <w:p>
            <w:pPr>
              <w:spacing w:after="0"/>
              <w:rPr>
                <w:sz w:val="10"/>
                <w:szCs w:val="10"/>
                <w:color w:val="auto"/>
              </w:rPr>
            </w:pPr>
          </w:p>
        </w:tc>
        <w:tc>
          <w:tcPr>
            <w:tcW w:w="2900" w:type="dxa"/>
            <w:vAlign w:val="bottom"/>
            <w:gridSpan w:val="3"/>
          </w:tcPr>
          <w:p>
            <w:pPr>
              <w:ind w:left="80"/>
              <w:spacing w:after="0"/>
              <w:rPr>
                <w:sz w:val="20"/>
                <w:szCs w:val="20"/>
                <w:color w:val="auto"/>
              </w:rPr>
            </w:pPr>
            <w:r>
              <w:rPr>
                <w:rFonts w:ascii="Arial" w:cs="Arial" w:eastAsia="Arial" w:hAnsi="Arial"/>
                <w:sz w:val="8"/>
                <w:szCs w:val="8"/>
                <w:color w:val="auto"/>
              </w:rPr>
              <w:t>Second Lien Debt (j)</w:t>
            </w:r>
          </w:p>
        </w:tc>
        <w:tc>
          <w:tcPr>
            <w:tcW w:w="2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ind w:left="180"/>
              <w:spacing w:after="0"/>
              <w:rPr>
                <w:sz w:val="20"/>
                <w:szCs w:val="20"/>
                <w:color w:val="auto"/>
              </w:rPr>
            </w:pPr>
            <w:r>
              <w:rPr>
                <w:rFonts w:ascii="Arial" w:cs="Arial" w:eastAsia="Arial" w:hAnsi="Arial"/>
                <w:sz w:val="8"/>
                <w:szCs w:val="8"/>
                <w:color w:val="auto"/>
              </w:rPr>
              <w:t>8.50%/6.50%</w:t>
            </w:r>
          </w:p>
        </w:tc>
        <w:tc>
          <w:tcPr>
            <w:tcW w:w="640" w:type="dxa"/>
            <w:vAlign w:val="bottom"/>
          </w:tcPr>
          <w:p>
            <w:pPr>
              <w:ind w:left="120"/>
              <w:spacing w:after="0"/>
              <w:rPr>
                <w:sz w:val="20"/>
                <w:szCs w:val="20"/>
                <w:color w:val="auto"/>
              </w:rPr>
            </w:pPr>
            <w:r>
              <w:rPr>
                <w:rFonts w:ascii="Arial" w:cs="Arial" w:eastAsia="Arial" w:hAnsi="Arial"/>
                <w:sz w:val="8"/>
                <w:szCs w:val="8"/>
                <w:color w:val="auto"/>
              </w:rPr>
              <w:t>11/9/2018</w:t>
            </w:r>
          </w:p>
        </w:tc>
        <w:tc>
          <w:tcPr>
            <w:tcW w:w="580" w:type="dxa"/>
            <w:vAlign w:val="bottom"/>
          </w:tcPr>
          <w:p>
            <w:pPr>
              <w:ind w:left="120"/>
              <w:spacing w:after="0"/>
              <w:rPr>
                <w:sz w:val="20"/>
                <w:szCs w:val="20"/>
                <w:color w:val="auto"/>
              </w:rPr>
            </w:pPr>
            <w:r>
              <w:rPr>
                <w:rFonts w:ascii="Arial" w:cs="Arial" w:eastAsia="Arial" w:hAnsi="Arial"/>
                <w:sz w:val="8"/>
                <w:szCs w:val="8"/>
                <w:color w:val="auto"/>
              </w:rPr>
              <w:t>8/30/2024</w:t>
            </w:r>
          </w:p>
        </w:tc>
        <w:tc>
          <w:tcPr>
            <w:tcW w:w="1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5,028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8"/>
                <w:szCs w:val="8"/>
                <w:color w:val="auto"/>
              </w:rPr>
              <w:t>5,028</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5,183</w:t>
            </w: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4"/>
        </w:trPr>
        <w:tc>
          <w:tcPr>
            <w:tcW w:w="20" w:type="dxa"/>
            <w:vAlign w:val="bottom"/>
            <w:shd w:val="clear" w:color="auto" w:fill="DBEEF4"/>
          </w:tcPr>
          <w:p>
            <w:pPr>
              <w:spacing w:after="0"/>
              <w:rPr>
                <w:sz w:val="11"/>
                <w:szCs w:val="11"/>
                <w:color w:val="auto"/>
              </w:rPr>
            </w:pPr>
          </w:p>
        </w:tc>
        <w:tc>
          <w:tcPr>
            <w:tcW w:w="2900" w:type="dxa"/>
            <w:vAlign w:val="bottom"/>
            <w:gridSpan w:val="3"/>
            <w:shd w:val="clear" w:color="auto" w:fill="DBEEF4"/>
          </w:tcPr>
          <w:p>
            <w:pPr>
              <w:ind w:left="80"/>
              <w:spacing w:after="0"/>
              <w:rPr>
                <w:sz w:val="20"/>
                <w:szCs w:val="20"/>
                <w:color w:val="auto"/>
              </w:rPr>
            </w:pPr>
            <w:r>
              <w:rPr>
                <w:rFonts w:ascii="Arial" w:cs="Arial" w:eastAsia="Arial" w:hAnsi="Arial"/>
                <w:sz w:val="8"/>
                <w:szCs w:val="8"/>
                <w:color w:val="auto"/>
              </w:rPr>
              <w:t>Second Lien Debt (j)</w:t>
            </w:r>
          </w:p>
        </w:tc>
        <w:tc>
          <w:tcPr>
            <w:tcW w:w="2260" w:type="dxa"/>
            <w:vAlign w:val="bottom"/>
            <w:shd w:val="clear" w:color="auto" w:fill="DBEEF4"/>
          </w:tcPr>
          <w:p>
            <w:pPr>
              <w:spacing w:after="0"/>
              <w:rPr>
                <w:sz w:val="11"/>
                <w:szCs w:val="11"/>
                <w:color w:val="auto"/>
              </w:rPr>
            </w:pPr>
          </w:p>
        </w:tc>
        <w:tc>
          <w:tcPr>
            <w:tcW w:w="1200" w:type="dxa"/>
            <w:vAlign w:val="bottom"/>
            <w:shd w:val="clear" w:color="auto" w:fill="DBEEF4"/>
          </w:tcPr>
          <w:p>
            <w:pPr>
              <w:spacing w:after="0"/>
              <w:rPr>
                <w:sz w:val="11"/>
                <w:szCs w:val="11"/>
                <w:color w:val="auto"/>
              </w:rPr>
            </w:pPr>
          </w:p>
        </w:tc>
        <w:tc>
          <w:tcPr>
            <w:tcW w:w="820" w:type="dxa"/>
            <w:vAlign w:val="bottom"/>
            <w:shd w:val="clear" w:color="auto" w:fill="DBEEF4"/>
          </w:tcPr>
          <w:p>
            <w:pPr>
              <w:ind w:left="180"/>
              <w:spacing w:after="0"/>
              <w:rPr>
                <w:sz w:val="20"/>
                <w:szCs w:val="20"/>
                <w:color w:val="auto"/>
              </w:rPr>
            </w:pPr>
            <w:r>
              <w:rPr>
                <w:rFonts w:ascii="Arial" w:cs="Arial" w:eastAsia="Arial" w:hAnsi="Arial"/>
                <w:sz w:val="8"/>
                <w:szCs w:val="8"/>
                <w:color w:val="auto"/>
              </w:rPr>
              <w:t>8.50%/6.50%</w:t>
            </w:r>
          </w:p>
        </w:tc>
        <w:tc>
          <w:tcPr>
            <w:tcW w:w="640" w:type="dxa"/>
            <w:vAlign w:val="bottom"/>
            <w:shd w:val="clear" w:color="auto" w:fill="DBEEF4"/>
          </w:tcPr>
          <w:p>
            <w:pPr>
              <w:ind w:left="120"/>
              <w:spacing w:after="0"/>
              <w:rPr>
                <w:sz w:val="20"/>
                <w:szCs w:val="20"/>
                <w:color w:val="auto"/>
              </w:rPr>
            </w:pPr>
            <w:r>
              <w:rPr>
                <w:rFonts w:ascii="Arial" w:cs="Arial" w:eastAsia="Arial" w:hAnsi="Arial"/>
                <w:sz w:val="8"/>
                <w:szCs w:val="8"/>
                <w:color w:val="auto"/>
              </w:rPr>
              <w:t>8/10/2020</w:t>
            </w:r>
          </w:p>
        </w:tc>
        <w:tc>
          <w:tcPr>
            <w:tcW w:w="580" w:type="dxa"/>
            <w:vAlign w:val="bottom"/>
            <w:shd w:val="clear" w:color="auto" w:fill="DBEEF4"/>
          </w:tcPr>
          <w:p>
            <w:pPr>
              <w:ind w:left="120"/>
              <w:spacing w:after="0"/>
              <w:rPr>
                <w:sz w:val="20"/>
                <w:szCs w:val="20"/>
                <w:color w:val="auto"/>
              </w:rPr>
            </w:pPr>
            <w:r>
              <w:rPr>
                <w:rFonts w:ascii="Arial" w:cs="Arial" w:eastAsia="Arial" w:hAnsi="Arial"/>
                <w:sz w:val="8"/>
                <w:szCs w:val="8"/>
                <w:color w:val="auto"/>
              </w:rPr>
              <w:t>8/30/2024</w:t>
            </w:r>
          </w:p>
        </w:tc>
        <w:tc>
          <w:tcPr>
            <w:tcW w:w="160" w:type="dxa"/>
            <w:vAlign w:val="bottom"/>
            <w:shd w:val="clear" w:color="auto" w:fill="DBEEF4"/>
          </w:tcPr>
          <w:p>
            <w:pPr>
              <w:spacing w:after="0"/>
              <w:rPr>
                <w:sz w:val="11"/>
                <w:szCs w:val="11"/>
                <w:color w:val="auto"/>
              </w:rPr>
            </w:pPr>
          </w:p>
        </w:tc>
        <w:tc>
          <w:tcPr>
            <w:tcW w:w="460" w:type="dxa"/>
            <w:vAlign w:val="bottom"/>
            <w:shd w:val="clear" w:color="auto" w:fill="DBEEF4"/>
          </w:tcPr>
          <w:p>
            <w:pPr>
              <w:jc w:val="right"/>
              <w:spacing w:after="0"/>
              <w:rPr>
                <w:sz w:val="20"/>
                <w:szCs w:val="20"/>
                <w:color w:val="auto"/>
              </w:rPr>
            </w:pPr>
            <w:r>
              <w:rPr>
                <w:rFonts w:ascii="Arial" w:cs="Arial" w:eastAsia="Arial" w:hAnsi="Arial"/>
                <w:sz w:val="8"/>
                <w:szCs w:val="8"/>
                <w:color w:val="auto"/>
              </w:rPr>
              <w:t>2,533</w:t>
            </w:r>
          </w:p>
        </w:tc>
        <w:tc>
          <w:tcPr>
            <w:tcW w:w="120" w:type="dxa"/>
            <w:vAlign w:val="bottom"/>
            <w:shd w:val="clear" w:color="auto" w:fill="DBEEF4"/>
          </w:tcPr>
          <w:p>
            <w:pPr>
              <w:spacing w:after="0"/>
              <w:rPr>
                <w:sz w:val="11"/>
                <w:szCs w:val="11"/>
                <w:color w:val="auto"/>
              </w:rPr>
            </w:pPr>
          </w:p>
        </w:tc>
        <w:tc>
          <w:tcPr>
            <w:tcW w:w="1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8"/>
                <w:szCs w:val="8"/>
                <w:color w:val="auto"/>
              </w:rPr>
              <w:t>2,533</w:t>
            </w:r>
          </w:p>
        </w:tc>
        <w:tc>
          <w:tcPr>
            <w:tcW w:w="200" w:type="dxa"/>
            <w:vAlign w:val="bottom"/>
            <w:shd w:val="clear" w:color="auto" w:fill="DBEEF4"/>
          </w:tcPr>
          <w:p>
            <w:pPr>
              <w:spacing w:after="0"/>
              <w:rPr>
                <w:sz w:val="11"/>
                <w:szCs w:val="11"/>
                <w:color w:val="auto"/>
              </w:rPr>
            </w:pPr>
          </w:p>
        </w:tc>
        <w:tc>
          <w:tcPr>
            <w:tcW w:w="60" w:type="dxa"/>
            <w:vAlign w:val="bottom"/>
            <w:shd w:val="clear" w:color="auto" w:fill="DBEEF4"/>
          </w:tcPr>
          <w:p>
            <w:pPr>
              <w:spacing w:after="0"/>
              <w:rPr>
                <w:sz w:val="11"/>
                <w:szCs w:val="11"/>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2,601</w:t>
            </w:r>
          </w:p>
        </w:tc>
        <w:tc>
          <w:tcPr>
            <w:tcW w:w="40" w:type="dxa"/>
            <w:vAlign w:val="bottom"/>
            <w:shd w:val="clear" w:color="auto" w:fill="DBEEF4"/>
          </w:tcPr>
          <w:p>
            <w:pPr>
              <w:spacing w:after="0"/>
              <w:rPr>
                <w:sz w:val="11"/>
                <w:szCs w:val="11"/>
                <w:color w:val="auto"/>
              </w:rPr>
            </w:pPr>
          </w:p>
        </w:tc>
        <w:tc>
          <w:tcPr>
            <w:tcW w:w="5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r>
      <w:tr>
        <w:trPr>
          <w:trHeight w:val="120"/>
        </w:trPr>
        <w:tc>
          <w:tcPr>
            <w:tcW w:w="20" w:type="dxa"/>
            <w:vAlign w:val="bottom"/>
          </w:tcPr>
          <w:p>
            <w:pPr>
              <w:spacing w:after="0"/>
              <w:rPr>
                <w:sz w:val="10"/>
                <w:szCs w:val="10"/>
                <w:color w:val="auto"/>
              </w:rPr>
            </w:pPr>
          </w:p>
        </w:tc>
        <w:tc>
          <w:tcPr>
            <w:tcW w:w="2900" w:type="dxa"/>
            <w:vAlign w:val="bottom"/>
            <w:gridSpan w:val="3"/>
          </w:tcPr>
          <w:p>
            <w:pPr>
              <w:ind w:left="80"/>
              <w:spacing w:after="0"/>
              <w:rPr>
                <w:sz w:val="20"/>
                <w:szCs w:val="20"/>
                <w:color w:val="auto"/>
              </w:rPr>
            </w:pPr>
            <w:r>
              <w:rPr>
                <w:rFonts w:ascii="Arial" w:cs="Arial" w:eastAsia="Arial" w:hAnsi="Arial"/>
                <w:sz w:val="8"/>
                <w:szCs w:val="8"/>
                <w:color w:val="auto"/>
              </w:rPr>
              <w:t>Common Equity (2,522 units) (h)(j)</w:t>
            </w:r>
          </w:p>
        </w:tc>
        <w:tc>
          <w:tcPr>
            <w:tcW w:w="2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8"/>
                <w:szCs w:val="8"/>
                <w:color w:val="auto"/>
              </w:rPr>
              <w:t>7/3/2014</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8"/>
                <w:szCs w:val="8"/>
                <w:color w:val="auto"/>
              </w:rPr>
              <w:t>586</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4"/>
        </w:trPr>
        <w:tc>
          <w:tcPr>
            <w:tcW w:w="20" w:type="dxa"/>
            <w:vAlign w:val="bottom"/>
            <w:shd w:val="clear" w:color="auto" w:fill="DBEEF4"/>
          </w:tcPr>
          <w:p>
            <w:pPr>
              <w:spacing w:after="0"/>
              <w:rPr>
                <w:sz w:val="11"/>
                <w:szCs w:val="11"/>
                <w:color w:val="auto"/>
              </w:rPr>
            </w:pPr>
          </w:p>
        </w:tc>
        <w:tc>
          <w:tcPr>
            <w:tcW w:w="2900" w:type="dxa"/>
            <w:vAlign w:val="bottom"/>
            <w:gridSpan w:val="3"/>
            <w:shd w:val="clear" w:color="auto" w:fill="DBEEF4"/>
          </w:tcPr>
          <w:p>
            <w:pPr>
              <w:ind w:left="80"/>
              <w:spacing w:after="0"/>
              <w:rPr>
                <w:sz w:val="20"/>
                <w:szCs w:val="20"/>
                <w:color w:val="auto"/>
              </w:rPr>
            </w:pPr>
            <w:r>
              <w:rPr>
                <w:rFonts w:ascii="Arial" w:cs="Arial" w:eastAsia="Arial" w:hAnsi="Arial"/>
                <w:sz w:val="8"/>
                <w:szCs w:val="8"/>
                <w:color w:val="auto"/>
              </w:rPr>
              <w:t>Common Equity (425,508 units) (j)</w:t>
            </w:r>
          </w:p>
        </w:tc>
        <w:tc>
          <w:tcPr>
            <w:tcW w:w="2260" w:type="dxa"/>
            <w:vAlign w:val="bottom"/>
            <w:shd w:val="clear" w:color="auto" w:fill="DBEEF4"/>
          </w:tcPr>
          <w:p>
            <w:pPr>
              <w:spacing w:after="0"/>
              <w:rPr>
                <w:sz w:val="11"/>
                <w:szCs w:val="11"/>
                <w:color w:val="auto"/>
              </w:rPr>
            </w:pPr>
          </w:p>
        </w:tc>
        <w:tc>
          <w:tcPr>
            <w:tcW w:w="1200" w:type="dxa"/>
            <w:vAlign w:val="bottom"/>
            <w:shd w:val="clear" w:color="auto" w:fill="DBEEF4"/>
          </w:tcPr>
          <w:p>
            <w:pPr>
              <w:spacing w:after="0"/>
              <w:rPr>
                <w:sz w:val="11"/>
                <w:szCs w:val="11"/>
                <w:color w:val="auto"/>
              </w:rPr>
            </w:pP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ind w:left="120"/>
              <w:spacing w:after="0"/>
              <w:rPr>
                <w:sz w:val="20"/>
                <w:szCs w:val="20"/>
                <w:color w:val="auto"/>
              </w:rPr>
            </w:pPr>
            <w:r>
              <w:rPr>
                <w:rFonts w:ascii="Arial" w:cs="Arial" w:eastAsia="Arial" w:hAnsi="Arial"/>
                <w:sz w:val="8"/>
                <w:szCs w:val="8"/>
                <w:color w:val="auto"/>
              </w:rPr>
              <w:t>8/30/2019</w:t>
            </w:r>
          </w:p>
        </w:tc>
        <w:tc>
          <w:tcPr>
            <w:tcW w:w="580" w:type="dxa"/>
            <w:vAlign w:val="bottom"/>
            <w:shd w:val="clear" w:color="auto" w:fill="DBEEF4"/>
          </w:tcPr>
          <w:p>
            <w:pPr>
              <w:spacing w:after="0"/>
              <w:rPr>
                <w:sz w:val="11"/>
                <w:szCs w:val="11"/>
                <w:color w:val="auto"/>
              </w:rPr>
            </w:pPr>
          </w:p>
        </w:tc>
        <w:tc>
          <w:tcPr>
            <w:tcW w:w="160" w:type="dxa"/>
            <w:vAlign w:val="bottom"/>
            <w:shd w:val="clear" w:color="auto" w:fill="DBEEF4"/>
          </w:tcPr>
          <w:p>
            <w:pPr>
              <w:spacing w:after="0"/>
              <w:rPr>
                <w:sz w:val="11"/>
                <w:szCs w:val="11"/>
                <w:color w:val="auto"/>
              </w:rPr>
            </w:pPr>
          </w:p>
        </w:tc>
        <w:tc>
          <w:tcPr>
            <w:tcW w:w="4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1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8"/>
                <w:szCs w:val="8"/>
                <w:color w:val="auto"/>
              </w:rPr>
              <w:t>1</w:t>
            </w:r>
          </w:p>
        </w:tc>
        <w:tc>
          <w:tcPr>
            <w:tcW w:w="200" w:type="dxa"/>
            <w:vAlign w:val="bottom"/>
            <w:shd w:val="clear" w:color="auto" w:fill="DBEEF4"/>
          </w:tcPr>
          <w:p>
            <w:pPr>
              <w:spacing w:after="0"/>
              <w:rPr>
                <w:sz w:val="11"/>
                <w:szCs w:val="11"/>
                <w:color w:val="auto"/>
              </w:rPr>
            </w:pPr>
          </w:p>
        </w:tc>
        <w:tc>
          <w:tcPr>
            <w:tcW w:w="60" w:type="dxa"/>
            <w:vAlign w:val="bottom"/>
            <w:shd w:val="clear" w:color="auto" w:fill="DBEEF4"/>
          </w:tcPr>
          <w:p>
            <w:pPr>
              <w:spacing w:after="0"/>
              <w:rPr>
                <w:sz w:val="11"/>
                <w:szCs w:val="11"/>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w:t>
            </w:r>
          </w:p>
        </w:tc>
        <w:tc>
          <w:tcPr>
            <w:tcW w:w="40" w:type="dxa"/>
            <w:vAlign w:val="bottom"/>
            <w:shd w:val="clear" w:color="auto" w:fill="DBEEF4"/>
          </w:tcPr>
          <w:p>
            <w:pPr>
              <w:spacing w:after="0"/>
              <w:rPr>
                <w:sz w:val="11"/>
                <w:szCs w:val="11"/>
                <w:color w:val="auto"/>
              </w:rPr>
            </w:pPr>
          </w:p>
        </w:tc>
        <w:tc>
          <w:tcPr>
            <w:tcW w:w="5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r>
      <w:tr>
        <w:trPr>
          <w:trHeight w:val="126"/>
        </w:trPr>
        <w:tc>
          <w:tcPr>
            <w:tcW w:w="20" w:type="dxa"/>
            <w:vAlign w:val="bottom"/>
          </w:tcPr>
          <w:p>
            <w:pPr>
              <w:spacing w:after="0"/>
              <w:rPr>
                <w:sz w:val="10"/>
                <w:szCs w:val="10"/>
                <w:color w:val="auto"/>
              </w:rPr>
            </w:pPr>
          </w:p>
        </w:tc>
        <w:tc>
          <w:tcPr>
            <w:tcW w:w="2900" w:type="dxa"/>
            <w:vAlign w:val="bottom"/>
            <w:gridSpan w:val="3"/>
          </w:tcPr>
          <w:p>
            <w:pPr>
              <w:ind w:left="80"/>
              <w:spacing w:after="0"/>
              <w:rPr>
                <w:sz w:val="20"/>
                <w:szCs w:val="20"/>
                <w:color w:val="auto"/>
              </w:rPr>
            </w:pPr>
            <w:r>
              <w:rPr>
                <w:rFonts w:ascii="Arial" w:cs="Arial" w:eastAsia="Arial" w:hAnsi="Arial"/>
                <w:sz w:val="8"/>
                <w:szCs w:val="8"/>
                <w:color w:val="auto"/>
              </w:rPr>
              <w:t>Common Equity (1,022,813 units) (h)(j)</w:t>
            </w:r>
          </w:p>
        </w:tc>
        <w:tc>
          <w:tcPr>
            <w:tcW w:w="2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8"/>
                <w:szCs w:val="8"/>
                <w:color w:val="auto"/>
              </w:rPr>
              <w:t>7/1/2020</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1,023</w:t>
            </w:r>
          </w:p>
        </w:tc>
        <w:tc>
          <w:tcPr>
            <w:tcW w:w="2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0"/>
        </w:trPr>
        <w:tc>
          <w:tcPr>
            <w:tcW w:w="20" w:type="dxa"/>
            <w:vAlign w:val="bottom"/>
            <w:shd w:val="clear" w:color="auto" w:fill="DBEEF4"/>
          </w:tcPr>
          <w:p>
            <w:pPr>
              <w:spacing w:after="0"/>
              <w:rPr>
                <w:sz w:val="10"/>
                <w:szCs w:val="10"/>
                <w:color w:val="auto"/>
              </w:rPr>
            </w:pPr>
          </w:p>
        </w:tc>
        <w:tc>
          <w:tcPr>
            <w:tcW w:w="840" w:type="dxa"/>
            <w:vAlign w:val="bottom"/>
            <w:shd w:val="clear" w:color="auto" w:fill="DBEEF4"/>
          </w:tcPr>
          <w:p>
            <w:pPr>
              <w:spacing w:after="0"/>
              <w:rPr>
                <w:sz w:val="10"/>
                <w:szCs w:val="10"/>
                <w:color w:val="auto"/>
              </w:rPr>
            </w:pPr>
          </w:p>
        </w:tc>
        <w:tc>
          <w:tcPr>
            <w:tcW w:w="520" w:type="dxa"/>
            <w:vAlign w:val="bottom"/>
            <w:shd w:val="clear" w:color="auto" w:fill="DBEEF4"/>
          </w:tcPr>
          <w:p>
            <w:pPr>
              <w:spacing w:after="0"/>
              <w:rPr>
                <w:sz w:val="10"/>
                <w:szCs w:val="10"/>
                <w:color w:val="auto"/>
              </w:rPr>
            </w:pPr>
          </w:p>
        </w:tc>
        <w:tc>
          <w:tcPr>
            <w:tcW w:w="1540" w:type="dxa"/>
            <w:vAlign w:val="bottom"/>
            <w:shd w:val="clear" w:color="auto" w:fill="DBEEF4"/>
          </w:tcPr>
          <w:p>
            <w:pPr>
              <w:spacing w:after="0"/>
              <w:rPr>
                <w:sz w:val="10"/>
                <w:szCs w:val="10"/>
                <w:color w:val="auto"/>
              </w:rPr>
            </w:pPr>
          </w:p>
        </w:tc>
        <w:tc>
          <w:tcPr>
            <w:tcW w:w="2260" w:type="dxa"/>
            <w:vAlign w:val="bottom"/>
            <w:shd w:val="clear" w:color="auto" w:fill="DBEEF4"/>
          </w:tcPr>
          <w:p>
            <w:pPr>
              <w:spacing w:after="0"/>
              <w:rPr>
                <w:sz w:val="10"/>
                <w:szCs w:val="10"/>
                <w:color w:val="auto"/>
              </w:rPr>
            </w:pPr>
          </w:p>
        </w:tc>
        <w:tc>
          <w:tcPr>
            <w:tcW w:w="1200" w:type="dxa"/>
            <w:vAlign w:val="bottom"/>
            <w:shd w:val="clear" w:color="auto" w:fill="DBEEF4"/>
          </w:tcPr>
          <w:p>
            <w:pPr>
              <w:spacing w:after="0"/>
              <w:rPr>
                <w:sz w:val="10"/>
                <w:szCs w:val="10"/>
                <w:color w:val="auto"/>
              </w:rPr>
            </w:pPr>
          </w:p>
        </w:tc>
        <w:tc>
          <w:tcPr>
            <w:tcW w:w="820" w:type="dxa"/>
            <w:vAlign w:val="bottom"/>
            <w:shd w:val="clear" w:color="auto" w:fill="DBEEF4"/>
          </w:tcPr>
          <w:p>
            <w:pPr>
              <w:spacing w:after="0"/>
              <w:rPr>
                <w:sz w:val="10"/>
                <w:szCs w:val="10"/>
                <w:color w:val="auto"/>
              </w:rPr>
            </w:pPr>
          </w:p>
        </w:tc>
        <w:tc>
          <w:tcPr>
            <w:tcW w:w="640" w:type="dxa"/>
            <w:vAlign w:val="bottom"/>
            <w:shd w:val="clear" w:color="auto" w:fill="DBEEF4"/>
          </w:tcPr>
          <w:p>
            <w:pPr>
              <w:spacing w:after="0"/>
              <w:rPr>
                <w:sz w:val="10"/>
                <w:szCs w:val="10"/>
                <w:color w:val="auto"/>
              </w:rPr>
            </w:pPr>
          </w:p>
        </w:tc>
        <w:tc>
          <w:tcPr>
            <w:tcW w:w="580" w:type="dxa"/>
            <w:vAlign w:val="bottom"/>
            <w:shd w:val="clear" w:color="auto" w:fill="DBEEF4"/>
          </w:tcPr>
          <w:p>
            <w:pPr>
              <w:spacing w:after="0"/>
              <w:rPr>
                <w:sz w:val="10"/>
                <w:szCs w:val="10"/>
                <w:color w:val="auto"/>
              </w:rPr>
            </w:pPr>
          </w:p>
        </w:tc>
        <w:tc>
          <w:tcPr>
            <w:tcW w:w="160" w:type="dxa"/>
            <w:vAlign w:val="bottom"/>
            <w:shd w:val="clear" w:color="auto" w:fill="DBEEF4"/>
          </w:tcPr>
          <w:p>
            <w:pPr>
              <w:spacing w:after="0"/>
              <w:rPr>
                <w:sz w:val="10"/>
                <w:szCs w:val="10"/>
                <w:color w:val="auto"/>
              </w:rPr>
            </w:pPr>
          </w:p>
        </w:tc>
        <w:tc>
          <w:tcPr>
            <w:tcW w:w="460" w:type="dxa"/>
            <w:vAlign w:val="bottom"/>
            <w:shd w:val="clear" w:color="auto" w:fill="DBEEF4"/>
          </w:tcPr>
          <w:p>
            <w:pPr>
              <w:spacing w:after="0"/>
              <w:rPr>
                <w:sz w:val="10"/>
                <w:szCs w:val="10"/>
                <w:color w:val="auto"/>
              </w:rPr>
            </w:pPr>
          </w:p>
        </w:tc>
        <w:tc>
          <w:tcPr>
            <w:tcW w:w="120" w:type="dxa"/>
            <w:vAlign w:val="bottom"/>
            <w:shd w:val="clear" w:color="auto" w:fill="DBEEF4"/>
          </w:tcPr>
          <w:p>
            <w:pPr>
              <w:spacing w:after="0"/>
              <w:rPr>
                <w:sz w:val="10"/>
                <w:szCs w:val="10"/>
                <w:color w:val="auto"/>
              </w:rPr>
            </w:pPr>
          </w:p>
        </w:tc>
        <w:tc>
          <w:tcPr>
            <w:tcW w:w="100" w:type="dxa"/>
            <w:vAlign w:val="bottom"/>
            <w:shd w:val="clear" w:color="auto" w:fill="DBEEF4"/>
          </w:tcPr>
          <w:p>
            <w:pPr>
              <w:spacing w:after="0"/>
              <w:rPr>
                <w:sz w:val="10"/>
                <w:szCs w:val="10"/>
                <w:color w:val="auto"/>
              </w:rPr>
            </w:pPr>
          </w:p>
        </w:tc>
        <w:tc>
          <w:tcPr>
            <w:tcW w:w="140" w:type="dxa"/>
            <w:vAlign w:val="bottom"/>
            <w:shd w:val="clear" w:color="auto" w:fill="DBEEF4"/>
          </w:tcPr>
          <w:p>
            <w:pPr>
              <w:spacing w:after="0"/>
              <w:rPr>
                <w:sz w:val="10"/>
                <w:szCs w:val="10"/>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8"/>
                <w:szCs w:val="8"/>
                <w:color w:val="auto"/>
              </w:rPr>
              <w:t>24,549</w:t>
            </w:r>
          </w:p>
        </w:tc>
        <w:tc>
          <w:tcPr>
            <w:tcW w:w="200" w:type="dxa"/>
            <w:vAlign w:val="bottom"/>
            <w:shd w:val="clear" w:color="auto" w:fill="DBEEF4"/>
          </w:tcPr>
          <w:p>
            <w:pPr>
              <w:spacing w:after="0"/>
              <w:rPr>
                <w:sz w:val="10"/>
                <w:szCs w:val="10"/>
                <w:color w:val="auto"/>
              </w:rPr>
            </w:pPr>
          </w:p>
        </w:tc>
        <w:tc>
          <w:tcPr>
            <w:tcW w:w="60" w:type="dxa"/>
            <w:vAlign w:val="bottom"/>
            <w:shd w:val="clear" w:color="auto" w:fill="DBEEF4"/>
          </w:tcPr>
          <w:p>
            <w:pPr>
              <w:spacing w:after="0"/>
              <w:rPr>
                <w:sz w:val="10"/>
                <w:szCs w:val="10"/>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20,862</w:t>
            </w:r>
          </w:p>
        </w:tc>
        <w:tc>
          <w:tcPr>
            <w:tcW w:w="720" w:type="dxa"/>
            <w:vAlign w:val="bottom"/>
            <w:gridSpan w:val="3"/>
            <w:shd w:val="clear" w:color="auto" w:fill="DBEEF4"/>
          </w:tcPr>
          <w:p>
            <w:pPr>
              <w:jc w:val="right"/>
              <w:ind w:right="40"/>
              <w:spacing w:after="0"/>
              <w:rPr>
                <w:sz w:val="20"/>
                <w:szCs w:val="20"/>
                <w:color w:val="auto"/>
              </w:rPr>
            </w:pPr>
            <w:r>
              <w:rPr>
                <w:rFonts w:ascii="Arial" w:cs="Arial" w:eastAsia="Arial" w:hAnsi="Arial"/>
                <w:sz w:val="8"/>
                <w:szCs w:val="8"/>
                <w:color w:val="auto"/>
              </w:rPr>
              <w:t>5 %</w:t>
            </w:r>
          </w:p>
        </w:tc>
      </w:tr>
      <w:tr>
        <w:trPr>
          <w:trHeight w:val="127"/>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gridSpan w:val="2"/>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9"/>
        </w:trPr>
        <w:tc>
          <w:tcPr>
            <w:tcW w:w="2920" w:type="dxa"/>
            <w:vAlign w:val="bottom"/>
            <w:gridSpan w:val="4"/>
            <w:shd w:val="clear" w:color="auto" w:fill="DBEEF4"/>
          </w:tcPr>
          <w:p>
            <w:pPr>
              <w:ind w:left="20"/>
              <w:spacing w:after="0"/>
              <w:rPr>
                <w:sz w:val="20"/>
                <w:szCs w:val="20"/>
                <w:color w:val="auto"/>
              </w:rPr>
            </w:pPr>
            <w:r>
              <w:rPr>
                <w:rFonts w:ascii="Arial" w:cs="Arial" w:eastAsia="Arial" w:hAnsi="Arial"/>
                <w:sz w:val="8"/>
                <w:szCs w:val="8"/>
                <w:b w:val="1"/>
                <w:bCs w:val="1"/>
                <w:color w:val="auto"/>
              </w:rPr>
              <w:t>Total Control Investments</w:t>
            </w:r>
          </w:p>
        </w:tc>
        <w:tc>
          <w:tcPr>
            <w:tcW w:w="2260" w:type="dxa"/>
            <w:vAlign w:val="bottom"/>
            <w:shd w:val="clear" w:color="auto" w:fill="DBEEF4"/>
          </w:tcPr>
          <w:p>
            <w:pPr>
              <w:spacing w:after="0"/>
              <w:rPr>
                <w:sz w:val="13"/>
                <w:szCs w:val="13"/>
                <w:color w:val="auto"/>
              </w:rPr>
            </w:pPr>
          </w:p>
        </w:tc>
        <w:tc>
          <w:tcPr>
            <w:tcW w:w="1200" w:type="dxa"/>
            <w:vAlign w:val="bottom"/>
            <w:shd w:val="clear" w:color="auto" w:fill="DBEEF4"/>
          </w:tcPr>
          <w:p>
            <w:pPr>
              <w:spacing w:after="0"/>
              <w:rPr>
                <w:sz w:val="13"/>
                <w:szCs w:val="13"/>
                <w:color w:val="auto"/>
              </w:rPr>
            </w:pPr>
          </w:p>
        </w:tc>
        <w:tc>
          <w:tcPr>
            <w:tcW w:w="820" w:type="dxa"/>
            <w:vAlign w:val="bottom"/>
            <w:shd w:val="clear" w:color="auto" w:fill="DBEEF4"/>
          </w:tcPr>
          <w:p>
            <w:pPr>
              <w:spacing w:after="0"/>
              <w:rPr>
                <w:sz w:val="13"/>
                <w:szCs w:val="13"/>
                <w:color w:val="auto"/>
              </w:rPr>
            </w:pPr>
          </w:p>
        </w:tc>
        <w:tc>
          <w:tcPr>
            <w:tcW w:w="640" w:type="dxa"/>
            <w:vAlign w:val="bottom"/>
            <w:shd w:val="clear" w:color="auto" w:fill="DBEEF4"/>
          </w:tcPr>
          <w:p>
            <w:pPr>
              <w:spacing w:after="0"/>
              <w:rPr>
                <w:sz w:val="13"/>
                <w:szCs w:val="13"/>
                <w:color w:val="auto"/>
              </w:rPr>
            </w:pPr>
          </w:p>
        </w:tc>
        <w:tc>
          <w:tcPr>
            <w:tcW w:w="580" w:type="dxa"/>
            <w:vAlign w:val="bottom"/>
            <w:shd w:val="clear" w:color="auto" w:fill="DBEEF4"/>
          </w:tcPr>
          <w:p>
            <w:pPr>
              <w:spacing w:after="0"/>
              <w:rPr>
                <w:sz w:val="13"/>
                <w:szCs w:val="13"/>
                <w:color w:val="auto"/>
              </w:rPr>
            </w:pPr>
          </w:p>
        </w:tc>
        <w:tc>
          <w:tcPr>
            <w:tcW w:w="160" w:type="dxa"/>
            <w:vAlign w:val="bottom"/>
            <w:shd w:val="clear" w:color="auto" w:fill="DBEEF4"/>
          </w:tcPr>
          <w:p>
            <w:pPr>
              <w:spacing w:after="0"/>
              <w:rPr>
                <w:sz w:val="13"/>
                <w:szCs w:val="13"/>
                <w:color w:val="auto"/>
              </w:rPr>
            </w:pPr>
          </w:p>
        </w:tc>
        <w:tc>
          <w:tcPr>
            <w:tcW w:w="460" w:type="dxa"/>
            <w:vAlign w:val="bottom"/>
            <w:shd w:val="clear" w:color="auto" w:fill="DBEEF4"/>
          </w:tcPr>
          <w:p>
            <w:pPr>
              <w:spacing w:after="0"/>
              <w:rPr>
                <w:sz w:val="13"/>
                <w:szCs w:val="13"/>
                <w:color w:val="auto"/>
              </w:rPr>
            </w:pPr>
          </w:p>
        </w:tc>
        <w:tc>
          <w:tcPr>
            <w:tcW w:w="360" w:type="dxa"/>
            <w:vAlign w:val="bottom"/>
            <w:gridSpan w:val="3"/>
            <w:shd w:val="clear" w:color="auto" w:fill="DBEEF4"/>
          </w:tcPr>
          <w:p>
            <w:pPr>
              <w:jc w:val="right"/>
              <w:ind w:right="80"/>
              <w:spacing w:after="0"/>
              <w:rPr>
                <w:sz w:val="20"/>
                <w:szCs w:val="20"/>
                <w:color w:val="auto"/>
              </w:rPr>
            </w:pPr>
            <w:r>
              <w:rPr>
                <w:rFonts w:ascii="Arial" w:cs="Arial" w:eastAsia="Arial" w:hAnsi="Arial"/>
                <w:sz w:val="8"/>
                <w:szCs w:val="8"/>
                <w:color w:val="auto"/>
              </w:rPr>
              <w:t>$</w:t>
            </w:r>
          </w:p>
        </w:tc>
        <w:tc>
          <w:tcPr>
            <w:tcW w:w="420" w:type="dxa"/>
            <w:vAlign w:val="bottom"/>
            <w:shd w:val="clear" w:color="auto" w:fill="DBEEF4"/>
          </w:tcPr>
          <w:p>
            <w:pPr>
              <w:jc w:val="right"/>
              <w:spacing w:after="0"/>
              <w:rPr>
                <w:sz w:val="20"/>
                <w:szCs w:val="20"/>
                <w:color w:val="auto"/>
              </w:rPr>
            </w:pPr>
            <w:r>
              <w:rPr>
                <w:rFonts w:ascii="Arial" w:cs="Arial" w:eastAsia="Arial" w:hAnsi="Arial"/>
                <w:sz w:val="8"/>
                <w:szCs w:val="8"/>
                <w:color w:val="auto"/>
              </w:rPr>
              <w:t>32,969</w:t>
            </w:r>
          </w:p>
        </w:tc>
        <w:tc>
          <w:tcPr>
            <w:tcW w:w="260" w:type="dxa"/>
            <w:vAlign w:val="bottom"/>
            <w:gridSpan w:val="2"/>
            <w:shd w:val="clear" w:color="auto" w:fill="DBEEF4"/>
          </w:tcPr>
          <w:p>
            <w:pPr>
              <w:jc w:val="right"/>
              <w:spacing w:after="0"/>
              <w:rPr>
                <w:sz w:val="20"/>
                <w:szCs w:val="20"/>
                <w:color w:val="auto"/>
              </w:rPr>
            </w:pPr>
            <w:r>
              <w:rPr>
                <w:rFonts w:ascii="Arial" w:cs="Arial" w:eastAsia="Arial" w:hAnsi="Arial"/>
                <w:sz w:val="8"/>
                <w:szCs w:val="8"/>
                <w:color w:val="auto"/>
              </w:rPr>
              <w:t>$</w:t>
            </w: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28,253</w:t>
            </w:r>
          </w:p>
        </w:tc>
        <w:tc>
          <w:tcPr>
            <w:tcW w:w="720" w:type="dxa"/>
            <w:vAlign w:val="bottom"/>
            <w:gridSpan w:val="3"/>
            <w:shd w:val="clear" w:color="auto" w:fill="DBEEF4"/>
          </w:tcPr>
          <w:p>
            <w:pPr>
              <w:jc w:val="right"/>
              <w:ind w:right="40"/>
              <w:spacing w:after="0"/>
              <w:rPr>
                <w:sz w:val="20"/>
                <w:szCs w:val="20"/>
                <w:color w:val="auto"/>
              </w:rPr>
            </w:pPr>
            <w:r>
              <w:rPr>
                <w:rFonts w:ascii="Arial" w:cs="Arial" w:eastAsia="Arial" w:hAnsi="Arial"/>
                <w:sz w:val="8"/>
                <w:szCs w:val="8"/>
                <w:color w:val="auto"/>
              </w:rPr>
              <w:t>7 %</w:t>
            </w:r>
          </w:p>
        </w:tc>
      </w:tr>
      <w:tr>
        <w:trPr>
          <w:trHeight w:val="105"/>
        </w:trPr>
        <w:tc>
          <w:tcPr>
            <w:tcW w:w="20" w:type="dxa"/>
            <w:vAlign w:val="bottom"/>
            <w:tcBorders>
              <w:top w:val="single" w:sz="8" w:color="DBEEF4"/>
            </w:tcBorders>
          </w:tcPr>
          <w:p>
            <w:pPr>
              <w:spacing w:after="0"/>
              <w:rPr>
                <w:sz w:val="9"/>
                <w:szCs w:val="9"/>
                <w:color w:val="auto"/>
              </w:rPr>
            </w:pPr>
          </w:p>
        </w:tc>
        <w:tc>
          <w:tcPr>
            <w:tcW w:w="840" w:type="dxa"/>
            <w:vAlign w:val="bottom"/>
            <w:tcBorders>
              <w:top w:val="single" w:sz="8" w:color="DBEEF4"/>
            </w:tcBorders>
          </w:tcPr>
          <w:p>
            <w:pPr>
              <w:spacing w:after="0"/>
              <w:rPr>
                <w:sz w:val="9"/>
                <w:szCs w:val="9"/>
                <w:color w:val="auto"/>
              </w:rPr>
            </w:pPr>
          </w:p>
        </w:tc>
        <w:tc>
          <w:tcPr>
            <w:tcW w:w="520" w:type="dxa"/>
            <w:vAlign w:val="bottom"/>
            <w:tcBorders>
              <w:top w:val="single" w:sz="8" w:color="DBEEF4"/>
            </w:tcBorders>
          </w:tcPr>
          <w:p>
            <w:pPr>
              <w:spacing w:after="0"/>
              <w:rPr>
                <w:sz w:val="9"/>
                <w:szCs w:val="9"/>
                <w:color w:val="auto"/>
              </w:rPr>
            </w:pPr>
          </w:p>
        </w:tc>
        <w:tc>
          <w:tcPr>
            <w:tcW w:w="1540" w:type="dxa"/>
            <w:vAlign w:val="bottom"/>
            <w:tcBorders>
              <w:top w:val="single" w:sz="8" w:color="DBEEF4"/>
            </w:tcBorders>
          </w:tcPr>
          <w:p>
            <w:pPr>
              <w:spacing w:after="0"/>
              <w:rPr>
                <w:sz w:val="9"/>
                <w:szCs w:val="9"/>
                <w:color w:val="auto"/>
              </w:rPr>
            </w:pPr>
          </w:p>
        </w:tc>
        <w:tc>
          <w:tcPr>
            <w:tcW w:w="2260" w:type="dxa"/>
            <w:vAlign w:val="bottom"/>
            <w:tcBorders>
              <w:top w:val="single" w:sz="8" w:color="DBEEF4"/>
            </w:tcBorders>
          </w:tcPr>
          <w:p>
            <w:pPr>
              <w:spacing w:after="0"/>
              <w:rPr>
                <w:sz w:val="9"/>
                <w:szCs w:val="9"/>
                <w:color w:val="auto"/>
              </w:rPr>
            </w:pPr>
          </w:p>
        </w:tc>
        <w:tc>
          <w:tcPr>
            <w:tcW w:w="1200" w:type="dxa"/>
            <w:vAlign w:val="bottom"/>
            <w:tcBorders>
              <w:top w:val="single" w:sz="8" w:color="DBEEF4"/>
            </w:tcBorders>
          </w:tcPr>
          <w:p>
            <w:pPr>
              <w:spacing w:after="0"/>
              <w:rPr>
                <w:sz w:val="9"/>
                <w:szCs w:val="9"/>
                <w:color w:val="auto"/>
              </w:rPr>
            </w:pPr>
          </w:p>
        </w:tc>
        <w:tc>
          <w:tcPr>
            <w:tcW w:w="820" w:type="dxa"/>
            <w:vAlign w:val="bottom"/>
            <w:tcBorders>
              <w:top w:val="single" w:sz="8" w:color="DBEEF4"/>
            </w:tcBorders>
          </w:tcPr>
          <w:p>
            <w:pPr>
              <w:spacing w:after="0"/>
              <w:rPr>
                <w:sz w:val="9"/>
                <w:szCs w:val="9"/>
                <w:color w:val="auto"/>
              </w:rPr>
            </w:pPr>
          </w:p>
        </w:tc>
        <w:tc>
          <w:tcPr>
            <w:tcW w:w="640" w:type="dxa"/>
            <w:vAlign w:val="bottom"/>
            <w:tcBorders>
              <w:top w:val="single" w:sz="8" w:color="DBEEF4"/>
            </w:tcBorders>
          </w:tcPr>
          <w:p>
            <w:pPr>
              <w:spacing w:after="0"/>
              <w:rPr>
                <w:sz w:val="9"/>
                <w:szCs w:val="9"/>
                <w:color w:val="auto"/>
              </w:rPr>
            </w:pPr>
          </w:p>
        </w:tc>
        <w:tc>
          <w:tcPr>
            <w:tcW w:w="580" w:type="dxa"/>
            <w:vAlign w:val="bottom"/>
            <w:tcBorders>
              <w:top w:val="single" w:sz="8" w:color="DBEEF4"/>
            </w:tcBorders>
          </w:tcPr>
          <w:p>
            <w:pPr>
              <w:spacing w:after="0"/>
              <w:rPr>
                <w:sz w:val="9"/>
                <w:szCs w:val="9"/>
                <w:color w:val="auto"/>
              </w:rPr>
            </w:pPr>
          </w:p>
        </w:tc>
        <w:tc>
          <w:tcPr>
            <w:tcW w:w="160" w:type="dxa"/>
            <w:vAlign w:val="bottom"/>
            <w:tcBorders>
              <w:top w:val="single" w:sz="8" w:color="DBEEF4"/>
            </w:tcBorders>
          </w:tcPr>
          <w:p>
            <w:pPr>
              <w:spacing w:after="0"/>
              <w:rPr>
                <w:sz w:val="9"/>
                <w:szCs w:val="9"/>
                <w:color w:val="auto"/>
              </w:rPr>
            </w:pPr>
          </w:p>
        </w:tc>
        <w:tc>
          <w:tcPr>
            <w:tcW w:w="460" w:type="dxa"/>
            <w:vAlign w:val="bottom"/>
            <w:tcBorders>
              <w:top w:val="single" w:sz="8" w:color="DBEEF4"/>
            </w:tcBorders>
          </w:tcPr>
          <w:p>
            <w:pPr>
              <w:spacing w:after="0"/>
              <w:rPr>
                <w:sz w:val="9"/>
                <w:szCs w:val="9"/>
                <w:color w:val="auto"/>
              </w:rPr>
            </w:pPr>
          </w:p>
        </w:tc>
        <w:tc>
          <w:tcPr>
            <w:tcW w:w="120" w:type="dxa"/>
            <w:vAlign w:val="bottom"/>
            <w:tcBorders>
              <w:top w:val="single" w:sz="8" w:color="DBEEF4"/>
            </w:tcBorders>
          </w:tcPr>
          <w:p>
            <w:pPr>
              <w:spacing w:after="0"/>
              <w:rPr>
                <w:sz w:val="9"/>
                <w:szCs w:val="9"/>
                <w:color w:val="auto"/>
              </w:rPr>
            </w:pPr>
          </w:p>
        </w:tc>
        <w:tc>
          <w:tcPr>
            <w:tcW w:w="100" w:type="dxa"/>
            <w:vAlign w:val="bottom"/>
            <w:tcBorders>
              <w:top w:val="single" w:sz="8" w:color="DBEEF4"/>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00" w:type="dxa"/>
            <w:vAlign w:val="bottom"/>
            <w:tcBorders>
              <w:top w:val="single" w:sz="8" w:color="DBEEF4"/>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40" w:type="dxa"/>
            <w:vAlign w:val="bottom"/>
            <w:tcBorders>
              <w:top w:val="single" w:sz="8" w:color="DBEEF4"/>
            </w:tcBorders>
          </w:tcPr>
          <w:p>
            <w:pPr>
              <w:spacing w:after="0"/>
              <w:rPr>
                <w:sz w:val="9"/>
                <w:szCs w:val="9"/>
                <w:color w:val="auto"/>
              </w:rPr>
            </w:pPr>
          </w:p>
        </w:tc>
        <w:tc>
          <w:tcPr>
            <w:tcW w:w="560" w:type="dxa"/>
            <w:vAlign w:val="bottom"/>
            <w:tcBorders>
              <w:top w:val="single" w:sz="8" w:color="DBEEF4"/>
            </w:tcBorders>
          </w:tcPr>
          <w:p>
            <w:pPr>
              <w:spacing w:after="0"/>
              <w:rPr>
                <w:sz w:val="9"/>
                <w:szCs w:val="9"/>
                <w:color w:val="auto"/>
              </w:rPr>
            </w:pPr>
          </w:p>
        </w:tc>
        <w:tc>
          <w:tcPr>
            <w:tcW w:w="120" w:type="dxa"/>
            <w:vAlign w:val="bottom"/>
            <w:tcBorders>
              <w:top w:val="single" w:sz="8" w:color="DBEEF4"/>
            </w:tcBorders>
          </w:tcPr>
          <w:p>
            <w:pPr>
              <w:spacing w:after="0"/>
              <w:rPr>
                <w:sz w:val="9"/>
                <w:szCs w:val="9"/>
                <w:color w:val="auto"/>
              </w:rPr>
            </w:pPr>
          </w:p>
        </w:tc>
      </w:tr>
      <w:tr>
        <w:trPr>
          <w:trHeight w:val="101"/>
        </w:trPr>
        <w:tc>
          <w:tcPr>
            <w:tcW w:w="2920" w:type="dxa"/>
            <w:vAlign w:val="bottom"/>
            <w:gridSpan w:val="4"/>
            <w:shd w:val="clear" w:color="auto" w:fill="DBEEF4"/>
          </w:tcPr>
          <w:p>
            <w:pPr>
              <w:ind w:left="20"/>
              <w:spacing w:after="0"/>
              <w:rPr>
                <w:sz w:val="20"/>
                <w:szCs w:val="20"/>
                <w:color w:val="auto"/>
              </w:rPr>
            </w:pPr>
            <w:r>
              <w:rPr>
                <w:rFonts w:ascii="Arial" w:cs="Arial" w:eastAsia="Arial" w:hAnsi="Arial"/>
                <w:sz w:val="8"/>
                <w:szCs w:val="8"/>
                <w:b w:val="1"/>
                <w:bCs w:val="1"/>
                <w:color w:val="auto"/>
              </w:rPr>
              <w:t>Affiliate Investments (l)</w:t>
            </w:r>
          </w:p>
        </w:tc>
        <w:tc>
          <w:tcPr>
            <w:tcW w:w="2260" w:type="dxa"/>
            <w:vAlign w:val="bottom"/>
            <w:shd w:val="clear" w:color="auto" w:fill="DBEEF4"/>
          </w:tcPr>
          <w:p>
            <w:pPr>
              <w:spacing w:after="0"/>
              <w:rPr>
                <w:sz w:val="8"/>
                <w:szCs w:val="8"/>
                <w:color w:val="auto"/>
              </w:rPr>
            </w:pPr>
          </w:p>
        </w:tc>
        <w:tc>
          <w:tcPr>
            <w:tcW w:w="1200" w:type="dxa"/>
            <w:vAlign w:val="bottom"/>
            <w:shd w:val="clear" w:color="auto" w:fill="DBEEF4"/>
          </w:tcPr>
          <w:p>
            <w:pPr>
              <w:spacing w:after="0"/>
              <w:rPr>
                <w:sz w:val="8"/>
                <w:szCs w:val="8"/>
                <w:color w:val="auto"/>
              </w:rPr>
            </w:pPr>
          </w:p>
        </w:tc>
        <w:tc>
          <w:tcPr>
            <w:tcW w:w="820" w:type="dxa"/>
            <w:vAlign w:val="bottom"/>
            <w:shd w:val="clear" w:color="auto" w:fill="DBEEF4"/>
          </w:tcPr>
          <w:p>
            <w:pPr>
              <w:spacing w:after="0"/>
              <w:rPr>
                <w:sz w:val="8"/>
                <w:szCs w:val="8"/>
                <w:color w:val="auto"/>
              </w:rPr>
            </w:pPr>
          </w:p>
        </w:tc>
        <w:tc>
          <w:tcPr>
            <w:tcW w:w="640" w:type="dxa"/>
            <w:vAlign w:val="bottom"/>
            <w:shd w:val="clear" w:color="auto" w:fill="DBEEF4"/>
          </w:tcPr>
          <w:p>
            <w:pPr>
              <w:spacing w:after="0"/>
              <w:rPr>
                <w:sz w:val="8"/>
                <w:szCs w:val="8"/>
                <w:color w:val="auto"/>
              </w:rPr>
            </w:pPr>
          </w:p>
        </w:tc>
        <w:tc>
          <w:tcPr>
            <w:tcW w:w="580" w:type="dxa"/>
            <w:vAlign w:val="bottom"/>
            <w:shd w:val="clear" w:color="auto" w:fill="DBEEF4"/>
          </w:tcPr>
          <w:p>
            <w:pPr>
              <w:spacing w:after="0"/>
              <w:rPr>
                <w:sz w:val="8"/>
                <w:szCs w:val="8"/>
                <w:color w:val="auto"/>
              </w:rPr>
            </w:pPr>
          </w:p>
        </w:tc>
        <w:tc>
          <w:tcPr>
            <w:tcW w:w="160" w:type="dxa"/>
            <w:vAlign w:val="bottom"/>
            <w:shd w:val="clear" w:color="auto" w:fill="DBEEF4"/>
          </w:tcPr>
          <w:p>
            <w:pPr>
              <w:spacing w:after="0"/>
              <w:rPr>
                <w:sz w:val="8"/>
                <w:szCs w:val="8"/>
                <w:color w:val="auto"/>
              </w:rPr>
            </w:pPr>
          </w:p>
        </w:tc>
        <w:tc>
          <w:tcPr>
            <w:tcW w:w="460" w:type="dxa"/>
            <w:vAlign w:val="bottom"/>
            <w:shd w:val="clear" w:color="auto" w:fill="DBEEF4"/>
          </w:tcPr>
          <w:p>
            <w:pPr>
              <w:spacing w:after="0"/>
              <w:rPr>
                <w:sz w:val="8"/>
                <w:szCs w:val="8"/>
                <w:color w:val="auto"/>
              </w:rPr>
            </w:pPr>
          </w:p>
        </w:tc>
        <w:tc>
          <w:tcPr>
            <w:tcW w:w="120" w:type="dxa"/>
            <w:vAlign w:val="bottom"/>
            <w:shd w:val="clear" w:color="auto" w:fill="DBEEF4"/>
          </w:tcPr>
          <w:p>
            <w:pPr>
              <w:spacing w:after="0"/>
              <w:rPr>
                <w:sz w:val="8"/>
                <w:szCs w:val="8"/>
                <w:color w:val="auto"/>
              </w:rPr>
            </w:pPr>
          </w:p>
        </w:tc>
        <w:tc>
          <w:tcPr>
            <w:tcW w:w="100" w:type="dxa"/>
            <w:vAlign w:val="bottom"/>
            <w:shd w:val="clear" w:color="auto" w:fill="DBEEF4"/>
          </w:tcPr>
          <w:p>
            <w:pPr>
              <w:spacing w:after="0"/>
              <w:rPr>
                <w:sz w:val="8"/>
                <w:szCs w:val="8"/>
                <w:color w:val="auto"/>
              </w:rPr>
            </w:pPr>
          </w:p>
        </w:tc>
        <w:tc>
          <w:tcPr>
            <w:tcW w:w="140" w:type="dxa"/>
            <w:vAlign w:val="bottom"/>
            <w:shd w:val="clear" w:color="auto" w:fill="DBEEF4"/>
          </w:tcPr>
          <w:p>
            <w:pPr>
              <w:spacing w:after="0"/>
              <w:rPr>
                <w:sz w:val="8"/>
                <w:szCs w:val="8"/>
                <w:color w:val="auto"/>
              </w:rPr>
            </w:pPr>
          </w:p>
        </w:tc>
        <w:tc>
          <w:tcPr>
            <w:tcW w:w="420" w:type="dxa"/>
            <w:vAlign w:val="bottom"/>
            <w:shd w:val="clear" w:color="auto" w:fill="DBEEF4"/>
          </w:tcPr>
          <w:p>
            <w:pPr>
              <w:spacing w:after="0"/>
              <w:rPr>
                <w:sz w:val="8"/>
                <w:szCs w:val="8"/>
                <w:color w:val="auto"/>
              </w:rPr>
            </w:pPr>
          </w:p>
        </w:tc>
        <w:tc>
          <w:tcPr>
            <w:tcW w:w="200" w:type="dxa"/>
            <w:vAlign w:val="bottom"/>
            <w:shd w:val="clear" w:color="auto" w:fill="DBEEF4"/>
          </w:tcPr>
          <w:p>
            <w:pPr>
              <w:spacing w:after="0"/>
              <w:rPr>
                <w:sz w:val="8"/>
                <w:szCs w:val="8"/>
                <w:color w:val="auto"/>
              </w:rPr>
            </w:pPr>
          </w:p>
        </w:tc>
        <w:tc>
          <w:tcPr>
            <w:tcW w:w="60" w:type="dxa"/>
            <w:vAlign w:val="bottom"/>
            <w:shd w:val="clear" w:color="auto" w:fill="DBEEF4"/>
          </w:tcPr>
          <w:p>
            <w:pPr>
              <w:spacing w:after="0"/>
              <w:rPr>
                <w:sz w:val="8"/>
                <w:szCs w:val="8"/>
                <w:color w:val="auto"/>
              </w:rPr>
            </w:pPr>
          </w:p>
        </w:tc>
        <w:tc>
          <w:tcPr>
            <w:tcW w:w="440" w:type="dxa"/>
            <w:vAlign w:val="bottom"/>
            <w:shd w:val="clear" w:color="auto" w:fill="DBEEF4"/>
          </w:tcPr>
          <w:p>
            <w:pPr>
              <w:spacing w:after="0"/>
              <w:rPr>
                <w:sz w:val="8"/>
                <w:szCs w:val="8"/>
                <w:color w:val="auto"/>
              </w:rPr>
            </w:pPr>
          </w:p>
        </w:tc>
        <w:tc>
          <w:tcPr>
            <w:tcW w:w="40" w:type="dxa"/>
            <w:vAlign w:val="bottom"/>
            <w:shd w:val="clear" w:color="auto" w:fill="DBEEF4"/>
          </w:tcPr>
          <w:p>
            <w:pPr>
              <w:spacing w:after="0"/>
              <w:rPr>
                <w:sz w:val="8"/>
                <w:szCs w:val="8"/>
                <w:color w:val="auto"/>
              </w:rPr>
            </w:pPr>
          </w:p>
        </w:tc>
        <w:tc>
          <w:tcPr>
            <w:tcW w:w="560" w:type="dxa"/>
            <w:vAlign w:val="bottom"/>
            <w:shd w:val="clear" w:color="auto" w:fill="DBEEF4"/>
          </w:tcPr>
          <w:p>
            <w:pPr>
              <w:spacing w:after="0"/>
              <w:rPr>
                <w:sz w:val="8"/>
                <w:szCs w:val="8"/>
                <w:color w:val="auto"/>
              </w:rPr>
            </w:pPr>
          </w:p>
        </w:tc>
        <w:tc>
          <w:tcPr>
            <w:tcW w:w="120" w:type="dxa"/>
            <w:vAlign w:val="bottom"/>
            <w:shd w:val="clear" w:color="auto" w:fill="DBEEF4"/>
          </w:tcPr>
          <w:p>
            <w:pPr>
              <w:spacing w:after="0"/>
              <w:rPr>
                <w:sz w:val="8"/>
                <w:szCs w:val="8"/>
                <w:color w:val="auto"/>
              </w:rPr>
            </w:pPr>
          </w:p>
        </w:tc>
      </w:tr>
      <w:tr>
        <w:trPr>
          <w:trHeight w:val="25"/>
        </w:trPr>
        <w:tc>
          <w:tcPr>
            <w:tcW w:w="20" w:type="dxa"/>
            <w:vAlign w:val="bottom"/>
            <w:shd w:val="clear" w:color="auto" w:fill="DBEEF4"/>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shd w:val="clear" w:color="auto" w:fill="DBEEF4"/>
          </w:tcPr>
          <w:p>
            <w:pPr>
              <w:spacing w:after="0"/>
              <w:rPr>
                <w:sz w:val="2"/>
                <w:szCs w:val="2"/>
                <w:color w:val="auto"/>
              </w:rPr>
            </w:pPr>
          </w:p>
        </w:tc>
        <w:tc>
          <w:tcPr>
            <w:tcW w:w="1540" w:type="dxa"/>
            <w:vAlign w:val="bottom"/>
            <w:shd w:val="clear" w:color="auto" w:fill="DBEEF4"/>
          </w:tcPr>
          <w:p>
            <w:pPr>
              <w:spacing w:after="0"/>
              <w:rPr>
                <w:sz w:val="2"/>
                <w:szCs w:val="2"/>
                <w:color w:val="auto"/>
              </w:rPr>
            </w:pPr>
          </w:p>
        </w:tc>
        <w:tc>
          <w:tcPr>
            <w:tcW w:w="2260" w:type="dxa"/>
            <w:vAlign w:val="bottom"/>
            <w:shd w:val="clear" w:color="auto" w:fill="DBEEF4"/>
          </w:tcPr>
          <w:p>
            <w:pPr>
              <w:spacing w:after="0"/>
              <w:rPr>
                <w:sz w:val="2"/>
                <w:szCs w:val="2"/>
                <w:color w:val="auto"/>
              </w:rPr>
            </w:pPr>
          </w:p>
        </w:tc>
        <w:tc>
          <w:tcPr>
            <w:tcW w:w="1200" w:type="dxa"/>
            <w:vAlign w:val="bottom"/>
            <w:shd w:val="clear" w:color="auto" w:fill="DBEEF4"/>
          </w:tcPr>
          <w:p>
            <w:pPr>
              <w:spacing w:after="0"/>
              <w:rPr>
                <w:sz w:val="2"/>
                <w:szCs w:val="2"/>
                <w:color w:val="auto"/>
              </w:rPr>
            </w:pPr>
          </w:p>
        </w:tc>
        <w:tc>
          <w:tcPr>
            <w:tcW w:w="820" w:type="dxa"/>
            <w:vAlign w:val="bottom"/>
            <w:shd w:val="clear" w:color="auto" w:fill="DBEEF4"/>
          </w:tcPr>
          <w:p>
            <w:pPr>
              <w:spacing w:after="0"/>
              <w:rPr>
                <w:sz w:val="2"/>
                <w:szCs w:val="2"/>
                <w:color w:val="auto"/>
              </w:rPr>
            </w:pPr>
          </w:p>
        </w:tc>
        <w:tc>
          <w:tcPr>
            <w:tcW w:w="640" w:type="dxa"/>
            <w:vAlign w:val="bottom"/>
            <w:shd w:val="clear" w:color="auto" w:fill="DBEEF4"/>
          </w:tcPr>
          <w:p>
            <w:pPr>
              <w:spacing w:after="0"/>
              <w:rPr>
                <w:sz w:val="2"/>
                <w:szCs w:val="2"/>
                <w:color w:val="auto"/>
              </w:rPr>
            </w:pPr>
          </w:p>
        </w:tc>
        <w:tc>
          <w:tcPr>
            <w:tcW w:w="580" w:type="dxa"/>
            <w:vAlign w:val="bottom"/>
            <w:shd w:val="clear" w:color="auto" w:fill="DBEEF4"/>
          </w:tcPr>
          <w:p>
            <w:pPr>
              <w:spacing w:after="0"/>
              <w:rPr>
                <w:sz w:val="2"/>
                <w:szCs w:val="2"/>
                <w:color w:val="auto"/>
              </w:rPr>
            </w:pPr>
          </w:p>
        </w:tc>
        <w:tc>
          <w:tcPr>
            <w:tcW w:w="160" w:type="dxa"/>
            <w:vAlign w:val="bottom"/>
            <w:shd w:val="clear" w:color="auto" w:fill="DBEEF4"/>
          </w:tcPr>
          <w:p>
            <w:pPr>
              <w:spacing w:after="0"/>
              <w:rPr>
                <w:sz w:val="2"/>
                <w:szCs w:val="2"/>
                <w:color w:val="auto"/>
              </w:rPr>
            </w:pPr>
          </w:p>
        </w:tc>
        <w:tc>
          <w:tcPr>
            <w:tcW w:w="460" w:type="dxa"/>
            <w:vAlign w:val="bottom"/>
            <w:shd w:val="clear" w:color="auto" w:fill="DBEEF4"/>
          </w:tcPr>
          <w:p>
            <w:pPr>
              <w:spacing w:after="0"/>
              <w:rPr>
                <w:sz w:val="2"/>
                <w:szCs w:val="2"/>
                <w:color w:val="auto"/>
              </w:rPr>
            </w:pPr>
          </w:p>
        </w:tc>
        <w:tc>
          <w:tcPr>
            <w:tcW w:w="120" w:type="dxa"/>
            <w:vAlign w:val="bottom"/>
            <w:shd w:val="clear" w:color="auto" w:fill="DBEEF4"/>
          </w:tcPr>
          <w:p>
            <w:pPr>
              <w:spacing w:after="0"/>
              <w:rPr>
                <w:sz w:val="2"/>
                <w:szCs w:val="2"/>
                <w:color w:val="auto"/>
              </w:rPr>
            </w:pPr>
          </w:p>
        </w:tc>
        <w:tc>
          <w:tcPr>
            <w:tcW w:w="100" w:type="dxa"/>
            <w:vAlign w:val="bottom"/>
            <w:shd w:val="clear" w:color="auto" w:fill="DBEEF4"/>
          </w:tcPr>
          <w:p>
            <w:pPr>
              <w:spacing w:after="0"/>
              <w:rPr>
                <w:sz w:val="2"/>
                <w:szCs w:val="2"/>
                <w:color w:val="auto"/>
              </w:rPr>
            </w:pPr>
          </w:p>
        </w:tc>
        <w:tc>
          <w:tcPr>
            <w:tcW w:w="140" w:type="dxa"/>
            <w:vAlign w:val="bottom"/>
            <w:shd w:val="clear" w:color="auto" w:fill="DBEEF4"/>
          </w:tcPr>
          <w:p>
            <w:pPr>
              <w:spacing w:after="0"/>
              <w:rPr>
                <w:sz w:val="2"/>
                <w:szCs w:val="2"/>
                <w:color w:val="auto"/>
              </w:rPr>
            </w:pPr>
          </w:p>
        </w:tc>
        <w:tc>
          <w:tcPr>
            <w:tcW w:w="420" w:type="dxa"/>
            <w:vAlign w:val="bottom"/>
            <w:shd w:val="clear" w:color="auto" w:fill="DBEEF4"/>
          </w:tcPr>
          <w:p>
            <w:pPr>
              <w:spacing w:after="0"/>
              <w:rPr>
                <w:sz w:val="2"/>
                <w:szCs w:val="2"/>
                <w:color w:val="auto"/>
              </w:rPr>
            </w:pPr>
          </w:p>
        </w:tc>
        <w:tc>
          <w:tcPr>
            <w:tcW w:w="200" w:type="dxa"/>
            <w:vAlign w:val="bottom"/>
            <w:shd w:val="clear" w:color="auto" w:fill="DBEEF4"/>
          </w:tcPr>
          <w:p>
            <w:pPr>
              <w:spacing w:after="0"/>
              <w:rPr>
                <w:sz w:val="2"/>
                <w:szCs w:val="2"/>
                <w:color w:val="auto"/>
              </w:rPr>
            </w:pPr>
          </w:p>
        </w:tc>
        <w:tc>
          <w:tcPr>
            <w:tcW w:w="60" w:type="dxa"/>
            <w:vAlign w:val="bottom"/>
            <w:shd w:val="clear" w:color="auto" w:fill="DBEEF4"/>
          </w:tcPr>
          <w:p>
            <w:pPr>
              <w:spacing w:after="0"/>
              <w:rPr>
                <w:sz w:val="2"/>
                <w:szCs w:val="2"/>
                <w:color w:val="auto"/>
              </w:rPr>
            </w:pPr>
          </w:p>
        </w:tc>
        <w:tc>
          <w:tcPr>
            <w:tcW w:w="440" w:type="dxa"/>
            <w:vAlign w:val="bottom"/>
            <w:shd w:val="clear" w:color="auto" w:fill="DBEEF4"/>
          </w:tcPr>
          <w:p>
            <w:pPr>
              <w:spacing w:after="0"/>
              <w:rPr>
                <w:sz w:val="2"/>
                <w:szCs w:val="2"/>
                <w:color w:val="auto"/>
              </w:rPr>
            </w:pPr>
          </w:p>
        </w:tc>
        <w:tc>
          <w:tcPr>
            <w:tcW w:w="40" w:type="dxa"/>
            <w:vAlign w:val="bottom"/>
            <w:shd w:val="clear" w:color="auto" w:fill="DBEEF4"/>
          </w:tcPr>
          <w:p>
            <w:pPr>
              <w:spacing w:after="0"/>
              <w:rPr>
                <w:sz w:val="2"/>
                <w:szCs w:val="2"/>
                <w:color w:val="auto"/>
              </w:rPr>
            </w:pPr>
          </w:p>
        </w:tc>
        <w:tc>
          <w:tcPr>
            <w:tcW w:w="560" w:type="dxa"/>
            <w:vAlign w:val="bottom"/>
            <w:shd w:val="clear" w:color="auto" w:fill="DBEEF4"/>
          </w:tcPr>
          <w:p>
            <w:pPr>
              <w:spacing w:after="0"/>
              <w:rPr>
                <w:sz w:val="2"/>
                <w:szCs w:val="2"/>
                <w:color w:val="auto"/>
              </w:rPr>
            </w:pPr>
          </w:p>
        </w:tc>
        <w:tc>
          <w:tcPr>
            <w:tcW w:w="120" w:type="dxa"/>
            <w:vAlign w:val="bottom"/>
            <w:shd w:val="clear" w:color="auto" w:fill="DBEEF4"/>
          </w:tcPr>
          <w:p>
            <w:pPr>
              <w:spacing w:after="0"/>
              <w:rPr>
                <w:sz w:val="2"/>
                <w:szCs w:val="2"/>
                <w:color w:val="auto"/>
              </w:rPr>
            </w:pPr>
          </w:p>
        </w:tc>
      </w:tr>
      <w:tr>
        <w:trPr>
          <w:trHeight w:val="120"/>
        </w:trPr>
        <w:tc>
          <w:tcPr>
            <w:tcW w:w="2920" w:type="dxa"/>
            <w:vAlign w:val="bottom"/>
            <w:gridSpan w:val="4"/>
          </w:tcPr>
          <w:p>
            <w:pPr>
              <w:ind w:left="20"/>
              <w:spacing w:after="0"/>
              <w:rPr>
                <w:sz w:val="20"/>
                <w:szCs w:val="20"/>
                <w:color w:val="auto"/>
              </w:rPr>
            </w:pPr>
            <w:r>
              <w:rPr>
                <w:rFonts w:ascii="Arial" w:cs="Arial" w:eastAsia="Arial" w:hAnsi="Arial"/>
                <w:sz w:val="8"/>
                <w:szCs w:val="8"/>
                <w:i w:val="1"/>
                <w:iCs w:val="1"/>
                <w:color w:val="auto"/>
              </w:rPr>
              <w:t>FAR Research Inc. (n)</w:t>
            </w:r>
          </w:p>
        </w:tc>
        <w:tc>
          <w:tcPr>
            <w:tcW w:w="2260" w:type="dxa"/>
            <w:vAlign w:val="bottom"/>
          </w:tcPr>
          <w:p>
            <w:pPr>
              <w:ind w:left="800"/>
              <w:spacing w:after="0"/>
              <w:rPr>
                <w:sz w:val="20"/>
                <w:szCs w:val="20"/>
                <w:color w:val="auto"/>
              </w:rPr>
            </w:pPr>
            <w:r>
              <w:rPr>
                <w:rFonts w:ascii="Arial" w:cs="Arial" w:eastAsia="Arial" w:hAnsi="Arial"/>
                <w:sz w:val="8"/>
                <w:szCs w:val="8"/>
                <w:color w:val="auto"/>
              </w:rPr>
              <w:t>Specialty Chemicals</w:t>
            </w: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4"/>
        </w:trPr>
        <w:tc>
          <w:tcPr>
            <w:tcW w:w="20" w:type="dxa"/>
            <w:vAlign w:val="bottom"/>
            <w:shd w:val="clear" w:color="auto" w:fill="DBEEF4"/>
          </w:tcPr>
          <w:p>
            <w:pPr>
              <w:spacing w:after="0"/>
              <w:rPr>
                <w:sz w:val="11"/>
                <w:szCs w:val="11"/>
                <w:color w:val="auto"/>
              </w:rPr>
            </w:pPr>
          </w:p>
        </w:tc>
        <w:tc>
          <w:tcPr>
            <w:tcW w:w="2900" w:type="dxa"/>
            <w:vAlign w:val="bottom"/>
            <w:gridSpan w:val="3"/>
            <w:shd w:val="clear" w:color="auto" w:fill="DBEEF4"/>
          </w:tcPr>
          <w:p>
            <w:pPr>
              <w:ind w:left="80"/>
              <w:spacing w:after="0"/>
              <w:rPr>
                <w:sz w:val="20"/>
                <w:szCs w:val="20"/>
                <w:color w:val="auto"/>
              </w:rPr>
            </w:pPr>
            <w:r>
              <w:rPr>
                <w:rFonts w:ascii="Arial" w:cs="Arial" w:eastAsia="Arial" w:hAnsi="Arial"/>
                <w:sz w:val="8"/>
                <w:szCs w:val="8"/>
                <w:color w:val="auto"/>
              </w:rPr>
              <w:t>Common Equity (1,396 units)</w:t>
            </w:r>
          </w:p>
        </w:tc>
        <w:tc>
          <w:tcPr>
            <w:tcW w:w="2260" w:type="dxa"/>
            <w:vAlign w:val="bottom"/>
            <w:shd w:val="clear" w:color="auto" w:fill="DBEEF4"/>
          </w:tcPr>
          <w:p>
            <w:pPr>
              <w:spacing w:after="0"/>
              <w:rPr>
                <w:sz w:val="11"/>
                <w:szCs w:val="11"/>
                <w:color w:val="auto"/>
              </w:rPr>
            </w:pPr>
          </w:p>
        </w:tc>
        <w:tc>
          <w:tcPr>
            <w:tcW w:w="1200" w:type="dxa"/>
            <w:vAlign w:val="bottom"/>
            <w:shd w:val="clear" w:color="auto" w:fill="DBEEF4"/>
          </w:tcPr>
          <w:p>
            <w:pPr>
              <w:spacing w:after="0"/>
              <w:rPr>
                <w:sz w:val="11"/>
                <w:szCs w:val="11"/>
                <w:color w:val="auto"/>
              </w:rPr>
            </w:pP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ind w:left="120"/>
              <w:spacing w:after="0"/>
              <w:rPr>
                <w:sz w:val="20"/>
                <w:szCs w:val="20"/>
                <w:color w:val="auto"/>
              </w:rPr>
            </w:pPr>
            <w:r>
              <w:rPr>
                <w:rFonts w:ascii="Arial" w:cs="Arial" w:eastAsia="Arial" w:hAnsi="Arial"/>
                <w:sz w:val="8"/>
                <w:szCs w:val="8"/>
                <w:color w:val="auto"/>
              </w:rPr>
              <w:t>3/31/2014</w:t>
            </w:r>
          </w:p>
        </w:tc>
        <w:tc>
          <w:tcPr>
            <w:tcW w:w="580" w:type="dxa"/>
            <w:vAlign w:val="bottom"/>
            <w:shd w:val="clear" w:color="auto" w:fill="DBEEF4"/>
          </w:tcPr>
          <w:p>
            <w:pPr>
              <w:spacing w:after="0"/>
              <w:rPr>
                <w:sz w:val="11"/>
                <w:szCs w:val="11"/>
                <w:color w:val="auto"/>
              </w:rPr>
            </w:pPr>
          </w:p>
        </w:tc>
        <w:tc>
          <w:tcPr>
            <w:tcW w:w="160" w:type="dxa"/>
            <w:vAlign w:val="bottom"/>
            <w:shd w:val="clear" w:color="auto" w:fill="DBEEF4"/>
          </w:tcPr>
          <w:p>
            <w:pPr>
              <w:spacing w:after="0"/>
              <w:rPr>
                <w:sz w:val="11"/>
                <w:szCs w:val="11"/>
                <w:color w:val="auto"/>
              </w:rPr>
            </w:pPr>
          </w:p>
        </w:tc>
        <w:tc>
          <w:tcPr>
            <w:tcW w:w="460" w:type="dxa"/>
            <w:vAlign w:val="bottom"/>
            <w:shd w:val="clear" w:color="auto" w:fill="DBEEF4"/>
          </w:tcPr>
          <w:p>
            <w:pPr>
              <w:spacing w:after="0"/>
              <w:rPr>
                <w:sz w:val="11"/>
                <w:szCs w:val="11"/>
                <w:color w:val="auto"/>
              </w:rPr>
            </w:pPr>
          </w:p>
        </w:tc>
        <w:tc>
          <w:tcPr>
            <w:tcW w:w="360" w:type="dxa"/>
            <w:vAlign w:val="bottom"/>
            <w:gridSpan w:val="3"/>
            <w:shd w:val="clear" w:color="auto" w:fill="DBEEF4"/>
          </w:tcPr>
          <w:p>
            <w:pPr>
              <w:jc w:val="right"/>
              <w:ind w:right="80"/>
              <w:spacing w:after="0"/>
              <w:rPr>
                <w:sz w:val="20"/>
                <w:szCs w:val="20"/>
                <w:color w:val="auto"/>
              </w:rPr>
            </w:pPr>
            <w:r>
              <w:rPr>
                <w:rFonts w:ascii="Arial" w:cs="Arial" w:eastAsia="Arial" w:hAnsi="Arial"/>
                <w:sz w:val="8"/>
                <w:szCs w:val="8"/>
                <w:color w:val="auto"/>
              </w:rPr>
              <w:t>$</w:t>
            </w:r>
          </w:p>
        </w:tc>
        <w:tc>
          <w:tcPr>
            <w:tcW w:w="420" w:type="dxa"/>
            <w:vAlign w:val="bottom"/>
            <w:shd w:val="clear" w:color="auto" w:fill="DBEEF4"/>
          </w:tcPr>
          <w:p>
            <w:pPr>
              <w:jc w:val="right"/>
              <w:spacing w:after="0"/>
              <w:rPr>
                <w:sz w:val="20"/>
                <w:szCs w:val="20"/>
                <w:color w:val="auto"/>
              </w:rPr>
            </w:pPr>
            <w:r>
              <w:rPr>
                <w:rFonts w:ascii="Arial" w:cs="Arial" w:eastAsia="Arial" w:hAnsi="Arial"/>
                <w:sz w:val="8"/>
                <w:szCs w:val="8"/>
                <w:color w:val="auto"/>
              </w:rPr>
              <w:t>-</w:t>
            </w:r>
          </w:p>
        </w:tc>
        <w:tc>
          <w:tcPr>
            <w:tcW w:w="260" w:type="dxa"/>
            <w:vAlign w:val="bottom"/>
            <w:gridSpan w:val="2"/>
            <w:shd w:val="clear" w:color="auto" w:fill="DBEEF4"/>
          </w:tcPr>
          <w:p>
            <w:pPr>
              <w:jc w:val="right"/>
              <w:spacing w:after="0"/>
              <w:rPr>
                <w:sz w:val="20"/>
                <w:szCs w:val="20"/>
                <w:color w:val="auto"/>
              </w:rPr>
            </w:pPr>
            <w:r>
              <w:rPr>
                <w:rFonts w:ascii="Arial" w:cs="Arial" w:eastAsia="Arial" w:hAnsi="Arial"/>
                <w:sz w:val="8"/>
                <w:szCs w:val="8"/>
                <w:color w:val="auto"/>
              </w:rPr>
              <w:t>$</w:t>
            </w: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28</w:t>
            </w:r>
          </w:p>
        </w:tc>
        <w:tc>
          <w:tcPr>
            <w:tcW w:w="720" w:type="dxa"/>
            <w:vAlign w:val="bottom"/>
            <w:gridSpan w:val="3"/>
            <w:shd w:val="clear" w:color="auto" w:fill="DBEEF4"/>
          </w:tcPr>
          <w:p>
            <w:pPr>
              <w:jc w:val="right"/>
              <w:ind w:right="40"/>
              <w:spacing w:after="0"/>
              <w:rPr>
                <w:sz w:val="20"/>
                <w:szCs w:val="20"/>
                <w:color w:val="auto"/>
              </w:rPr>
            </w:pPr>
            <w:r>
              <w:rPr>
                <w:rFonts w:ascii="Arial" w:cs="Arial" w:eastAsia="Arial" w:hAnsi="Arial"/>
                <w:sz w:val="8"/>
                <w:szCs w:val="8"/>
                <w:color w:val="auto"/>
              </w:rPr>
              <w:t>0 %</w:t>
            </w:r>
          </w:p>
        </w:tc>
      </w:tr>
      <w:tr>
        <w:trPr>
          <w:trHeight w:val="127"/>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7"/>
        </w:trPr>
        <w:tc>
          <w:tcPr>
            <w:tcW w:w="2920" w:type="dxa"/>
            <w:vAlign w:val="bottom"/>
            <w:gridSpan w:val="4"/>
            <w:shd w:val="clear" w:color="auto" w:fill="DBEEF4"/>
          </w:tcPr>
          <w:p>
            <w:pPr>
              <w:ind w:left="20"/>
              <w:spacing w:after="0"/>
              <w:rPr>
                <w:sz w:val="20"/>
                <w:szCs w:val="20"/>
                <w:color w:val="auto"/>
              </w:rPr>
            </w:pPr>
            <w:r>
              <w:rPr>
                <w:rFonts w:ascii="Arial" w:cs="Arial" w:eastAsia="Arial" w:hAnsi="Arial"/>
                <w:sz w:val="8"/>
                <w:szCs w:val="8"/>
                <w:i w:val="1"/>
                <w:iCs w:val="1"/>
                <w:color w:val="auto"/>
              </w:rPr>
              <w:t>Fiber Materials, Inc. (n)</w:t>
            </w:r>
          </w:p>
        </w:tc>
        <w:tc>
          <w:tcPr>
            <w:tcW w:w="2260" w:type="dxa"/>
            <w:vAlign w:val="bottom"/>
            <w:shd w:val="clear" w:color="auto" w:fill="DBEEF4"/>
          </w:tcPr>
          <w:p>
            <w:pPr>
              <w:ind w:left="800"/>
              <w:spacing w:after="0"/>
              <w:rPr>
                <w:sz w:val="20"/>
                <w:szCs w:val="20"/>
                <w:color w:val="auto"/>
              </w:rPr>
            </w:pPr>
            <w:r>
              <w:rPr>
                <w:rFonts w:ascii="Arial" w:cs="Arial" w:eastAsia="Arial" w:hAnsi="Arial"/>
                <w:sz w:val="8"/>
                <w:szCs w:val="8"/>
                <w:color w:val="auto"/>
              </w:rPr>
              <w:t>Aerospace &amp; Defense Manufacturing</w:t>
            </w:r>
          </w:p>
        </w:tc>
        <w:tc>
          <w:tcPr>
            <w:tcW w:w="1200" w:type="dxa"/>
            <w:vAlign w:val="bottom"/>
            <w:shd w:val="clear" w:color="auto" w:fill="DBEEF4"/>
          </w:tcPr>
          <w:p>
            <w:pPr>
              <w:spacing w:after="0"/>
              <w:rPr>
                <w:sz w:val="11"/>
                <w:szCs w:val="11"/>
                <w:color w:val="auto"/>
              </w:rPr>
            </w:pP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580" w:type="dxa"/>
            <w:vAlign w:val="bottom"/>
            <w:shd w:val="clear" w:color="auto" w:fill="DBEEF4"/>
          </w:tcPr>
          <w:p>
            <w:pPr>
              <w:spacing w:after="0"/>
              <w:rPr>
                <w:sz w:val="11"/>
                <w:szCs w:val="11"/>
                <w:color w:val="auto"/>
              </w:rPr>
            </w:pPr>
          </w:p>
        </w:tc>
        <w:tc>
          <w:tcPr>
            <w:tcW w:w="160" w:type="dxa"/>
            <w:vAlign w:val="bottom"/>
            <w:shd w:val="clear" w:color="auto" w:fill="DBEEF4"/>
          </w:tcPr>
          <w:p>
            <w:pPr>
              <w:spacing w:after="0"/>
              <w:rPr>
                <w:sz w:val="11"/>
                <w:szCs w:val="11"/>
                <w:color w:val="auto"/>
              </w:rPr>
            </w:pPr>
          </w:p>
        </w:tc>
        <w:tc>
          <w:tcPr>
            <w:tcW w:w="4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1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42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60" w:type="dxa"/>
            <w:vAlign w:val="bottom"/>
            <w:shd w:val="clear" w:color="auto" w:fill="DBEEF4"/>
          </w:tcPr>
          <w:p>
            <w:pPr>
              <w:spacing w:after="0"/>
              <w:rPr>
                <w:sz w:val="11"/>
                <w:szCs w:val="11"/>
                <w:color w:val="auto"/>
              </w:rPr>
            </w:pPr>
          </w:p>
        </w:tc>
        <w:tc>
          <w:tcPr>
            <w:tcW w:w="440" w:type="dxa"/>
            <w:vAlign w:val="bottom"/>
            <w:shd w:val="clear" w:color="auto" w:fill="DBEEF4"/>
          </w:tcPr>
          <w:p>
            <w:pPr>
              <w:spacing w:after="0"/>
              <w:rPr>
                <w:sz w:val="11"/>
                <w:szCs w:val="11"/>
                <w:color w:val="auto"/>
              </w:rPr>
            </w:pPr>
          </w:p>
        </w:tc>
        <w:tc>
          <w:tcPr>
            <w:tcW w:w="40" w:type="dxa"/>
            <w:vAlign w:val="bottom"/>
            <w:shd w:val="clear" w:color="auto" w:fill="DBEEF4"/>
          </w:tcPr>
          <w:p>
            <w:pPr>
              <w:spacing w:after="0"/>
              <w:rPr>
                <w:sz w:val="11"/>
                <w:szCs w:val="11"/>
                <w:color w:val="auto"/>
              </w:rPr>
            </w:pPr>
          </w:p>
        </w:tc>
        <w:tc>
          <w:tcPr>
            <w:tcW w:w="5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r>
      <w:tr>
        <w:trPr>
          <w:trHeight w:val="120"/>
        </w:trPr>
        <w:tc>
          <w:tcPr>
            <w:tcW w:w="20" w:type="dxa"/>
            <w:vAlign w:val="bottom"/>
          </w:tcPr>
          <w:p>
            <w:pPr>
              <w:spacing w:after="0"/>
              <w:rPr>
                <w:sz w:val="10"/>
                <w:szCs w:val="10"/>
                <w:color w:val="auto"/>
              </w:rPr>
            </w:pPr>
          </w:p>
        </w:tc>
        <w:tc>
          <w:tcPr>
            <w:tcW w:w="2900" w:type="dxa"/>
            <w:vAlign w:val="bottom"/>
            <w:gridSpan w:val="3"/>
          </w:tcPr>
          <w:p>
            <w:pPr>
              <w:ind w:left="80"/>
              <w:spacing w:after="0"/>
              <w:rPr>
                <w:sz w:val="20"/>
                <w:szCs w:val="20"/>
                <w:color w:val="auto"/>
              </w:rPr>
            </w:pPr>
            <w:r>
              <w:rPr>
                <w:rFonts w:ascii="Arial" w:cs="Arial" w:eastAsia="Arial" w:hAnsi="Arial"/>
                <w:sz w:val="8"/>
                <w:szCs w:val="8"/>
                <w:color w:val="auto"/>
              </w:rPr>
              <w:t>Common Equity (10 units)</w:t>
            </w:r>
          </w:p>
        </w:tc>
        <w:tc>
          <w:tcPr>
            <w:tcW w:w="2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8"/>
                <w:szCs w:val="8"/>
                <w:color w:val="auto"/>
              </w:rPr>
              <w:t>11/30/2016</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41</w:t>
            </w:r>
          </w:p>
        </w:tc>
        <w:tc>
          <w:tcPr>
            <w:tcW w:w="720" w:type="dxa"/>
            <w:vAlign w:val="bottom"/>
            <w:gridSpan w:val="3"/>
          </w:tcPr>
          <w:p>
            <w:pPr>
              <w:jc w:val="right"/>
              <w:ind w:right="40"/>
              <w:spacing w:after="0"/>
              <w:rPr>
                <w:sz w:val="20"/>
                <w:szCs w:val="20"/>
                <w:color w:val="auto"/>
              </w:rPr>
            </w:pPr>
            <w:r>
              <w:rPr>
                <w:rFonts w:ascii="Arial" w:cs="Arial" w:eastAsia="Arial" w:hAnsi="Arial"/>
                <w:sz w:val="8"/>
                <w:szCs w:val="8"/>
                <w:color w:val="auto"/>
              </w:rPr>
              <w:t>0 %</w:t>
            </w:r>
          </w:p>
        </w:tc>
      </w:tr>
      <w:tr>
        <w:trPr>
          <w:trHeight w:val="134"/>
        </w:trPr>
        <w:tc>
          <w:tcPr>
            <w:tcW w:w="20" w:type="dxa"/>
            <w:vAlign w:val="bottom"/>
            <w:shd w:val="clear" w:color="auto" w:fill="DBEEF4"/>
          </w:tcPr>
          <w:p>
            <w:pPr>
              <w:spacing w:after="0"/>
              <w:rPr>
                <w:sz w:val="11"/>
                <w:szCs w:val="11"/>
                <w:color w:val="auto"/>
              </w:rPr>
            </w:pPr>
          </w:p>
        </w:tc>
        <w:tc>
          <w:tcPr>
            <w:tcW w:w="840" w:type="dxa"/>
            <w:vAlign w:val="bottom"/>
            <w:shd w:val="clear" w:color="auto" w:fill="DBEEF4"/>
          </w:tcPr>
          <w:p>
            <w:pPr>
              <w:spacing w:after="0"/>
              <w:rPr>
                <w:sz w:val="11"/>
                <w:szCs w:val="11"/>
                <w:color w:val="auto"/>
              </w:rPr>
            </w:pPr>
          </w:p>
        </w:tc>
        <w:tc>
          <w:tcPr>
            <w:tcW w:w="520" w:type="dxa"/>
            <w:vAlign w:val="bottom"/>
            <w:shd w:val="clear" w:color="auto" w:fill="DBEEF4"/>
          </w:tcPr>
          <w:p>
            <w:pPr>
              <w:spacing w:after="0"/>
              <w:rPr>
                <w:sz w:val="11"/>
                <w:szCs w:val="11"/>
                <w:color w:val="auto"/>
              </w:rPr>
            </w:pPr>
          </w:p>
        </w:tc>
        <w:tc>
          <w:tcPr>
            <w:tcW w:w="1540" w:type="dxa"/>
            <w:vAlign w:val="bottom"/>
            <w:shd w:val="clear" w:color="auto" w:fill="DBEEF4"/>
          </w:tcPr>
          <w:p>
            <w:pPr>
              <w:spacing w:after="0"/>
              <w:rPr>
                <w:sz w:val="11"/>
                <w:szCs w:val="11"/>
                <w:color w:val="auto"/>
              </w:rPr>
            </w:pPr>
          </w:p>
        </w:tc>
        <w:tc>
          <w:tcPr>
            <w:tcW w:w="2260" w:type="dxa"/>
            <w:vAlign w:val="bottom"/>
            <w:shd w:val="clear" w:color="auto" w:fill="DBEEF4"/>
          </w:tcPr>
          <w:p>
            <w:pPr>
              <w:spacing w:after="0"/>
              <w:rPr>
                <w:sz w:val="11"/>
                <w:szCs w:val="11"/>
                <w:color w:val="auto"/>
              </w:rPr>
            </w:pPr>
          </w:p>
        </w:tc>
        <w:tc>
          <w:tcPr>
            <w:tcW w:w="1200" w:type="dxa"/>
            <w:vAlign w:val="bottom"/>
            <w:shd w:val="clear" w:color="auto" w:fill="DBEEF4"/>
          </w:tcPr>
          <w:p>
            <w:pPr>
              <w:spacing w:after="0"/>
              <w:rPr>
                <w:sz w:val="11"/>
                <w:szCs w:val="11"/>
                <w:color w:val="auto"/>
              </w:rPr>
            </w:pP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580" w:type="dxa"/>
            <w:vAlign w:val="bottom"/>
            <w:shd w:val="clear" w:color="auto" w:fill="DBEEF4"/>
          </w:tcPr>
          <w:p>
            <w:pPr>
              <w:spacing w:after="0"/>
              <w:rPr>
                <w:sz w:val="11"/>
                <w:szCs w:val="11"/>
                <w:color w:val="auto"/>
              </w:rPr>
            </w:pPr>
          </w:p>
        </w:tc>
        <w:tc>
          <w:tcPr>
            <w:tcW w:w="160" w:type="dxa"/>
            <w:vAlign w:val="bottom"/>
            <w:shd w:val="clear" w:color="auto" w:fill="DBEEF4"/>
          </w:tcPr>
          <w:p>
            <w:pPr>
              <w:spacing w:after="0"/>
              <w:rPr>
                <w:sz w:val="11"/>
                <w:szCs w:val="11"/>
                <w:color w:val="auto"/>
              </w:rPr>
            </w:pPr>
          </w:p>
        </w:tc>
        <w:tc>
          <w:tcPr>
            <w:tcW w:w="4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1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42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60" w:type="dxa"/>
            <w:vAlign w:val="bottom"/>
            <w:shd w:val="clear" w:color="auto" w:fill="DBEEF4"/>
          </w:tcPr>
          <w:p>
            <w:pPr>
              <w:spacing w:after="0"/>
              <w:rPr>
                <w:sz w:val="11"/>
                <w:szCs w:val="11"/>
                <w:color w:val="auto"/>
              </w:rPr>
            </w:pPr>
          </w:p>
        </w:tc>
        <w:tc>
          <w:tcPr>
            <w:tcW w:w="440" w:type="dxa"/>
            <w:vAlign w:val="bottom"/>
            <w:shd w:val="clear" w:color="auto" w:fill="DBEEF4"/>
          </w:tcPr>
          <w:p>
            <w:pPr>
              <w:spacing w:after="0"/>
              <w:rPr>
                <w:sz w:val="11"/>
                <w:szCs w:val="11"/>
                <w:color w:val="auto"/>
              </w:rPr>
            </w:pPr>
          </w:p>
        </w:tc>
        <w:tc>
          <w:tcPr>
            <w:tcW w:w="40" w:type="dxa"/>
            <w:vAlign w:val="bottom"/>
            <w:shd w:val="clear" w:color="auto" w:fill="DBEEF4"/>
          </w:tcPr>
          <w:p>
            <w:pPr>
              <w:spacing w:after="0"/>
              <w:rPr>
                <w:sz w:val="11"/>
                <w:szCs w:val="11"/>
                <w:color w:val="auto"/>
              </w:rPr>
            </w:pPr>
          </w:p>
        </w:tc>
        <w:tc>
          <w:tcPr>
            <w:tcW w:w="5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r>
      <w:tr>
        <w:trPr>
          <w:trHeight w:val="120"/>
        </w:trPr>
        <w:tc>
          <w:tcPr>
            <w:tcW w:w="2920" w:type="dxa"/>
            <w:vAlign w:val="bottom"/>
            <w:gridSpan w:val="4"/>
          </w:tcPr>
          <w:p>
            <w:pPr>
              <w:ind w:left="20"/>
              <w:spacing w:after="0"/>
              <w:rPr>
                <w:sz w:val="20"/>
                <w:szCs w:val="20"/>
                <w:color w:val="auto"/>
              </w:rPr>
            </w:pPr>
            <w:r>
              <w:rPr>
                <w:rFonts w:ascii="Arial" w:cs="Arial" w:eastAsia="Arial" w:hAnsi="Arial"/>
                <w:sz w:val="8"/>
                <w:szCs w:val="8"/>
                <w:i w:val="1"/>
                <w:iCs w:val="1"/>
                <w:color w:val="auto"/>
              </w:rPr>
              <w:t>Medsurant Holdings, LLC</w:t>
            </w:r>
          </w:p>
        </w:tc>
        <w:tc>
          <w:tcPr>
            <w:tcW w:w="2260" w:type="dxa"/>
            <w:vAlign w:val="bottom"/>
          </w:tcPr>
          <w:p>
            <w:pPr>
              <w:ind w:left="800"/>
              <w:spacing w:after="0"/>
              <w:rPr>
                <w:sz w:val="20"/>
                <w:szCs w:val="20"/>
                <w:color w:val="auto"/>
              </w:rPr>
            </w:pPr>
            <w:r>
              <w:rPr>
                <w:rFonts w:ascii="Arial" w:cs="Arial" w:eastAsia="Arial" w:hAnsi="Arial"/>
                <w:sz w:val="8"/>
                <w:szCs w:val="8"/>
                <w:color w:val="auto"/>
              </w:rPr>
              <w:t>Healthcare Services</w:t>
            </w: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4"/>
        </w:trPr>
        <w:tc>
          <w:tcPr>
            <w:tcW w:w="20" w:type="dxa"/>
            <w:vAlign w:val="bottom"/>
            <w:shd w:val="clear" w:color="auto" w:fill="DBEEF4"/>
          </w:tcPr>
          <w:p>
            <w:pPr>
              <w:spacing w:after="0"/>
              <w:rPr>
                <w:sz w:val="11"/>
                <w:szCs w:val="11"/>
                <w:color w:val="auto"/>
              </w:rPr>
            </w:pPr>
          </w:p>
        </w:tc>
        <w:tc>
          <w:tcPr>
            <w:tcW w:w="2900" w:type="dxa"/>
            <w:vAlign w:val="bottom"/>
            <w:gridSpan w:val="3"/>
            <w:shd w:val="clear" w:color="auto" w:fill="DBEEF4"/>
          </w:tcPr>
          <w:p>
            <w:pPr>
              <w:ind w:left="80"/>
              <w:spacing w:after="0"/>
              <w:rPr>
                <w:sz w:val="20"/>
                <w:szCs w:val="20"/>
                <w:color w:val="auto"/>
              </w:rPr>
            </w:pPr>
            <w:r>
              <w:rPr>
                <w:rFonts w:ascii="Arial" w:cs="Arial" w:eastAsia="Arial" w:hAnsi="Arial"/>
                <w:sz w:val="8"/>
                <w:szCs w:val="8"/>
                <w:color w:val="auto"/>
              </w:rPr>
              <w:t>Second Lien Debt (j)</w:t>
            </w:r>
          </w:p>
        </w:tc>
        <w:tc>
          <w:tcPr>
            <w:tcW w:w="2260" w:type="dxa"/>
            <w:vAlign w:val="bottom"/>
            <w:shd w:val="clear" w:color="auto" w:fill="DBEEF4"/>
          </w:tcPr>
          <w:p>
            <w:pPr>
              <w:spacing w:after="0"/>
              <w:rPr>
                <w:sz w:val="11"/>
                <w:szCs w:val="11"/>
                <w:color w:val="auto"/>
              </w:rPr>
            </w:pPr>
          </w:p>
        </w:tc>
        <w:tc>
          <w:tcPr>
            <w:tcW w:w="1200" w:type="dxa"/>
            <w:vAlign w:val="bottom"/>
            <w:shd w:val="clear" w:color="auto" w:fill="DBEEF4"/>
          </w:tcPr>
          <w:p>
            <w:pPr>
              <w:spacing w:after="0"/>
              <w:rPr>
                <w:sz w:val="11"/>
                <w:szCs w:val="11"/>
                <w:color w:val="auto"/>
              </w:rPr>
            </w:pPr>
          </w:p>
        </w:tc>
        <w:tc>
          <w:tcPr>
            <w:tcW w:w="820" w:type="dxa"/>
            <w:vAlign w:val="bottom"/>
            <w:shd w:val="clear" w:color="auto" w:fill="DBEEF4"/>
          </w:tcPr>
          <w:p>
            <w:pPr>
              <w:ind w:left="180"/>
              <w:spacing w:after="0"/>
              <w:rPr>
                <w:sz w:val="20"/>
                <w:szCs w:val="20"/>
                <w:color w:val="auto"/>
              </w:rPr>
            </w:pPr>
            <w:r>
              <w:rPr>
                <w:rFonts w:ascii="Arial" w:cs="Arial" w:eastAsia="Arial" w:hAnsi="Arial"/>
                <w:sz w:val="8"/>
                <w:szCs w:val="8"/>
                <w:color w:val="auto"/>
              </w:rPr>
              <w:t>14.00%/0.00%</w:t>
            </w:r>
          </w:p>
        </w:tc>
        <w:tc>
          <w:tcPr>
            <w:tcW w:w="640" w:type="dxa"/>
            <w:vAlign w:val="bottom"/>
            <w:shd w:val="clear" w:color="auto" w:fill="DBEEF4"/>
          </w:tcPr>
          <w:p>
            <w:pPr>
              <w:ind w:left="120"/>
              <w:spacing w:after="0"/>
              <w:rPr>
                <w:sz w:val="20"/>
                <w:szCs w:val="20"/>
                <w:color w:val="auto"/>
              </w:rPr>
            </w:pPr>
            <w:r>
              <w:rPr>
                <w:rFonts w:ascii="Arial" w:cs="Arial" w:eastAsia="Arial" w:hAnsi="Arial"/>
                <w:sz w:val="8"/>
                <w:szCs w:val="8"/>
                <w:color w:val="auto"/>
              </w:rPr>
              <w:t>12/18/2015</w:t>
            </w:r>
          </w:p>
        </w:tc>
        <w:tc>
          <w:tcPr>
            <w:tcW w:w="580" w:type="dxa"/>
            <w:vAlign w:val="bottom"/>
            <w:shd w:val="clear" w:color="auto" w:fill="DBEEF4"/>
          </w:tcPr>
          <w:p>
            <w:pPr>
              <w:ind w:left="120"/>
              <w:spacing w:after="0"/>
              <w:rPr>
                <w:sz w:val="20"/>
                <w:szCs w:val="20"/>
                <w:color w:val="auto"/>
              </w:rPr>
            </w:pPr>
            <w:r>
              <w:rPr>
                <w:rFonts w:ascii="Arial" w:cs="Arial" w:eastAsia="Arial" w:hAnsi="Arial"/>
                <w:sz w:val="8"/>
                <w:szCs w:val="8"/>
                <w:color w:val="auto"/>
              </w:rPr>
              <w:t>3/10/2022</w:t>
            </w:r>
          </w:p>
        </w:tc>
        <w:tc>
          <w:tcPr>
            <w:tcW w:w="160" w:type="dxa"/>
            <w:vAlign w:val="bottom"/>
            <w:shd w:val="clear" w:color="auto" w:fill="DBEEF4"/>
          </w:tcPr>
          <w:p>
            <w:pPr>
              <w:spacing w:after="0"/>
              <w:rPr>
                <w:sz w:val="11"/>
                <w:szCs w:val="11"/>
                <w:color w:val="auto"/>
              </w:rPr>
            </w:pPr>
          </w:p>
        </w:tc>
        <w:tc>
          <w:tcPr>
            <w:tcW w:w="460" w:type="dxa"/>
            <w:vAlign w:val="bottom"/>
            <w:shd w:val="clear" w:color="auto" w:fill="DBEEF4"/>
          </w:tcPr>
          <w:p>
            <w:pPr>
              <w:jc w:val="right"/>
              <w:spacing w:after="0"/>
              <w:rPr>
                <w:sz w:val="20"/>
                <w:szCs w:val="20"/>
                <w:color w:val="auto"/>
              </w:rPr>
            </w:pPr>
            <w:r>
              <w:rPr>
                <w:rFonts w:ascii="Arial" w:cs="Arial" w:eastAsia="Arial" w:hAnsi="Arial"/>
                <w:sz w:val="8"/>
                <w:szCs w:val="8"/>
                <w:color w:val="auto"/>
              </w:rPr>
              <w:t>8,031</w:t>
            </w:r>
          </w:p>
        </w:tc>
        <w:tc>
          <w:tcPr>
            <w:tcW w:w="120" w:type="dxa"/>
            <w:vAlign w:val="bottom"/>
            <w:shd w:val="clear" w:color="auto" w:fill="DBEEF4"/>
          </w:tcPr>
          <w:p>
            <w:pPr>
              <w:spacing w:after="0"/>
              <w:rPr>
                <w:sz w:val="11"/>
                <w:szCs w:val="11"/>
                <w:color w:val="auto"/>
              </w:rPr>
            </w:pPr>
          </w:p>
        </w:tc>
        <w:tc>
          <w:tcPr>
            <w:tcW w:w="1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8"/>
                <w:szCs w:val="8"/>
                <w:color w:val="auto"/>
              </w:rPr>
              <w:t>8,028</w:t>
            </w:r>
          </w:p>
        </w:tc>
        <w:tc>
          <w:tcPr>
            <w:tcW w:w="200" w:type="dxa"/>
            <w:vAlign w:val="bottom"/>
            <w:shd w:val="clear" w:color="auto" w:fill="DBEEF4"/>
          </w:tcPr>
          <w:p>
            <w:pPr>
              <w:spacing w:after="0"/>
              <w:rPr>
                <w:sz w:val="11"/>
                <w:szCs w:val="11"/>
                <w:color w:val="auto"/>
              </w:rPr>
            </w:pPr>
          </w:p>
        </w:tc>
        <w:tc>
          <w:tcPr>
            <w:tcW w:w="60" w:type="dxa"/>
            <w:vAlign w:val="bottom"/>
            <w:shd w:val="clear" w:color="auto" w:fill="DBEEF4"/>
          </w:tcPr>
          <w:p>
            <w:pPr>
              <w:spacing w:after="0"/>
              <w:rPr>
                <w:sz w:val="11"/>
                <w:szCs w:val="11"/>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8,091</w:t>
            </w:r>
          </w:p>
        </w:tc>
        <w:tc>
          <w:tcPr>
            <w:tcW w:w="40" w:type="dxa"/>
            <w:vAlign w:val="bottom"/>
            <w:shd w:val="clear" w:color="auto" w:fill="DBEEF4"/>
          </w:tcPr>
          <w:p>
            <w:pPr>
              <w:spacing w:after="0"/>
              <w:rPr>
                <w:sz w:val="11"/>
                <w:szCs w:val="11"/>
                <w:color w:val="auto"/>
              </w:rPr>
            </w:pPr>
          </w:p>
        </w:tc>
        <w:tc>
          <w:tcPr>
            <w:tcW w:w="5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r>
      <w:tr>
        <w:trPr>
          <w:trHeight w:val="120"/>
        </w:trPr>
        <w:tc>
          <w:tcPr>
            <w:tcW w:w="20" w:type="dxa"/>
            <w:vAlign w:val="bottom"/>
          </w:tcPr>
          <w:p>
            <w:pPr>
              <w:spacing w:after="0"/>
              <w:rPr>
                <w:sz w:val="10"/>
                <w:szCs w:val="10"/>
                <w:color w:val="auto"/>
              </w:rPr>
            </w:pPr>
          </w:p>
        </w:tc>
        <w:tc>
          <w:tcPr>
            <w:tcW w:w="2900" w:type="dxa"/>
            <w:vAlign w:val="bottom"/>
            <w:gridSpan w:val="3"/>
          </w:tcPr>
          <w:p>
            <w:pPr>
              <w:ind w:left="80"/>
              <w:spacing w:after="0"/>
              <w:rPr>
                <w:sz w:val="20"/>
                <w:szCs w:val="20"/>
                <w:color w:val="auto"/>
              </w:rPr>
            </w:pPr>
            <w:r>
              <w:rPr>
                <w:rFonts w:ascii="Arial" w:cs="Arial" w:eastAsia="Arial" w:hAnsi="Arial"/>
                <w:sz w:val="8"/>
                <w:szCs w:val="8"/>
                <w:color w:val="auto"/>
              </w:rPr>
              <w:t>Preferred Equity (63,331 units) (h)(j)</w:t>
            </w:r>
          </w:p>
        </w:tc>
        <w:tc>
          <w:tcPr>
            <w:tcW w:w="2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8"/>
                <w:szCs w:val="8"/>
                <w:color w:val="auto"/>
              </w:rPr>
              <w:t>4/12/2011</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8"/>
                <w:szCs w:val="8"/>
                <w:color w:val="auto"/>
              </w:rPr>
              <w:t>673</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620</w:t>
            </w: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3"/>
        </w:trPr>
        <w:tc>
          <w:tcPr>
            <w:tcW w:w="20" w:type="dxa"/>
            <w:vAlign w:val="bottom"/>
            <w:tcBorders>
              <w:bottom w:val="single" w:sz="8" w:color="DBEEF4"/>
            </w:tcBorders>
            <w:shd w:val="clear" w:color="auto" w:fill="DBEEF4"/>
          </w:tcPr>
          <w:p>
            <w:pPr>
              <w:spacing w:after="0"/>
              <w:rPr>
                <w:sz w:val="11"/>
                <w:szCs w:val="11"/>
                <w:color w:val="auto"/>
              </w:rPr>
            </w:pPr>
          </w:p>
        </w:tc>
        <w:tc>
          <w:tcPr>
            <w:tcW w:w="2900" w:type="dxa"/>
            <w:vAlign w:val="bottom"/>
            <w:tcBorders>
              <w:bottom w:val="single" w:sz="8" w:color="DBEEF4"/>
            </w:tcBorders>
            <w:gridSpan w:val="3"/>
            <w:shd w:val="clear" w:color="auto" w:fill="DBEEF4"/>
          </w:tcPr>
          <w:p>
            <w:pPr>
              <w:ind w:left="80"/>
              <w:spacing w:after="0"/>
              <w:rPr>
                <w:sz w:val="20"/>
                <w:szCs w:val="20"/>
                <w:color w:val="auto"/>
              </w:rPr>
            </w:pPr>
            <w:r>
              <w:rPr>
                <w:rFonts w:ascii="Arial" w:cs="Arial" w:eastAsia="Arial" w:hAnsi="Arial"/>
                <w:sz w:val="8"/>
                <w:szCs w:val="8"/>
                <w:color w:val="auto"/>
              </w:rPr>
              <w:t>Warrant (252,588 units) (h)(j)(m)</w:t>
            </w:r>
          </w:p>
        </w:tc>
        <w:tc>
          <w:tcPr>
            <w:tcW w:w="2260" w:type="dxa"/>
            <w:vAlign w:val="bottom"/>
            <w:tcBorders>
              <w:bottom w:val="single" w:sz="8" w:color="DBEEF4"/>
            </w:tcBorders>
            <w:shd w:val="clear" w:color="auto" w:fill="DBEEF4"/>
          </w:tcPr>
          <w:p>
            <w:pPr>
              <w:spacing w:after="0"/>
              <w:rPr>
                <w:sz w:val="11"/>
                <w:szCs w:val="11"/>
                <w:color w:val="auto"/>
              </w:rPr>
            </w:pPr>
          </w:p>
        </w:tc>
        <w:tc>
          <w:tcPr>
            <w:tcW w:w="1200" w:type="dxa"/>
            <w:vAlign w:val="bottom"/>
            <w:tcBorders>
              <w:bottom w:val="single" w:sz="8" w:color="DBEEF4"/>
            </w:tcBorders>
            <w:shd w:val="clear" w:color="auto" w:fill="DBEEF4"/>
          </w:tcPr>
          <w:p>
            <w:pPr>
              <w:spacing w:after="0"/>
              <w:rPr>
                <w:sz w:val="11"/>
                <w:szCs w:val="11"/>
                <w:color w:val="auto"/>
              </w:rPr>
            </w:pPr>
          </w:p>
        </w:tc>
        <w:tc>
          <w:tcPr>
            <w:tcW w:w="820" w:type="dxa"/>
            <w:vAlign w:val="bottom"/>
            <w:tcBorders>
              <w:bottom w:val="single" w:sz="8" w:color="DBEEF4"/>
            </w:tcBorders>
            <w:shd w:val="clear" w:color="auto" w:fill="DBEEF4"/>
          </w:tcPr>
          <w:p>
            <w:pPr>
              <w:spacing w:after="0"/>
              <w:rPr>
                <w:sz w:val="11"/>
                <w:szCs w:val="11"/>
                <w:color w:val="auto"/>
              </w:rPr>
            </w:pPr>
          </w:p>
        </w:tc>
        <w:tc>
          <w:tcPr>
            <w:tcW w:w="6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8"/>
                <w:szCs w:val="8"/>
                <w:color w:val="auto"/>
              </w:rPr>
              <w:t>4/12/2011</w:t>
            </w:r>
          </w:p>
        </w:tc>
        <w:tc>
          <w:tcPr>
            <w:tcW w:w="580" w:type="dxa"/>
            <w:vAlign w:val="bottom"/>
            <w:tcBorders>
              <w:bottom w:val="single" w:sz="8" w:color="DBEEF4"/>
            </w:tcBorders>
            <w:shd w:val="clear" w:color="auto" w:fill="DBEEF4"/>
          </w:tcPr>
          <w:p>
            <w:pPr>
              <w:spacing w:after="0"/>
              <w:rPr>
                <w:sz w:val="11"/>
                <w:szCs w:val="11"/>
                <w:color w:val="auto"/>
              </w:rPr>
            </w:pPr>
          </w:p>
        </w:tc>
        <w:tc>
          <w:tcPr>
            <w:tcW w:w="160" w:type="dxa"/>
            <w:vAlign w:val="bottom"/>
            <w:tcBorders>
              <w:bottom w:val="single" w:sz="8" w:color="DBEEF4"/>
            </w:tcBorders>
            <w:shd w:val="clear" w:color="auto" w:fill="DBEEF4"/>
          </w:tcPr>
          <w:p>
            <w:pPr>
              <w:spacing w:after="0"/>
              <w:rPr>
                <w:sz w:val="11"/>
                <w:szCs w:val="11"/>
                <w:color w:val="auto"/>
              </w:rPr>
            </w:pPr>
          </w:p>
        </w:tc>
        <w:tc>
          <w:tcPr>
            <w:tcW w:w="460" w:type="dxa"/>
            <w:vAlign w:val="bottom"/>
            <w:tcBorders>
              <w:bottom w:val="single" w:sz="8" w:color="DBEEF4"/>
            </w:tcBorders>
            <w:shd w:val="clear" w:color="auto" w:fill="DBEEF4"/>
          </w:tcPr>
          <w:p>
            <w:pPr>
              <w:spacing w:after="0"/>
              <w:rPr>
                <w:sz w:val="11"/>
                <w:szCs w:val="11"/>
                <w:color w:val="auto"/>
              </w:rPr>
            </w:pPr>
          </w:p>
        </w:tc>
        <w:tc>
          <w:tcPr>
            <w:tcW w:w="120" w:type="dxa"/>
            <w:vAlign w:val="bottom"/>
            <w:tcBorders>
              <w:bottom w:val="single" w:sz="8" w:color="DBEEF4"/>
            </w:tcBorders>
            <w:shd w:val="clear" w:color="auto" w:fill="DBEEF4"/>
          </w:tcPr>
          <w:p>
            <w:pPr>
              <w:spacing w:after="0"/>
              <w:rPr>
                <w:sz w:val="11"/>
                <w:szCs w:val="11"/>
                <w:color w:val="auto"/>
              </w:rPr>
            </w:pPr>
          </w:p>
        </w:tc>
        <w:tc>
          <w:tcPr>
            <w:tcW w:w="100" w:type="dxa"/>
            <w:vAlign w:val="bottom"/>
            <w:tcBorders>
              <w:bottom w:val="single" w:sz="8" w:color="DBEEF4"/>
            </w:tcBorders>
            <w:shd w:val="clear" w:color="auto" w:fill="DBEEF4"/>
          </w:tcPr>
          <w:p>
            <w:pPr>
              <w:spacing w:after="0"/>
              <w:rPr>
                <w:sz w:val="11"/>
                <w:szCs w:val="11"/>
                <w:color w:val="auto"/>
              </w:rPr>
            </w:pPr>
          </w:p>
        </w:tc>
        <w:tc>
          <w:tcPr>
            <w:tcW w:w="140" w:type="dxa"/>
            <w:vAlign w:val="bottom"/>
            <w:tcBorders>
              <w:bottom w:val="single" w:sz="8" w:color="auto"/>
            </w:tcBorders>
            <w:shd w:val="clear" w:color="auto" w:fill="DBEEF4"/>
          </w:tcPr>
          <w:p>
            <w:pPr>
              <w:spacing w:after="0"/>
              <w:rPr>
                <w:sz w:val="11"/>
                <w:szCs w:val="11"/>
                <w:color w:val="auto"/>
              </w:rPr>
            </w:pPr>
          </w:p>
        </w:tc>
        <w:tc>
          <w:tcPr>
            <w:tcW w:w="42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2,258</w:t>
            </w:r>
          </w:p>
        </w:tc>
        <w:tc>
          <w:tcPr>
            <w:tcW w:w="200" w:type="dxa"/>
            <w:vAlign w:val="bottom"/>
            <w:tcBorders>
              <w:bottom w:val="single" w:sz="8" w:color="DBEEF4"/>
            </w:tcBorders>
            <w:shd w:val="clear" w:color="auto" w:fill="DBEEF4"/>
          </w:tcPr>
          <w:p>
            <w:pPr>
              <w:spacing w:after="0"/>
              <w:rPr>
                <w:sz w:val="11"/>
                <w:szCs w:val="11"/>
                <w:color w:val="auto"/>
              </w:rPr>
            </w:pPr>
          </w:p>
        </w:tc>
        <w:tc>
          <w:tcPr>
            <w:tcW w:w="60" w:type="dxa"/>
            <w:vAlign w:val="bottom"/>
            <w:tcBorders>
              <w:bottom w:val="single" w:sz="8" w:color="auto"/>
            </w:tcBorders>
            <w:shd w:val="clear" w:color="auto" w:fill="DBEEF4"/>
          </w:tcPr>
          <w:p>
            <w:pPr>
              <w:spacing w:after="0"/>
              <w:rPr>
                <w:sz w:val="11"/>
                <w:szCs w:val="11"/>
                <w:color w:val="auto"/>
              </w:rPr>
            </w:pPr>
          </w:p>
        </w:tc>
        <w:tc>
          <w:tcPr>
            <w:tcW w:w="44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2,249</w:t>
            </w:r>
          </w:p>
        </w:tc>
        <w:tc>
          <w:tcPr>
            <w:tcW w:w="40" w:type="dxa"/>
            <w:vAlign w:val="bottom"/>
            <w:tcBorders>
              <w:bottom w:val="single" w:sz="8" w:color="DBEEF4"/>
            </w:tcBorders>
            <w:shd w:val="clear" w:color="auto" w:fill="DBEEF4"/>
          </w:tcPr>
          <w:p>
            <w:pPr>
              <w:spacing w:after="0"/>
              <w:rPr>
                <w:sz w:val="11"/>
                <w:szCs w:val="11"/>
                <w:color w:val="auto"/>
              </w:rPr>
            </w:pPr>
          </w:p>
        </w:tc>
        <w:tc>
          <w:tcPr>
            <w:tcW w:w="560" w:type="dxa"/>
            <w:vAlign w:val="bottom"/>
            <w:tcBorders>
              <w:bottom w:val="single" w:sz="8" w:color="DBEEF4"/>
            </w:tcBorders>
            <w:shd w:val="clear" w:color="auto" w:fill="DBEEF4"/>
          </w:tcPr>
          <w:p>
            <w:pPr>
              <w:spacing w:after="0"/>
              <w:rPr>
                <w:sz w:val="11"/>
                <w:szCs w:val="11"/>
                <w:color w:val="auto"/>
              </w:rPr>
            </w:pPr>
          </w:p>
        </w:tc>
        <w:tc>
          <w:tcPr>
            <w:tcW w:w="120" w:type="dxa"/>
            <w:vAlign w:val="bottom"/>
            <w:tcBorders>
              <w:bottom w:val="single" w:sz="8" w:color="DBEEF4"/>
            </w:tcBorders>
            <w:shd w:val="clear" w:color="auto" w:fill="DBEEF4"/>
          </w:tcPr>
          <w:p>
            <w:pPr>
              <w:spacing w:after="0"/>
              <w:rPr>
                <w:sz w:val="11"/>
                <w:szCs w:val="11"/>
                <w:color w:val="auto"/>
              </w:rPr>
            </w:pPr>
          </w:p>
        </w:tc>
      </w:tr>
      <w:tr>
        <w:trPr>
          <w:trHeight w:val="113"/>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8"/>
                <w:szCs w:val="8"/>
                <w:color w:val="auto"/>
              </w:rPr>
              <w:t>10,959</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10,960</w:t>
            </w:r>
          </w:p>
        </w:tc>
        <w:tc>
          <w:tcPr>
            <w:tcW w:w="720" w:type="dxa"/>
            <w:vAlign w:val="bottom"/>
            <w:gridSpan w:val="3"/>
          </w:tcPr>
          <w:p>
            <w:pPr>
              <w:jc w:val="right"/>
              <w:ind w:right="40"/>
              <w:spacing w:after="0"/>
              <w:rPr>
                <w:sz w:val="20"/>
                <w:szCs w:val="20"/>
                <w:color w:val="auto"/>
              </w:rPr>
            </w:pPr>
            <w:r>
              <w:rPr>
                <w:rFonts w:ascii="Arial" w:cs="Arial" w:eastAsia="Arial" w:hAnsi="Arial"/>
                <w:sz w:val="8"/>
                <w:szCs w:val="8"/>
                <w:color w:val="auto"/>
              </w:rPr>
              <w:t>3 %</w:t>
            </w:r>
          </w:p>
        </w:tc>
      </w:tr>
      <w:tr>
        <w:trPr>
          <w:trHeight w:val="134"/>
        </w:trPr>
        <w:tc>
          <w:tcPr>
            <w:tcW w:w="2920" w:type="dxa"/>
            <w:vAlign w:val="bottom"/>
            <w:gridSpan w:val="4"/>
            <w:shd w:val="clear" w:color="auto" w:fill="DBEEF4"/>
          </w:tcPr>
          <w:p>
            <w:pPr>
              <w:ind w:left="20"/>
              <w:spacing w:after="0"/>
              <w:rPr>
                <w:sz w:val="20"/>
                <w:szCs w:val="20"/>
                <w:color w:val="auto"/>
              </w:rPr>
            </w:pPr>
            <w:r>
              <w:rPr>
                <w:rFonts w:ascii="Arial" w:cs="Arial" w:eastAsia="Arial" w:hAnsi="Arial"/>
                <w:sz w:val="8"/>
                <w:szCs w:val="8"/>
                <w:i w:val="1"/>
                <w:iCs w:val="1"/>
                <w:color w:val="auto"/>
              </w:rPr>
              <w:t>Mirage Trailers LLC</w:t>
            </w:r>
          </w:p>
        </w:tc>
        <w:tc>
          <w:tcPr>
            <w:tcW w:w="2260" w:type="dxa"/>
            <w:vAlign w:val="bottom"/>
            <w:shd w:val="clear" w:color="auto" w:fill="DBEEF4"/>
          </w:tcPr>
          <w:p>
            <w:pPr>
              <w:ind w:left="800"/>
              <w:spacing w:after="0"/>
              <w:rPr>
                <w:sz w:val="20"/>
                <w:szCs w:val="20"/>
                <w:color w:val="auto"/>
              </w:rPr>
            </w:pPr>
            <w:r>
              <w:rPr>
                <w:rFonts w:ascii="Arial" w:cs="Arial" w:eastAsia="Arial" w:hAnsi="Arial"/>
                <w:sz w:val="8"/>
                <w:szCs w:val="8"/>
                <w:color w:val="auto"/>
              </w:rPr>
              <w:t>Utility Equipment Manufacturing</w:t>
            </w:r>
          </w:p>
        </w:tc>
        <w:tc>
          <w:tcPr>
            <w:tcW w:w="1200" w:type="dxa"/>
            <w:vAlign w:val="bottom"/>
            <w:shd w:val="clear" w:color="auto" w:fill="DBEEF4"/>
          </w:tcPr>
          <w:p>
            <w:pPr>
              <w:spacing w:after="0"/>
              <w:rPr>
                <w:sz w:val="11"/>
                <w:szCs w:val="11"/>
                <w:color w:val="auto"/>
              </w:rPr>
            </w:pP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580" w:type="dxa"/>
            <w:vAlign w:val="bottom"/>
            <w:shd w:val="clear" w:color="auto" w:fill="DBEEF4"/>
          </w:tcPr>
          <w:p>
            <w:pPr>
              <w:spacing w:after="0"/>
              <w:rPr>
                <w:sz w:val="11"/>
                <w:szCs w:val="11"/>
                <w:color w:val="auto"/>
              </w:rPr>
            </w:pPr>
          </w:p>
        </w:tc>
        <w:tc>
          <w:tcPr>
            <w:tcW w:w="160" w:type="dxa"/>
            <w:vAlign w:val="bottom"/>
            <w:shd w:val="clear" w:color="auto" w:fill="DBEEF4"/>
          </w:tcPr>
          <w:p>
            <w:pPr>
              <w:spacing w:after="0"/>
              <w:rPr>
                <w:sz w:val="11"/>
                <w:szCs w:val="11"/>
                <w:color w:val="auto"/>
              </w:rPr>
            </w:pPr>
          </w:p>
        </w:tc>
        <w:tc>
          <w:tcPr>
            <w:tcW w:w="4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1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42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60" w:type="dxa"/>
            <w:vAlign w:val="bottom"/>
            <w:shd w:val="clear" w:color="auto" w:fill="DBEEF4"/>
          </w:tcPr>
          <w:p>
            <w:pPr>
              <w:spacing w:after="0"/>
              <w:rPr>
                <w:sz w:val="11"/>
                <w:szCs w:val="11"/>
                <w:color w:val="auto"/>
              </w:rPr>
            </w:pPr>
          </w:p>
        </w:tc>
        <w:tc>
          <w:tcPr>
            <w:tcW w:w="440" w:type="dxa"/>
            <w:vAlign w:val="bottom"/>
            <w:shd w:val="clear" w:color="auto" w:fill="DBEEF4"/>
          </w:tcPr>
          <w:p>
            <w:pPr>
              <w:spacing w:after="0"/>
              <w:rPr>
                <w:sz w:val="11"/>
                <w:szCs w:val="11"/>
                <w:color w:val="auto"/>
              </w:rPr>
            </w:pPr>
          </w:p>
        </w:tc>
        <w:tc>
          <w:tcPr>
            <w:tcW w:w="40" w:type="dxa"/>
            <w:vAlign w:val="bottom"/>
            <w:shd w:val="clear" w:color="auto" w:fill="DBEEF4"/>
          </w:tcPr>
          <w:p>
            <w:pPr>
              <w:spacing w:after="0"/>
              <w:rPr>
                <w:sz w:val="11"/>
                <w:szCs w:val="11"/>
                <w:color w:val="auto"/>
              </w:rPr>
            </w:pPr>
          </w:p>
        </w:tc>
        <w:tc>
          <w:tcPr>
            <w:tcW w:w="5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r>
      <w:tr>
        <w:trPr>
          <w:trHeight w:val="120"/>
        </w:trPr>
        <w:tc>
          <w:tcPr>
            <w:tcW w:w="20" w:type="dxa"/>
            <w:vAlign w:val="bottom"/>
          </w:tcPr>
          <w:p>
            <w:pPr>
              <w:spacing w:after="0"/>
              <w:rPr>
                <w:sz w:val="10"/>
                <w:szCs w:val="10"/>
                <w:color w:val="auto"/>
              </w:rPr>
            </w:pPr>
          </w:p>
        </w:tc>
        <w:tc>
          <w:tcPr>
            <w:tcW w:w="2900" w:type="dxa"/>
            <w:vAlign w:val="bottom"/>
            <w:gridSpan w:val="3"/>
          </w:tcPr>
          <w:p>
            <w:pPr>
              <w:ind w:left="80"/>
              <w:spacing w:after="0"/>
              <w:rPr>
                <w:sz w:val="20"/>
                <w:szCs w:val="20"/>
                <w:color w:val="auto"/>
              </w:rPr>
            </w:pPr>
            <w:r>
              <w:rPr>
                <w:rFonts w:ascii="Arial" w:cs="Arial" w:eastAsia="Arial" w:hAnsi="Arial"/>
                <w:sz w:val="8"/>
                <w:szCs w:val="8"/>
                <w:color w:val="auto"/>
              </w:rPr>
              <w:t>Second Lien Debt (k)</w:t>
            </w:r>
          </w:p>
        </w:tc>
        <w:tc>
          <w:tcPr>
            <w:tcW w:w="2260" w:type="dxa"/>
            <w:vAlign w:val="bottom"/>
          </w:tcPr>
          <w:p>
            <w:pPr>
              <w:spacing w:after="0"/>
              <w:rPr>
                <w:sz w:val="10"/>
                <w:szCs w:val="10"/>
                <w:color w:val="auto"/>
              </w:rPr>
            </w:pPr>
          </w:p>
        </w:tc>
        <w:tc>
          <w:tcPr>
            <w:tcW w:w="1200" w:type="dxa"/>
            <w:vAlign w:val="bottom"/>
          </w:tcPr>
          <w:p>
            <w:pPr>
              <w:ind w:left="200"/>
              <w:spacing w:after="0"/>
              <w:rPr>
                <w:sz w:val="20"/>
                <w:szCs w:val="20"/>
                <w:color w:val="auto"/>
              </w:rPr>
            </w:pPr>
            <w:r>
              <w:rPr>
                <w:rFonts w:ascii="Arial" w:cs="Arial" w:eastAsia="Arial" w:hAnsi="Arial"/>
                <w:sz w:val="8"/>
                <w:szCs w:val="8"/>
                <w:color w:val="auto"/>
              </w:rPr>
              <w:t>(L + 10.00%) / (1.00%)</w:t>
            </w:r>
          </w:p>
        </w:tc>
        <w:tc>
          <w:tcPr>
            <w:tcW w:w="820" w:type="dxa"/>
            <w:vAlign w:val="bottom"/>
          </w:tcPr>
          <w:p>
            <w:pPr>
              <w:ind w:left="180"/>
              <w:spacing w:after="0"/>
              <w:rPr>
                <w:sz w:val="20"/>
                <w:szCs w:val="20"/>
                <w:color w:val="auto"/>
              </w:rPr>
            </w:pPr>
            <w:r>
              <w:rPr>
                <w:rFonts w:ascii="Arial" w:cs="Arial" w:eastAsia="Arial" w:hAnsi="Arial"/>
                <w:sz w:val="8"/>
                <w:szCs w:val="8"/>
                <w:color w:val="auto"/>
              </w:rPr>
              <w:t>11.00%/5.00%</w:t>
            </w:r>
          </w:p>
        </w:tc>
        <w:tc>
          <w:tcPr>
            <w:tcW w:w="640" w:type="dxa"/>
            <w:vAlign w:val="bottom"/>
          </w:tcPr>
          <w:p>
            <w:pPr>
              <w:ind w:left="120"/>
              <w:spacing w:after="0"/>
              <w:rPr>
                <w:sz w:val="20"/>
                <w:szCs w:val="20"/>
                <w:color w:val="auto"/>
              </w:rPr>
            </w:pPr>
            <w:r>
              <w:rPr>
                <w:rFonts w:ascii="Arial" w:cs="Arial" w:eastAsia="Arial" w:hAnsi="Arial"/>
                <w:sz w:val="8"/>
                <w:szCs w:val="8"/>
                <w:color w:val="auto"/>
              </w:rPr>
              <w:t>11/25/2015</w:t>
            </w:r>
          </w:p>
        </w:tc>
        <w:tc>
          <w:tcPr>
            <w:tcW w:w="580" w:type="dxa"/>
            <w:vAlign w:val="bottom"/>
          </w:tcPr>
          <w:p>
            <w:pPr>
              <w:ind w:left="120"/>
              <w:spacing w:after="0"/>
              <w:rPr>
                <w:sz w:val="20"/>
                <w:szCs w:val="20"/>
                <w:color w:val="auto"/>
              </w:rPr>
            </w:pPr>
            <w:r>
              <w:rPr>
                <w:rFonts w:ascii="Arial" w:cs="Arial" w:eastAsia="Arial" w:hAnsi="Arial"/>
                <w:sz w:val="8"/>
                <w:szCs w:val="8"/>
                <w:color w:val="auto"/>
              </w:rPr>
              <w:t>11/25/2021</w:t>
            </w:r>
          </w:p>
        </w:tc>
        <w:tc>
          <w:tcPr>
            <w:tcW w:w="1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6,410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8"/>
                <w:szCs w:val="8"/>
                <w:color w:val="auto"/>
              </w:rPr>
              <w:t>6,483</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6,410</w:t>
            </w: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3"/>
        </w:trPr>
        <w:tc>
          <w:tcPr>
            <w:tcW w:w="20" w:type="dxa"/>
            <w:vAlign w:val="bottom"/>
            <w:tcBorders>
              <w:bottom w:val="single" w:sz="8" w:color="DBEEF4"/>
            </w:tcBorders>
            <w:shd w:val="clear" w:color="auto" w:fill="DBEEF4"/>
          </w:tcPr>
          <w:p>
            <w:pPr>
              <w:spacing w:after="0"/>
              <w:rPr>
                <w:sz w:val="11"/>
                <w:szCs w:val="11"/>
                <w:color w:val="auto"/>
              </w:rPr>
            </w:pPr>
          </w:p>
        </w:tc>
        <w:tc>
          <w:tcPr>
            <w:tcW w:w="2900" w:type="dxa"/>
            <w:vAlign w:val="bottom"/>
            <w:tcBorders>
              <w:bottom w:val="single" w:sz="8" w:color="DBEEF4"/>
            </w:tcBorders>
            <w:gridSpan w:val="3"/>
            <w:shd w:val="clear" w:color="auto" w:fill="DBEEF4"/>
          </w:tcPr>
          <w:p>
            <w:pPr>
              <w:ind w:left="80"/>
              <w:spacing w:after="0"/>
              <w:rPr>
                <w:sz w:val="20"/>
                <w:szCs w:val="20"/>
                <w:color w:val="auto"/>
              </w:rPr>
            </w:pPr>
            <w:r>
              <w:rPr>
                <w:rFonts w:ascii="Arial" w:cs="Arial" w:eastAsia="Arial" w:hAnsi="Arial"/>
                <w:sz w:val="8"/>
                <w:szCs w:val="8"/>
                <w:color w:val="auto"/>
              </w:rPr>
              <w:t>Common Equity (2,500,000 shares) (o)</w:t>
            </w:r>
          </w:p>
        </w:tc>
        <w:tc>
          <w:tcPr>
            <w:tcW w:w="2260" w:type="dxa"/>
            <w:vAlign w:val="bottom"/>
            <w:tcBorders>
              <w:bottom w:val="single" w:sz="8" w:color="DBEEF4"/>
            </w:tcBorders>
            <w:shd w:val="clear" w:color="auto" w:fill="DBEEF4"/>
          </w:tcPr>
          <w:p>
            <w:pPr>
              <w:spacing w:after="0"/>
              <w:rPr>
                <w:sz w:val="11"/>
                <w:szCs w:val="11"/>
                <w:color w:val="auto"/>
              </w:rPr>
            </w:pPr>
          </w:p>
        </w:tc>
        <w:tc>
          <w:tcPr>
            <w:tcW w:w="1200" w:type="dxa"/>
            <w:vAlign w:val="bottom"/>
            <w:tcBorders>
              <w:bottom w:val="single" w:sz="8" w:color="DBEEF4"/>
            </w:tcBorders>
            <w:shd w:val="clear" w:color="auto" w:fill="DBEEF4"/>
          </w:tcPr>
          <w:p>
            <w:pPr>
              <w:spacing w:after="0"/>
              <w:rPr>
                <w:sz w:val="11"/>
                <w:szCs w:val="11"/>
                <w:color w:val="auto"/>
              </w:rPr>
            </w:pPr>
          </w:p>
        </w:tc>
        <w:tc>
          <w:tcPr>
            <w:tcW w:w="820" w:type="dxa"/>
            <w:vAlign w:val="bottom"/>
            <w:tcBorders>
              <w:bottom w:val="single" w:sz="8" w:color="DBEEF4"/>
            </w:tcBorders>
            <w:shd w:val="clear" w:color="auto" w:fill="DBEEF4"/>
          </w:tcPr>
          <w:p>
            <w:pPr>
              <w:spacing w:after="0"/>
              <w:rPr>
                <w:sz w:val="11"/>
                <w:szCs w:val="11"/>
                <w:color w:val="auto"/>
              </w:rPr>
            </w:pPr>
          </w:p>
        </w:tc>
        <w:tc>
          <w:tcPr>
            <w:tcW w:w="6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8"/>
                <w:szCs w:val="8"/>
                <w:color w:val="auto"/>
              </w:rPr>
              <w:t>11/25/2015</w:t>
            </w:r>
          </w:p>
        </w:tc>
        <w:tc>
          <w:tcPr>
            <w:tcW w:w="580" w:type="dxa"/>
            <w:vAlign w:val="bottom"/>
            <w:tcBorders>
              <w:bottom w:val="single" w:sz="8" w:color="DBEEF4"/>
            </w:tcBorders>
            <w:shd w:val="clear" w:color="auto" w:fill="DBEEF4"/>
          </w:tcPr>
          <w:p>
            <w:pPr>
              <w:spacing w:after="0"/>
              <w:rPr>
                <w:sz w:val="11"/>
                <w:szCs w:val="11"/>
                <w:color w:val="auto"/>
              </w:rPr>
            </w:pPr>
          </w:p>
        </w:tc>
        <w:tc>
          <w:tcPr>
            <w:tcW w:w="160" w:type="dxa"/>
            <w:vAlign w:val="bottom"/>
            <w:tcBorders>
              <w:bottom w:val="single" w:sz="8" w:color="DBEEF4"/>
            </w:tcBorders>
            <w:shd w:val="clear" w:color="auto" w:fill="DBEEF4"/>
          </w:tcPr>
          <w:p>
            <w:pPr>
              <w:spacing w:after="0"/>
              <w:rPr>
                <w:sz w:val="11"/>
                <w:szCs w:val="11"/>
                <w:color w:val="auto"/>
              </w:rPr>
            </w:pPr>
          </w:p>
        </w:tc>
        <w:tc>
          <w:tcPr>
            <w:tcW w:w="460" w:type="dxa"/>
            <w:vAlign w:val="bottom"/>
            <w:tcBorders>
              <w:bottom w:val="single" w:sz="8" w:color="DBEEF4"/>
            </w:tcBorders>
            <w:shd w:val="clear" w:color="auto" w:fill="DBEEF4"/>
          </w:tcPr>
          <w:p>
            <w:pPr>
              <w:spacing w:after="0"/>
              <w:rPr>
                <w:sz w:val="11"/>
                <w:szCs w:val="11"/>
                <w:color w:val="auto"/>
              </w:rPr>
            </w:pPr>
          </w:p>
        </w:tc>
        <w:tc>
          <w:tcPr>
            <w:tcW w:w="120" w:type="dxa"/>
            <w:vAlign w:val="bottom"/>
            <w:tcBorders>
              <w:bottom w:val="single" w:sz="8" w:color="DBEEF4"/>
            </w:tcBorders>
            <w:shd w:val="clear" w:color="auto" w:fill="DBEEF4"/>
          </w:tcPr>
          <w:p>
            <w:pPr>
              <w:spacing w:after="0"/>
              <w:rPr>
                <w:sz w:val="11"/>
                <w:szCs w:val="11"/>
                <w:color w:val="auto"/>
              </w:rPr>
            </w:pPr>
          </w:p>
        </w:tc>
        <w:tc>
          <w:tcPr>
            <w:tcW w:w="100" w:type="dxa"/>
            <w:vAlign w:val="bottom"/>
            <w:tcBorders>
              <w:bottom w:val="single" w:sz="8" w:color="DBEEF4"/>
            </w:tcBorders>
            <w:shd w:val="clear" w:color="auto" w:fill="DBEEF4"/>
          </w:tcPr>
          <w:p>
            <w:pPr>
              <w:spacing w:after="0"/>
              <w:rPr>
                <w:sz w:val="11"/>
                <w:szCs w:val="11"/>
                <w:color w:val="auto"/>
              </w:rPr>
            </w:pPr>
          </w:p>
        </w:tc>
        <w:tc>
          <w:tcPr>
            <w:tcW w:w="140" w:type="dxa"/>
            <w:vAlign w:val="bottom"/>
            <w:tcBorders>
              <w:bottom w:val="single" w:sz="8" w:color="auto"/>
            </w:tcBorders>
            <w:shd w:val="clear" w:color="auto" w:fill="DBEEF4"/>
          </w:tcPr>
          <w:p>
            <w:pPr>
              <w:spacing w:after="0"/>
              <w:rPr>
                <w:sz w:val="11"/>
                <w:szCs w:val="11"/>
                <w:color w:val="auto"/>
              </w:rPr>
            </w:pPr>
          </w:p>
        </w:tc>
        <w:tc>
          <w:tcPr>
            <w:tcW w:w="42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2,188</w:t>
            </w:r>
          </w:p>
        </w:tc>
        <w:tc>
          <w:tcPr>
            <w:tcW w:w="200" w:type="dxa"/>
            <w:vAlign w:val="bottom"/>
            <w:tcBorders>
              <w:bottom w:val="single" w:sz="8" w:color="DBEEF4"/>
            </w:tcBorders>
            <w:shd w:val="clear" w:color="auto" w:fill="DBEEF4"/>
          </w:tcPr>
          <w:p>
            <w:pPr>
              <w:spacing w:after="0"/>
              <w:rPr>
                <w:sz w:val="11"/>
                <w:szCs w:val="11"/>
                <w:color w:val="auto"/>
              </w:rPr>
            </w:pPr>
          </w:p>
        </w:tc>
        <w:tc>
          <w:tcPr>
            <w:tcW w:w="60" w:type="dxa"/>
            <w:vAlign w:val="bottom"/>
            <w:tcBorders>
              <w:bottom w:val="single" w:sz="8" w:color="auto"/>
            </w:tcBorders>
            <w:shd w:val="clear" w:color="auto" w:fill="DBEEF4"/>
          </w:tcPr>
          <w:p>
            <w:pPr>
              <w:spacing w:after="0"/>
              <w:rPr>
                <w:sz w:val="11"/>
                <w:szCs w:val="11"/>
                <w:color w:val="auto"/>
              </w:rPr>
            </w:pPr>
          </w:p>
        </w:tc>
        <w:tc>
          <w:tcPr>
            <w:tcW w:w="44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84</w:t>
            </w:r>
          </w:p>
        </w:tc>
        <w:tc>
          <w:tcPr>
            <w:tcW w:w="40" w:type="dxa"/>
            <w:vAlign w:val="bottom"/>
            <w:tcBorders>
              <w:bottom w:val="single" w:sz="8" w:color="DBEEF4"/>
            </w:tcBorders>
            <w:shd w:val="clear" w:color="auto" w:fill="DBEEF4"/>
          </w:tcPr>
          <w:p>
            <w:pPr>
              <w:spacing w:after="0"/>
              <w:rPr>
                <w:sz w:val="11"/>
                <w:szCs w:val="11"/>
                <w:color w:val="auto"/>
              </w:rPr>
            </w:pPr>
          </w:p>
        </w:tc>
        <w:tc>
          <w:tcPr>
            <w:tcW w:w="560" w:type="dxa"/>
            <w:vAlign w:val="bottom"/>
            <w:tcBorders>
              <w:bottom w:val="single" w:sz="8" w:color="DBEEF4"/>
            </w:tcBorders>
            <w:shd w:val="clear" w:color="auto" w:fill="DBEEF4"/>
          </w:tcPr>
          <w:p>
            <w:pPr>
              <w:spacing w:after="0"/>
              <w:rPr>
                <w:sz w:val="11"/>
                <w:szCs w:val="11"/>
                <w:color w:val="auto"/>
              </w:rPr>
            </w:pPr>
          </w:p>
        </w:tc>
        <w:tc>
          <w:tcPr>
            <w:tcW w:w="120" w:type="dxa"/>
            <w:vAlign w:val="bottom"/>
            <w:tcBorders>
              <w:bottom w:val="single" w:sz="8" w:color="DBEEF4"/>
            </w:tcBorders>
            <w:shd w:val="clear" w:color="auto" w:fill="DBEEF4"/>
          </w:tcPr>
          <w:p>
            <w:pPr>
              <w:spacing w:after="0"/>
              <w:rPr>
                <w:sz w:val="11"/>
                <w:szCs w:val="11"/>
                <w:color w:val="auto"/>
              </w:rPr>
            </w:pPr>
          </w:p>
        </w:tc>
      </w:tr>
      <w:tr>
        <w:trPr>
          <w:trHeight w:val="113"/>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8"/>
                <w:szCs w:val="8"/>
                <w:color w:val="auto"/>
              </w:rPr>
              <w:t>8,671</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6,494</w:t>
            </w:r>
          </w:p>
        </w:tc>
        <w:tc>
          <w:tcPr>
            <w:tcW w:w="720" w:type="dxa"/>
            <w:vAlign w:val="bottom"/>
            <w:gridSpan w:val="3"/>
          </w:tcPr>
          <w:p>
            <w:pPr>
              <w:jc w:val="right"/>
              <w:ind w:right="40"/>
              <w:spacing w:after="0"/>
              <w:rPr>
                <w:sz w:val="20"/>
                <w:szCs w:val="20"/>
                <w:color w:val="auto"/>
              </w:rPr>
            </w:pPr>
            <w:r>
              <w:rPr>
                <w:rFonts w:ascii="Arial" w:cs="Arial" w:eastAsia="Arial" w:hAnsi="Arial"/>
                <w:sz w:val="8"/>
                <w:szCs w:val="8"/>
                <w:color w:val="auto"/>
              </w:rPr>
              <w:t>2 %</w:t>
            </w:r>
          </w:p>
        </w:tc>
      </w:tr>
      <w:tr>
        <w:trPr>
          <w:trHeight w:val="134"/>
        </w:trPr>
        <w:tc>
          <w:tcPr>
            <w:tcW w:w="2920" w:type="dxa"/>
            <w:vAlign w:val="bottom"/>
            <w:gridSpan w:val="4"/>
            <w:shd w:val="clear" w:color="auto" w:fill="DBEEF4"/>
          </w:tcPr>
          <w:p>
            <w:pPr>
              <w:ind w:left="20"/>
              <w:spacing w:after="0"/>
              <w:rPr>
                <w:sz w:val="20"/>
                <w:szCs w:val="20"/>
                <w:color w:val="auto"/>
              </w:rPr>
            </w:pPr>
            <w:r>
              <w:rPr>
                <w:rFonts w:ascii="Arial" w:cs="Arial" w:eastAsia="Arial" w:hAnsi="Arial"/>
                <w:sz w:val="8"/>
                <w:szCs w:val="8"/>
                <w:i w:val="1"/>
                <w:iCs w:val="1"/>
                <w:color w:val="auto"/>
              </w:rPr>
              <w:t>Pfanstiehl, Inc.</w:t>
            </w:r>
          </w:p>
        </w:tc>
        <w:tc>
          <w:tcPr>
            <w:tcW w:w="2260" w:type="dxa"/>
            <w:vAlign w:val="bottom"/>
            <w:shd w:val="clear" w:color="auto" w:fill="DBEEF4"/>
          </w:tcPr>
          <w:p>
            <w:pPr>
              <w:ind w:left="800"/>
              <w:spacing w:after="0"/>
              <w:rPr>
                <w:sz w:val="20"/>
                <w:szCs w:val="20"/>
                <w:color w:val="auto"/>
              </w:rPr>
            </w:pPr>
            <w:r>
              <w:rPr>
                <w:rFonts w:ascii="Arial" w:cs="Arial" w:eastAsia="Arial" w:hAnsi="Arial"/>
                <w:sz w:val="8"/>
                <w:szCs w:val="8"/>
                <w:color w:val="auto"/>
              </w:rPr>
              <w:t>Healthcare Products</w:t>
            </w:r>
          </w:p>
        </w:tc>
        <w:tc>
          <w:tcPr>
            <w:tcW w:w="1200" w:type="dxa"/>
            <w:vAlign w:val="bottom"/>
            <w:shd w:val="clear" w:color="auto" w:fill="DBEEF4"/>
          </w:tcPr>
          <w:p>
            <w:pPr>
              <w:spacing w:after="0"/>
              <w:rPr>
                <w:sz w:val="11"/>
                <w:szCs w:val="11"/>
                <w:color w:val="auto"/>
              </w:rPr>
            </w:pP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580" w:type="dxa"/>
            <w:vAlign w:val="bottom"/>
            <w:shd w:val="clear" w:color="auto" w:fill="DBEEF4"/>
          </w:tcPr>
          <w:p>
            <w:pPr>
              <w:spacing w:after="0"/>
              <w:rPr>
                <w:sz w:val="11"/>
                <w:szCs w:val="11"/>
                <w:color w:val="auto"/>
              </w:rPr>
            </w:pPr>
          </w:p>
        </w:tc>
        <w:tc>
          <w:tcPr>
            <w:tcW w:w="160" w:type="dxa"/>
            <w:vAlign w:val="bottom"/>
            <w:shd w:val="clear" w:color="auto" w:fill="DBEEF4"/>
          </w:tcPr>
          <w:p>
            <w:pPr>
              <w:spacing w:after="0"/>
              <w:rPr>
                <w:sz w:val="11"/>
                <w:szCs w:val="11"/>
                <w:color w:val="auto"/>
              </w:rPr>
            </w:pPr>
          </w:p>
        </w:tc>
        <w:tc>
          <w:tcPr>
            <w:tcW w:w="4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1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42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60" w:type="dxa"/>
            <w:vAlign w:val="bottom"/>
            <w:shd w:val="clear" w:color="auto" w:fill="DBEEF4"/>
          </w:tcPr>
          <w:p>
            <w:pPr>
              <w:spacing w:after="0"/>
              <w:rPr>
                <w:sz w:val="11"/>
                <w:szCs w:val="11"/>
                <w:color w:val="auto"/>
              </w:rPr>
            </w:pPr>
          </w:p>
        </w:tc>
        <w:tc>
          <w:tcPr>
            <w:tcW w:w="440" w:type="dxa"/>
            <w:vAlign w:val="bottom"/>
            <w:shd w:val="clear" w:color="auto" w:fill="DBEEF4"/>
          </w:tcPr>
          <w:p>
            <w:pPr>
              <w:spacing w:after="0"/>
              <w:rPr>
                <w:sz w:val="11"/>
                <w:szCs w:val="11"/>
                <w:color w:val="auto"/>
              </w:rPr>
            </w:pPr>
          </w:p>
        </w:tc>
        <w:tc>
          <w:tcPr>
            <w:tcW w:w="40" w:type="dxa"/>
            <w:vAlign w:val="bottom"/>
            <w:shd w:val="clear" w:color="auto" w:fill="DBEEF4"/>
          </w:tcPr>
          <w:p>
            <w:pPr>
              <w:spacing w:after="0"/>
              <w:rPr>
                <w:sz w:val="11"/>
                <w:szCs w:val="11"/>
                <w:color w:val="auto"/>
              </w:rPr>
            </w:pPr>
          </w:p>
        </w:tc>
        <w:tc>
          <w:tcPr>
            <w:tcW w:w="5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r>
      <w:tr>
        <w:trPr>
          <w:trHeight w:val="120"/>
        </w:trPr>
        <w:tc>
          <w:tcPr>
            <w:tcW w:w="20" w:type="dxa"/>
            <w:vAlign w:val="bottom"/>
          </w:tcPr>
          <w:p>
            <w:pPr>
              <w:spacing w:after="0"/>
              <w:rPr>
                <w:sz w:val="10"/>
                <w:szCs w:val="10"/>
                <w:color w:val="auto"/>
              </w:rPr>
            </w:pPr>
          </w:p>
        </w:tc>
        <w:tc>
          <w:tcPr>
            <w:tcW w:w="2900" w:type="dxa"/>
            <w:vAlign w:val="bottom"/>
            <w:gridSpan w:val="3"/>
          </w:tcPr>
          <w:p>
            <w:pPr>
              <w:ind w:left="80"/>
              <w:spacing w:after="0"/>
              <w:rPr>
                <w:sz w:val="20"/>
                <w:szCs w:val="20"/>
                <w:color w:val="auto"/>
              </w:rPr>
            </w:pPr>
            <w:r>
              <w:rPr>
                <w:rFonts w:ascii="Arial" w:cs="Arial" w:eastAsia="Arial" w:hAnsi="Arial"/>
                <w:sz w:val="8"/>
                <w:szCs w:val="8"/>
                <w:color w:val="auto"/>
              </w:rPr>
              <w:t>Common Equity (4,250 units) (j)</w:t>
            </w:r>
          </w:p>
        </w:tc>
        <w:tc>
          <w:tcPr>
            <w:tcW w:w="2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8"/>
                <w:szCs w:val="8"/>
                <w:color w:val="auto"/>
              </w:rPr>
              <w:t>3/29/2013</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8"/>
                <w:szCs w:val="8"/>
                <w:color w:val="auto"/>
              </w:rPr>
              <w:t>425</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33,505</w:t>
            </w:r>
          </w:p>
        </w:tc>
        <w:tc>
          <w:tcPr>
            <w:tcW w:w="720" w:type="dxa"/>
            <w:vAlign w:val="bottom"/>
            <w:gridSpan w:val="3"/>
          </w:tcPr>
          <w:p>
            <w:pPr>
              <w:jc w:val="right"/>
              <w:ind w:right="40"/>
              <w:spacing w:after="0"/>
              <w:rPr>
                <w:sz w:val="20"/>
                <w:szCs w:val="20"/>
                <w:color w:val="auto"/>
              </w:rPr>
            </w:pPr>
            <w:r>
              <w:rPr>
                <w:rFonts w:ascii="Arial" w:cs="Arial" w:eastAsia="Arial" w:hAnsi="Arial"/>
                <w:sz w:val="8"/>
                <w:szCs w:val="8"/>
                <w:color w:val="auto"/>
              </w:rPr>
              <w:t>8 %</w:t>
            </w:r>
          </w:p>
        </w:tc>
      </w:tr>
      <w:tr>
        <w:trPr>
          <w:trHeight w:val="134"/>
        </w:trPr>
        <w:tc>
          <w:tcPr>
            <w:tcW w:w="20" w:type="dxa"/>
            <w:vAlign w:val="bottom"/>
            <w:shd w:val="clear" w:color="auto" w:fill="DBEEF4"/>
          </w:tcPr>
          <w:p>
            <w:pPr>
              <w:spacing w:after="0"/>
              <w:rPr>
                <w:sz w:val="11"/>
                <w:szCs w:val="11"/>
                <w:color w:val="auto"/>
              </w:rPr>
            </w:pPr>
          </w:p>
        </w:tc>
        <w:tc>
          <w:tcPr>
            <w:tcW w:w="840" w:type="dxa"/>
            <w:vAlign w:val="bottom"/>
            <w:shd w:val="clear" w:color="auto" w:fill="DBEEF4"/>
          </w:tcPr>
          <w:p>
            <w:pPr>
              <w:spacing w:after="0"/>
              <w:rPr>
                <w:sz w:val="11"/>
                <w:szCs w:val="11"/>
                <w:color w:val="auto"/>
              </w:rPr>
            </w:pPr>
          </w:p>
        </w:tc>
        <w:tc>
          <w:tcPr>
            <w:tcW w:w="520" w:type="dxa"/>
            <w:vAlign w:val="bottom"/>
            <w:shd w:val="clear" w:color="auto" w:fill="DBEEF4"/>
          </w:tcPr>
          <w:p>
            <w:pPr>
              <w:spacing w:after="0"/>
              <w:rPr>
                <w:sz w:val="11"/>
                <w:szCs w:val="11"/>
                <w:color w:val="auto"/>
              </w:rPr>
            </w:pPr>
          </w:p>
        </w:tc>
        <w:tc>
          <w:tcPr>
            <w:tcW w:w="1540" w:type="dxa"/>
            <w:vAlign w:val="bottom"/>
            <w:shd w:val="clear" w:color="auto" w:fill="DBEEF4"/>
          </w:tcPr>
          <w:p>
            <w:pPr>
              <w:spacing w:after="0"/>
              <w:rPr>
                <w:sz w:val="11"/>
                <w:szCs w:val="11"/>
                <w:color w:val="auto"/>
              </w:rPr>
            </w:pPr>
          </w:p>
        </w:tc>
        <w:tc>
          <w:tcPr>
            <w:tcW w:w="2260" w:type="dxa"/>
            <w:vAlign w:val="bottom"/>
            <w:shd w:val="clear" w:color="auto" w:fill="DBEEF4"/>
          </w:tcPr>
          <w:p>
            <w:pPr>
              <w:spacing w:after="0"/>
              <w:rPr>
                <w:sz w:val="11"/>
                <w:szCs w:val="11"/>
                <w:color w:val="auto"/>
              </w:rPr>
            </w:pPr>
          </w:p>
        </w:tc>
        <w:tc>
          <w:tcPr>
            <w:tcW w:w="1200" w:type="dxa"/>
            <w:vAlign w:val="bottom"/>
            <w:shd w:val="clear" w:color="auto" w:fill="DBEEF4"/>
          </w:tcPr>
          <w:p>
            <w:pPr>
              <w:spacing w:after="0"/>
              <w:rPr>
                <w:sz w:val="11"/>
                <w:szCs w:val="11"/>
                <w:color w:val="auto"/>
              </w:rPr>
            </w:pP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580" w:type="dxa"/>
            <w:vAlign w:val="bottom"/>
            <w:shd w:val="clear" w:color="auto" w:fill="DBEEF4"/>
          </w:tcPr>
          <w:p>
            <w:pPr>
              <w:spacing w:after="0"/>
              <w:rPr>
                <w:sz w:val="11"/>
                <w:szCs w:val="11"/>
                <w:color w:val="auto"/>
              </w:rPr>
            </w:pPr>
          </w:p>
        </w:tc>
        <w:tc>
          <w:tcPr>
            <w:tcW w:w="160" w:type="dxa"/>
            <w:vAlign w:val="bottom"/>
            <w:shd w:val="clear" w:color="auto" w:fill="DBEEF4"/>
          </w:tcPr>
          <w:p>
            <w:pPr>
              <w:spacing w:after="0"/>
              <w:rPr>
                <w:sz w:val="11"/>
                <w:szCs w:val="11"/>
                <w:color w:val="auto"/>
              </w:rPr>
            </w:pPr>
          </w:p>
        </w:tc>
        <w:tc>
          <w:tcPr>
            <w:tcW w:w="4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1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42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60" w:type="dxa"/>
            <w:vAlign w:val="bottom"/>
            <w:shd w:val="clear" w:color="auto" w:fill="DBEEF4"/>
          </w:tcPr>
          <w:p>
            <w:pPr>
              <w:spacing w:after="0"/>
              <w:rPr>
                <w:sz w:val="11"/>
                <w:szCs w:val="11"/>
                <w:color w:val="auto"/>
              </w:rPr>
            </w:pPr>
          </w:p>
        </w:tc>
        <w:tc>
          <w:tcPr>
            <w:tcW w:w="440" w:type="dxa"/>
            <w:vAlign w:val="bottom"/>
            <w:shd w:val="clear" w:color="auto" w:fill="DBEEF4"/>
          </w:tcPr>
          <w:p>
            <w:pPr>
              <w:spacing w:after="0"/>
              <w:rPr>
                <w:sz w:val="11"/>
                <w:szCs w:val="11"/>
                <w:color w:val="auto"/>
              </w:rPr>
            </w:pPr>
          </w:p>
        </w:tc>
        <w:tc>
          <w:tcPr>
            <w:tcW w:w="40" w:type="dxa"/>
            <w:vAlign w:val="bottom"/>
            <w:shd w:val="clear" w:color="auto" w:fill="DBEEF4"/>
          </w:tcPr>
          <w:p>
            <w:pPr>
              <w:spacing w:after="0"/>
              <w:rPr>
                <w:sz w:val="11"/>
                <w:szCs w:val="11"/>
                <w:color w:val="auto"/>
              </w:rPr>
            </w:pPr>
          </w:p>
        </w:tc>
        <w:tc>
          <w:tcPr>
            <w:tcW w:w="5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r>
      <w:tr>
        <w:trPr>
          <w:trHeight w:val="120"/>
        </w:trPr>
        <w:tc>
          <w:tcPr>
            <w:tcW w:w="2920" w:type="dxa"/>
            <w:vAlign w:val="bottom"/>
            <w:gridSpan w:val="4"/>
          </w:tcPr>
          <w:p>
            <w:pPr>
              <w:ind w:left="20"/>
              <w:spacing w:after="0"/>
              <w:rPr>
                <w:sz w:val="20"/>
                <w:szCs w:val="20"/>
                <w:color w:val="auto"/>
              </w:rPr>
            </w:pPr>
            <w:r>
              <w:rPr>
                <w:rFonts w:ascii="Arial" w:cs="Arial" w:eastAsia="Arial" w:hAnsi="Arial"/>
                <w:sz w:val="8"/>
                <w:szCs w:val="8"/>
                <w:i w:val="1"/>
                <w:iCs w:val="1"/>
                <w:color w:val="auto"/>
              </w:rPr>
              <w:t>Pinnergy, Ltd.</w:t>
            </w:r>
          </w:p>
        </w:tc>
        <w:tc>
          <w:tcPr>
            <w:tcW w:w="2260" w:type="dxa"/>
            <w:vAlign w:val="bottom"/>
          </w:tcPr>
          <w:p>
            <w:pPr>
              <w:ind w:left="800"/>
              <w:spacing w:after="0"/>
              <w:rPr>
                <w:sz w:val="20"/>
                <w:szCs w:val="20"/>
                <w:color w:val="auto"/>
              </w:rPr>
            </w:pPr>
            <w:r>
              <w:rPr>
                <w:rFonts w:ascii="Arial" w:cs="Arial" w:eastAsia="Arial" w:hAnsi="Arial"/>
                <w:sz w:val="8"/>
                <w:szCs w:val="8"/>
                <w:color w:val="auto"/>
              </w:rPr>
              <w:t>Oil &amp; Gas Services</w:t>
            </w: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4"/>
        </w:trPr>
        <w:tc>
          <w:tcPr>
            <w:tcW w:w="20" w:type="dxa"/>
            <w:vAlign w:val="bottom"/>
            <w:shd w:val="clear" w:color="auto" w:fill="DBEEF4"/>
          </w:tcPr>
          <w:p>
            <w:pPr>
              <w:spacing w:after="0"/>
              <w:rPr>
                <w:sz w:val="11"/>
                <w:szCs w:val="11"/>
                <w:color w:val="auto"/>
              </w:rPr>
            </w:pPr>
          </w:p>
        </w:tc>
        <w:tc>
          <w:tcPr>
            <w:tcW w:w="2900" w:type="dxa"/>
            <w:vAlign w:val="bottom"/>
            <w:gridSpan w:val="3"/>
            <w:shd w:val="clear" w:color="auto" w:fill="DBEEF4"/>
          </w:tcPr>
          <w:p>
            <w:pPr>
              <w:ind w:left="80"/>
              <w:spacing w:after="0"/>
              <w:rPr>
                <w:sz w:val="20"/>
                <w:szCs w:val="20"/>
                <w:color w:val="auto"/>
              </w:rPr>
            </w:pPr>
            <w:r>
              <w:rPr>
                <w:rFonts w:ascii="Arial" w:cs="Arial" w:eastAsia="Arial" w:hAnsi="Arial"/>
                <w:sz w:val="8"/>
                <w:szCs w:val="8"/>
                <w:color w:val="auto"/>
              </w:rPr>
              <w:t>Common Equity - Class A-2 (42,500 units) (j)</w:t>
            </w:r>
          </w:p>
        </w:tc>
        <w:tc>
          <w:tcPr>
            <w:tcW w:w="2260" w:type="dxa"/>
            <w:vAlign w:val="bottom"/>
            <w:shd w:val="clear" w:color="auto" w:fill="DBEEF4"/>
          </w:tcPr>
          <w:p>
            <w:pPr>
              <w:spacing w:after="0"/>
              <w:rPr>
                <w:sz w:val="11"/>
                <w:szCs w:val="11"/>
                <w:color w:val="auto"/>
              </w:rPr>
            </w:pPr>
          </w:p>
        </w:tc>
        <w:tc>
          <w:tcPr>
            <w:tcW w:w="1200" w:type="dxa"/>
            <w:vAlign w:val="bottom"/>
            <w:shd w:val="clear" w:color="auto" w:fill="DBEEF4"/>
          </w:tcPr>
          <w:p>
            <w:pPr>
              <w:spacing w:after="0"/>
              <w:rPr>
                <w:sz w:val="11"/>
                <w:szCs w:val="11"/>
                <w:color w:val="auto"/>
              </w:rPr>
            </w:pP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ind w:left="120"/>
              <w:spacing w:after="0"/>
              <w:rPr>
                <w:sz w:val="20"/>
                <w:szCs w:val="20"/>
                <w:color w:val="auto"/>
              </w:rPr>
            </w:pPr>
            <w:r>
              <w:rPr>
                <w:rFonts w:ascii="Arial" w:cs="Arial" w:eastAsia="Arial" w:hAnsi="Arial"/>
                <w:sz w:val="8"/>
                <w:szCs w:val="8"/>
                <w:color w:val="auto"/>
              </w:rPr>
              <w:t>10/13/2016</w:t>
            </w:r>
          </w:p>
        </w:tc>
        <w:tc>
          <w:tcPr>
            <w:tcW w:w="580" w:type="dxa"/>
            <w:vAlign w:val="bottom"/>
            <w:shd w:val="clear" w:color="auto" w:fill="DBEEF4"/>
          </w:tcPr>
          <w:p>
            <w:pPr>
              <w:spacing w:after="0"/>
              <w:rPr>
                <w:sz w:val="11"/>
                <w:szCs w:val="11"/>
                <w:color w:val="auto"/>
              </w:rPr>
            </w:pPr>
          </w:p>
        </w:tc>
        <w:tc>
          <w:tcPr>
            <w:tcW w:w="160" w:type="dxa"/>
            <w:vAlign w:val="bottom"/>
            <w:shd w:val="clear" w:color="auto" w:fill="DBEEF4"/>
          </w:tcPr>
          <w:p>
            <w:pPr>
              <w:spacing w:after="0"/>
              <w:rPr>
                <w:sz w:val="11"/>
                <w:szCs w:val="11"/>
                <w:color w:val="auto"/>
              </w:rPr>
            </w:pPr>
          </w:p>
        </w:tc>
        <w:tc>
          <w:tcPr>
            <w:tcW w:w="4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1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8"/>
                <w:szCs w:val="8"/>
                <w:color w:val="auto"/>
              </w:rPr>
              <w:t>3,000</w:t>
            </w:r>
          </w:p>
        </w:tc>
        <w:tc>
          <w:tcPr>
            <w:tcW w:w="200" w:type="dxa"/>
            <w:vAlign w:val="bottom"/>
            <w:shd w:val="clear" w:color="auto" w:fill="DBEEF4"/>
          </w:tcPr>
          <w:p>
            <w:pPr>
              <w:spacing w:after="0"/>
              <w:rPr>
                <w:sz w:val="11"/>
                <w:szCs w:val="11"/>
                <w:color w:val="auto"/>
              </w:rPr>
            </w:pPr>
          </w:p>
        </w:tc>
        <w:tc>
          <w:tcPr>
            <w:tcW w:w="60" w:type="dxa"/>
            <w:vAlign w:val="bottom"/>
            <w:shd w:val="clear" w:color="auto" w:fill="DBEEF4"/>
          </w:tcPr>
          <w:p>
            <w:pPr>
              <w:spacing w:after="0"/>
              <w:rPr>
                <w:sz w:val="11"/>
                <w:szCs w:val="11"/>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20,589</w:t>
            </w:r>
          </w:p>
        </w:tc>
        <w:tc>
          <w:tcPr>
            <w:tcW w:w="720" w:type="dxa"/>
            <w:vAlign w:val="bottom"/>
            <w:gridSpan w:val="3"/>
            <w:shd w:val="clear" w:color="auto" w:fill="DBEEF4"/>
          </w:tcPr>
          <w:p>
            <w:pPr>
              <w:jc w:val="right"/>
              <w:ind w:right="40"/>
              <w:spacing w:after="0"/>
              <w:rPr>
                <w:sz w:val="20"/>
                <w:szCs w:val="20"/>
                <w:color w:val="auto"/>
              </w:rPr>
            </w:pPr>
            <w:r>
              <w:rPr>
                <w:rFonts w:ascii="Arial" w:cs="Arial" w:eastAsia="Arial" w:hAnsi="Arial"/>
                <w:sz w:val="8"/>
                <w:szCs w:val="8"/>
                <w:color w:val="auto"/>
              </w:rPr>
              <w:t>5 %</w:t>
            </w:r>
          </w:p>
        </w:tc>
      </w:tr>
      <w:tr>
        <w:trPr>
          <w:trHeight w:val="127"/>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7"/>
        </w:trPr>
        <w:tc>
          <w:tcPr>
            <w:tcW w:w="2920" w:type="dxa"/>
            <w:vAlign w:val="bottom"/>
            <w:gridSpan w:val="4"/>
            <w:shd w:val="clear" w:color="auto" w:fill="DBEEF4"/>
          </w:tcPr>
          <w:p>
            <w:pPr>
              <w:ind w:left="20"/>
              <w:spacing w:after="0"/>
              <w:rPr>
                <w:sz w:val="20"/>
                <w:szCs w:val="20"/>
                <w:color w:val="auto"/>
              </w:rPr>
            </w:pPr>
            <w:r>
              <w:rPr>
                <w:rFonts w:ascii="Arial" w:cs="Arial" w:eastAsia="Arial" w:hAnsi="Arial"/>
                <w:sz w:val="8"/>
                <w:szCs w:val="8"/>
                <w:i w:val="1"/>
                <w:iCs w:val="1"/>
                <w:color w:val="auto"/>
              </w:rPr>
              <w:t>Steward Holding LLC (dba Steward Advanced Materials)</w:t>
            </w:r>
          </w:p>
        </w:tc>
        <w:tc>
          <w:tcPr>
            <w:tcW w:w="2260" w:type="dxa"/>
            <w:vAlign w:val="bottom"/>
            <w:shd w:val="clear" w:color="auto" w:fill="DBEEF4"/>
          </w:tcPr>
          <w:p>
            <w:pPr>
              <w:ind w:left="800"/>
              <w:spacing w:after="0"/>
              <w:rPr>
                <w:sz w:val="20"/>
                <w:szCs w:val="20"/>
                <w:color w:val="auto"/>
              </w:rPr>
            </w:pPr>
            <w:r>
              <w:rPr>
                <w:rFonts w:ascii="Arial" w:cs="Arial" w:eastAsia="Arial" w:hAnsi="Arial"/>
                <w:sz w:val="8"/>
                <w:szCs w:val="8"/>
                <w:color w:val="auto"/>
              </w:rPr>
              <w:t>Aerospace &amp; Defense Manufacturing</w:t>
            </w:r>
          </w:p>
        </w:tc>
        <w:tc>
          <w:tcPr>
            <w:tcW w:w="1200" w:type="dxa"/>
            <w:vAlign w:val="bottom"/>
            <w:shd w:val="clear" w:color="auto" w:fill="DBEEF4"/>
          </w:tcPr>
          <w:p>
            <w:pPr>
              <w:spacing w:after="0"/>
              <w:rPr>
                <w:sz w:val="11"/>
                <w:szCs w:val="11"/>
                <w:color w:val="auto"/>
              </w:rPr>
            </w:pP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580" w:type="dxa"/>
            <w:vAlign w:val="bottom"/>
            <w:shd w:val="clear" w:color="auto" w:fill="DBEEF4"/>
          </w:tcPr>
          <w:p>
            <w:pPr>
              <w:spacing w:after="0"/>
              <w:rPr>
                <w:sz w:val="11"/>
                <w:szCs w:val="11"/>
                <w:color w:val="auto"/>
              </w:rPr>
            </w:pPr>
          </w:p>
        </w:tc>
        <w:tc>
          <w:tcPr>
            <w:tcW w:w="160" w:type="dxa"/>
            <w:vAlign w:val="bottom"/>
            <w:shd w:val="clear" w:color="auto" w:fill="DBEEF4"/>
          </w:tcPr>
          <w:p>
            <w:pPr>
              <w:spacing w:after="0"/>
              <w:rPr>
                <w:sz w:val="11"/>
                <w:szCs w:val="11"/>
                <w:color w:val="auto"/>
              </w:rPr>
            </w:pPr>
          </w:p>
        </w:tc>
        <w:tc>
          <w:tcPr>
            <w:tcW w:w="4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1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42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60" w:type="dxa"/>
            <w:vAlign w:val="bottom"/>
            <w:shd w:val="clear" w:color="auto" w:fill="DBEEF4"/>
          </w:tcPr>
          <w:p>
            <w:pPr>
              <w:spacing w:after="0"/>
              <w:rPr>
                <w:sz w:val="11"/>
                <w:szCs w:val="11"/>
                <w:color w:val="auto"/>
              </w:rPr>
            </w:pPr>
          </w:p>
        </w:tc>
        <w:tc>
          <w:tcPr>
            <w:tcW w:w="440" w:type="dxa"/>
            <w:vAlign w:val="bottom"/>
            <w:shd w:val="clear" w:color="auto" w:fill="DBEEF4"/>
          </w:tcPr>
          <w:p>
            <w:pPr>
              <w:spacing w:after="0"/>
              <w:rPr>
                <w:sz w:val="11"/>
                <w:szCs w:val="11"/>
                <w:color w:val="auto"/>
              </w:rPr>
            </w:pPr>
          </w:p>
        </w:tc>
        <w:tc>
          <w:tcPr>
            <w:tcW w:w="40" w:type="dxa"/>
            <w:vAlign w:val="bottom"/>
            <w:shd w:val="clear" w:color="auto" w:fill="DBEEF4"/>
          </w:tcPr>
          <w:p>
            <w:pPr>
              <w:spacing w:after="0"/>
              <w:rPr>
                <w:sz w:val="11"/>
                <w:szCs w:val="11"/>
                <w:color w:val="auto"/>
              </w:rPr>
            </w:pPr>
          </w:p>
        </w:tc>
        <w:tc>
          <w:tcPr>
            <w:tcW w:w="5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r>
      <w:tr>
        <w:trPr>
          <w:trHeight w:val="120"/>
        </w:trPr>
        <w:tc>
          <w:tcPr>
            <w:tcW w:w="20" w:type="dxa"/>
            <w:vAlign w:val="bottom"/>
          </w:tcPr>
          <w:p>
            <w:pPr>
              <w:spacing w:after="0"/>
              <w:rPr>
                <w:sz w:val="10"/>
                <w:szCs w:val="10"/>
                <w:color w:val="auto"/>
              </w:rPr>
            </w:pPr>
          </w:p>
        </w:tc>
        <w:tc>
          <w:tcPr>
            <w:tcW w:w="2900" w:type="dxa"/>
            <w:vAlign w:val="bottom"/>
            <w:gridSpan w:val="3"/>
          </w:tcPr>
          <w:p>
            <w:pPr>
              <w:ind w:left="80"/>
              <w:spacing w:after="0"/>
              <w:rPr>
                <w:sz w:val="20"/>
                <w:szCs w:val="20"/>
                <w:color w:val="auto"/>
              </w:rPr>
            </w:pPr>
            <w:r>
              <w:rPr>
                <w:rFonts w:ascii="Arial" w:cs="Arial" w:eastAsia="Arial" w:hAnsi="Arial"/>
                <w:sz w:val="8"/>
                <w:szCs w:val="8"/>
                <w:color w:val="auto"/>
              </w:rPr>
              <w:t>Second Lien Debt</w:t>
            </w:r>
          </w:p>
        </w:tc>
        <w:tc>
          <w:tcPr>
            <w:tcW w:w="2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ind w:left="180"/>
              <w:spacing w:after="0"/>
              <w:rPr>
                <w:sz w:val="20"/>
                <w:szCs w:val="20"/>
                <w:color w:val="auto"/>
              </w:rPr>
            </w:pPr>
            <w:r>
              <w:rPr>
                <w:rFonts w:ascii="Arial" w:cs="Arial" w:eastAsia="Arial" w:hAnsi="Arial"/>
                <w:sz w:val="8"/>
                <w:szCs w:val="8"/>
                <w:color w:val="auto"/>
              </w:rPr>
              <w:t>12.00%/1.50%</w:t>
            </w:r>
          </w:p>
        </w:tc>
        <w:tc>
          <w:tcPr>
            <w:tcW w:w="640" w:type="dxa"/>
            <w:vAlign w:val="bottom"/>
          </w:tcPr>
          <w:p>
            <w:pPr>
              <w:ind w:left="120"/>
              <w:spacing w:after="0"/>
              <w:rPr>
                <w:sz w:val="20"/>
                <w:szCs w:val="20"/>
                <w:color w:val="auto"/>
              </w:rPr>
            </w:pPr>
            <w:r>
              <w:rPr>
                <w:rFonts w:ascii="Arial" w:cs="Arial" w:eastAsia="Arial" w:hAnsi="Arial"/>
                <w:sz w:val="8"/>
                <w:szCs w:val="8"/>
                <w:color w:val="auto"/>
              </w:rPr>
              <w:t>11/12/2015</w:t>
            </w:r>
          </w:p>
        </w:tc>
        <w:tc>
          <w:tcPr>
            <w:tcW w:w="580" w:type="dxa"/>
            <w:vAlign w:val="bottom"/>
          </w:tcPr>
          <w:p>
            <w:pPr>
              <w:ind w:left="120"/>
              <w:spacing w:after="0"/>
              <w:rPr>
                <w:sz w:val="20"/>
                <w:szCs w:val="20"/>
                <w:color w:val="auto"/>
              </w:rPr>
            </w:pPr>
            <w:r>
              <w:rPr>
                <w:rFonts w:ascii="Arial" w:cs="Arial" w:eastAsia="Arial" w:hAnsi="Arial"/>
                <w:sz w:val="8"/>
                <w:szCs w:val="8"/>
                <w:color w:val="auto"/>
              </w:rPr>
              <w:t>10/31/2021</w:t>
            </w:r>
          </w:p>
        </w:tc>
        <w:tc>
          <w:tcPr>
            <w:tcW w:w="1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7,783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8"/>
                <w:szCs w:val="8"/>
                <w:color w:val="auto"/>
              </w:rPr>
              <w:t>7,781</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7,783</w:t>
            </w: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3"/>
        </w:trPr>
        <w:tc>
          <w:tcPr>
            <w:tcW w:w="20" w:type="dxa"/>
            <w:vAlign w:val="bottom"/>
            <w:tcBorders>
              <w:bottom w:val="single" w:sz="8" w:color="DBEEF4"/>
            </w:tcBorders>
            <w:shd w:val="clear" w:color="auto" w:fill="DBEEF4"/>
          </w:tcPr>
          <w:p>
            <w:pPr>
              <w:spacing w:after="0"/>
              <w:rPr>
                <w:sz w:val="11"/>
                <w:szCs w:val="11"/>
                <w:color w:val="auto"/>
              </w:rPr>
            </w:pPr>
          </w:p>
        </w:tc>
        <w:tc>
          <w:tcPr>
            <w:tcW w:w="2900" w:type="dxa"/>
            <w:vAlign w:val="bottom"/>
            <w:tcBorders>
              <w:bottom w:val="single" w:sz="8" w:color="DBEEF4"/>
            </w:tcBorders>
            <w:gridSpan w:val="3"/>
            <w:shd w:val="clear" w:color="auto" w:fill="DBEEF4"/>
          </w:tcPr>
          <w:p>
            <w:pPr>
              <w:ind w:left="80"/>
              <w:spacing w:after="0"/>
              <w:rPr>
                <w:sz w:val="20"/>
                <w:szCs w:val="20"/>
                <w:color w:val="auto"/>
              </w:rPr>
            </w:pPr>
            <w:r>
              <w:rPr>
                <w:rFonts w:ascii="Arial" w:cs="Arial" w:eastAsia="Arial" w:hAnsi="Arial"/>
                <w:sz w:val="8"/>
                <w:szCs w:val="8"/>
                <w:color w:val="auto"/>
              </w:rPr>
              <w:t>Common Equity (1,000,000 units)</w:t>
            </w:r>
          </w:p>
        </w:tc>
        <w:tc>
          <w:tcPr>
            <w:tcW w:w="2260" w:type="dxa"/>
            <w:vAlign w:val="bottom"/>
            <w:tcBorders>
              <w:bottom w:val="single" w:sz="8" w:color="DBEEF4"/>
            </w:tcBorders>
            <w:shd w:val="clear" w:color="auto" w:fill="DBEEF4"/>
          </w:tcPr>
          <w:p>
            <w:pPr>
              <w:spacing w:after="0"/>
              <w:rPr>
                <w:sz w:val="11"/>
                <w:szCs w:val="11"/>
                <w:color w:val="auto"/>
              </w:rPr>
            </w:pPr>
          </w:p>
        </w:tc>
        <w:tc>
          <w:tcPr>
            <w:tcW w:w="1200" w:type="dxa"/>
            <w:vAlign w:val="bottom"/>
            <w:tcBorders>
              <w:bottom w:val="single" w:sz="8" w:color="DBEEF4"/>
            </w:tcBorders>
            <w:shd w:val="clear" w:color="auto" w:fill="DBEEF4"/>
          </w:tcPr>
          <w:p>
            <w:pPr>
              <w:spacing w:after="0"/>
              <w:rPr>
                <w:sz w:val="11"/>
                <w:szCs w:val="11"/>
                <w:color w:val="auto"/>
              </w:rPr>
            </w:pPr>
          </w:p>
        </w:tc>
        <w:tc>
          <w:tcPr>
            <w:tcW w:w="820" w:type="dxa"/>
            <w:vAlign w:val="bottom"/>
            <w:tcBorders>
              <w:bottom w:val="single" w:sz="8" w:color="DBEEF4"/>
            </w:tcBorders>
            <w:shd w:val="clear" w:color="auto" w:fill="DBEEF4"/>
          </w:tcPr>
          <w:p>
            <w:pPr>
              <w:spacing w:after="0"/>
              <w:rPr>
                <w:sz w:val="11"/>
                <w:szCs w:val="11"/>
                <w:color w:val="auto"/>
              </w:rPr>
            </w:pPr>
          </w:p>
        </w:tc>
        <w:tc>
          <w:tcPr>
            <w:tcW w:w="6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8"/>
                <w:szCs w:val="8"/>
                <w:color w:val="auto"/>
              </w:rPr>
              <w:t>11/12/2015</w:t>
            </w:r>
          </w:p>
        </w:tc>
        <w:tc>
          <w:tcPr>
            <w:tcW w:w="580" w:type="dxa"/>
            <w:vAlign w:val="bottom"/>
            <w:tcBorders>
              <w:bottom w:val="single" w:sz="8" w:color="DBEEF4"/>
            </w:tcBorders>
            <w:shd w:val="clear" w:color="auto" w:fill="DBEEF4"/>
          </w:tcPr>
          <w:p>
            <w:pPr>
              <w:spacing w:after="0"/>
              <w:rPr>
                <w:sz w:val="11"/>
                <w:szCs w:val="11"/>
                <w:color w:val="auto"/>
              </w:rPr>
            </w:pPr>
          </w:p>
        </w:tc>
        <w:tc>
          <w:tcPr>
            <w:tcW w:w="160" w:type="dxa"/>
            <w:vAlign w:val="bottom"/>
            <w:tcBorders>
              <w:bottom w:val="single" w:sz="8" w:color="DBEEF4"/>
            </w:tcBorders>
            <w:shd w:val="clear" w:color="auto" w:fill="DBEEF4"/>
          </w:tcPr>
          <w:p>
            <w:pPr>
              <w:spacing w:after="0"/>
              <w:rPr>
                <w:sz w:val="11"/>
                <w:szCs w:val="11"/>
                <w:color w:val="auto"/>
              </w:rPr>
            </w:pPr>
          </w:p>
        </w:tc>
        <w:tc>
          <w:tcPr>
            <w:tcW w:w="460" w:type="dxa"/>
            <w:vAlign w:val="bottom"/>
            <w:tcBorders>
              <w:bottom w:val="single" w:sz="8" w:color="DBEEF4"/>
            </w:tcBorders>
            <w:shd w:val="clear" w:color="auto" w:fill="DBEEF4"/>
          </w:tcPr>
          <w:p>
            <w:pPr>
              <w:spacing w:after="0"/>
              <w:rPr>
                <w:sz w:val="11"/>
                <w:szCs w:val="11"/>
                <w:color w:val="auto"/>
              </w:rPr>
            </w:pPr>
          </w:p>
        </w:tc>
        <w:tc>
          <w:tcPr>
            <w:tcW w:w="120" w:type="dxa"/>
            <w:vAlign w:val="bottom"/>
            <w:tcBorders>
              <w:bottom w:val="single" w:sz="8" w:color="DBEEF4"/>
            </w:tcBorders>
            <w:shd w:val="clear" w:color="auto" w:fill="DBEEF4"/>
          </w:tcPr>
          <w:p>
            <w:pPr>
              <w:spacing w:after="0"/>
              <w:rPr>
                <w:sz w:val="11"/>
                <w:szCs w:val="11"/>
                <w:color w:val="auto"/>
              </w:rPr>
            </w:pPr>
          </w:p>
        </w:tc>
        <w:tc>
          <w:tcPr>
            <w:tcW w:w="100" w:type="dxa"/>
            <w:vAlign w:val="bottom"/>
            <w:tcBorders>
              <w:bottom w:val="single" w:sz="8" w:color="DBEEF4"/>
            </w:tcBorders>
            <w:shd w:val="clear" w:color="auto" w:fill="DBEEF4"/>
          </w:tcPr>
          <w:p>
            <w:pPr>
              <w:spacing w:after="0"/>
              <w:rPr>
                <w:sz w:val="11"/>
                <w:szCs w:val="11"/>
                <w:color w:val="auto"/>
              </w:rPr>
            </w:pPr>
          </w:p>
        </w:tc>
        <w:tc>
          <w:tcPr>
            <w:tcW w:w="140" w:type="dxa"/>
            <w:vAlign w:val="bottom"/>
            <w:tcBorders>
              <w:bottom w:val="single" w:sz="8" w:color="auto"/>
            </w:tcBorders>
            <w:shd w:val="clear" w:color="auto" w:fill="DBEEF4"/>
          </w:tcPr>
          <w:p>
            <w:pPr>
              <w:spacing w:after="0"/>
              <w:rPr>
                <w:sz w:val="11"/>
                <w:szCs w:val="11"/>
                <w:color w:val="auto"/>
              </w:rPr>
            </w:pPr>
          </w:p>
        </w:tc>
        <w:tc>
          <w:tcPr>
            <w:tcW w:w="42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1,000</w:t>
            </w:r>
          </w:p>
        </w:tc>
        <w:tc>
          <w:tcPr>
            <w:tcW w:w="200" w:type="dxa"/>
            <w:vAlign w:val="bottom"/>
            <w:tcBorders>
              <w:bottom w:val="single" w:sz="8" w:color="DBEEF4"/>
            </w:tcBorders>
            <w:shd w:val="clear" w:color="auto" w:fill="DBEEF4"/>
          </w:tcPr>
          <w:p>
            <w:pPr>
              <w:spacing w:after="0"/>
              <w:rPr>
                <w:sz w:val="11"/>
                <w:szCs w:val="11"/>
                <w:color w:val="auto"/>
              </w:rPr>
            </w:pPr>
          </w:p>
        </w:tc>
        <w:tc>
          <w:tcPr>
            <w:tcW w:w="60" w:type="dxa"/>
            <w:vAlign w:val="bottom"/>
            <w:tcBorders>
              <w:bottom w:val="single" w:sz="8" w:color="auto"/>
            </w:tcBorders>
            <w:shd w:val="clear" w:color="auto" w:fill="DBEEF4"/>
          </w:tcPr>
          <w:p>
            <w:pPr>
              <w:spacing w:after="0"/>
              <w:rPr>
                <w:sz w:val="11"/>
                <w:szCs w:val="11"/>
                <w:color w:val="auto"/>
              </w:rPr>
            </w:pPr>
          </w:p>
        </w:tc>
        <w:tc>
          <w:tcPr>
            <w:tcW w:w="44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1,994</w:t>
            </w:r>
          </w:p>
        </w:tc>
        <w:tc>
          <w:tcPr>
            <w:tcW w:w="40" w:type="dxa"/>
            <w:vAlign w:val="bottom"/>
            <w:tcBorders>
              <w:bottom w:val="single" w:sz="8" w:color="DBEEF4"/>
            </w:tcBorders>
            <w:shd w:val="clear" w:color="auto" w:fill="DBEEF4"/>
          </w:tcPr>
          <w:p>
            <w:pPr>
              <w:spacing w:after="0"/>
              <w:rPr>
                <w:sz w:val="11"/>
                <w:szCs w:val="11"/>
                <w:color w:val="auto"/>
              </w:rPr>
            </w:pPr>
          </w:p>
        </w:tc>
        <w:tc>
          <w:tcPr>
            <w:tcW w:w="560" w:type="dxa"/>
            <w:vAlign w:val="bottom"/>
            <w:tcBorders>
              <w:bottom w:val="single" w:sz="8" w:color="DBEEF4"/>
            </w:tcBorders>
            <w:shd w:val="clear" w:color="auto" w:fill="DBEEF4"/>
          </w:tcPr>
          <w:p>
            <w:pPr>
              <w:spacing w:after="0"/>
              <w:rPr>
                <w:sz w:val="11"/>
                <w:szCs w:val="11"/>
                <w:color w:val="auto"/>
              </w:rPr>
            </w:pPr>
          </w:p>
        </w:tc>
        <w:tc>
          <w:tcPr>
            <w:tcW w:w="120" w:type="dxa"/>
            <w:vAlign w:val="bottom"/>
            <w:tcBorders>
              <w:bottom w:val="single" w:sz="8" w:color="DBEEF4"/>
            </w:tcBorders>
            <w:shd w:val="clear" w:color="auto" w:fill="DBEEF4"/>
          </w:tcPr>
          <w:p>
            <w:pPr>
              <w:spacing w:after="0"/>
              <w:rPr>
                <w:sz w:val="11"/>
                <w:szCs w:val="11"/>
                <w:color w:val="auto"/>
              </w:rPr>
            </w:pPr>
          </w:p>
        </w:tc>
      </w:tr>
      <w:tr>
        <w:trPr>
          <w:trHeight w:val="113"/>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8"/>
                <w:szCs w:val="8"/>
                <w:color w:val="auto"/>
              </w:rPr>
              <w:t>8,781</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9,777</w:t>
            </w:r>
          </w:p>
        </w:tc>
        <w:tc>
          <w:tcPr>
            <w:tcW w:w="720" w:type="dxa"/>
            <w:vAlign w:val="bottom"/>
            <w:gridSpan w:val="3"/>
          </w:tcPr>
          <w:p>
            <w:pPr>
              <w:jc w:val="right"/>
              <w:ind w:right="40"/>
              <w:spacing w:after="0"/>
              <w:rPr>
                <w:sz w:val="20"/>
                <w:szCs w:val="20"/>
                <w:color w:val="auto"/>
              </w:rPr>
            </w:pPr>
            <w:r>
              <w:rPr>
                <w:rFonts w:ascii="Arial" w:cs="Arial" w:eastAsia="Arial" w:hAnsi="Arial"/>
                <w:sz w:val="8"/>
                <w:szCs w:val="8"/>
                <w:color w:val="auto"/>
              </w:rPr>
              <w:t>2 %</w:t>
            </w:r>
          </w:p>
        </w:tc>
      </w:tr>
      <w:tr>
        <w:trPr>
          <w:trHeight w:val="134"/>
        </w:trPr>
        <w:tc>
          <w:tcPr>
            <w:tcW w:w="20" w:type="dxa"/>
            <w:vAlign w:val="bottom"/>
            <w:tcBorders>
              <w:bottom w:val="single" w:sz="8" w:color="DBEEF4"/>
            </w:tcBorders>
            <w:shd w:val="clear" w:color="auto" w:fill="DBEEF4"/>
          </w:tcPr>
          <w:p>
            <w:pPr>
              <w:spacing w:after="0"/>
              <w:rPr>
                <w:sz w:val="11"/>
                <w:szCs w:val="11"/>
                <w:color w:val="auto"/>
              </w:rPr>
            </w:pPr>
          </w:p>
        </w:tc>
        <w:tc>
          <w:tcPr>
            <w:tcW w:w="840" w:type="dxa"/>
            <w:vAlign w:val="bottom"/>
            <w:tcBorders>
              <w:bottom w:val="single" w:sz="8" w:color="DBEEF4"/>
            </w:tcBorders>
            <w:shd w:val="clear" w:color="auto" w:fill="DBEEF4"/>
          </w:tcPr>
          <w:p>
            <w:pPr>
              <w:spacing w:after="0"/>
              <w:rPr>
                <w:sz w:val="11"/>
                <w:szCs w:val="11"/>
                <w:color w:val="auto"/>
              </w:rPr>
            </w:pPr>
          </w:p>
        </w:tc>
        <w:tc>
          <w:tcPr>
            <w:tcW w:w="520" w:type="dxa"/>
            <w:vAlign w:val="bottom"/>
            <w:tcBorders>
              <w:bottom w:val="single" w:sz="8" w:color="DBEEF4"/>
            </w:tcBorders>
            <w:shd w:val="clear" w:color="auto" w:fill="DBEEF4"/>
          </w:tcPr>
          <w:p>
            <w:pPr>
              <w:spacing w:after="0"/>
              <w:rPr>
                <w:sz w:val="11"/>
                <w:szCs w:val="11"/>
                <w:color w:val="auto"/>
              </w:rPr>
            </w:pPr>
          </w:p>
        </w:tc>
        <w:tc>
          <w:tcPr>
            <w:tcW w:w="1540" w:type="dxa"/>
            <w:vAlign w:val="bottom"/>
            <w:tcBorders>
              <w:bottom w:val="single" w:sz="8" w:color="DBEEF4"/>
            </w:tcBorders>
            <w:shd w:val="clear" w:color="auto" w:fill="DBEEF4"/>
          </w:tcPr>
          <w:p>
            <w:pPr>
              <w:spacing w:after="0"/>
              <w:rPr>
                <w:sz w:val="11"/>
                <w:szCs w:val="11"/>
                <w:color w:val="auto"/>
              </w:rPr>
            </w:pPr>
          </w:p>
        </w:tc>
        <w:tc>
          <w:tcPr>
            <w:tcW w:w="2260" w:type="dxa"/>
            <w:vAlign w:val="bottom"/>
            <w:tcBorders>
              <w:bottom w:val="single" w:sz="8" w:color="DBEEF4"/>
            </w:tcBorders>
            <w:shd w:val="clear" w:color="auto" w:fill="DBEEF4"/>
          </w:tcPr>
          <w:p>
            <w:pPr>
              <w:spacing w:after="0"/>
              <w:rPr>
                <w:sz w:val="11"/>
                <w:szCs w:val="11"/>
                <w:color w:val="auto"/>
              </w:rPr>
            </w:pPr>
          </w:p>
        </w:tc>
        <w:tc>
          <w:tcPr>
            <w:tcW w:w="1200" w:type="dxa"/>
            <w:vAlign w:val="bottom"/>
            <w:tcBorders>
              <w:bottom w:val="single" w:sz="8" w:color="DBEEF4"/>
            </w:tcBorders>
            <w:shd w:val="clear" w:color="auto" w:fill="DBEEF4"/>
          </w:tcPr>
          <w:p>
            <w:pPr>
              <w:spacing w:after="0"/>
              <w:rPr>
                <w:sz w:val="11"/>
                <w:szCs w:val="11"/>
                <w:color w:val="auto"/>
              </w:rPr>
            </w:pPr>
          </w:p>
        </w:tc>
        <w:tc>
          <w:tcPr>
            <w:tcW w:w="820" w:type="dxa"/>
            <w:vAlign w:val="bottom"/>
            <w:tcBorders>
              <w:bottom w:val="single" w:sz="8" w:color="DBEEF4"/>
            </w:tcBorders>
            <w:shd w:val="clear" w:color="auto" w:fill="DBEEF4"/>
          </w:tcPr>
          <w:p>
            <w:pPr>
              <w:spacing w:after="0"/>
              <w:rPr>
                <w:sz w:val="11"/>
                <w:szCs w:val="11"/>
                <w:color w:val="auto"/>
              </w:rPr>
            </w:pPr>
          </w:p>
        </w:tc>
        <w:tc>
          <w:tcPr>
            <w:tcW w:w="640" w:type="dxa"/>
            <w:vAlign w:val="bottom"/>
            <w:tcBorders>
              <w:bottom w:val="single" w:sz="8" w:color="DBEEF4"/>
            </w:tcBorders>
            <w:shd w:val="clear" w:color="auto" w:fill="DBEEF4"/>
          </w:tcPr>
          <w:p>
            <w:pPr>
              <w:spacing w:after="0"/>
              <w:rPr>
                <w:sz w:val="11"/>
                <w:szCs w:val="11"/>
                <w:color w:val="auto"/>
              </w:rPr>
            </w:pPr>
          </w:p>
        </w:tc>
        <w:tc>
          <w:tcPr>
            <w:tcW w:w="580" w:type="dxa"/>
            <w:vAlign w:val="bottom"/>
            <w:tcBorders>
              <w:bottom w:val="single" w:sz="8" w:color="DBEEF4"/>
            </w:tcBorders>
            <w:shd w:val="clear" w:color="auto" w:fill="DBEEF4"/>
          </w:tcPr>
          <w:p>
            <w:pPr>
              <w:spacing w:after="0"/>
              <w:rPr>
                <w:sz w:val="11"/>
                <w:szCs w:val="11"/>
                <w:color w:val="auto"/>
              </w:rPr>
            </w:pPr>
          </w:p>
        </w:tc>
        <w:tc>
          <w:tcPr>
            <w:tcW w:w="160" w:type="dxa"/>
            <w:vAlign w:val="bottom"/>
            <w:tcBorders>
              <w:bottom w:val="single" w:sz="8" w:color="DBEEF4"/>
            </w:tcBorders>
            <w:shd w:val="clear" w:color="auto" w:fill="DBEEF4"/>
          </w:tcPr>
          <w:p>
            <w:pPr>
              <w:spacing w:after="0"/>
              <w:rPr>
                <w:sz w:val="11"/>
                <w:szCs w:val="11"/>
                <w:color w:val="auto"/>
              </w:rPr>
            </w:pPr>
          </w:p>
        </w:tc>
        <w:tc>
          <w:tcPr>
            <w:tcW w:w="460" w:type="dxa"/>
            <w:vAlign w:val="bottom"/>
            <w:tcBorders>
              <w:bottom w:val="single" w:sz="8" w:color="DBEEF4"/>
            </w:tcBorders>
            <w:shd w:val="clear" w:color="auto" w:fill="DBEEF4"/>
          </w:tcPr>
          <w:p>
            <w:pPr>
              <w:spacing w:after="0"/>
              <w:rPr>
                <w:sz w:val="11"/>
                <w:szCs w:val="11"/>
                <w:color w:val="auto"/>
              </w:rPr>
            </w:pPr>
          </w:p>
        </w:tc>
        <w:tc>
          <w:tcPr>
            <w:tcW w:w="220" w:type="dxa"/>
            <w:vAlign w:val="bottom"/>
            <w:tcBorders>
              <w:bottom w:val="single" w:sz="8" w:color="DBEEF4"/>
            </w:tcBorders>
            <w:gridSpan w:val="2"/>
            <w:shd w:val="clear" w:color="auto" w:fill="DBEEF4"/>
          </w:tcPr>
          <w:p>
            <w:pPr>
              <w:spacing w:after="0"/>
              <w:rPr>
                <w:sz w:val="11"/>
                <w:szCs w:val="11"/>
                <w:color w:val="auto"/>
              </w:rPr>
            </w:pPr>
          </w:p>
        </w:tc>
        <w:tc>
          <w:tcPr>
            <w:tcW w:w="140" w:type="dxa"/>
            <w:vAlign w:val="bottom"/>
            <w:tcBorders>
              <w:bottom w:val="single" w:sz="8" w:color="auto"/>
            </w:tcBorders>
            <w:shd w:val="clear" w:color="auto" w:fill="DBEEF4"/>
          </w:tcPr>
          <w:p>
            <w:pPr>
              <w:spacing w:after="0"/>
              <w:rPr>
                <w:sz w:val="11"/>
                <w:szCs w:val="11"/>
                <w:color w:val="auto"/>
              </w:rPr>
            </w:pPr>
          </w:p>
        </w:tc>
        <w:tc>
          <w:tcPr>
            <w:tcW w:w="420" w:type="dxa"/>
            <w:vAlign w:val="bottom"/>
            <w:tcBorders>
              <w:bottom w:val="single" w:sz="8" w:color="auto"/>
            </w:tcBorders>
            <w:shd w:val="clear" w:color="auto" w:fill="DBEEF4"/>
          </w:tcPr>
          <w:p>
            <w:pPr>
              <w:spacing w:after="0"/>
              <w:rPr>
                <w:sz w:val="11"/>
                <w:szCs w:val="11"/>
                <w:color w:val="auto"/>
              </w:rPr>
            </w:pPr>
          </w:p>
        </w:tc>
        <w:tc>
          <w:tcPr>
            <w:tcW w:w="200" w:type="dxa"/>
            <w:vAlign w:val="bottom"/>
            <w:tcBorders>
              <w:bottom w:val="single" w:sz="8" w:color="DBEEF4"/>
            </w:tcBorders>
            <w:shd w:val="clear" w:color="auto" w:fill="DBEEF4"/>
          </w:tcPr>
          <w:p>
            <w:pPr>
              <w:spacing w:after="0"/>
              <w:rPr>
                <w:sz w:val="11"/>
                <w:szCs w:val="11"/>
                <w:color w:val="auto"/>
              </w:rPr>
            </w:pPr>
          </w:p>
        </w:tc>
        <w:tc>
          <w:tcPr>
            <w:tcW w:w="60" w:type="dxa"/>
            <w:vAlign w:val="bottom"/>
            <w:tcBorders>
              <w:bottom w:val="single" w:sz="8" w:color="auto"/>
            </w:tcBorders>
            <w:shd w:val="clear" w:color="auto" w:fill="DBEEF4"/>
          </w:tcPr>
          <w:p>
            <w:pPr>
              <w:spacing w:after="0"/>
              <w:rPr>
                <w:sz w:val="11"/>
                <w:szCs w:val="11"/>
                <w:color w:val="auto"/>
              </w:rPr>
            </w:pPr>
          </w:p>
        </w:tc>
        <w:tc>
          <w:tcPr>
            <w:tcW w:w="440" w:type="dxa"/>
            <w:vAlign w:val="bottom"/>
            <w:tcBorders>
              <w:bottom w:val="single" w:sz="8" w:color="auto"/>
            </w:tcBorders>
            <w:shd w:val="clear" w:color="auto" w:fill="DBEEF4"/>
          </w:tcPr>
          <w:p>
            <w:pPr>
              <w:spacing w:after="0"/>
              <w:rPr>
                <w:sz w:val="11"/>
                <w:szCs w:val="11"/>
                <w:color w:val="auto"/>
              </w:rPr>
            </w:pPr>
          </w:p>
        </w:tc>
        <w:tc>
          <w:tcPr>
            <w:tcW w:w="40" w:type="dxa"/>
            <w:vAlign w:val="bottom"/>
            <w:tcBorders>
              <w:bottom w:val="single" w:sz="8" w:color="DBEEF4"/>
            </w:tcBorders>
            <w:shd w:val="clear" w:color="auto" w:fill="DBEEF4"/>
          </w:tcPr>
          <w:p>
            <w:pPr>
              <w:spacing w:after="0"/>
              <w:rPr>
                <w:sz w:val="11"/>
                <w:szCs w:val="11"/>
                <w:color w:val="auto"/>
              </w:rPr>
            </w:pPr>
          </w:p>
        </w:tc>
        <w:tc>
          <w:tcPr>
            <w:tcW w:w="560" w:type="dxa"/>
            <w:vAlign w:val="bottom"/>
            <w:tcBorders>
              <w:bottom w:val="single" w:sz="8" w:color="DBEEF4"/>
            </w:tcBorders>
            <w:shd w:val="clear" w:color="auto" w:fill="DBEEF4"/>
          </w:tcPr>
          <w:p>
            <w:pPr>
              <w:spacing w:after="0"/>
              <w:rPr>
                <w:sz w:val="11"/>
                <w:szCs w:val="11"/>
                <w:color w:val="auto"/>
              </w:rPr>
            </w:pPr>
          </w:p>
        </w:tc>
        <w:tc>
          <w:tcPr>
            <w:tcW w:w="120" w:type="dxa"/>
            <w:vAlign w:val="bottom"/>
            <w:tcBorders>
              <w:bottom w:val="single" w:sz="8" w:color="DBEEF4"/>
            </w:tcBorders>
            <w:shd w:val="clear" w:color="auto" w:fill="DBEEF4"/>
          </w:tcPr>
          <w:p>
            <w:pPr>
              <w:spacing w:after="0"/>
              <w:rPr>
                <w:sz w:val="11"/>
                <w:szCs w:val="11"/>
                <w:color w:val="auto"/>
              </w:rPr>
            </w:pPr>
          </w:p>
        </w:tc>
      </w:tr>
      <w:tr>
        <w:trPr>
          <w:trHeight w:val="119"/>
        </w:trPr>
        <w:tc>
          <w:tcPr>
            <w:tcW w:w="2920" w:type="dxa"/>
            <w:vAlign w:val="bottom"/>
            <w:gridSpan w:val="4"/>
          </w:tcPr>
          <w:p>
            <w:pPr>
              <w:ind w:left="20"/>
              <w:spacing w:after="0"/>
              <w:rPr>
                <w:sz w:val="20"/>
                <w:szCs w:val="20"/>
                <w:color w:val="auto"/>
              </w:rPr>
            </w:pPr>
            <w:r>
              <w:rPr>
                <w:rFonts w:ascii="Arial" w:cs="Arial" w:eastAsia="Arial" w:hAnsi="Arial"/>
                <w:sz w:val="8"/>
                <w:szCs w:val="8"/>
                <w:b w:val="1"/>
                <w:bCs w:val="1"/>
                <w:color w:val="auto"/>
              </w:rPr>
              <w:t>Total Affiliate Investments</w:t>
            </w:r>
          </w:p>
        </w:tc>
        <w:tc>
          <w:tcPr>
            <w:tcW w:w="2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gridSpan w:val="3"/>
          </w:tcPr>
          <w:p>
            <w:pPr>
              <w:jc w:val="right"/>
              <w:ind w:right="80"/>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31,836</w:t>
            </w:r>
          </w:p>
        </w:tc>
        <w:tc>
          <w:tcPr>
            <w:tcW w:w="260" w:type="dxa"/>
            <w:vAlign w:val="bottom"/>
            <w:gridSpan w:val="2"/>
          </w:tcPr>
          <w:p>
            <w:pPr>
              <w:jc w:val="right"/>
              <w:spacing w:after="0"/>
              <w:rPr>
                <w:sz w:val="20"/>
                <w:szCs w:val="20"/>
                <w:color w:val="auto"/>
              </w:rPr>
            </w:pPr>
            <w:r>
              <w:rPr>
                <w:rFonts w:ascii="Arial" w:cs="Arial" w:eastAsia="Arial" w:hAnsi="Arial"/>
                <w:sz w:val="8"/>
                <w:szCs w:val="8"/>
                <w:color w:val="auto"/>
              </w:rPr>
              <w:t>$</w:t>
            </w:r>
          </w:p>
        </w:tc>
        <w:tc>
          <w:tcPr>
            <w:tcW w:w="440" w:type="dxa"/>
            <w:vAlign w:val="bottom"/>
          </w:tcPr>
          <w:p>
            <w:pPr>
              <w:jc w:val="right"/>
              <w:spacing w:after="0"/>
              <w:rPr>
                <w:sz w:val="20"/>
                <w:szCs w:val="20"/>
                <w:color w:val="auto"/>
              </w:rPr>
            </w:pPr>
            <w:r>
              <w:rPr>
                <w:rFonts w:ascii="Arial" w:cs="Arial" w:eastAsia="Arial" w:hAnsi="Arial"/>
                <w:sz w:val="8"/>
                <w:szCs w:val="8"/>
                <w:color w:val="auto"/>
              </w:rPr>
              <w:t>81,394</w:t>
            </w:r>
          </w:p>
        </w:tc>
        <w:tc>
          <w:tcPr>
            <w:tcW w:w="720" w:type="dxa"/>
            <w:vAlign w:val="bottom"/>
            <w:gridSpan w:val="3"/>
          </w:tcPr>
          <w:p>
            <w:pPr>
              <w:jc w:val="right"/>
              <w:ind w:right="40"/>
              <w:spacing w:after="0"/>
              <w:rPr>
                <w:sz w:val="20"/>
                <w:szCs w:val="20"/>
                <w:color w:val="auto"/>
              </w:rPr>
            </w:pPr>
            <w:r>
              <w:rPr>
                <w:rFonts w:ascii="Arial" w:cs="Arial" w:eastAsia="Arial" w:hAnsi="Arial"/>
                <w:sz w:val="8"/>
                <w:szCs w:val="8"/>
                <w:color w:val="auto"/>
              </w:rPr>
              <w:t>20 %</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5"/>
        </w:trPr>
        <w:tc>
          <w:tcPr>
            <w:tcW w:w="20" w:type="dxa"/>
            <w:vAlign w:val="bottom"/>
            <w:shd w:val="clear" w:color="auto" w:fill="DBEEF4"/>
          </w:tcPr>
          <w:p>
            <w:pPr>
              <w:spacing w:after="0"/>
              <w:rPr>
                <w:sz w:val="9"/>
                <w:szCs w:val="9"/>
                <w:color w:val="auto"/>
              </w:rPr>
            </w:pPr>
          </w:p>
        </w:tc>
        <w:tc>
          <w:tcPr>
            <w:tcW w:w="840" w:type="dxa"/>
            <w:vAlign w:val="bottom"/>
            <w:shd w:val="clear" w:color="auto" w:fill="DBEEF4"/>
          </w:tcPr>
          <w:p>
            <w:pPr>
              <w:spacing w:after="0"/>
              <w:rPr>
                <w:sz w:val="9"/>
                <w:szCs w:val="9"/>
                <w:color w:val="auto"/>
              </w:rPr>
            </w:pPr>
          </w:p>
        </w:tc>
        <w:tc>
          <w:tcPr>
            <w:tcW w:w="520" w:type="dxa"/>
            <w:vAlign w:val="bottom"/>
            <w:shd w:val="clear" w:color="auto" w:fill="DBEEF4"/>
          </w:tcPr>
          <w:p>
            <w:pPr>
              <w:spacing w:after="0"/>
              <w:rPr>
                <w:sz w:val="9"/>
                <w:szCs w:val="9"/>
                <w:color w:val="auto"/>
              </w:rPr>
            </w:pPr>
          </w:p>
        </w:tc>
        <w:tc>
          <w:tcPr>
            <w:tcW w:w="1540" w:type="dxa"/>
            <w:vAlign w:val="bottom"/>
            <w:shd w:val="clear" w:color="auto" w:fill="DBEEF4"/>
          </w:tcPr>
          <w:p>
            <w:pPr>
              <w:spacing w:after="0"/>
              <w:rPr>
                <w:sz w:val="9"/>
                <w:szCs w:val="9"/>
                <w:color w:val="auto"/>
              </w:rPr>
            </w:pPr>
          </w:p>
        </w:tc>
        <w:tc>
          <w:tcPr>
            <w:tcW w:w="2260" w:type="dxa"/>
            <w:vAlign w:val="bottom"/>
            <w:shd w:val="clear" w:color="auto" w:fill="DBEEF4"/>
          </w:tcPr>
          <w:p>
            <w:pPr>
              <w:spacing w:after="0"/>
              <w:rPr>
                <w:sz w:val="9"/>
                <w:szCs w:val="9"/>
                <w:color w:val="auto"/>
              </w:rPr>
            </w:pPr>
          </w:p>
        </w:tc>
        <w:tc>
          <w:tcPr>
            <w:tcW w:w="120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640" w:type="dxa"/>
            <w:vAlign w:val="bottom"/>
            <w:shd w:val="clear" w:color="auto" w:fill="DBEEF4"/>
          </w:tcPr>
          <w:p>
            <w:pPr>
              <w:spacing w:after="0"/>
              <w:rPr>
                <w:sz w:val="9"/>
                <w:szCs w:val="9"/>
                <w:color w:val="auto"/>
              </w:rPr>
            </w:pPr>
          </w:p>
        </w:tc>
        <w:tc>
          <w:tcPr>
            <w:tcW w:w="58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460" w:type="dxa"/>
            <w:vAlign w:val="bottom"/>
            <w:shd w:val="clear" w:color="auto" w:fill="DBEEF4"/>
          </w:tcPr>
          <w:p>
            <w:pPr>
              <w:spacing w:after="0"/>
              <w:rPr>
                <w:sz w:val="9"/>
                <w:szCs w:val="9"/>
                <w:color w:val="auto"/>
              </w:rPr>
            </w:pPr>
          </w:p>
        </w:tc>
        <w:tc>
          <w:tcPr>
            <w:tcW w:w="120" w:type="dxa"/>
            <w:vAlign w:val="bottom"/>
            <w:shd w:val="clear" w:color="auto" w:fill="DBEEF4"/>
          </w:tcPr>
          <w:p>
            <w:pPr>
              <w:spacing w:after="0"/>
              <w:rPr>
                <w:sz w:val="9"/>
                <w:szCs w:val="9"/>
                <w:color w:val="auto"/>
              </w:rPr>
            </w:pPr>
          </w:p>
        </w:tc>
        <w:tc>
          <w:tcPr>
            <w:tcW w:w="100" w:type="dxa"/>
            <w:vAlign w:val="bottom"/>
            <w:shd w:val="clear" w:color="auto" w:fill="DBEEF4"/>
          </w:tcPr>
          <w:p>
            <w:pPr>
              <w:spacing w:after="0"/>
              <w:rPr>
                <w:sz w:val="9"/>
                <w:szCs w:val="9"/>
                <w:color w:val="auto"/>
              </w:rPr>
            </w:pPr>
          </w:p>
        </w:tc>
        <w:tc>
          <w:tcPr>
            <w:tcW w:w="140" w:type="dxa"/>
            <w:vAlign w:val="bottom"/>
            <w:shd w:val="clear" w:color="auto" w:fill="DBEEF4"/>
          </w:tcPr>
          <w:p>
            <w:pPr>
              <w:spacing w:after="0"/>
              <w:rPr>
                <w:sz w:val="9"/>
                <w:szCs w:val="9"/>
                <w:color w:val="auto"/>
              </w:rPr>
            </w:pPr>
          </w:p>
        </w:tc>
        <w:tc>
          <w:tcPr>
            <w:tcW w:w="420" w:type="dxa"/>
            <w:vAlign w:val="bottom"/>
            <w:shd w:val="clear" w:color="auto" w:fill="DBEEF4"/>
          </w:tcPr>
          <w:p>
            <w:pPr>
              <w:spacing w:after="0"/>
              <w:rPr>
                <w:sz w:val="9"/>
                <w:szCs w:val="9"/>
                <w:color w:val="auto"/>
              </w:rPr>
            </w:pPr>
          </w:p>
        </w:tc>
        <w:tc>
          <w:tcPr>
            <w:tcW w:w="20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440" w:type="dxa"/>
            <w:vAlign w:val="bottom"/>
            <w:shd w:val="clear" w:color="auto" w:fill="DBEEF4"/>
          </w:tcPr>
          <w:p>
            <w:pPr>
              <w:spacing w:after="0"/>
              <w:rPr>
                <w:sz w:val="9"/>
                <w:szCs w:val="9"/>
                <w:color w:val="auto"/>
              </w:rPr>
            </w:pPr>
          </w:p>
        </w:tc>
        <w:tc>
          <w:tcPr>
            <w:tcW w:w="40" w:type="dxa"/>
            <w:vAlign w:val="bottom"/>
            <w:shd w:val="clear" w:color="auto" w:fill="DBEEF4"/>
          </w:tcPr>
          <w:p>
            <w:pPr>
              <w:spacing w:after="0"/>
              <w:rPr>
                <w:sz w:val="9"/>
                <w:szCs w:val="9"/>
                <w:color w:val="auto"/>
              </w:rPr>
            </w:pPr>
          </w:p>
        </w:tc>
        <w:tc>
          <w:tcPr>
            <w:tcW w:w="560" w:type="dxa"/>
            <w:vAlign w:val="bottom"/>
            <w:shd w:val="clear" w:color="auto" w:fill="DBEEF4"/>
          </w:tcPr>
          <w:p>
            <w:pPr>
              <w:spacing w:after="0"/>
              <w:rPr>
                <w:sz w:val="9"/>
                <w:szCs w:val="9"/>
                <w:color w:val="auto"/>
              </w:rPr>
            </w:pPr>
          </w:p>
        </w:tc>
        <w:tc>
          <w:tcPr>
            <w:tcW w:w="120" w:type="dxa"/>
            <w:vAlign w:val="bottom"/>
            <w:shd w:val="clear" w:color="auto" w:fill="DBEEF4"/>
          </w:tcPr>
          <w:p>
            <w:pPr>
              <w:spacing w:after="0"/>
              <w:rPr>
                <w:sz w:val="9"/>
                <w:szCs w:val="9"/>
                <w:color w:val="auto"/>
              </w:rPr>
            </w:pPr>
          </w:p>
        </w:tc>
      </w:tr>
      <w:tr>
        <w:trPr>
          <w:trHeight w:val="101"/>
        </w:trPr>
        <w:tc>
          <w:tcPr>
            <w:tcW w:w="2920" w:type="dxa"/>
            <w:vAlign w:val="bottom"/>
            <w:gridSpan w:val="4"/>
          </w:tcPr>
          <w:p>
            <w:pPr>
              <w:ind w:left="20"/>
              <w:spacing w:after="0"/>
              <w:rPr>
                <w:sz w:val="20"/>
                <w:szCs w:val="20"/>
                <w:color w:val="auto"/>
              </w:rPr>
            </w:pPr>
            <w:r>
              <w:rPr>
                <w:rFonts w:ascii="Arial" w:cs="Arial" w:eastAsia="Arial" w:hAnsi="Arial"/>
                <w:sz w:val="8"/>
                <w:szCs w:val="8"/>
                <w:b w:val="1"/>
                <w:bCs w:val="1"/>
                <w:color w:val="auto"/>
              </w:rPr>
              <w:t>Non-control/Non-affiliate Investments</w:t>
            </w:r>
          </w:p>
        </w:tc>
        <w:tc>
          <w:tcPr>
            <w:tcW w:w="2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5"/>
        </w:trPr>
        <w:tc>
          <w:tcPr>
            <w:tcW w:w="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09"/>
        </w:trPr>
        <w:tc>
          <w:tcPr>
            <w:tcW w:w="2920" w:type="dxa"/>
            <w:vAlign w:val="bottom"/>
            <w:gridSpan w:val="4"/>
            <w:shd w:val="clear" w:color="auto" w:fill="DBEEF4"/>
          </w:tcPr>
          <w:p>
            <w:pPr>
              <w:ind w:left="20"/>
              <w:spacing w:after="0"/>
              <w:rPr>
                <w:sz w:val="20"/>
                <w:szCs w:val="20"/>
                <w:color w:val="auto"/>
              </w:rPr>
            </w:pPr>
            <w:r>
              <w:rPr>
                <w:rFonts w:ascii="Arial" w:cs="Arial" w:eastAsia="Arial" w:hAnsi="Arial"/>
                <w:sz w:val="8"/>
                <w:szCs w:val="8"/>
                <w:i w:val="1"/>
                <w:iCs w:val="1"/>
                <w:color w:val="auto"/>
              </w:rPr>
              <w:t>Frontline Food Services, LLC</w:t>
            </w:r>
          </w:p>
        </w:tc>
        <w:tc>
          <w:tcPr>
            <w:tcW w:w="2260" w:type="dxa"/>
            <w:vAlign w:val="bottom"/>
            <w:shd w:val="clear" w:color="auto" w:fill="DBEEF4"/>
          </w:tcPr>
          <w:p>
            <w:pPr>
              <w:spacing w:after="0"/>
              <w:rPr>
                <w:sz w:val="9"/>
                <w:szCs w:val="9"/>
                <w:color w:val="auto"/>
              </w:rPr>
            </w:pPr>
          </w:p>
        </w:tc>
        <w:tc>
          <w:tcPr>
            <w:tcW w:w="1200" w:type="dxa"/>
            <w:vAlign w:val="bottom"/>
            <w:shd w:val="clear" w:color="auto" w:fill="DBEEF4"/>
          </w:tcPr>
          <w:p>
            <w:pPr>
              <w:spacing w:after="0"/>
              <w:rPr>
                <w:sz w:val="9"/>
                <w:szCs w:val="9"/>
                <w:color w:val="auto"/>
              </w:rPr>
            </w:pPr>
          </w:p>
        </w:tc>
        <w:tc>
          <w:tcPr>
            <w:tcW w:w="820" w:type="dxa"/>
            <w:vAlign w:val="bottom"/>
            <w:shd w:val="clear" w:color="auto" w:fill="DBEEF4"/>
          </w:tcPr>
          <w:p>
            <w:pPr>
              <w:spacing w:after="0"/>
              <w:rPr>
                <w:sz w:val="9"/>
                <w:szCs w:val="9"/>
                <w:color w:val="auto"/>
              </w:rPr>
            </w:pPr>
          </w:p>
        </w:tc>
        <w:tc>
          <w:tcPr>
            <w:tcW w:w="640" w:type="dxa"/>
            <w:vAlign w:val="bottom"/>
            <w:shd w:val="clear" w:color="auto" w:fill="DBEEF4"/>
          </w:tcPr>
          <w:p>
            <w:pPr>
              <w:spacing w:after="0"/>
              <w:rPr>
                <w:sz w:val="9"/>
                <w:szCs w:val="9"/>
                <w:color w:val="auto"/>
              </w:rPr>
            </w:pPr>
          </w:p>
        </w:tc>
        <w:tc>
          <w:tcPr>
            <w:tcW w:w="580" w:type="dxa"/>
            <w:vAlign w:val="bottom"/>
            <w:shd w:val="clear" w:color="auto" w:fill="DBEEF4"/>
          </w:tcPr>
          <w:p>
            <w:pPr>
              <w:spacing w:after="0"/>
              <w:rPr>
                <w:sz w:val="9"/>
                <w:szCs w:val="9"/>
                <w:color w:val="auto"/>
              </w:rPr>
            </w:pPr>
          </w:p>
        </w:tc>
        <w:tc>
          <w:tcPr>
            <w:tcW w:w="160" w:type="dxa"/>
            <w:vAlign w:val="bottom"/>
            <w:shd w:val="clear" w:color="auto" w:fill="DBEEF4"/>
          </w:tcPr>
          <w:p>
            <w:pPr>
              <w:spacing w:after="0"/>
              <w:rPr>
                <w:sz w:val="9"/>
                <w:szCs w:val="9"/>
                <w:color w:val="auto"/>
              </w:rPr>
            </w:pPr>
          </w:p>
        </w:tc>
        <w:tc>
          <w:tcPr>
            <w:tcW w:w="460" w:type="dxa"/>
            <w:vAlign w:val="bottom"/>
            <w:shd w:val="clear" w:color="auto" w:fill="DBEEF4"/>
          </w:tcPr>
          <w:p>
            <w:pPr>
              <w:spacing w:after="0"/>
              <w:rPr>
                <w:sz w:val="9"/>
                <w:szCs w:val="9"/>
                <w:color w:val="auto"/>
              </w:rPr>
            </w:pPr>
          </w:p>
        </w:tc>
        <w:tc>
          <w:tcPr>
            <w:tcW w:w="120" w:type="dxa"/>
            <w:vAlign w:val="bottom"/>
            <w:shd w:val="clear" w:color="auto" w:fill="DBEEF4"/>
          </w:tcPr>
          <w:p>
            <w:pPr>
              <w:spacing w:after="0"/>
              <w:rPr>
                <w:sz w:val="9"/>
                <w:szCs w:val="9"/>
                <w:color w:val="auto"/>
              </w:rPr>
            </w:pPr>
          </w:p>
        </w:tc>
        <w:tc>
          <w:tcPr>
            <w:tcW w:w="100" w:type="dxa"/>
            <w:vAlign w:val="bottom"/>
            <w:shd w:val="clear" w:color="auto" w:fill="DBEEF4"/>
          </w:tcPr>
          <w:p>
            <w:pPr>
              <w:spacing w:after="0"/>
              <w:rPr>
                <w:sz w:val="9"/>
                <w:szCs w:val="9"/>
                <w:color w:val="auto"/>
              </w:rPr>
            </w:pPr>
          </w:p>
        </w:tc>
        <w:tc>
          <w:tcPr>
            <w:tcW w:w="140" w:type="dxa"/>
            <w:vAlign w:val="bottom"/>
            <w:shd w:val="clear" w:color="auto" w:fill="DBEEF4"/>
          </w:tcPr>
          <w:p>
            <w:pPr>
              <w:spacing w:after="0"/>
              <w:rPr>
                <w:sz w:val="9"/>
                <w:szCs w:val="9"/>
                <w:color w:val="auto"/>
              </w:rPr>
            </w:pPr>
          </w:p>
        </w:tc>
        <w:tc>
          <w:tcPr>
            <w:tcW w:w="420" w:type="dxa"/>
            <w:vAlign w:val="bottom"/>
            <w:shd w:val="clear" w:color="auto" w:fill="DBEEF4"/>
          </w:tcPr>
          <w:p>
            <w:pPr>
              <w:spacing w:after="0"/>
              <w:rPr>
                <w:sz w:val="9"/>
                <w:szCs w:val="9"/>
                <w:color w:val="auto"/>
              </w:rPr>
            </w:pPr>
          </w:p>
        </w:tc>
        <w:tc>
          <w:tcPr>
            <w:tcW w:w="200" w:type="dxa"/>
            <w:vAlign w:val="bottom"/>
            <w:shd w:val="clear" w:color="auto" w:fill="DBEEF4"/>
          </w:tcPr>
          <w:p>
            <w:pPr>
              <w:spacing w:after="0"/>
              <w:rPr>
                <w:sz w:val="9"/>
                <w:szCs w:val="9"/>
                <w:color w:val="auto"/>
              </w:rPr>
            </w:pPr>
          </w:p>
        </w:tc>
        <w:tc>
          <w:tcPr>
            <w:tcW w:w="60" w:type="dxa"/>
            <w:vAlign w:val="bottom"/>
            <w:shd w:val="clear" w:color="auto" w:fill="DBEEF4"/>
          </w:tcPr>
          <w:p>
            <w:pPr>
              <w:spacing w:after="0"/>
              <w:rPr>
                <w:sz w:val="9"/>
                <w:szCs w:val="9"/>
                <w:color w:val="auto"/>
              </w:rPr>
            </w:pPr>
          </w:p>
        </w:tc>
        <w:tc>
          <w:tcPr>
            <w:tcW w:w="440" w:type="dxa"/>
            <w:vAlign w:val="bottom"/>
            <w:shd w:val="clear" w:color="auto" w:fill="DBEEF4"/>
          </w:tcPr>
          <w:p>
            <w:pPr>
              <w:spacing w:after="0"/>
              <w:rPr>
                <w:sz w:val="9"/>
                <w:szCs w:val="9"/>
                <w:color w:val="auto"/>
              </w:rPr>
            </w:pPr>
          </w:p>
        </w:tc>
        <w:tc>
          <w:tcPr>
            <w:tcW w:w="40" w:type="dxa"/>
            <w:vAlign w:val="bottom"/>
            <w:shd w:val="clear" w:color="auto" w:fill="DBEEF4"/>
          </w:tcPr>
          <w:p>
            <w:pPr>
              <w:spacing w:after="0"/>
              <w:rPr>
                <w:sz w:val="9"/>
                <w:szCs w:val="9"/>
                <w:color w:val="auto"/>
              </w:rPr>
            </w:pPr>
          </w:p>
        </w:tc>
        <w:tc>
          <w:tcPr>
            <w:tcW w:w="560" w:type="dxa"/>
            <w:vAlign w:val="bottom"/>
            <w:shd w:val="clear" w:color="auto" w:fill="DBEEF4"/>
          </w:tcPr>
          <w:p>
            <w:pPr>
              <w:spacing w:after="0"/>
              <w:rPr>
                <w:sz w:val="9"/>
                <w:szCs w:val="9"/>
                <w:color w:val="auto"/>
              </w:rPr>
            </w:pPr>
          </w:p>
        </w:tc>
        <w:tc>
          <w:tcPr>
            <w:tcW w:w="120" w:type="dxa"/>
            <w:vAlign w:val="bottom"/>
            <w:shd w:val="clear" w:color="auto" w:fill="DBEEF4"/>
          </w:tcPr>
          <w:p>
            <w:pPr>
              <w:spacing w:after="0"/>
              <w:rPr>
                <w:sz w:val="9"/>
                <w:szCs w:val="9"/>
                <w:color w:val="auto"/>
              </w:rPr>
            </w:pPr>
          </w:p>
        </w:tc>
      </w:tr>
      <w:tr>
        <w:trPr>
          <w:trHeight w:val="119"/>
        </w:trPr>
        <w:tc>
          <w:tcPr>
            <w:tcW w:w="2920" w:type="dxa"/>
            <w:vAlign w:val="bottom"/>
            <w:gridSpan w:val="4"/>
            <w:shd w:val="clear" w:color="auto" w:fill="DBEEF4"/>
          </w:tcPr>
          <w:p>
            <w:pPr>
              <w:ind w:left="20"/>
              <w:spacing w:after="0"/>
              <w:rPr>
                <w:sz w:val="20"/>
                <w:szCs w:val="20"/>
                <w:color w:val="auto"/>
              </w:rPr>
            </w:pPr>
            <w:r>
              <w:rPr>
                <w:rFonts w:ascii="Arial" w:cs="Arial" w:eastAsia="Arial" w:hAnsi="Arial"/>
                <w:sz w:val="8"/>
                <w:szCs w:val="8"/>
                <w:i w:val="1"/>
                <w:iCs w:val="1"/>
                <w:color w:val="auto"/>
              </w:rPr>
              <w:t>(f/k/a Accent Food Services, LLC)</w:t>
            </w:r>
          </w:p>
        </w:tc>
        <w:tc>
          <w:tcPr>
            <w:tcW w:w="2260" w:type="dxa"/>
            <w:vAlign w:val="bottom"/>
            <w:shd w:val="clear" w:color="auto" w:fill="DBEEF4"/>
          </w:tcPr>
          <w:p>
            <w:pPr>
              <w:ind w:left="800"/>
              <w:spacing w:after="0"/>
              <w:rPr>
                <w:sz w:val="20"/>
                <w:szCs w:val="20"/>
                <w:color w:val="auto"/>
              </w:rPr>
            </w:pPr>
            <w:r>
              <w:rPr>
                <w:rFonts w:ascii="Arial" w:cs="Arial" w:eastAsia="Arial" w:hAnsi="Arial"/>
                <w:sz w:val="8"/>
                <w:szCs w:val="8"/>
                <w:color w:val="auto"/>
              </w:rPr>
              <w:t>Vending Equipment Manufacturing</w:t>
            </w:r>
          </w:p>
        </w:tc>
        <w:tc>
          <w:tcPr>
            <w:tcW w:w="1200" w:type="dxa"/>
            <w:vAlign w:val="bottom"/>
            <w:shd w:val="clear" w:color="auto" w:fill="DBEEF4"/>
          </w:tcPr>
          <w:p>
            <w:pPr>
              <w:spacing w:after="0"/>
              <w:rPr>
                <w:sz w:val="10"/>
                <w:szCs w:val="10"/>
                <w:color w:val="auto"/>
              </w:rPr>
            </w:pPr>
          </w:p>
        </w:tc>
        <w:tc>
          <w:tcPr>
            <w:tcW w:w="820" w:type="dxa"/>
            <w:vAlign w:val="bottom"/>
            <w:shd w:val="clear" w:color="auto" w:fill="DBEEF4"/>
          </w:tcPr>
          <w:p>
            <w:pPr>
              <w:spacing w:after="0"/>
              <w:rPr>
                <w:sz w:val="10"/>
                <w:szCs w:val="10"/>
                <w:color w:val="auto"/>
              </w:rPr>
            </w:pPr>
          </w:p>
        </w:tc>
        <w:tc>
          <w:tcPr>
            <w:tcW w:w="640" w:type="dxa"/>
            <w:vAlign w:val="bottom"/>
            <w:shd w:val="clear" w:color="auto" w:fill="DBEEF4"/>
          </w:tcPr>
          <w:p>
            <w:pPr>
              <w:spacing w:after="0"/>
              <w:rPr>
                <w:sz w:val="10"/>
                <w:szCs w:val="10"/>
                <w:color w:val="auto"/>
              </w:rPr>
            </w:pPr>
          </w:p>
        </w:tc>
        <w:tc>
          <w:tcPr>
            <w:tcW w:w="580" w:type="dxa"/>
            <w:vAlign w:val="bottom"/>
            <w:shd w:val="clear" w:color="auto" w:fill="DBEEF4"/>
          </w:tcPr>
          <w:p>
            <w:pPr>
              <w:spacing w:after="0"/>
              <w:rPr>
                <w:sz w:val="10"/>
                <w:szCs w:val="10"/>
                <w:color w:val="auto"/>
              </w:rPr>
            </w:pPr>
          </w:p>
        </w:tc>
        <w:tc>
          <w:tcPr>
            <w:tcW w:w="160" w:type="dxa"/>
            <w:vAlign w:val="bottom"/>
            <w:shd w:val="clear" w:color="auto" w:fill="DBEEF4"/>
          </w:tcPr>
          <w:p>
            <w:pPr>
              <w:spacing w:after="0"/>
              <w:rPr>
                <w:sz w:val="10"/>
                <w:szCs w:val="10"/>
                <w:color w:val="auto"/>
              </w:rPr>
            </w:pPr>
          </w:p>
        </w:tc>
        <w:tc>
          <w:tcPr>
            <w:tcW w:w="460" w:type="dxa"/>
            <w:vAlign w:val="bottom"/>
            <w:shd w:val="clear" w:color="auto" w:fill="DBEEF4"/>
          </w:tcPr>
          <w:p>
            <w:pPr>
              <w:spacing w:after="0"/>
              <w:rPr>
                <w:sz w:val="10"/>
                <w:szCs w:val="10"/>
                <w:color w:val="auto"/>
              </w:rPr>
            </w:pPr>
          </w:p>
        </w:tc>
        <w:tc>
          <w:tcPr>
            <w:tcW w:w="120" w:type="dxa"/>
            <w:vAlign w:val="bottom"/>
            <w:shd w:val="clear" w:color="auto" w:fill="DBEEF4"/>
          </w:tcPr>
          <w:p>
            <w:pPr>
              <w:spacing w:after="0"/>
              <w:rPr>
                <w:sz w:val="10"/>
                <w:szCs w:val="10"/>
                <w:color w:val="auto"/>
              </w:rPr>
            </w:pPr>
          </w:p>
        </w:tc>
        <w:tc>
          <w:tcPr>
            <w:tcW w:w="100" w:type="dxa"/>
            <w:vAlign w:val="bottom"/>
            <w:shd w:val="clear" w:color="auto" w:fill="DBEEF4"/>
          </w:tcPr>
          <w:p>
            <w:pPr>
              <w:spacing w:after="0"/>
              <w:rPr>
                <w:sz w:val="10"/>
                <w:szCs w:val="10"/>
                <w:color w:val="auto"/>
              </w:rPr>
            </w:pPr>
          </w:p>
        </w:tc>
        <w:tc>
          <w:tcPr>
            <w:tcW w:w="140" w:type="dxa"/>
            <w:vAlign w:val="bottom"/>
            <w:shd w:val="clear" w:color="auto" w:fill="DBEEF4"/>
          </w:tcPr>
          <w:p>
            <w:pPr>
              <w:spacing w:after="0"/>
              <w:rPr>
                <w:sz w:val="10"/>
                <w:szCs w:val="10"/>
                <w:color w:val="auto"/>
              </w:rPr>
            </w:pPr>
          </w:p>
        </w:tc>
        <w:tc>
          <w:tcPr>
            <w:tcW w:w="420" w:type="dxa"/>
            <w:vAlign w:val="bottom"/>
            <w:shd w:val="clear" w:color="auto" w:fill="DBEEF4"/>
          </w:tcPr>
          <w:p>
            <w:pPr>
              <w:spacing w:after="0"/>
              <w:rPr>
                <w:sz w:val="10"/>
                <w:szCs w:val="10"/>
                <w:color w:val="auto"/>
              </w:rPr>
            </w:pPr>
          </w:p>
        </w:tc>
        <w:tc>
          <w:tcPr>
            <w:tcW w:w="200" w:type="dxa"/>
            <w:vAlign w:val="bottom"/>
            <w:shd w:val="clear" w:color="auto" w:fill="DBEEF4"/>
          </w:tcPr>
          <w:p>
            <w:pPr>
              <w:spacing w:after="0"/>
              <w:rPr>
                <w:sz w:val="10"/>
                <w:szCs w:val="10"/>
                <w:color w:val="auto"/>
              </w:rPr>
            </w:pPr>
          </w:p>
        </w:tc>
        <w:tc>
          <w:tcPr>
            <w:tcW w:w="60" w:type="dxa"/>
            <w:vAlign w:val="bottom"/>
            <w:shd w:val="clear" w:color="auto" w:fill="DBEEF4"/>
          </w:tcPr>
          <w:p>
            <w:pPr>
              <w:spacing w:after="0"/>
              <w:rPr>
                <w:sz w:val="10"/>
                <w:szCs w:val="10"/>
                <w:color w:val="auto"/>
              </w:rPr>
            </w:pPr>
          </w:p>
        </w:tc>
        <w:tc>
          <w:tcPr>
            <w:tcW w:w="440" w:type="dxa"/>
            <w:vAlign w:val="bottom"/>
            <w:shd w:val="clear" w:color="auto" w:fill="DBEEF4"/>
          </w:tcPr>
          <w:p>
            <w:pPr>
              <w:spacing w:after="0"/>
              <w:rPr>
                <w:sz w:val="10"/>
                <w:szCs w:val="10"/>
                <w:color w:val="auto"/>
              </w:rPr>
            </w:pPr>
          </w:p>
        </w:tc>
        <w:tc>
          <w:tcPr>
            <w:tcW w:w="40" w:type="dxa"/>
            <w:vAlign w:val="bottom"/>
            <w:shd w:val="clear" w:color="auto" w:fill="DBEEF4"/>
          </w:tcPr>
          <w:p>
            <w:pPr>
              <w:spacing w:after="0"/>
              <w:rPr>
                <w:sz w:val="10"/>
                <w:szCs w:val="10"/>
                <w:color w:val="auto"/>
              </w:rPr>
            </w:pPr>
          </w:p>
        </w:tc>
        <w:tc>
          <w:tcPr>
            <w:tcW w:w="560" w:type="dxa"/>
            <w:vAlign w:val="bottom"/>
            <w:shd w:val="clear" w:color="auto" w:fill="DBEEF4"/>
          </w:tcPr>
          <w:p>
            <w:pPr>
              <w:spacing w:after="0"/>
              <w:rPr>
                <w:sz w:val="10"/>
                <w:szCs w:val="10"/>
                <w:color w:val="auto"/>
              </w:rPr>
            </w:pPr>
          </w:p>
        </w:tc>
        <w:tc>
          <w:tcPr>
            <w:tcW w:w="120" w:type="dxa"/>
            <w:vAlign w:val="bottom"/>
            <w:shd w:val="clear" w:color="auto" w:fill="DBEEF4"/>
          </w:tcPr>
          <w:p>
            <w:pPr>
              <w:spacing w:after="0"/>
              <w:rPr>
                <w:sz w:val="10"/>
                <w:szCs w:val="10"/>
                <w:color w:val="auto"/>
              </w:rPr>
            </w:pPr>
          </w:p>
        </w:tc>
      </w:tr>
      <w:tr>
        <w:trPr>
          <w:trHeight w:val="120"/>
        </w:trPr>
        <w:tc>
          <w:tcPr>
            <w:tcW w:w="20" w:type="dxa"/>
            <w:vAlign w:val="bottom"/>
          </w:tcPr>
          <w:p>
            <w:pPr>
              <w:spacing w:after="0"/>
              <w:rPr>
                <w:sz w:val="10"/>
                <w:szCs w:val="10"/>
                <w:color w:val="auto"/>
              </w:rPr>
            </w:pPr>
          </w:p>
        </w:tc>
        <w:tc>
          <w:tcPr>
            <w:tcW w:w="2900" w:type="dxa"/>
            <w:vAlign w:val="bottom"/>
            <w:gridSpan w:val="3"/>
          </w:tcPr>
          <w:p>
            <w:pPr>
              <w:ind w:left="80"/>
              <w:spacing w:after="0"/>
              <w:rPr>
                <w:sz w:val="20"/>
                <w:szCs w:val="20"/>
                <w:color w:val="auto"/>
              </w:rPr>
            </w:pPr>
            <w:r>
              <w:rPr>
                <w:rFonts w:ascii="Arial" w:cs="Arial" w:eastAsia="Arial" w:hAnsi="Arial"/>
                <w:sz w:val="8"/>
                <w:szCs w:val="8"/>
                <w:color w:val="auto"/>
              </w:rPr>
              <w:t>Preferred Equity (Class A Units) (46 units) (j)</w:t>
            </w:r>
          </w:p>
        </w:tc>
        <w:tc>
          <w:tcPr>
            <w:tcW w:w="2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8"/>
                <w:szCs w:val="8"/>
                <w:color w:val="auto"/>
              </w:rPr>
              <w:t>12/31/2020</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gridSpan w:val="3"/>
          </w:tcPr>
          <w:p>
            <w:pPr>
              <w:jc w:val="right"/>
              <w:ind w:right="80"/>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2,000</w:t>
            </w:r>
          </w:p>
        </w:tc>
        <w:tc>
          <w:tcPr>
            <w:tcW w:w="260" w:type="dxa"/>
            <w:vAlign w:val="bottom"/>
            <w:gridSpan w:val="2"/>
          </w:tcPr>
          <w:p>
            <w:pPr>
              <w:jc w:val="right"/>
              <w:spacing w:after="0"/>
              <w:rPr>
                <w:sz w:val="20"/>
                <w:szCs w:val="20"/>
                <w:color w:val="auto"/>
              </w:rPr>
            </w:pPr>
            <w:r>
              <w:rPr>
                <w:rFonts w:ascii="Arial" w:cs="Arial" w:eastAsia="Arial" w:hAnsi="Arial"/>
                <w:sz w:val="8"/>
                <w:szCs w:val="8"/>
                <w:color w:val="auto"/>
              </w:rPr>
              <w:t>$</w:t>
            </w:r>
          </w:p>
        </w:tc>
        <w:tc>
          <w:tcPr>
            <w:tcW w:w="440" w:type="dxa"/>
            <w:vAlign w:val="bottom"/>
          </w:tcPr>
          <w:p>
            <w:pPr>
              <w:jc w:val="right"/>
              <w:spacing w:after="0"/>
              <w:rPr>
                <w:sz w:val="20"/>
                <w:szCs w:val="20"/>
                <w:color w:val="auto"/>
              </w:rPr>
            </w:pPr>
            <w:r>
              <w:rPr>
                <w:rFonts w:ascii="Arial" w:cs="Arial" w:eastAsia="Arial" w:hAnsi="Arial"/>
                <w:sz w:val="8"/>
                <w:szCs w:val="8"/>
                <w:color w:val="auto"/>
              </w:rPr>
              <w:t>2,000</w:t>
            </w: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4"/>
        </w:trPr>
        <w:tc>
          <w:tcPr>
            <w:tcW w:w="20" w:type="dxa"/>
            <w:vAlign w:val="bottom"/>
            <w:shd w:val="clear" w:color="auto" w:fill="DBEEF4"/>
          </w:tcPr>
          <w:p>
            <w:pPr>
              <w:spacing w:after="0"/>
              <w:rPr>
                <w:sz w:val="11"/>
                <w:szCs w:val="11"/>
                <w:color w:val="auto"/>
              </w:rPr>
            </w:pPr>
          </w:p>
        </w:tc>
        <w:tc>
          <w:tcPr>
            <w:tcW w:w="2900" w:type="dxa"/>
            <w:vAlign w:val="bottom"/>
            <w:gridSpan w:val="3"/>
            <w:shd w:val="clear" w:color="auto" w:fill="DBEEF4"/>
          </w:tcPr>
          <w:p>
            <w:pPr>
              <w:ind w:left="80"/>
              <w:spacing w:after="0"/>
              <w:rPr>
                <w:sz w:val="20"/>
                <w:szCs w:val="20"/>
                <w:color w:val="auto"/>
              </w:rPr>
            </w:pPr>
            <w:r>
              <w:rPr>
                <w:rFonts w:ascii="Arial" w:cs="Arial" w:eastAsia="Arial" w:hAnsi="Arial"/>
                <w:sz w:val="8"/>
                <w:szCs w:val="8"/>
                <w:color w:val="auto"/>
              </w:rPr>
              <w:t>Common Equity (Class B Units) (124 units) (j)</w:t>
            </w:r>
          </w:p>
        </w:tc>
        <w:tc>
          <w:tcPr>
            <w:tcW w:w="2260" w:type="dxa"/>
            <w:vAlign w:val="bottom"/>
            <w:shd w:val="clear" w:color="auto" w:fill="DBEEF4"/>
          </w:tcPr>
          <w:p>
            <w:pPr>
              <w:spacing w:after="0"/>
              <w:rPr>
                <w:sz w:val="11"/>
                <w:szCs w:val="11"/>
                <w:color w:val="auto"/>
              </w:rPr>
            </w:pPr>
          </w:p>
        </w:tc>
        <w:tc>
          <w:tcPr>
            <w:tcW w:w="1200" w:type="dxa"/>
            <w:vAlign w:val="bottom"/>
            <w:shd w:val="clear" w:color="auto" w:fill="DBEEF4"/>
          </w:tcPr>
          <w:p>
            <w:pPr>
              <w:spacing w:after="0"/>
              <w:rPr>
                <w:sz w:val="11"/>
                <w:szCs w:val="11"/>
                <w:color w:val="auto"/>
              </w:rPr>
            </w:pP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ind w:left="120"/>
              <w:spacing w:after="0"/>
              <w:rPr>
                <w:sz w:val="20"/>
                <w:szCs w:val="20"/>
                <w:color w:val="auto"/>
              </w:rPr>
            </w:pPr>
            <w:r>
              <w:rPr>
                <w:rFonts w:ascii="Arial" w:cs="Arial" w:eastAsia="Arial" w:hAnsi="Arial"/>
                <w:sz w:val="8"/>
                <w:szCs w:val="8"/>
                <w:color w:val="auto"/>
              </w:rPr>
              <w:t>12/31/2020</w:t>
            </w:r>
          </w:p>
        </w:tc>
        <w:tc>
          <w:tcPr>
            <w:tcW w:w="580" w:type="dxa"/>
            <w:vAlign w:val="bottom"/>
            <w:shd w:val="clear" w:color="auto" w:fill="DBEEF4"/>
          </w:tcPr>
          <w:p>
            <w:pPr>
              <w:spacing w:after="0"/>
              <w:rPr>
                <w:sz w:val="11"/>
                <w:szCs w:val="11"/>
                <w:color w:val="auto"/>
              </w:rPr>
            </w:pPr>
          </w:p>
        </w:tc>
        <w:tc>
          <w:tcPr>
            <w:tcW w:w="160" w:type="dxa"/>
            <w:vAlign w:val="bottom"/>
            <w:shd w:val="clear" w:color="auto" w:fill="DBEEF4"/>
          </w:tcPr>
          <w:p>
            <w:pPr>
              <w:spacing w:after="0"/>
              <w:rPr>
                <w:sz w:val="11"/>
                <w:szCs w:val="11"/>
                <w:color w:val="auto"/>
              </w:rPr>
            </w:pPr>
          </w:p>
        </w:tc>
        <w:tc>
          <w:tcPr>
            <w:tcW w:w="4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1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8"/>
                <w:szCs w:val="8"/>
                <w:color w:val="auto"/>
              </w:rPr>
              <w:t>-</w:t>
            </w:r>
          </w:p>
        </w:tc>
        <w:tc>
          <w:tcPr>
            <w:tcW w:w="200" w:type="dxa"/>
            <w:vAlign w:val="bottom"/>
            <w:shd w:val="clear" w:color="auto" w:fill="DBEEF4"/>
          </w:tcPr>
          <w:p>
            <w:pPr>
              <w:spacing w:after="0"/>
              <w:rPr>
                <w:sz w:val="11"/>
                <w:szCs w:val="11"/>
                <w:color w:val="auto"/>
              </w:rPr>
            </w:pPr>
          </w:p>
        </w:tc>
        <w:tc>
          <w:tcPr>
            <w:tcW w:w="60" w:type="dxa"/>
            <w:vAlign w:val="bottom"/>
            <w:shd w:val="clear" w:color="auto" w:fill="DBEEF4"/>
          </w:tcPr>
          <w:p>
            <w:pPr>
              <w:spacing w:after="0"/>
              <w:rPr>
                <w:sz w:val="11"/>
                <w:szCs w:val="11"/>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w:t>
            </w:r>
          </w:p>
        </w:tc>
        <w:tc>
          <w:tcPr>
            <w:tcW w:w="40" w:type="dxa"/>
            <w:vAlign w:val="bottom"/>
            <w:shd w:val="clear" w:color="auto" w:fill="DBEEF4"/>
          </w:tcPr>
          <w:p>
            <w:pPr>
              <w:spacing w:after="0"/>
              <w:rPr>
                <w:sz w:val="11"/>
                <w:szCs w:val="11"/>
                <w:color w:val="auto"/>
              </w:rPr>
            </w:pPr>
          </w:p>
        </w:tc>
        <w:tc>
          <w:tcPr>
            <w:tcW w:w="5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r>
      <w:tr>
        <w:trPr>
          <w:trHeight w:val="126"/>
        </w:trPr>
        <w:tc>
          <w:tcPr>
            <w:tcW w:w="20" w:type="dxa"/>
            <w:vAlign w:val="bottom"/>
          </w:tcPr>
          <w:p>
            <w:pPr>
              <w:spacing w:after="0"/>
              <w:rPr>
                <w:sz w:val="10"/>
                <w:szCs w:val="10"/>
                <w:color w:val="auto"/>
              </w:rPr>
            </w:pPr>
          </w:p>
        </w:tc>
        <w:tc>
          <w:tcPr>
            <w:tcW w:w="2900" w:type="dxa"/>
            <w:vAlign w:val="bottom"/>
            <w:gridSpan w:val="3"/>
          </w:tcPr>
          <w:p>
            <w:pPr>
              <w:ind w:left="80"/>
              <w:spacing w:after="0"/>
              <w:rPr>
                <w:sz w:val="20"/>
                <w:szCs w:val="20"/>
                <w:color w:val="auto"/>
              </w:rPr>
            </w:pPr>
            <w:r>
              <w:rPr>
                <w:rFonts w:ascii="Arial" w:cs="Arial" w:eastAsia="Arial" w:hAnsi="Arial"/>
                <w:sz w:val="8"/>
                <w:szCs w:val="8"/>
                <w:color w:val="auto"/>
              </w:rPr>
              <w:t>Preferred Equity (Class C Units) (100 units) (j)</w:t>
            </w:r>
          </w:p>
        </w:tc>
        <w:tc>
          <w:tcPr>
            <w:tcW w:w="2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8"/>
                <w:szCs w:val="8"/>
                <w:color w:val="auto"/>
              </w:rPr>
              <w:t>12/31/2020</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0"/>
        </w:trPr>
        <w:tc>
          <w:tcPr>
            <w:tcW w:w="20" w:type="dxa"/>
            <w:vAlign w:val="bottom"/>
            <w:shd w:val="clear" w:color="auto" w:fill="DBEEF4"/>
          </w:tcPr>
          <w:p>
            <w:pPr>
              <w:spacing w:after="0"/>
              <w:rPr>
                <w:sz w:val="10"/>
                <w:szCs w:val="10"/>
                <w:color w:val="auto"/>
              </w:rPr>
            </w:pPr>
          </w:p>
        </w:tc>
        <w:tc>
          <w:tcPr>
            <w:tcW w:w="840" w:type="dxa"/>
            <w:vAlign w:val="bottom"/>
            <w:shd w:val="clear" w:color="auto" w:fill="DBEEF4"/>
          </w:tcPr>
          <w:p>
            <w:pPr>
              <w:spacing w:after="0"/>
              <w:rPr>
                <w:sz w:val="10"/>
                <w:szCs w:val="10"/>
                <w:color w:val="auto"/>
              </w:rPr>
            </w:pPr>
          </w:p>
        </w:tc>
        <w:tc>
          <w:tcPr>
            <w:tcW w:w="520" w:type="dxa"/>
            <w:vAlign w:val="bottom"/>
            <w:shd w:val="clear" w:color="auto" w:fill="DBEEF4"/>
          </w:tcPr>
          <w:p>
            <w:pPr>
              <w:spacing w:after="0"/>
              <w:rPr>
                <w:sz w:val="10"/>
                <w:szCs w:val="10"/>
                <w:color w:val="auto"/>
              </w:rPr>
            </w:pPr>
          </w:p>
        </w:tc>
        <w:tc>
          <w:tcPr>
            <w:tcW w:w="1540" w:type="dxa"/>
            <w:vAlign w:val="bottom"/>
            <w:shd w:val="clear" w:color="auto" w:fill="DBEEF4"/>
          </w:tcPr>
          <w:p>
            <w:pPr>
              <w:spacing w:after="0"/>
              <w:rPr>
                <w:sz w:val="10"/>
                <w:szCs w:val="10"/>
                <w:color w:val="auto"/>
              </w:rPr>
            </w:pPr>
          </w:p>
        </w:tc>
        <w:tc>
          <w:tcPr>
            <w:tcW w:w="2260" w:type="dxa"/>
            <w:vAlign w:val="bottom"/>
            <w:shd w:val="clear" w:color="auto" w:fill="DBEEF4"/>
          </w:tcPr>
          <w:p>
            <w:pPr>
              <w:spacing w:after="0"/>
              <w:rPr>
                <w:sz w:val="10"/>
                <w:szCs w:val="10"/>
                <w:color w:val="auto"/>
              </w:rPr>
            </w:pPr>
          </w:p>
        </w:tc>
        <w:tc>
          <w:tcPr>
            <w:tcW w:w="1200" w:type="dxa"/>
            <w:vAlign w:val="bottom"/>
            <w:shd w:val="clear" w:color="auto" w:fill="DBEEF4"/>
          </w:tcPr>
          <w:p>
            <w:pPr>
              <w:spacing w:after="0"/>
              <w:rPr>
                <w:sz w:val="10"/>
                <w:szCs w:val="10"/>
                <w:color w:val="auto"/>
              </w:rPr>
            </w:pPr>
          </w:p>
        </w:tc>
        <w:tc>
          <w:tcPr>
            <w:tcW w:w="820" w:type="dxa"/>
            <w:vAlign w:val="bottom"/>
            <w:shd w:val="clear" w:color="auto" w:fill="DBEEF4"/>
          </w:tcPr>
          <w:p>
            <w:pPr>
              <w:spacing w:after="0"/>
              <w:rPr>
                <w:sz w:val="10"/>
                <w:szCs w:val="10"/>
                <w:color w:val="auto"/>
              </w:rPr>
            </w:pPr>
          </w:p>
        </w:tc>
        <w:tc>
          <w:tcPr>
            <w:tcW w:w="640" w:type="dxa"/>
            <w:vAlign w:val="bottom"/>
            <w:shd w:val="clear" w:color="auto" w:fill="DBEEF4"/>
          </w:tcPr>
          <w:p>
            <w:pPr>
              <w:spacing w:after="0"/>
              <w:rPr>
                <w:sz w:val="10"/>
                <w:szCs w:val="10"/>
                <w:color w:val="auto"/>
              </w:rPr>
            </w:pPr>
          </w:p>
        </w:tc>
        <w:tc>
          <w:tcPr>
            <w:tcW w:w="580" w:type="dxa"/>
            <w:vAlign w:val="bottom"/>
            <w:shd w:val="clear" w:color="auto" w:fill="DBEEF4"/>
          </w:tcPr>
          <w:p>
            <w:pPr>
              <w:spacing w:after="0"/>
              <w:rPr>
                <w:sz w:val="10"/>
                <w:szCs w:val="10"/>
                <w:color w:val="auto"/>
              </w:rPr>
            </w:pPr>
          </w:p>
        </w:tc>
        <w:tc>
          <w:tcPr>
            <w:tcW w:w="160" w:type="dxa"/>
            <w:vAlign w:val="bottom"/>
            <w:shd w:val="clear" w:color="auto" w:fill="DBEEF4"/>
          </w:tcPr>
          <w:p>
            <w:pPr>
              <w:spacing w:after="0"/>
              <w:rPr>
                <w:sz w:val="10"/>
                <w:szCs w:val="10"/>
                <w:color w:val="auto"/>
              </w:rPr>
            </w:pPr>
          </w:p>
        </w:tc>
        <w:tc>
          <w:tcPr>
            <w:tcW w:w="460" w:type="dxa"/>
            <w:vAlign w:val="bottom"/>
            <w:shd w:val="clear" w:color="auto" w:fill="DBEEF4"/>
          </w:tcPr>
          <w:p>
            <w:pPr>
              <w:spacing w:after="0"/>
              <w:rPr>
                <w:sz w:val="10"/>
                <w:szCs w:val="10"/>
                <w:color w:val="auto"/>
              </w:rPr>
            </w:pPr>
          </w:p>
        </w:tc>
        <w:tc>
          <w:tcPr>
            <w:tcW w:w="120" w:type="dxa"/>
            <w:vAlign w:val="bottom"/>
            <w:shd w:val="clear" w:color="auto" w:fill="DBEEF4"/>
          </w:tcPr>
          <w:p>
            <w:pPr>
              <w:spacing w:after="0"/>
              <w:rPr>
                <w:sz w:val="10"/>
                <w:szCs w:val="10"/>
                <w:color w:val="auto"/>
              </w:rPr>
            </w:pPr>
          </w:p>
        </w:tc>
        <w:tc>
          <w:tcPr>
            <w:tcW w:w="100" w:type="dxa"/>
            <w:vAlign w:val="bottom"/>
            <w:shd w:val="clear" w:color="auto" w:fill="DBEEF4"/>
          </w:tcPr>
          <w:p>
            <w:pPr>
              <w:spacing w:after="0"/>
              <w:rPr>
                <w:sz w:val="10"/>
                <w:szCs w:val="10"/>
                <w:color w:val="auto"/>
              </w:rPr>
            </w:pPr>
          </w:p>
        </w:tc>
        <w:tc>
          <w:tcPr>
            <w:tcW w:w="140" w:type="dxa"/>
            <w:vAlign w:val="bottom"/>
            <w:shd w:val="clear" w:color="auto" w:fill="DBEEF4"/>
          </w:tcPr>
          <w:p>
            <w:pPr>
              <w:spacing w:after="0"/>
              <w:rPr>
                <w:sz w:val="10"/>
                <w:szCs w:val="10"/>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8"/>
                <w:szCs w:val="8"/>
                <w:color w:val="auto"/>
              </w:rPr>
              <w:t>2,000</w:t>
            </w:r>
          </w:p>
        </w:tc>
        <w:tc>
          <w:tcPr>
            <w:tcW w:w="200" w:type="dxa"/>
            <w:vAlign w:val="bottom"/>
            <w:shd w:val="clear" w:color="auto" w:fill="DBEEF4"/>
          </w:tcPr>
          <w:p>
            <w:pPr>
              <w:spacing w:after="0"/>
              <w:rPr>
                <w:sz w:val="10"/>
                <w:szCs w:val="10"/>
                <w:color w:val="auto"/>
              </w:rPr>
            </w:pPr>
          </w:p>
        </w:tc>
        <w:tc>
          <w:tcPr>
            <w:tcW w:w="60" w:type="dxa"/>
            <w:vAlign w:val="bottom"/>
            <w:shd w:val="clear" w:color="auto" w:fill="DBEEF4"/>
          </w:tcPr>
          <w:p>
            <w:pPr>
              <w:spacing w:after="0"/>
              <w:rPr>
                <w:sz w:val="10"/>
                <w:szCs w:val="10"/>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2,000</w:t>
            </w:r>
          </w:p>
        </w:tc>
        <w:tc>
          <w:tcPr>
            <w:tcW w:w="720" w:type="dxa"/>
            <w:vAlign w:val="bottom"/>
            <w:gridSpan w:val="3"/>
            <w:shd w:val="clear" w:color="auto" w:fill="DBEEF4"/>
          </w:tcPr>
          <w:p>
            <w:pPr>
              <w:jc w:val="right"/>
              <w:ind w:right="40"/>
              <w:spacing w:after="0"/>
              <w:rPr>
                <w:sz w:val="20"/>
                <w:szCs w:val="20"/>
                <w:color w:val="auto"/>
              </w:rPr>
            </w:pPr>
            <w:r>
              <w:rPr>
                <w:rFonts w:ascii="Arial" w:cs="Arial" w:eastAsia="Arial" w:hAnsi="Arial"/>
                <w:sz w:val="8"/>
                <w:szCs w:val="8"/>
                <w:color w:val="auto"/>
              </w:rPr>
              <w:t>0 %</w:t>
            </w:r>
          </w:p>
        </w:tc>
      </w:tr>
      <w:tr>
        <w:trPr>
          <w:trHeight w:val="120"/>
        </w:trPr>
        <w:tc>
          <w:tcPr>
            <w:tcW w:w="2920" w:type="dxa"/>
            <w:vAlign w:val="bottom"/>
            <w:gridSpan w:val="4"/>
          </w:tcPr>
          <w:p>
            <w:pPr>
              <w:ind w:left="20"/>
              <w:spacing w:after="0"/>
              <w:rPr>
                <w:sz w:val="20"/>
                <w:szCs w:val="20"/>
                <w:color w:val="auto"/>
              </w:rPr>
            </w:pPr>
            <w:r>
              <w:rPr>
                <w:rFonts w:ascii="Arial" w:cs="Arial" w:eastAsia="Arial" w:hAnsi="Arial"/>
                <w:sz w:val="8"/>
                <w:szCs w:val="8"/>
                <w:i w:val="1"/>
                <w:iCs w:val="1"/>
                <w:color w:val="auto"/>
              </w:rPr>
              <w:t>Allied 100 Group, Inc.</w:t>
            </w:r>
          </w:p>
        </w:tc>
        <w:tc>
          <w:tcPr>
            <w:tcW w:w="2260" w:type="dxa"/>
            <w:vAlign w:val="bottom"/>
          </w:tcPr>
          <w:p>
            <w:pPr>
              <w:ind w:left="800"/>
              <w:spacing w:after="0"/>
              <w:rPr>
                <w:sz w:val="20"/>
                <w:szCs w:val="20"/>
                <w:color w:val="auto"/>
              </w:rPr>
            </w:pPr>
            <w:r>
              <w:rPr>
                <w:rFonts w:ascii="Arial" w:cs="Arial" w:eastAsia="Arial" w:hAnsi="Arial"/>
                <w:sz w:val="8"/>
                <w:szCs w:val="8"/>
                <w:color w:val="auto"/>
              </w:rPr>
              <w:t>Healthcare Products</w:t>
            </w: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4"/>
        </w:trPr>
        <w:tc>
          <w:tcPr>
            <w:tcW w:w="20" w:type="dxa"/>
            <w:vAlign w:val="bottom"/>
            <w:shd w:val="clear" w:color="auto" w:fill="DBEEF4"/>
          </w:tcPr>
          <w:p>
            <w:pPr>
              <w:spacing w:after="0"/>
              <w:rPr>
                <w:sz w:val="11"/>
                <w:szCs w:val="11"/>
                <w:color w:val="auto"/>
              </w:rPr>
            </w:pPr>
          </w:p>
        </w:tc>
        <w:tc>
          <w:tcPr>
            <w:tcW w:w="2900" w:type="dxa"/>
            <w:vAlign w:val="bottom"/>
            <w:gridSpan w:val="3"/>
            <w:shd w:val="clear" w:color="auto" w:fill="DBEEF4"/>
          </w:tcPr>
          <w:p>
            <w:pPr>
              <w:ind w:left="80"/>
              <w:spacing w:after="0"/>
              <w:rPr>
                <w:sz w:val="20"/>
                <w:szCs w:val="20"/>
                <w:color w:val="auto"/>
              </w:rPr>
            </w:pPr>
            <w:r>
              <w:rPr>
                <w:rFonts w:ascii="Arial" w:cs="Arial" w:eastAsia="Arial" w:hAnsi="Arial"/>
                <w:sz w:val="8"/>
                <w:szCs w:val="8"/>
                <w:color w:val="auto"/>
              </w:rPr>
              <w:t>Subordinated Debt (k)</w:t>
            </w:r>
          </w:p>
        </w:tc>
        <w:tc>
          <w:tcPr>
            <w:tcW w:w="2260" w:type="dxa"/>
            <w:vAlign w:val="bottom"/>
            <w:shd w:val="clear" w:color="auto" w:fill="DBEEF4"/>
          </w:tcPr>
          <w:p>
            <w:pPr>
              <w:spacing w:after="0"/>
              <w:rPr>
                <w:sz w:val="11"/>
                <w:szCs w:val="11"/>
                <w:color w:val="auto"/>
              </w:rPr>
            </w:pPr>
          </w:p>
        </w:tc>
        <w:tc>
          <w:tcPr>
            <w:tcW w:w="1200" w:type="dxa"/>
            <w:vAlign w:val="bottom"/>
            <w:shd w:val="clear" w:color="auto" w:fill="DBEEF4"/>
          </w:tcPr>
          <w:p>
            <w:pPr>
              <w:spacing w:after="0"/>
              <w:rPr>
                <w:sz w:val="11"/>
                <w:szCs w:val="11"/>
                <w:color w:val="auto"/>
              </w:rPr>
            </w:pPr>
          </w:p>
        </w:tc>
        <w:tc>
          <w:tcPr>
            <w:tcW w:w="820" w:type="dxa"/>
            <w:vAlign w:val="bottom"/>
            <w:shd w:val="clear" w:color="auto" w:fill="DBEEF4"/>
          </w:tcPr>
          <w:p>
            <w:pPr>
              <w:ind w:left="180"/>
              <w:spacing w:after="0"/>
              <w:rPr>
                <w:sz w:val="20"/>
                <w:szCs w:val="20"/>
                <w:color w:val="auto"/>
              </w:rPr>
            </w:pPr>
            <w:r>
              <w:rPr>
                <w:rFonts w:ascii="Arial" w:cs="Arial" w:eastAsia="Arial" w:hAnsi="Arial"/>
                <w:sz w:val="8"/>
                <w:szCs w:val="8"/>
                <w:color w:val="auto"/>
              </w:rPr>
              <w:t>11.25%/0.00%</w:t>
            </w:r>
          </w:p>
        </w:tc>
        <w:tc>
          <w:tcPr>
            <w:tcW w:w="640" w:type="dxa"/>
            <w:vAlign w:val="bottom"/>
            <w:shd w:val="clear" w:color="auto" w:fill="DBEEF4"/>
          </w:tcPr>
          <w:p>
            <w:pPr>
              <w:ind w:left="120"/>
              <w:spacing w:after="0"/>
              <w:rPr>
                <w:sz w:val="20"/>
                <w:szCs w:val="20"/>
                <w:color w:val="auto"/>
              </w:rPr>
            </w:pPr>
            <w:r>
              <w:rPr>
                <w:rFonts w:ascii="Arial" w:cs="Arial" w:eastAsia="Arial" w:hAnsi="Arial"/>
                <w:sz w:val="8"/>
                <w:szCs w:val="8"/>
                <w:color w:val="auto"/>
              </w:rPr>
              <w:t>7/31/2019</w:t>
            </w:r>
          </w:p>
        </w:tc>
        <w:tc>
          <w:tcPr>
            <w:tcW w:w="580" w:type="dxa"/>
            <w:vAlign w:val="bottom"/>
            <w:shd w:val="clear" w:color="auto" w:fill="DBEEF4"/>
          </w:tcPr>
          <w:p>
            <w:pPr>
              <w:ind w:left="120"/>
              <w:spacing w:after="0"/>
              <w:rPr>
                <w:sz w:val="20"/>
                <w:szCs w:val="20"/>
                <w:color w:val="auto"/>
              </w:rPr>
            </w:pPr>
            <w:r>
              <w:rPr>
                <w:rFonts w:ascii="Arial" w:cs="Arial" w:eastAsia="Arial" w:hAnsi="Arial"/>
                <w:sz w:val="8"/>
                <w:szCs w:val="8"/>
                <w:color w:val="auto"/>
              </w:rPr>
              <w:t>5/26/2023</w:t>
            </w:r>
          </w:p>
        </w:tc>
        <w:tc>
          <w:tcPr>
            <w:tcW w:w="160" w:type="dxa"/>
            <w:vAlign w:val="bottom"/>
            <w:shd w:val="clear" w:color="auto" w:fill="DBEEF4"/>
          </w:tcPr>
          <w:p>
            <w:pPr>
              <w:spacing w:after="0"/>
              <w:rPr>
                <w:sz w:val="11"/>
                <w:szCs w:val="11"/>
                <w:color w:val="auto"/>
              </w:rPr>
            </w:pPr>
          </w:p>
        </w:tc>
        <w:tc>
          <w:tcPr>
            <w:tcW w:w="460" w:type="dxa"/>
            <w:vAlign w:val="bottom"/>
            <w:shd w:val="clear" w:color="auto" w:fill="DBEEF4"/>
          </w:tcPr>
          <w:p>
            <w:pPr>
              <w:jc w:val="right"/>
              <w:spacing w:after="0"/>
              <w:rPr>
                <w:sz w:val="20"/>
                <w:szCs w:val="20"/>
                <w:color w:val="auto"/>
              </w:rPr>
            </w:pPr>
            <w:r>
              <w:rPr>
                <w:rFonts w:ascii="Arial" w:cs="Arial" w:eastAsia="Arial" w:hAnsi="Arial"/>
                <w:sz w:val="8"/>
                <w:szCs w:val="8"/>
                <w:color w:val="auto"/>
              </w:rPr>
              <w:t>21,500</w:t>
            </w:r>
          </w:p>
        </w:tc>
        <w:tc>
          <w:tcPr>
            <w:tcW w:w="120" w:type="dxa"/>
            <w:vAlign w:val="bottom"/>
            <w:shd w:val="clear" w:color="auto" w:fill="DBEEF4"/>
          </w:tcPr>
          <w:p>
            <w:pPr>
              <w:spacing w:after="0"/>
              <w:rPr>
                <w:sz w:val="11"/>
                <w:szCs w:val="11"/>
                <w:color w:val="auto"/>
              </w:rPr>
            </w:pPr>
          </w:p>
        </w:tc>
        <w:tc>
          <w:tcPr>
            <w:tcW w:w="1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8"/>
                <w:szCs w:val="8"/>
                <w:color w:val="auto"/>
              </w:rPr>
              <w:t>21,432</w:t>
            </w:r>
          </w:p>
        </w:tc>
        <w:tc>
          <w:tcPr>
            <w:tcW w:w="200" w:type="dxa"/>
            <w:vAlign w:val="bottom"/>
            <w:shd w:val="clear" w:color="auto" w:fill="DBEEF4"/>
          </w:tcPr>
          <w:p>
            <w:pPr>
              <w:spacing w:after="0"/>
              <w:rPr>
                <w:sz w:val="11"/>
                <w:szCs w:val="11"/>
                <w:color w:val="auto"/>
              </w:rPr>
            </w:pPr>
          </w:p>
        </w:tc>
        <w:tc>
          <w:tcPr>
            <w:tcW w:w="60" w:type="dxa"/>
            <w:vAlign w:val="bottom"/>
            <w:shd w:val="clear" w:color="auto" w:fill="DBEEF4"/>
          </w:tcPr>
          <w:p>
            <w:pPr>
              <w:spacing w:after="0"/>
              <w:rPr>
                <w:sz w:val="11"/>
                <w:szCs w:val="11"/>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21,500</w:t>
            </w:r>
          </w:p>
        </w:tc>
        <w:tc>
          <w:tcPr>
            <w:tcW w:w="40" w:type="dxa"/>
            <w:vAlign w:val="bottom"/>
            <w:shd w:val="clear" w:color="auto" w:fill="DBEEF4"/>
          </w:tcPr>
          <w:p>
            <w:pPr>
              <w:spacing w:after="0"/>
              <w:rPr>
                <w:sz w:val="11"/>
                <w:szCs w:val="11"/>
                <w:color w:val="auto"/>
              </w:rPr>
            </w:pPr>
          </w:p>
        </w:tc>
        <w:tc>
          <w:tcPr>
            <w:tcW w:w="5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r>
      <w:tr>
        <w:trPr>
          <w:trHeight w:val="126"/>
        </w:trPr>
        <w:tc>
          <w:tcPr>
            <w:tcW w:w="20" w:type="dxa"/>
            <w:vAlign w:val="bottom"/>
          </w:tcPr>
          <w:p>
            <w:pPr>
              <w:spacing w:after="0"/>
              <w:rPr>
                <w:sz w:val="10"/>
                <w:szCs w:val="10"/>
                <w:color w:val="auto"/>
              </w:rPr>
            </w:pPr>
          </w:p>
        </w:tc>
        <w:tc>
          <w:tcPr>
            <w:tcW w:w="2900" w:type="dxa"/>
            <w:vAlign w:val="bottom"/>
            <w:gridSpan w:val="3"/>
          </w:tcPr>
          <w:p>
            <w:pPr>
              <w:ind w:left="80"/>
              <w:spacing w:after="0"/>
              <w:rPr>
                <w:sz w:val="20"/>
                <w:szCs w:val="20"/>
                <w:color w:val="auto"/>
              </w:rPr>
            </w:pPr>
            <w:r>
              <w:rPr>
                <w:rFonts w:ascii="Arial" w:cs="Arial" w:eastAsia="Arial" w:hAnsi="Arial"/>
                <w:sz w:val="8"/>
                <w:szCs w:val="8"/>
                <w:color w:val="auto"/>
              </w:rPr>
              <w:t>Common Equity (625,000 units) (j)</w:t>
            </w:r>
          </w:p>
        </w:tc>
        <w:tc>
          <w:tcPr>
            <w:tcW w:w="2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8"/>
                <w:szCs w:val="8"/>
                <w:color w:val="auto"/>
              </w:rPr>
              <w:t>11/26/2014</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625</w:t>
            </w:r>
          </w:p>
        </w:tc>
        <w:tc>
          <w:tcPr>
            <w:tcW w:w="2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1,087</w:t>
            </w: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0"/>
        </w:trPr>
        <w:tc>
          <w:tcPr>
            <w:tcW w:w="20" w:type="dxa"/>
            <w:vAlign w:val="bottom"/>
            <w:shd w:val="clear" w:color="auto" w:fill="DBEEF4"/>
          </w:tcPr>
          <w:p>
            <w:pPr>
              <w:spacing w:after="0"/>
              <w:rPr>
                <w:sz w:val="10"/>
                <w:szCs w:val="10"/>
                <w:color w:val="auto"/>
              </w:rPr>
            </w:pPr>
          </w:p>
        </w:tc>
        <w:tc>
          <w:tcPr>
            <w:tcW w:w="840" w:type="dxa"/>
            <w:vAlign w:val="bottom"/>
            <w:shd w:val="clear" w:color="auto" w:fill="DBEEF4"/>
          </w:tcPr>
          <w:p>
            <w:pPr>
              <w:spacing w:after="0"/>
              <w:rPr>
                <w:sz w:val="10"/>
                <w:szCs w:val="10"/>
                <w:color w:val="auto"/>
              </w:rPr>
            </w:pPr>
          </w:p>
        </w:tc>
        <w:tc>
          <w:tcPr>
            <w:tcW w:w="520" w:type="dxa"/>
            <w:vAlign w:val="bottom"/>
            <w:shd w:val="clear" w:color="auto" w:fill="DBEEF4"/>
          </w:tcPr>
          <w:p>
            <w:pPr>
              <w:spacing w:after="0"/>
              <w:rPr>
                <w:sz w:val="10"/>
                <w:szCs w:val="10"/>
                <w:color w:val="auto"/>
              </w:rPr>
            </w:pPr>
          </w:p>
        </w:tc>
        <w:tc>
          <w:tcPr>
            <w:tcW w:w="1540" w:type="dxa"/>
            <w:vAlign w:val="bottom"/>
            <w:shd w:val="clear" w:color="auto" w:fill="DBEEF4"/>
          </w:tcPr>
          <w:p>
            <w:pPr>
              <w:spacing w:after="0"/>
              <w:rPr>
                <w:sz w:val="10"/>
                <w:szCs w:val="10"/>
                <w:color w:val="auto"/>
              </w:rPr>
            </w:pPr>
          </w:p>
        </w:tc>
        <w:tc>
          <w:tcPr>
            <w:tcW w:w="2260" w:type="dxa"/>
            <w:vAlign w:val="bottom"/>
            <w:shd w:val="clear" w:color="auto" w:fill="DBEEF4"/>
          </w:tcPr>
          <w:p>
            <w:pPr>
              <w:spacing w:after="0"/>
              <w:rPr>
                <w:sz w:val="10"/>
                <w:szCs w:val="10"/>
                <w:color w:val="auto"/>
              </w:rPr>
            </w:pPr>
          </w:p>
        </w:tc>
        <w:tc>
          <w:tcPr>
            <w:tcW w:w="1200" w:type="dxa"/>
            <w:vAlign w:val="bottom"/>
            <w:shd w:val="clear" w:color="auto" w:fill="DBEEF4"/>
          </w:tcPr>
          <w:p>
            <w:pPr>
              <w:spacing w:after="0"/>
              <w:rPr>
                <w:sz w:val="10"/>
                <w:szCs w:val="10"/>
                <w:color w:val="auto"/>
              </w:rPr>
            </w:pPr>
          </w:p>
        </w:tc>
        <w:tc>
          <w:tcPr>
            <w:tcW w:w="820" w:type="dxa"/>
            <w:vAlign w:val="bottom"/>
            <w:shd w:val="clear" w:color="auto" w:fill="DBEEF4"/>
          </w:tcPr>
          <w:p>
            <w:pPr>
              <w:spacing w:after="0"/>
              <w:rPr>
                <w:sz w:val="10"/>
                <w:szCs w:val="10"/>
                <w:color w:val="auto"/>
              </w:rPr>
            </w:pPr>
          </w:p>
        </w:tc>
        <w:tc>
          <w:tcPr>
            <w:tcW w:w="640" w:type="dxa"/>
            <w:vAlign w:val="bottom"/>
            <w:shd w:val="clear" w:color="auto" w:fill="DBEEF4"/>
          </w:tcPr>
          <w:p>
            <w:pPr>
              <w:spacing w:after="0"/>
              <w:rPr>
                <w:sz w:val="10"/>
                <w:szCs w:val="10"/>
                <w:color w:val="auto"/>
              </w:rPr>
            </w:pPr>
          </w:p>
        </w:tc>
        <w:tc>
          <w:tcPr>
            <w:tcW w:w="580" w:type="dxa"/>
            <w:vAlign w:val="bottom"/>
            <w:shd w:val="clear" w:color="auto" w:fill="DBEEF4"/>
          </w:tcPr>
          <w:p>
            <w:pPr>
              <w:spacing w:after="0"/>
              <w:rPr>
                <w:sz w:val="10"/>
                <w:szCs w:val="10"/>
                <w:color w:val="auto"/>
              </w:rPr>
            </w:pPr>
          </w:p>
        </w:tc>
        <w:tc>
          <w:tcPr>
            <w:tcW w:w="160" w:type="dxa"/>
            <w:vAlign w:val="bottom"/>
            <w:shd w:val="clear" w:color="auto" w:fill="DBEEF4"/>
          </w:tcPr>
          <w:p>
            <w:pPr>
              <w:spacing w:after="0"/>
              <w:rPr>
                <w:sz w:val="10"/>
                <w:szCs w:val="10"/>
                <w:color w:val="auto"/>
              </w:rPr>
            </w:pPr>
          </w:p>
        </w:tc>
        <w:tc>
          <w:tcPr>
            <w:tcW w:w="460" w:type="dxa"/>
            <w:vAlign w:val="bottom"/>
            <w:shd w:val="clear" w:color="auto" w:fill="DBEEF4"/>
          </w:tcPr>
          <w:p>
            <w:pPr>
              <w:spacing w:after="0"/>
              <w:rPr>
                <w:sz w:val="10"/>
                <w:szCs w:val="10"/>
                <w:color w:val="auto"/>
              </w:rPr>
            </w:pPr>
          </w:p>
        </w:tc>
        <w:tc>
          <w:tcPr>
            <w:tcW w:w="120" w:type="dxa"/>
            <w:vAlign w:val="bottom"/>
            <w:shd w:val="clear" w:color="auto" w:fill="DBEEF4"/>
          </w:tcPr>
          <w:p>
            <w:pPr>
              <w:spacing w:after="0"/>
              <w:rPr>
                <w:sz w:val="10"/>
                <w:szCs w:val="10"/>
                <w:color w:val="auto"/>
              </w:rPr>
            </w:pPr>
          </w:p>
        </w:tc>
        <w:tc>
          <w:tcPr>
            <w:tcW w:w="100" w:type="dxa"/>
            <w:vAlign w:val="bottom"/>
            <w:shd w:val="clear" w:color="auto" w:fill="DBEEF4"/>
          </w:tcPr>
          <w:p>
            <w:pPr>
              <w:spacing w:after="0"/>
              <w:rPr>
                <w:sz w:val="10"/>
                <w:szCs w:val="10"/>
                <w:color w:val="auto"/>
              </w:rPr>
            </w:pPr>
          </w:p>
        </w:tc>
        <w:tc>
          <w:tcPr>
            <w:tcW w:w="140" w:type="dxa"/>
            <w:vAlign w:val="bottom"/>
            <w:shd w:val="clear" w:color="auto" w:fill="DBEEF4"/>
          </w:tcPr>
          <w:p>
            <w:pPr>
              <w:spacing w:after="0"/>
              <w:rPr>
                <w:sz w:val="10"/>
                <w:szCs w:val="10"/>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8"/>
                <w:szCs w:val="8"/>
                <w:color w:val="auto"/>
              </w:rPr>
              <w:t>22,057</w:t>
            </w:r>
          </w:p>
        </w:tc>
        <w:tc>
          <w:tcPr>
            <w:tcW w:w="200" w:type="dxa"/>
            <w:vAlign w:val="bottom"/>
            <w:shd w:val="clear" w:color="auto" w:fill="DBEEF4"/>
          </w:tcPr>
          <w:p>
            <w:pPr>
              <w:spacing w:after="0"/>
              <w:rPr>
                <w:sz w:val="10"/>
                <w:szCs w:val="10"/>
                <w:color w:val="auto"/>
              </w:rPr>
            </w:pPr>
          </w:p>
        </w:tc>
        <w:tc>
          <w:tcPr>
            <w:tcW w:w="60" w:type="dxa"/>
            <w:vAlign w:val="bottom"/>
            <w:shd w:val="clear" w:color="auto" w:fill="DBEEF4"/>
          </w:tcPr>
          <w:p>
            <w:pPr>
              <w:spacing w:after="0"/>
              <w:rPr>
                <w:sz w:val="10"/>
                <w:szCs w:val="10"/>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22,587</w:t>
            </w:r>
          </w:p>
        </w:tc>
        <w:tc>
          <w:tcPr>
            <w:tcW w:w="720" w:type="dxa"/>
            <w:vAlign w:val="bottom"/>
            <w:gridSpan w:val="3"/>
            <w:shd w:val="clear" w:color="auto" w:fill="DBEEF4"/>
          </w:tcPr>
          <w:p>
            <w:pPr>
              <w:jc w:val="right"/>
              <w:ind w:right="40"/>
              <w:spacing w:after="0"/>
              <w:rPr>
                <w:sz w:val="20"/>
                <w:szCs w:val="20"/>
                <w:color w:val="auto"/>
              </w:rPr>
            </w:pPr>
            <w:r>
              <w:rPr>
                <w:rFonts w:ascii="Arial" w:cs="Arial" w:eastAsia="Arial" w:hAnsi="Arial"/>
                <w:sz w:val="8"/>
                <w:szCs w:val="8"/>
                <w:color w:val="auto"/>
              </w:rPr>
              <w:t>5 %</w:t>
            </w:r>
          </w:p>
        </w:tc>
      </w:tr>
      <w:tr>
        <w:trPr>
          <w:trHeight w:val="120"/>
        </w:trPr>
        <w:tc>
          <w:tcPr>
            <w:tcW w:w="2920" w:type="dxa"/>
            <w:vAlign w:val="bottom"/>
            <w:gridSpan w:val="4"/>
          </w:tcPr>
          <w:p>
            <w:pPr>
              <w:ind w:left="20"/>
              <w:spacing w:after="0"/>
              <w:rPr>
                <w:sz w:val="20"/>
                <w:szCs w:val="20"/>
                <w:color w:val="auto"/>
              </w:rPr>
            </w:pPr>
            <w:r>
              <w:rPr>
                <w:rFonts w:ascii="Arial" w:cs="Arial" w:eastAsia="Arial" w:hAnsi="Arial"/>
                <w:sz w:val="8"/>
                <w:szCs w:val="8"/>
                <w:i w:val="1"/>
                <w:iCs w:val="1"/>
                <w:color w:val="auto"/>
              </w:rPr>
              <w:t>Allredi, LLC (fka Marco Group International OpCo, LLC)</w:t>
            </w:r>
          </w:p>
        </w:tc>
        <w:tc>
          <w:tcPr>
            <w:tcW w:w="2260" w:type="dxa"/>
            <w:vAlign w:val="bottom"/>
          </w:tcPr>
          <w:p>
            <w:pPr>
              <w:ind w:left="800"/>
              <w:spacing w:after="0"/>
              <w:rPr>
                <w:sz w:val="20"/>
                <w:szCs w:val="20"/>
                <w:color w:val="auto"/>
              </w:rPr>
            </w:pPr>
            <w:r>
              <w:rPr>
                <w:rFonts w:ascii="Arial" w:cs="Arial" w:eastAsia="Arial" w:hAnsi="Arial"/>
                <w:sz w:val="8"/>
                <w:szCs w:val="8"/>
                <w:color w:val="auto"/>
              </w:rPr>
              <w:t>Industrial Cleaning &amp; Coatings</w:t>
            </w: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4"/>
        </w:trPr>
        <w:tc>
          <w:tcPr>
            <w:tcW w:w="20" w:type="dxa"/>
            <w:vAlign w:val="bottom"/>
            <w:shd w:val="clear" w:color="auto" w:fill="DBEEF4"/>
          </w:tcPr>
          <w:p>
            <w:pPr>
              <w:spacing w:after="0"/>
              <w:rPr>
                <w:sz w:val="11"/>
                <w:szCs w:val="11"/>
                <w:color w:val="auto"/>
              </w:rPr>
            </w:pPr>
          </w:p>
        </w:tc>
        <w:tc>
          <w:tcPr>
            <w:tcW w:w="2900" w:type="dxa"/>
            <w:vAlign w:val="bottom"/>
            <w:gridSpan w:val="3"/>
            <w:shd w:val="clear" w:color="auto" w:fill="DBEEF4"/>
          </w:tcPr>
          <w:p>
            <w:pPr>
              <w:ind w:left="80"/>
              <w:spacing w:after="0"/>
              <w:rPr>
                <w:sz w:val="20"/>
                <w:szCs w:val="20"/>
                <w:color w:val="auto"/>
              </w:rPr>
            </w:pPr>
            <w:r>
              <w:rPr>
                <w:rFonts w:ascii="Arial" w:cs="Arial" w:eastAsia="Arial" w:hAnsi="Arial"/>
                <w:sz w:val="8"/>
                <w:szCs w:val="8"/>
                <w:color w:val="auto"/>
              </w:rPr>
              <w:t>Second Lien Debt</w:t>
            </w:r>
          </w:p>
        </w:tc>
        <w:tc>
          <w:tcPr>
            <w:tcW w:w="2260" w:type="dxa"/>
            <w:vAlign w:val="bottom"/>
            <w:shd w:val="clear" w:color="auto" w:fill="DBEEF4"/>
          </w:tcPr>
          <w:p>
            <w:pPr>
              <w:spacing w:after="0"/>
              <w:rPr>
                <w:sz w:val="11"/>
                <w:szCs w:val="11"/>
                <w:color w:val="auto"/>
              </w:rPr>
            </w:pPr>
          </w:p>
        </w:tc>
        <w:tc>
          <w:tcPr>
            <w:tcW w:w="1200" w:type="dxa"/>
            <w:vAlign w:val="bottom"/>
            <w:shd w:val="clear" w:color="auto" w:fill="DBEEF4"/>
          </w:tcPr>
          <w:p>
            <w:pPr>
              <w:spacing w:after="0"/>
              <w:rPr>
                <w:sz w:val="11"/>
                <w:szCs w:val="11"/>
                <w:color w:val="auto"/>
              </w:rPr>
            </w:pPr>
          </w:p>
        </w:tc>
        <w:tc>
          <w:tcPr>
            <w:tcW w:w="820" w:type="dxa"/>
            <w:vAlign w:val="bottom"/>
            <w:shd w:val="clear" w:color="auto" w:fill="DBEEF4"/>
          </w:tcPr>
          <w:p>
            <w:pPr>
              <w:ind w:left="180"/>
              <w:spacing w:after="0"/>
              <w:rPr>
                <w:sz w:val="20"/>
                <w:szCs w:val="20"/>
                <w:color w:val="auto"/>
              </w:rPr>
            </w:pPr>
            <w:r>
              <w:rPr>
                <w:rFonts w:ascii="Arial" w:cs="Arial" w:eastAsia="Arial" w:hAnsi="Arial"/>
                <w:sz w:val="8"/>
                <w:szCs w:val="8"/>
                <w:color w:val="auto"/>
              </w:rPr>
              <w:t>10.50%/1.75%</w:t>
            </w:r>
          </w:p>
        </w:tc>
        <w:tc>
          <w:tcPr>
            <w:tcW w:w="640" w:type="dxa"/>
            <w:vAlign w:val="bottom"/>
            <w:shd w:val="clear" w:color="auto" w:fill="DBEEF4"/>
          </w:tcPr>
          <w:p>
            <w:pPr>
              <w:ind w:left="120"/>
              <w:spacing w:after="0"/>
              <w:rPr>
                <w:sz w:val="20"/>
                <w:szCs w:val="20"/>
                <w:color w:val="auto"/>
              </w:rPr>
            </w:pPr>
            <w:r>
              <w:rPr>
                <w:rFonts w:ascii="Arial" w:cs="Arial" w:eastAsia="Arial" w:hAnsi="Arial"/>
                <w:sz w:val="8"/>
                <w:szCs w:val="8"/>
                <w:color w:val="auto"/>
              </w:rPr>
              <w:t>3/2/2020</w:t>
            </w:r>
          </w:p>
        </w:tc>
        <w:tc>
          <w:tcPr>
            <w:tcW w:w="580" w:type="dxa"/>
            <w:vAlign w:val="bottom"/>
            <w:shd w:val="clear" w:color="auto" w:fill="DBEEF4"/>
          </w:tcPr>
          <w:p>
            <w:pPr>
              <w:ind w:left="120"/>
              <w:spacing w:after="0"/>
              <w:rPr>
                <w:sz w:val="20"/>
                <w:szCs w:val="20"/>
                <w:color w:val="auto"/>
              </w:rPr>
            </w:pPr>
            <w:r>
              <w:rPr>
                <w:rFonts w:ascii="Arial" w:cs="Arial" w:eastAsia="Arial" w:hAnsi="Arial"/>
                <w:sz w:val="8"/>
                <w:szCs w:val="8"/>
                <w:color w:val="auto"/>
              </w:rPr>
              <w:t>9/2/2026</w:t>
            </w:r>
          </w:p>
        </w:tc>
        <w:tc>
          <w:tcPr>
            <w:tcW w:w="160" w:type="dxa"/>
            <w:vAlign w:val="bottom"/>
            <w:shd w:val="clear" w:color="auto" w:fill="DBEEF4"/>
          </w:tcPr>
          <w:p>
            <w:pPr>
              <w:spacing w:after="0"/>
              <w:rPr>
                <w:sz w:val="11"/>
                <w:szCs w:val="11"/>
                <w:color w:val="auto"/>
              </w:rPr>
            </w:pPr>
          </w:p>
        </w:tc>
        <w:tc>
          <w:tcPr>
            <w:tcW w:w="460" w:type="dxa"/>
            <w:vAlign w:val="bottom"/>
            <w:shd w:val="clear" w:color="auto" w:fill="DBEEF4"/>
          </w:tcPr>
          <w:p>
            <w:pPr>
              <w:jc w:val="right"/>
              <w:spacing w:after="0"/>
              <w:rPr>
                <w:sz w:val="20"/>
                <w:szCs w:val="20"/>
                <w:color w:val="auto"/>
              </w:rPr>
            </w:pPr>
            <w:r>
              <w:rPr>
                <w:rFonts w:ascii="Arial" w:cs="Arial" w:eastAsia="Arial" w:hAnsi="Arial"/>
                <w:sz w:val="8"/>
                <w:szCs w:val="8"/>
                <w:color w:val="auto"/>
              </w:rPr>
              <w:t>10,080</w:t>
            </w:r>
          </w:p>
        </w:tc>
        <w:tc>
          <w:tcPr>
            <w:tcW w:w="120" w:type="dxa"/>
            <w:vAlign w:val="bottom"/>
            <w:shd w:val="clear" w:color="auto" w:fill="DBEEF4"/>
          </w:tcPr>
          <w:p>
            <w:pPr>
              <w:spacing w:after="0"/>
              <w:rPr>
                <w:sz w:val="11"/>
                <w:szCs w:val="11"/>
                <w:color w:val="auto"/>
              </w:rPr>
            </w:pPr>
          </w:p>
        </w:tc>
        <w:tc>
          <w:tcPr>
            <w:tcW w:w="1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8"/>
                <w:szCs w:val="8"/>
                <w:color w:val="auto"/>
              </w:rPr>
              <w:t>9,993</w:t>
            </w:r>
          </w:p>
        </w:tc>
        <w:tc>
          <w:tcPr>
            <w:tcW w:w="200" w:type="dxa"/>
            <w:vAlign w:val="bottom"/>
            <w:shd w:val="clear" w:color="auto" w:fill="DBEEF4"/>
          </w:tcPr>
          <w:p>
            <w:pPr>
              <w:spacing w:after="0"/>
              <w:rPr>
                <w:sz w:val="11"/>
                <w:szCs w:val="11"/>
                <w:color w:val="auto"/>
              </w:rPr>
            </w:pPr>
          </w:p>
        </w:tc>
        <w:tc>
          <w:tcPr>
            <w:tcW w:w="60" w:type="dxa"/>
            <w:vAlign w:val="bottom"/>
            <w:shd w:val="clear" w:color="auto" w:fill="DBEEF4"/>
          </w:tcPr>
          <w:p>
            <w:pPr>
              <w:spacing w:after="0"/>
              <w:rPr>
                <w:sz w:val="11"/>
                <w:szCs w:val="11"/>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7,761</w:t>
            </w:r>
          </w:p>
        </w:tc>
        <w:tc>
          <w:tcPr>
            <w:tcW w:w="40" w:type="dxa"/>
            <w:vAlign w:val="bottom"/>
            <w:shd w:val="clear" w:color="auto" w:fill="DBEEF4"/>
          </w:tcPr>
          <w:p>
            <w:pPr>
              <w:spacing w:after="0"/>
              <w:rPr>
                <w:sz w:val="11"/>
                <w:szCs w:val="11"/>
                <w:color w:val="auto"/>
              </w:rPr>
            </w:pPr>
          </w:p>
        </w:tc>
        <w:tc>
          <w:tcPr>
            <w:tcW w:w="5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r>
      <w:tr>
        <w:trPr>
          <w:trHeight w:val="126"/>
        </w:trPr>
        <w:tc>
          <w:tcPr>
            <w:tcW w:w="20" w:type="dxa"/>
            <w:vAlign w:val="bottom"/>
          </w:tcPr>
          <w:p>
            <w:pPr>
              <w:spacing w:after="0"/>
              <w:rPr>
                <w:sz w:val="10"/>
                <w:szCs w:val="10"/>
                <w:color w:val="auto"/>
              </w:rPr>
            </w:pPr>
          </w:p>
        </w:tc>
        <w:tc>
          <w:tcPr>
            <w:tcW w:w="2900" w:type="dxa"/>
            <w:vAlign w:val="bottom"/>
            <w:gridSpan w:val="3"/>
          </w:tcPr>
          <w:p>
            <w:pPr>
              <w:ind w:left="80"/>
              <w:spacing w:after="0"/>
              <w:rPr>
                <w:sz w:val="20"/>
                <w:szCs w:val="20"/>
                <w:color w:val="auto"/>
              </w:rPr>
            </w:pPr>
            <w:r>
              <w:rPr>
                <w:rFonts w:ascii="Arial" w:cs="Arial" w:eastAsia="Arial" w:hAnsi="Arial"/>
                <w:sz w:val="8"/>
                <w:szCs w:val="8"/>
                <w:color w:val="auto"/>
              </w:rPr>
              <w:t>Common Equity (570,636 units) (h)(j)</w:t>
            </w:r>
          </w:p>
        </w:tc>
        <w:tc>
          <w:tcPr>
            <w:tcW w:w="2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8"/>
                <w:szCs w:val="8"/>
                <w:color w:val="auto"/>
              </w:rPr>
              <w:t>7/21/2017</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637</w:t>
            </w:r>
          </w:p>
        </w:tc>
        <w:tc>
          <w:tcPr>
            <w:tcW w:w="2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275</w:t>
            </w: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0"/>
        </w:trPr>
        <w:tc>
          <w:tcPr>
            <w:tcW w:w="20" w:type="dxa"/>
            <w:vAlign w:val="bottom"/>
            <w:shd w:val="clear" w:color="auto" w:fill="DBEEF4"/>
          </w:tcPr>
          <w:p>
            <w:pPr>
              <w:spacing w:after="0"/>
              <w:rPr>
                <w:sz w:val="10"/>
                <w:szCs w:val="10"/>
                <w:color w:val="auto"/>
              </w:rPr>
            </w:pPr>
          </w:p>
        </w:tc>
        <w:tc>
          <w:tcPr>
            <w:tcW w:w="840" w:type="dxa"/>
            <w:vAlign w:val="bottom"/>
            <w:shd w:val="clear" w:color="auto" w:fill="DBEEF4"/>
          </w:tcPr>
          <w:p>
            <w:pPr>
              <w:spacing w:after="0"/>
              <w:rPr>
                <w:sz w:val="10"/>
                <w:szCs w:val="10"/>
                <w:color w:val="auto"/>
              </w:rPr>
            </w:pPr>
          </w:p>
        </w:tc>
        <w:tc>
          <w:tcPr>
            <w:tcW w:w="520" w:type="dxa"/>
            <w:vAlign w:val="bottom"/>
            <w:shd w:val="clear" w:color="auto" w:fill="DBEEF4"/>
          </w:tcPr>
          <w:p>
            <w:pPr>
              <w:spacing w:after="0"/>
              <w:rPr>
                <w:sz w:val="10"/>
                <w:szCs w:val="10"/>
                <w:color w:val="auto"/>
              </w:rPr>
            </w:pPr>
          </w:p>
        </w:tc>
        <w:tc>
          <w:tcPr>
            <w:tcW w:w="1540" w:type="dxa"/>
            <w:vAlign w:val="bottom"/>
            <w:shd w:val="clear" w:color="auto" w:fill="DBEEF4"/>
          </w:tcPr>
          <w:p>
            <w:pPr>
              <w:spacing w:after="0"/>
              <w:rPr>
                <w:sz w:val="10"/>
                <w:szCs w:val="10"/>
                <w:color w:val="auto"/>
              </w:rPr>
            </w:pPr>
          </w:p>
        </w:tc>
        <w:tc>
          <w:tcPr>
            <w:tcW w:w="2260" w:type="dxa"/>
            <w:vAlign w:val="bottom"/>
            <w:shd w:val="clear" w:color="auto" w:fill="DBEEF4"/>
          </w:tcPr>
          <w:p>
            <w:pPr>
              <w:spacing w:after="0"/>
              <w:rPr>
                <w:sz w:val="10"/>
                <w:szCs w:val="10"/>
                <w:color w:val="auto"/>
              </w:rPr>
            </w:pPr>
          </w:p>
        </w:tc>
        <w:tc>
          <w:tcPr>
            <w:tcW w:w="1200" w:type="dxa"/>
            <w:vAlign w:val="bottom"/>
            <w:shd w:val="clear" w:color="auto" w:fill="DBEEF4"/>
          </w:tcPr>
          <w:p>
            <w:pPr>
              <w:spacing w:after="0"/>
              <w:rPr>
                <w:sz w:val="10"/>
                <w:szCs w:val="10"/>
                <w:color w:val="auto"/>
              </w:rPr>
            </w:pPr>
          </w:p>
        </w:tc>
        <w:tc>
          <w:tcPr>
            <w:tcW w:w="820" w:type="dxa"/>
            <w:vAlign w:val="bottom"/>
            <w:shd w:val="clear" w:color="auto" w:fill="DBEEF4"/>
          </w:tcPr>
          <w:p>
            <w:pPr>
              <w:spacing w:after="0"/>
              <w:rPr>
                <w:sz w:val="10"/>
                <w:szCs w:val="10"/>
                <w:color w:val="auto"/>
              </w:rPr>
            </w:pPr>
          </w:p>
        </w:tc>
        <w:tc>
          <w:tcPr>
            <w:tcW w:w="640" w:type="dxa"/>
            <w:vAlign w:val="bottom"/>
            <w:shd w:val="clear" w:color="auto" w:fill="DBEEF4"/>
          </w:tcPr>
          <w:p>
            <w:pPr>
              <w:spacing w:after="0"/>
              <w:rPr>
                <w:sz w:val="10"/>
                <w:szCs w:val="10"/>
                <w:color w:val="auto"/>
              </w:rPr>
            </w:pPr>
          </w:p>
        </w:tc>
        <w:tc>
          <w:tcPr>
            <w:tcW w:w="580" w:type="dxa"/>
            <w:vAlign w:val="bottom"/>
            <w:shd w:val="clear" w:color="auto" w:fill="DBEEF4"/>
          </w:tcPr>
          <w:p>
            <w:pPr>
              <w:spacing w:after="0"/>
              <w:rPr>
                <w:sz w:val="10"/>
                <w:szCs w:val="10"/>
                <w:color w:val="auto"/>
              </w:rPr>
            </w:pPr>
          </w:p>
        </w:tc>
        <w:tc>
          <w:tcPr>
            <w:tcW w:w="160" w:type="dxa"/>
            <w:vAlign w:val="bottom"/>
            <w:shd w:val="clear" w:color="auto" w:fill="DBEEF4"/>
          </w:tcPr>
          <w:p>
            <w:pPr>
              <w:spacing w:after="0"/>
              <w:rPr>
                <w:sz w:val="10"/>
                <w:szCs w:val="10"/>
                <w:color w:val="auto"/>
              </w:rPr>
            </w:pPr>
          </w:p>
        </w:tc>
        <w:tc>
          <w:tcPr>
            <w:tcW w:w="460" w:type="dxa"/>
            <w:vAlign w:val="bottom"/>
            <w:shd w:val="clear" w:color="auto" w:fill="DBEEF4"/>
          </w:tcPr>
          <w:p>
            <w:pPr>
              <w:spacing w:after="0"/>
              <w:rPr>
                <w:sz w:val="10"/>
                <w:szCs w:val="10"/>
                <w:color w:val="auto"/>
              </w:rPr>
            </w:pPr>
          </w:p>
        </w:tc>
        <w:tc>
          <w:tcPr>
            <w:tcW w:w="120" w:type="dxa"/>
            <w:vAlign w:val="bottom"/>
            <w:shd w:val="clear" w:color="auto" w:fill="DBEEF4"/>
          </w:tcPr>
          <w:p>
            <w:pPr>
              <w:spacing w:after="0"/>
              <w:rPr>
                <w:sz w:val="10"/>
                <w:szCs w:val="10"/>
                <w:color w:val="auto"/>
              </w:rPr>
            </w:pPr>
          </w:p>
        </w:tc>
        <w:tc>
          <w:tcPr>
            <w:tcW w:w="100" w:type="dxa"/>
            <w:vAlign w:val="bottom"/>
            <w:shd w:val="clear" w:color="auto" w:fill="DBEEF4"/>
          </w:tcPr>
          <w:p>
            <w:pPr>
              <w:spacing w:after="0"/>
              <w:rPr>
                <w:sz w:val="10"/>
                <w:szCs w:val="10"/>
                <w:color w:val="auto"/>
              </w:rPr>
            </w:pPr>
          </w:p>
        </w:tc>
        <w:tc>
          <w:tcPr>
            <w:tcW w:w="140" w:type="dxa"/>
            <w:vAlign w:val="bottom"/>
            <w:shd w:val="clear" w:color="auto" w:fill="DBEEF4"/>
          </w:tcPr>
          <w:p>
            <w:pPr>
              <w:spacing w:after="0"/>
              <w:rPr>
                <w:sz w:val="10"/>
                <w:szCs w:val="10"/>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8"/>
                <w:szCs w:val="8"/>
                <w:color w:val="auto"/>
              </w:rPr>
              <w:t>10,630</w:t>
            </w:r>
          </w:p>
        </w:tc>
        <w:tc>
          <w:tcPr>
            <w:tcW w:w="200" w:type="dxa"/>
            <w:vAlign w:val="bottom"/>
            <w:shd w:val="clear" w:color="auto" w:fill="DBEEF4"/>
          </w:tcPr>
          <w:p>
            <w:pPr>
              <w:spacing w:after="0"/>
              <w:rPr>
                <w:sz w:val="10"/>
                <w:szCs w:val="10"/>
                <w:color w:val="auto"/>
              </w:rPr>
            </w:pPr>
          </w:p>
        </w:tc>
        <w:tc>
          <w:tcPr>
            <w:tcW w:w="60" w:type="dxa"/>
            <w:vAlign w:val="bottom"/>
            <w:shd w:val="clear" w:color="auto" w:fill="DBEEF4"/>
          </w:tcPr>
          <w:p>
            <w:pPr>
              <w:spacing w:after="0"/>
              <w:rPr>
                <w:sz w:val="10"/>
                <w:szCs w:val="10"/>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8,036</w:t>
            </w:r>
          </w:p>
        </w:tc>
        <w:tc>
          <w:tcPr>
            <w:tcW w:w="720" w:type="dxa"/>
            <w:vAlign w:val="bottom"/>
            <w:gridSpan w:val="3"/>
            <w:shd w:val="clear" w:color="auto" w:fill="DBEEF4"/>
          </w:tcPr>
          <w:p>
            <w:pPr>
              <w:jc w:val="right"/>
              <w:ind w:right="40"/>
              <w:spacing w:after="0"/>
              <w:rPr>
                <w:sz w:val="20"/>
                <w:szCs w:val="20"/>
                <w:color w:val="auto"/>
              </w:rPr>
            </w:pPr>
            <w:r>
              <w:rPr>
                <w:rFonts w:ascii="Arial" w:cs="Arial" w:eastAsia="Arial" w:hAnsi="Arial"/>
                <w:sz w:val="8"/>
                <w:szCs w:val="8"/>
                <w:color w:val="auto"/>
              </w:rPr>
              <w:t>2 %</w:t>
            </w:r>
          </w:p>
        </w:tc>
      </w:tr>
      <w:tr>
        <w:trPr>
          <w:trHeight w:val="120"/>
        </w:trPr>
        <w:tc>
          <w:tcPr>
            <w:tcW w:w="2920" w:type="dxa"/>
            <w:vAlign w:val="bottom"/>
            <w:gridSpan w:val="4"/>
          </w:tcPr>
          <w:p>
            <w:pPr>
              <w:ind w:left="20"/>
              <w:spacing w:after="0"/>
              <w:rPr>
                <w:sz w:val="20"/>
                <w:szCs w:val="20"/>
                <w:color w:val="auto"/>
              </w:rPr>
            </w:pPr>
            <w:r>
              <w:rPr>
                <w:rFonts w:ascii="Arial" w:cs="Arial" w:eastAsia="Arial" w:hAnsi="Arial"/>
                <w:sz w:val="8"/>
                <w:szCs w:val="8"/>
                <w:i w:val="1"/>
                <w:iCs w:val="1"/>
                <w:color w:val="auto"/>
              </w:rPr>
              <w:t>Alzheimer's Research and Treatment Center, LLC</w:t>
            </w:r>
          </w:p>
        </w:tc>
        <w:tc>
          <w:tcPr>
            <w:tcW w:w="2260" w:type="dxa"/>
            <w:vAlign w:val="bottom"/>
          </w:tcPr>
          <w:p>
            <w:pPr>
              <w:ind w:left="800"/>
              <w:spacing w:after="0"/>
              <w:rPr>
                <w:sz w:val="20"/>
                <w:szCs w:val="20"/>
                <w:color w:val="auto"/>
              </w:rPr>
            </w:pPr>
            <w:r>
              <w:rPr>
                <w:rFonts w:ascii="Arial" w:cs="Arial" w:eastAsia="Arial" w:hAnsi="Arial"/>
                <w:sz w:val="8"/>
                <w:szCs w:val="8"/>
                <w:color w:val="auto"/>
              </w:rPr>
              <w:t>Healthcare Services</w:t>
            </w: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4"/>
        </w:trPr>
        <w:tc>
          <w:tcPr>
            <w:tcW w:w="20" w:type="dxa"/>
            <w:vAlign w:val="bottom"/>
            <w:shd w:val="clear" w:color="auto" w:fill="DBEEF4"/>
          </w:tcPr>
          <w:p>
            <w:pPr>
              <w:spacing w:after="0"/>
              <w:rPr>
                <w:sz w:val="11"/>
                <w:szCs w:val="11"/>
                <w:color w:val="auto"/>
              </w:rPr>
            </w:pPr>
          </w:p>
        </w:tc>
        <w:tc>
          <w:tcPr>
            <w:tcW w:w="2900" w:type="dxa"/>
            <w:vAlign w:val="bottom"/>
            <w:gridSpan w:val="3"/>
            <w:shd w:val="clear" w:color="auto" w:fill="DBEEF4"/>
          </w:tcPr>
          <w:p>
            <w:pPr>
              <w:ind w:left="80"/>
              <w:spacing w:after="0"/>
              <w:rPr>
                <w:sz w:val="20"/>
                <w:szCs w:val="20"/>
                <w:color w:val="auto"/>
              </w:rPr>
            </w:pPr>
            <w:r>
              <w:rPr>
                <w:rFonts w:ascii="Arial" w:cs="Arial" w:eastAsia="Arial" w:hAnsi="Arial"/>
                <w:sz w:val="8"/>
                <w:szCs w:val="8"/>
                <w:color w:val="auto"/>
              </w:rPr>
              <w:t>First Lien Debt (j)(w)</w:t>
            </w:r>
          </w:p>
        </w:tc>
        <w:tc>
          <w:tcPr>
            <w:tcW w:w="2260" w:type="dxa"/>
            <w:vAlign w:val="bottom"/>
            <w:shd w:val="clear" w:color="auto" w:fill="DBEEF4"/>
          </w:tcPr>
          <w:p>
            <w:pPr>
              <w:spacing w:after="0"/>
              <w:rPr>
                <w:sz w:val="11"/>
                <w:szCs w:val="11"/>
                <w:color w:val="auto"/>
              </w:rPr>
            </w:pPr>
          </w:p>
        </w:tc>
        <w:tc>
          <w:tcPr>
            <w:tcW w:w="1200" w:type="dxa"/>
            <w:vAlign w:val="bottom"/>
            <w:shd w:val="clear" w:color="auto" w:fill="DBEEF4"/>
          </w:tcPr>
          <w:p>
            <w:pPr>
              <w:ind w:left="200"/>
              <w:spacing w:after="0"/>
              <w:rPr>
                <w:sz w:val="20"/>
                <w:szCs w:val="20"/>
                <w:color w:val="auto"/>
              </w:rPr>
            </w:pPr>
            <w:r>
              <w:rPr>
                <w:rFonts w:ascii="Arial" w:cs="Arial" w:eastAsia="Arial" w:hAnsi="Arial"/>
                <w:sz w:val="8"/>
                <w:szCs w:val="8"/>
                <w:color w:val="auto"/>
              </w:rPr>
              <w:t>(L + 5.75%) / (2.00%)</w:t>
            </w:r>
          </w:p>
        </w:tc>
        <w:tc>
          <w:tcPr>
            <w:tcW w:w="820" w:type="dxa"/>
            <w:vAlign w:val="bottom"/>
            <w:shd w:val="clear" w:color="auto" w:fill="DBEEF4"/>
          </w:tcPr>
          <w:p>
            <w:pPr>
              <w:ind w:left="180"/>
              <w:spacing w:after="0"/>
              <w:rPr>
                <w:sz w:val="20"/>
                <w:szCs w:val="20"/>
                <w:color w:val="auto"/>
              </w:rPr>
            </w:pPr>
            <w:r>
              <w:rPr>
                <w:rFonts w:ascii="Arial" w:cs="Arial" w:eastAsia="Arial" w:hAnsi="Arial"/>
                <w:sz w:val="8"/>
                <w:szCs w:val="8"/>
                <w:color w:val="auto"/>
              </w:rPr>
              <w:t>7.75%/0.00%</w:t>
            </w:r>
          </w:p>
        </w:tc>
        <w:tc>
          <w:tcPr>
            <w:tcW w:w="640" w:type="dxa"/>
            <w:vAlign w:val="bottom"/>
            <w:shd w:val="clear" w:color="auto" w:fill="DBEEF4"/>
          </w:tcPr>
          <w:p>
            <w:pPr>
              <w:ind w:left="120"/>
              <w:spacing w:after="0"/>
              <w:rPr>
                <w:sz w:val="20"/>
                <w:szCs w:val="20"/>
                <w:color w:val="auto"/>
              </w:rPr>
            </w:pPr>
            <w:r>
              <w:rPr>
                <w:rFonts w:ascii="Arial" w:cs="Arial" w:eastAsia="Arial" w:hAnsi="Arial"/>
                <w:sz w:val="8"/>
                <w:szCs w:val="8"/>
                <w:color w:val="auto"/>
              </w:rPr>
              <w:t>10/23/2018</w:t>
            </w:r>
          </w:p>
        </w:tc>
        <w:tc>
          <w:tcPr>
            <w:tcW w:w="580" w:type="dxa"/>
            <w:vAlign w:val="bottom"/>
            <w:shd w:val="clear" w:color="auto" w:fill="DBEEF4"/>
          </w:tcPr>
          <w:p>
            <w:pPr>
              <w:ind w:left="120"/>
              <w:spacing w:after="0"/>
              <w:rPr>
                <w:sz w:val="20"/>
                <w:szCs w:val="20"/>
                <w:color w:val="auto"/>
              </w:rPr>
            </w:pPr>
            <w:r>
              <w:rPr>
                <w:rFonts w:ascii="Arial" w:cs="Arial" w:eastAsia="Arial" w:hAnsi="Arial"/>
                <w:sz w:val="8"/>
                <w:szCs w:val="8"/>
                <w:color w:val="auto"/>
              </w:rPr>
              <w:t>10/23/2023</w:t>
            </w:r>
          </w:p>
        </w:tc>
        <w:tc>
          <w:tcPr>
            <w:tcW w:w="160" w:type="dxa"/>
            <w:vAlign w:val="bottom"/>
            <w:shd w:val="clear" w:color="auto" w:fill="DBEEF4"/>
          </w:tcPr>
          <w:p>
            <w:pPr>
              <w:spacing w:after="0"/>
              <w:rPr>
                <w:sz w:val="11"/>
                <w:szCs w:val="11"/>
                <w:color w:val="auto"/>
              </w:rPr>
            </w:pPr>
          </w:p>
        </w:tc>
        <w:tc>
          <w:tcPr>
            <w:tcW w:w="460" w:type="dxa"/>
            <w:vAlign w:val="bottom"/>
            <w:shd w:val="clear" w:color="auto" w:fill="DBEEF4"/>
          </w:tcPr>
          <w:p>
            <w:pPr>
              <w:jc w:val="right"/>
              <w:spacing w:after="0"/>
              <w:rPr>
                <w:sz w:val="20"/>
                <w:szCs w:val="20"/>
                <w:color w:val="auto"/>
              </w:rPr>
            </w:pPr>
            <w:r>
              <w:rPr>
                <w:rFonts w:ascii="Arial" w:cs="Arial" w:eastAsia="Arial" w:hAnsi="Arial"/>
                <w:sz w:val="8"/>
                <w:szCs w:val="8"/>
                <w:color w:val="auto"/>
              </w:rPr>
              <w:t>6,500</w:t>
            </w:r>
          </w:p>
        </w:tc>
        <w:tc>
          <w:tcPr>
            <w:tcW w:w="120" w:type="dxa"/>
            <w:vAlign w:val="bottom"/>
            <w:shd w:val="clear" w:color="auto" w:fill="DBEEF4"/>
          </w:tcPr>
          <w:p>
            <w:pPr>
              <w:spacing w:after="0"/>
              <w:rPr>
                <w:sz w:val="11"/>
                <w:szCs w:val="11"/>
                <w:color w:val="auto"/>
              </w:rPr>
            </w:pPr>
          </w:p>
        </w:tc>
        <w:tc>
          <w:tcPr>
            <w:tcW w:w="1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8"/>
                <w:szCs w:val="8"/>
                <w:color w:val="auto"/>
              </w:rPr>
              <w:t>6,471</w:t>
            </w:r>
          </w:p>
        </w:tc>
        <w:tc>
          <w:tcPr>
            <w:tcW w:w="200" w:type="dxa"/>
            <w:vAlign w:val="bottom"/>
            <w:shd w:val="clear" w:color="auto" w:fill="DBEEF4"/>
          </w:tcPr>
          <w:p>
            <w:pPr>
              <w:spacing w:after="0"/>
              <w:rPr>
                <w:sz w:val="11"/>
                <w:szCs w:val="11"/>
                <w:color w:val="auto"/>
              </w:rPr>
            </w:pPr>
          </w:p>
        </w:tc>
        <w:tc>
          <w:tcPr>
            <w:tcW w:w="60" w:type="dxa"/>
            <w:vAlign w:val="bottom"/>
            <w:shd w:val="clear" w:color="auto" w:fill="DBEEF4"/>
          </w:tcPr>
          <w:p>
            <w:pPr>
              <w:spacing w:after="0"/>
              <w:rPr>
                <w:sz w:val="11"/>
                <w:szCs w:val="11"/>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6,584</w:t>
            </w:r>
          </w:p>
        </w:tc>
        <w:tc>
          <w:tcPr>
            <w:tcW w:w="40" w:type="dxa"/>
            <w:vAlign w:val="bottom"/>
            <w:shd w:val="clear" w:color="auto" w:fill="DBEEF4"/>
          </w:tcPr>
          <w:p>
            <w:pPr>
              <w:spacing w:after="0"/>
              <w:rPr>
                <w:sz w:val="11"/>
                <w:szCs w:val="11"/>
                <w:color w:val="auto"/>
              </w:rPr>
            </w:pPr>
          </w:p>
        </w:tc>
        <w:tc>
          <w:tcPr>
            <w:tcW w:w="5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r>
      <w:tr>
        <w:trPr>
          <w:trHeight w:val="126"/>
        </w:trPr>
        <w:tc>
          <w:tcPr>
            <w:tcW w:w="20" w:type="dxa"/>
            <w:vAlign w:val="bottom"/>
          </w:tcPr>
          <w:p>
            <w:pPr>
              <w:spacing w:after="0"/>
              <w:rPr>
                <w:sz w:val="10"/>
                <w:szCs w:val="10"/>
                <w:color w:val="auto"/>
              </w:rPr>
            </w:pPr>
          </w:p>
        </w:tc>
        <w:tc>
          <w:tcPr>
            <w:tcW w:w="2900" w:type="dxa"/>
            <w:vAlign w:val="bottom"/>
            <w:gridSpan w:val="3"/>
          </w:tcPr>
          <w:p>
            <w:pPr>
              <w:ind w:left="80"/>
              <w:spacing w:after="0"/>
              <w:rPr>
                <w:sz w:val="20"/>
                <w:szCs w:val="20"/>
                <w:color w:val="auto"/>
              </w:rPr>
            </w:pPr>
            <w:r>
              <w:rPr>
                <w:rFonts w:ascii="Arial" w:cs="Arial" w:eastAsia="Arial" w:hAnsi="Arial"/>
                <w:sz w:val="8"/>
                <w:szCs w:val="8"/>
                <w:color w:val="auto"/>
              </w:rPr>
              <w:t>Common Equity (500 units) (h)(j)</w:t>
            </w:r>
          </w:p>
        </w:tc>
        <w:tc>
          <w:tcPr>
            <w:tcW w:w="2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8"/>
                <w:szCs w:val="8"/>
                <w:color w:val="auto"/>
              </w:rPr>
              <w:t>10/23/2018</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500</w:t>
            </w:r>
          </w:p>
        </w:tc>
        <w:tc>
          <w:tcPr>
            <w:tcW w:w="2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766</w:t>
            </w: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0"/>
        </w:trPr>
        <w:tc>
          <w:tcPr>
            <w:tcW w:w="20" w:type="dxa"/>
            <w:vAlign w:val="bottom"/>
            <w:shd w:val="clear" w:color="auto" w:fill="DBEEF4"/>
          </w:tcPr>
          <w:p>
            <w:pPr>
              <w:spacing w:after="0"/>
              <w:rPr>
                <w:sz w:val="10"/>
                <w:szCs w:val="10"/>
                <w:color w:val="auto"/>
              </w:rPr>
            </w:pPr>
          </w:p>
        </w:tc>
        <w:tc>
          <w:tcPr>
            <w:tcW w:w="840" w:type="dxa"/>
            <w:vAlign w:val="bottom"/>
            <w:shd w:val="clear" w:color="auto" w:fill="DBEEF4"/>
          </w:tcPr>
          <w:p>
            <w:pPr>
              <w:spacing w:after="0"/>
              <w:rPr>
                <w:sz w:val="10"/>
                <w:szCs w:val="10"/>
                <w:color w:val="auto"/>
              </w:rPr>
            </w:pPr>
          </w:p>
        </w:tc>
        <w:tc>
          <w:tcPr>
            <w:tcW w:w="520" w:type="dxa"/>
            <w:vAlign w:val="bottom"/>
            <w:shd w:val="clear" w:color="auto" w:fill="DBEEF4"/>
          </w:tcPr>
          <w:p>
            <w:pPr>
              <w:spacing w:after="0"/>
              <w:rPr>
                <w:sz w:val="10"/>
                <w:szCs w:val="10"/>
                <w:color w:val="auto"/>
              </w:rPr>
            </w:pPr>
          </w:p>
        </w:tc>
        <w:tc>
          <w:tcPr>
            <w:tcW w:w="1540" w:type="dxa"/>
            <w:vAlign w:val="bottom"/>
            <w:shd w:val="clear" w:color="auto" w:fill="DBEEF4"/>
          </w:tcPr>
          <w:p>
            <w:pPr>
              <w:spacing w:after="0"/>
              <w:rPr>
                <w:sz w:val="10"/>
                <w:szCs w:val="10"/>
                <w:color w:val="auto"/>
              </w:rPr>
            </w:pPr>
          </w:p>
        </w:tc>
        <w:tc>
          <w:tcPr>
            <w:tcW w:w="2260" w:type="dxa"/>
            <w:vAlign w:val="bottom"/>
            <w:shd w:val="clear" w:color="auto" w:fill="DBEEF4"/>
          </w:tcPr>
          <w:p>
            <w:pPr>
              <w:spacing w:after="0"/>
              <w:rPr>
                <w:sz w:val="10"/>
                <w:szCs w:val="10"/>
                <w:color w:val="auto"/>
              </w:rPr>
            </w:pPr>
          </w:p>
        </w:tc>
        <w:tc>
          <w:tcPr>
            <w:tcW w:w="1200" w:type="dxa"/>
            <w:vAlign w:val="bottom"/>
            <w:shd w:val="clear" w:color="auto" w:fill="DBEEF4"/>
          </w:tcPr>
          <w:p>
            <w:pPr>
              <w:spacing w:after="0"/>
              <w:rPr>
                <w:sz w:val="10"/>
                <w:szCs w:val="10"/>
                <w:color w:val="auto"/>
              </w:rPr>
            </w:pPr>
          </w:p>
        </w:tc>
        <w:tc>
          <w:tcPr>
            <w:tcW w:w="820" w:type="dxa"/>
            <w:vAlign w:val="bottom"/>
            <w:shd w:val="clear" w:color="auto" w:fill="DBEEF4"/>
          </w:tcPr>
          <w:p>
            <w:pPr>
              <w:spacing w:after="0"/>
              <w:rPr>
                <w:sz w:val="10"/>
                <w:szCs w:val="10"/>
                <w:color w:val="auto"/>
              </w:rPr>
            </w:pPr>
          </w:p>
        </w:tc>
        <w:tc>
          <w:tcPr>
            <w:tcW w:w="640" w:type="dxa"/>
            <w:vAlign w:val="bottom"/>
            <w:shd w:val="clear" w:color="auto" w:fill="DBEEF4"/>
          </w:tcPr>
          <w:p>
            <w:pPr>
              <w:spacing w:after="0"/>
              <w:rPr>
                <w:sz w:val="10"/>
                <w:szCs w:val="10"/>
                <w:color w:val="auto"/>
              </w:rPr>
            </w:pPr>
          </w:p>
        </w:tc>
        <w:tc>
          <w:tcPr>
            <w:tcW w:w="580" w:type="dxa"/>
            <w:vAlign w:val="bottom"/>
            <w:shd w:val="clear" w:color="auto" w:fill="DBEEF4"/>
          </w:tcPr>
          <w:p>
            <w:pPr>
              <w:spacing w:after="0"/>
              <w:rPr>
                <w:sz w:val="10"/>
                <w:szCs w:val="10"/>
                <w:color w:val="auto"/>
              </w:rPr>
            </w:pPr>
          </w:p>
        </w:tc>
        <w:tc>
          <w:tcPr>
            <w:tcW w:w="160" w:type="dxa"/>
            <w:vAlign w:val="bottom"/>
            <w:shd w:val="clear" w:color="auto" w:fill="DBEEF4"/>
          </w:tcPr>
          <w:p>
            <w:pPr>
              <w:spacing w:after="0"/>
              <w:rPr>
                <w:sz w:val="10"/>
                <w:szCs w:val="10"/>
                <w:color w:val="auto"/>
              </w:rPr>
            </w:pPr>
          </w:p>
        </w:tc>
        <w:tc>
          <w:tcPr>
            <w:tcW w:w="460" w:type="dxa"/>
            <w:vAlign w:val="bottom"/>
            <w:shd w:val="clear" w:color="auto" w:fill="DBEEF4"/>
          </w:tcPr>
          <w:p>
            <w:pPr>
              <w:spacing w:after="0"/>
              <w:rPr>
                <w:sz w:val="10"/>
                <w:szCs w:val="10"/>
                <w:color w:val="auto"/>
              </w:rPr>
            </w:pPr>
          </w:p>
        </w:tc>
        <w:tc>
          <w:tcPr>
            <w:tcW w:w="120" w:type="dxa"/>
            <w:vAlign w:val="bottom"/>
            <w:shd w:val="clear" w:color="auto" w:fill="DBEEF4"/>
          </w:tcPr>
          <w:p>
            <w:pPr>
              <w:spacing w:after="0"/>
              <w:rPr>
                <w:sz w:val="10"/>
                <w:szCs w:val="10"/>
                <w:color w:val="auto"/>
              </w:rPr>
            </w:pPr>
          </w:p>
        </w:tc>
        <w:tc>
          <w:tcPr>
            <w:tcW w:w="100" w:type="dxa"/>
            <w:vAlign w:val="bottom"/>
            <w:shd w:val="clear" w:color="auto" w:fill="DBEEF4"/>
          </w:tcPr>
          <w:p>
            <w:pPr>
              <w:spacing w:after="0"/>
              <w:rPr>
                <w:sz w:val="10"/>
                <w:szCs w:val="10"/>
                <w:color w:val="auto"/>
              </w:rPr>
            </w:pPr>
          </w:p>
        </w:tc>
        <w:tc>
          <w:tcPr>
            <w:tcW w:w="140" w:type="dxa"/>
            <w:vAlign w:val="bottom"/>
            <w:shd w:val="clear" w:color="auto" w:fill="DBEEF4"/>
          </w:tcPr>
          <w:p>
            <w:pPr>
              <w:spacing w:after="0"/>
              <w:rPr>
                <w:sz w:val="10"/>
                <w:szCs w:val="10"/>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8"/>
                <w:szCs w:val="8"/>
                <w:color w:val="auto"/>
              </w:rPr>
              <w:t>6,971</w:t>
            </w:r>
          </w:p>
        </w:tc>
        <w:tc>
          <w:tcPr>
            <w:tcW w:w="200" w:type="dxa"/>
            <w:vAlign w:val="bottom"/>
            <w:shd w:val="clear" w:color="auto" w:fill="DBEEF4"/>
          </w:tcPr>
          <w:p>
            <w:pPr>
              <w:spacing w:after="0"/>
              <w:rPr>
                <w:sz w:val="10"/>
                <w:szCs w:val="10"/>
                <w:color w:val="auto"/>
              </w:rPr>
            </w:pPr>
          </w:p>
        </w:tc>
        <w:tc>
          <w:tcPr>
            <w:tcW w:w="60" w:type="dxa"/>
            <w:vAlign w:val="bottom"/>
            <w:shd w:val="clear" w:color="auto" w:fill="DBEEF4"/>
          </w:tcPr>
          <w:p>
            <w:pPr>
              <w:spacing w:after="0"/>
              <w:rPr>
                <w:sz w:val="10"/>
                <w:szCs w:val="10"/>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7,350</w:t>
            </w:r>
          </w:p>
        </w:tc>
        <w:tc>
          <w:tcPr>
            <w:tcW w:w="720" w:type="dxa"/>
            <w:vAlign w:val="bottom"/>
            <w:gridSpan w:val="3"/>
            <w:shd w:val="clear" w:color="auto" w:fill="DBEEF4"/>
          </w:tcPr>
          <w:p>
            <w:pPr>
              <w:jc w:val="right"/>
              <w:ind w:right="40"/>
              <w:spacing w:after="0"/>
              <w:rPr>
                <w:sz w:val="20"/>
                <w:szCs w:val="20"/>
                <w:color w:val="auto"/>
              </w:rPr>
            </w:pPr>
            <w:r>
              <w:rPr>
                <w:rFonts w:ascii="Arial" w:cs="Arial" w:eastAsia="Arial" w:hAnsi="Arial"/>
                <w:sz w:val="8"/>
                <w:szCs w:val="8"/>
                <w:color w:val="auto"/>
              </w:rPr>
              <w:t>2 %</w:t>
            </w:r>
          </w:p>
        </w:tc>
      </w:tr>
      <w:tr>
        <w:trPr>
          <w:trHeight w:val="120"/>
        </w:trPr>
        <w:tc>
          <w:tcPr>
            <w:tcW w:w="2920" w:type="dxa"/>
            <w:vAlign w:val="bottom"/>
            <w:gridSpan w:val="4"/>
          </w:tcPr>
          <w:p>
            <w:pPr>
              <w:ind w:left="20"/>
              <w:spacing w:after="0"/>
              <w:rPr>
                <w:sz w:val="20"/>
                <w:szCs w:val="20"/>
                <w:color w:val="auto"/>
              </w:rPr>
            </w:pPr>
            <w:r>
              <w:rPr>
                <w:rFonts w:ascii="Arial" w:cs="Arial" w:eastAsia="Arial" w:hAnsi="Arial"/>
                <w:sz w:val="8"/>
                <w:szCs w:val="8"/>
                <w:i w:val="1"/>
                <w:iCs w:val="1"/>
                <w:color w:val="auto"/>
              </w:rPr>
              <w:t>American AllWaste LLC (dba WasteWater Transport Services)</w:t>
            </w:r>
          </w:p>
        </w:tc>
        <w:tc>
          <w:tcPr>
            <w:tcW w:w="2260" w:type="dxa"/>
            <w:vAlign w:val="bottom"/>
          </w:tcPr>
          <w:p>
            <w:pPr>
              <w:ind w:left="800"/>
              <w:spacing w:after="0"/>
              <w:rPr>
                <w:sz w:val="20"/>
                <w:szCs w:val="20"/>
                <w:color w:val="auto"/>
              </w:rPr>
            </w:pPr>
            <w:r>
              <w:rPr>
                <w:rFonts w:ascii="Arial" w:cs="Arial" w:eastAsia="Arial" w:hAnsi="Arial"/>
                <w:sz w:val="8"/>
                <w:szCs w:val="8"/>
                <w:color w:val="auto"/>
              </w:rPr>
              <w:t>Environmental Industries</w:t>
            </w: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4"/>
        </w:trPr>
        <w:tc>
          <w:tcPr>
            <w:tcW w:w="20" w:type="dxa"/>
            <w:vAlign w:val="bottom"/>
            <w:shd w:val="clear" w:color="auto" w:fill="DBEEF4"/>
          </w:tcPr>
          <w:p>
            <w:pPr>
              <w:spacing w:after="0"/>
              <w:rPr>
                <w:sz w:val="11"/>
                <w:szCs w:val="11"/>
                <w:color w:val="auto"/>
              </w:rPr>
            </w:pPr>
          </w:p>
        </w:tc>
        <w:tc>
          <w:tcPr>
            <w:tcW w:w="2900" w:type="dxa"/>
            <w:vAlign w:val="bottom"/>
            <w:gridSpan w:val="3"/>
            <w:shd w:val="clear" w:color="auto" w:fill="DBEEF4"/>
          </w:tcPr>
          <w:p>
            <w:pPr>
              <w:ind w:left="80"/>
              <w:spacing w:after="0"/>
              <w:rPr>
                <w:sz w:val="20"/>
                <w:szCs w:val="20"/>
                <w:color w:val="auto"/>
              </w:rPr>
            </w:pPr>
            <w:r>
              <w:rPr>
                <w:rFonts w:ascii="Arial" w:cs="Arial" w:eastAsia="Arial" w:hAnsi="Arial"/>
                <w:sz w:val="8"/>
                <w:szCs w:val="8"/>
                <w:color w:val="auto"/>
              </w:rPr>
              <w:t>Second Lien Debt (j)</w:t>
            </w:r>
          </w:p>
        </w:tc>
        <w:tc>
          <w:tcPr>
            <w:tcW w:w="2260" w:type="dxa"/>
            <w:vAlign w:val="bottom"/>
            <w:shd w:val="clear" w:color="auto" w:fill="DBEEF4"/>
          </w:tcPr>
          <w:p>
            <w:pPr>
              <w:spacing w:after="0"/>
              <w:rPr>
                <w:sz w:val="11"/>
                <w:szCs w:val="11"/>
                <w:color w:val="auto"/>
              </w:rPr>
            </w:pPr>
          </w:p>
        </w:tc>
        <w:tc>
          <w:tcPr>
            <w:tcW w:w="1200" w:type="dxa"/>
            <w:vAlign w:val="bottom"/>
            <w:shd w:val="clear" w:color="auto" w:fill="DBEEF4"/>
          </w:tcPr>
          <w:p>
            <w:pPr>
              <w:ind w:left="200"/>
              <w:spacing w:after="0"/>
              <w:rPr>
                <w:sz w:val="20"/>
                <w:szCs w:val="20"/>
                <w:color w:val="auto"/>
              </w:rPr>
            </w:pPr>
            <w:r>
              <w:rPr>
                <w:rFonts w:ascii="Arial" w:cs="Arial" w:eastAsia="Arial" w:hAnsi="Arial"/>
                <w:sz w:val="8"/>
                <w:szCs w:val="8"/>
                <w:color w:val="auto"/>
              </w:rPr>
              <w:t>(L + 11.00%) / (2.00%)</w:t>
            </w:r>
          </w:p>
        </w:tc>
        <w:tc>
          <w:tcPr>
            <w:tcW w:w="820" w:type="dxa"/>
            <w:vAlign w:val="bottom"/>
            <w:shd w:val="clear" w:color="auto" w:fill="DBEEF4"/>
          </w:tcPr>
          <w:p>
            <w:pPr>
              <w:ind w:left="180"/>
              <w:spacing w:after="0"/>
              <w:rPr>
                <w:sz w:val="20"/>
                <w:szCs w:val="20"/>
                <w:color w:val="auto"/>
              </w:rPr>
            </w:pPr>
            <w:r>
              <w:rPr>
                <w:rFonts w:ascii="Arial" w:cs="Arial" w:eastAsia="Arial" w:hAnsi="Arial"/>
                <w:sz w:val="8"/>
                <w:szCs w:val="8"/>
                <w:color w:val="auto"/>
              </w:rPr>
              <w:t>13.00%/0.00%</w:t>
            </w:r>
          </w:p>
        </w:tc>
        <w:tc>
          <w:tcPr>
            <w:tcW w:w="640" w:type="dxa"/>
            <w:vAlign w:val="bottom"/>
            <w:shd w:val="clear" w:color="auto" w:fill="DBEEF4"/>
          </w:tcPr>
          <w:p>
            <w:pPr>
              <w:ind w:left="120"/>
              <w:spacing w:after="0"/>
              <w:rPr>
                <w:sz w:val="20"/>
                <w:szCs w:val="20"/>
                <w:color w:val="auto"/>
              </w:rPr>
            </w:pPr>
            <w:r>
              <w:rPr>
                <w:rFonts w:ascii="Arial" w:cs="Arial" w:eastAsia="Arial" w:hAnsi="Arial"/>
                <w:sz w:val="8"/>
                <w:szCs w:val="8"/>
                <w:color w:val="auto"/>
              </w:rPr>
              <w:t>5/31/2018</w:t>
            </w:r>
          </w:p>
        </w:tc>
        <w:tc>
          <w:tcPr>
            <w:tcW w:w="580" w:type="dxa"/>
            <w:vAlign w:val="bottom"/>
            <w:shd w:val="clear" w:color="auto" w:fill="DBEEF4"/>
          </w:tcPr>
          <w:p>
            <w:pPr>
              <w:ind w:left="120"/>
              <w:spacing w:after="0"/>
              <w:rPr>
                <w:sz w:val="20"/>
                <w:szCs w:val="20"/>
                <w:color w:val="auto"/>
              </w:rPr>
            </w:pPr>
            <w:r>
              <w:rPr>
                <w:rFonts w:ascii="Arial" w:cs="Arial" w:eastAsia="Arial" w:hAnsi="Arial"/>
                <w:sz w:val="8"/>
                <w:szCs w:val="8"/>
                <w:color w:val="auto"/>
              </w:rPr>
              <w:t>11/30/2023</w:t>
            </w:r>
          </w:p>
        </w:tc>
        <w:tc>
          <w:tcPr>
            <w:tcW w:w="160" w:type="dxa"/>
            <w:vAlign w:val="bottom"/>
            <w:shd w:val="clear" w:color="auto" w:fill="DBEEF4"/>
          </w:tcPr>
          <w:p>
            <w:pPr>
              <w:spacing w:after="0"/>
              <w:rPr>
                <w:sz w:val="11"/>
                <w:szCs w:val="11"/>
                <w:color w:val="auto"/>
              </w:rPr>
            </w:pPr>
          </w:p>
        </w:tc>
        <w:tc>
          <w:tcPr>
            <w:tcW w:w="460" w:type="dxa"/>
            <w:vAlign w:val="bottom"/>
            <w:shd w:val="clear" w:color="auto" w:fill="DBEEF4"/>
          </w:tcPr>
          <w:p>
            <w:pPr>
              <w:jc w:val="right"/>
              <w:spacing w:after="0"/>
              <w:rPr>
                <w:sz w:val="20"/>
                <w:szCs w:val="20"/>
                <w:color w:val="auto"/>
              </w:rPr>
            </w:pPr>
            <w:r>
              <w:rPr>
                <w:rFonts w:ascii="Arial" w:cs="Arial" w:eastAsia="Arial" w:hAnsi="Arial"/>
                <w:sz w:val="8"/>
                <w:szCs w:val="8"/>
                <w:color w:val="auto"/>
              </w:rPr>
              <w:t>17,503</w:t>
            </w:r>
          </w:p>
        </w:tc>
        <w:tc>
          <w:tcPr>
            <w:tcW w:w="120" w:type="dxa"/>
            <w:vAlign w:val="bottom"/>
            <w:shd w:val="clear" w:color="auto" w:fill="DBEEF4"/>
          </w:tcPr>
          <w:p>
            <w:pPr>
              <w:spacing w:after="0"/>
              <w:rPr>
                <w:sz w:val="11"/>
                <w:szCs w:val="11"/>
                <w:color w:val="auto"/>
              </w:rPr>
            </w:pPr>
          </w:p>
        </w:tc>
        <w:tc>
          <w:tcPr>
            <w:tcW w:w="1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8"/>
                <w:szCs w:val="8"/>
                <w:color w:val="auto"/>
              </w:rPr>
              <w:t>17,434</w:t>
            </w:r>
          </w:p>
        </w:tc>
        <w:tc>
          <w:tcPr>
            <w:tcW w:w="200" w:type="dxa"/>
            <w:vAlign w:val="bottom"/>
            <w:shd w:val="clear" w:color="auto" w:fill="DBEEF4"/>
          </w:tcPr>
          <w:p>
            <w:pPr>
              <w:spacing w:after="0"/>
              <w:rPr>
                <w:sz w:val="11"/>
                <w:szCs w:val="11"/>
                <w:color w:val="auto"/>
              </w:rPr>
            </w:pPr>
          </w:p>
        </w:tc>
        <w:tc>
          <w:tcPr>
            <w:tcW w:w="60" w:type="dxa"/>
            <w:vAlign w:val="bottom"/>
            <w:shd w:val="clear" w:color="auto" w:fill="DBEEF4"/>
          </w:tcPr>
          <w:p>
            <w:pPr>
              <w:spacing w:after="0"/>
              <w:rPr>
                <w:sz w:val="11"/>
                <w:szCs w:val="11"/>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17,503</w:t>
            </w:r>
          </w:p>
        </w:tc>
        <w:tc>
          <w:tcPr>
            <w:tcW w:w="40" w:type="dxa"/>
            <w:vAlign w:val="bottom"/>
            <w:shd w:val="clear" w:color="auto" w:fill="DBEEF4"/>
          </w:tcPr>
          <w:p>
            <w:pPr>
              <w:spacing w:after="0"/>
              <w:rPr>
                <w:sz w:val="11"/>
                <w:szCs w:val="11"/>
                <w:color w:val="auto"/>
              </w:rPr>
            </w:pPr>
          </w:p>
        </w:tc>
        <w:tc>
          <w:tcPr>
            <w:tcW w:w="5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r>
      <w:tr>
        <w:trPr>
          <w:trHeight w:val="120"/>
        </w:trPr>
        <w:tc>
          <w:tcPr>
            <w:tcW w:w="20" w:type="dxa"/>
            <w:vAlign w:val="bottom"/>
          </w:tcPr>
          <w:p>
            <w:pPr>
              <w:spacing w:after="0"/>
              <w:rPr>
                <w:sz w:val="10"/>
                <w:szCs w:val="10"/>
                <w:color w:val="auto"/>
              </w:rPr>
            </w:pPr>
          </w:p>
        </w:tc>
        <w:tc>
          <w:tcPr>
            <w:tcW w:w="2900" w:type="dxa"/>
            <w:vAlign w:val="bottom"/>
            <w:gridSpan w:val="3"/>
          </w:tcPr>
          <w:p>
            <w:pPr>
              <w:ind w:left="80"/>
              <w:spacing w:after="0"/>
              <w:rPr>
                <w:sz w:val="20"/>
                <w:szCs w:val="20"/>
                <w:color w:val="auto"/>
              </w:rPr>
            </w:pPr>
            <w:r>
              <w:rPr>
                <w:rFonts w:ascii="Arial" w:cs="Arial" w:eastAsia="Arial" w:hAnsi="Arial"/>
                <w:sz w:val="8"/>
                <w:szCs w:val="8"/>
                <w:color w:val="auto"/>
              </w:rPr>
              <w:t>Preferred Equity (500 units) (h)(j)</w:t>
            </w:r>
          </w:p>
        </w:tc>
        <w:tc>
          <w:tcPr>
            <w:tcW w:w="2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8"/>
                <w:szCs w:val="8"/>
                <w:color w:val="auto"/>
              </w:rPr>
              <w:t>5/31/2018</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8"/>
                <w:szCs w:val="8"/>
                <w:color w:val="auto"/>
              </w:rPr>
              <w:t>500</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241</w:t>
            </w: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4"/>
        </w:trPr>
        <w:tc>
          <w:tcPr>
            <w:tcW w:w="20" w:type="dxa"/>
            <w:vAlign w:val="bottom"/>
            <w:shd w:val="clear" w:color="auto" w:fill="DBEEF4"/>
          </w:tcPr>
          <w:p>
            <w:pPr>
              <w:spacing w:after="0"/>
              <w:rPr>
                <w:sz w:val="11"/>
                <w:szCs w:val="11"/>
                <w:color w:val="auto"/>
              </w:rPr>
            </w:pPr>
          </w:p>
        </w:tc>
        <w:tc>
          <w:tcPr>
            <w:tcW w:w="2900" w:type="dxa"/>
            <w:vAlign w:val="bottom"/>
            <w:gridSpan w:val="3"/>
            <w:shd w:val="clear" w:color="auto" w:fill="DBEEF4"/>
          </w:tcPr>
          <w:p>
            <w:pPr>
              <w:ind w:left="80"/>
              <w:spacing w:after="0"/>
              <w:rPr>
                <w:sz w:val="20"/>
                <w:szCs w:val="20"/>
                <w:color w:val="auto"/>
              </w:rPr>
            </w:pPr>
            <w:r>
              <w:rPr>
                <w:rFonts w:ascii="Arial" w:cs="Arial" w:eastAsia="Arial" w:hAnsi="Arial"/>
                <w:sz w:val="8"/>
                <w:szCs w:val="8"/>
                <w:color w:val="auto"/>
              </w:rPr>
              <w:t>Preferred Equity (207 units) (h)(j)</w:t>
            </w:r>
          </w:p>
        </w:tc>
        <w:tc>
          <w:tcPr>
            <w:tcW w:w="2260" w:type="dxa"/>
            <w:vAlign w:val="bottom"/>
            <w:shd w:val="clear" w:color="auto" w:fill="DBEEF4"/>
          </w:tcPr>
          <w:p>
            <w:pPr>
              <w:spacing w:after="0"/>
              <w:rPr>
                <w:sz w:val="11"/>
                <w:szCs w:val="11"/>
                <w:color w:val="auto"/>
              </w:rPr>
            </w:pPr>
          </w:p>
        </w:tc>
        <w:tc>
          <w:tcPr>
            <w:tcW w:w="1200" w:type="dxa"/>
            <w:vAlign w:val="bottom"/>
            <w:shd w:val="clear" w:color="auto" w:fill="DBEEF4"/>
          </w:tcPr>
          <w:p>
            <w:pPr>
              <w:spacing w:after="0"/>
              <w:rPr>
                <w:sz w:val="11"/>
                <w:szCs w:val="11"/>
                <w:color w:val="auto"/>
              </w:rPr>
            </w:pP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ind w:left="120"/>
              <w:spacing w:after="0"/>
              <w:rPr>
                <w:sz w:val="20"/>
                <w:szCs w:val="20"/>
                <w:color w:val="auto"/>
              </w:rPr>
            </w:pPr>
            <w:r>
              <w:rPr>
                <w:rFonts w:ascii="Arial" w:cs="Arial" w:eastAsia="Arial" w:hAnsi="Arial"/>
                <w:sz w:val="8"/>
                <w:szCs w:val="8"/>
                <w:color w:val="auto"/>
              </w:rPr>
              <w:t>8/6/2019</w:t>
            </w:r>
          </w:p>
        </w:tc>
        <w:tc>
          <w:tcPr>
            <w:tcW w:w="580" w:type="dxa"/>
            <w:vAlign w:val="bottom"/>
            <w:shd w:val="clear" w:color="auto" w:fill="DBEEF4"/>
          </w:tcPr>
          <w:p>
            <w:pPr>
              <w:spacing w:after="0"/>
              <w:rPr>
                <w:sz w:val="11"/>
                <w:szCs w:val="11"/>
                <w:color w:val="auto"/>
              </w:rPr>
            </w:pPr>
          </w:p>
        </w:tc>
        <w:tc>
          <w:tcPr>
            <w:tcW w:w="160" w:type="dxa"/>
            <w:vAlign w:val="bottom"/>
            <w:shd w:val="clear" w:color="auto" w:fill="DBEEF4"/>
          </w:tcPr>
          <w:p>
            <w:pPr>
              <w:spacing w:after="0"/>
              <w:rPr>
                <w:sz w:val="11"/>
                <w:szCs w:val="11"/>
                <w:color w:val="auto"/>
              </w:rPr>
            </w:pPr>
          </w:p>
        </w:tc>
        <w:tc>
          <w:tcPr>
            <w:tcW w:w="4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1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8"/>
                <w:szCs w:val="8"/>
                <w:color w:val="auto"/>
              </w:rPr>
              <w:t>250</w:t>
            </w:r>
          </w:p>
        </w:tc>
        <w:tc>
          <w:tcPr>
            <w:tcW w:w="200" w:type="dxa"/>
            <w:vAlign w:val="bottom"/>
            <w:shd w:val="clear" w:color="auto" w:fill="DBEEF4"/>
          </w:tcPr>
          <w:p>
            <w:pPr>
              <w:spacing w:after="0"/>
              <w:rPr>
                <w:sz w:val="11"/>
                <w:szCs w:val="11"/>
                <w:color w:val="auto"/>
              </w:rPr>
            </w:pPr>
          </w:p>
        </w:tc>
        <w:tc>
          <w:tcPr>
            <w:tcW w:w="60" w:type="dxa"/>
            <w:vAlign w:val="bottom"/>
            <w:shd w:val="clear" w:color="auto" w:fill="DBEEF4"/>
          </w:tcPr>
          <w:p>
            <w:pPr>
              <w:spacing w:after="0"/>
              <w:rPr>
                <w:sz w:val="11"/>
                <w:szCs w:val="11"/>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226</w:t>
            </w:r>
          </w:p>
        </w:tc>
        <w:tc>
          <w:tcPr>
            <w:tcW w:w="40" w:type="dxa"/>
            <w:vAlign w:val="bottom"/>
            <w:shd w:val="clear" w:color="auto" w:fill="DBEEF4"/>
          </w:tcPr>
          <w:p>
            <w:pPr>
              <w:spacing w:after="0"/>
              <w:rPr>
                <w:sz w:val="11"/>
                <w:szCs w:val="11"/>
                <w:color w:val="auto"/>
              </w:rPr>
            </w:pPr>
          </w:p>
        </w:tc>
        <w:tc>
          <w:tcPr>
            <w:tcW w:w="5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r>
      <w:tr>
        <w:trPr>
          <w:trHeight w:val="126"/>
        </w:trPr>
        <w:tc>
          <w:tcPr>
            <w:tcW w:w="20" w:type="dxa"/>
            <w:vAlign w:val="bottom"/>
          </w:tcPr>
          <w:p>
            <w:pPr>
              <w:spacing w:after="0"/>
              <w:rPr>
                <w:sz w:val="10"/>
                <w:szCs w:val="10"/>
                <w:color w:val="auto"/>
              </w:rPr>
            </w:pPr>
          </w:p>
        </w:tc>
        <w:tc>
          <w:tcPr>
            <w:tcW w:w="2900" w:type="dxa"/>
            <w:vAlign w:val="bottom"/>
            <w:gridSpan w:val="3"/>
          </w:tcPr>
          <w:p>
            <w:pPr>
              <w:ind w:left="80"/>
              <w:spacing w:after="0"/>
              <w:rPr>
                <w:sz w:val="20"/>
                <w:szCs w:val="20"/>
                <w:color w:val="auto"/>
              </w:rPr>
            </w:pPr>
            <w:r>
              <w:rPr>
                <w:rFonts w:ascii="Arial" w:cs="Arial" w:eastAsia="Arial" w:hAnsi="Arial"/>
                <w:sz w:val="8"/>
                <w:szCs w:val="8"/>
                <w:color w:val="auto"/>
              </w:rPr>
              <w:t>Preferred Equity (141 units) (h)(j)</w:t>
            </w:r>
          </w:p>
        </w:tc>
        <w:tc>
          <w:tcPr>
            <w:tcW w:w="2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8"/>
                <w:szCs w:val="8"/>
                <w:color w:val="auto"/>
              </w:rPr>
              <w:t>11/2/2020</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171</w:t>
            </w:r>
          </w:p>
        </w:tc>
        <w:tc>
          <w:tcPr>
            <w:tcW w:w="2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171</w:t>
            </w: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0"/>
        </w:trPr>
        <w:tc>
          <w:tcPr>
            <w:tcW w:w="20" w:type="dxa"/>
            <w:vAlign w:val="bottom"/>
            <w:shd w:val="clear" w:color="auto" w:fill="DBEEF4"/>
          </w:tcPr>
          <w:p>
            <w:pPr>
              <w:spacing w:after="0"/>
              <w:rPr>
                <w:sz w:val="10"/>
                <w:szCs w:val="10"/>
                <w:color w:val="auto"/>
              </w:rPr>
            </w:pPr>
          </w:p>
        </w:tc>
        <w:tc>
          <w:tcPr>
            <w:tcW w:w="840" w:type="dxa"/>
            <w:vAlign w:val="bottom"/>
            <w:shd w:val="clear" w:color="auto" w:fill="DBEEF4"/>
          </w:tcPr>
          <w:p>
            <w:pPr>
              <w:spacing w:after="0"/>
              <w:rPr>
                <w:sz w:val="10"/>
                <w:szCs w:val="10"/>
                <w:color w:val="auto"/>
              </w:rPr>
            </w:pPr>
          </w:p>
        </w:tc>
        <w:tc>
          <w:tcPr>
            <w:tcW w:w="520" w:type="dxa"/>
            <w:vAlign w:val="bottom"/>
            <w:shd w:val="clear" w:color="auto" w:fill="DBEEF4"/>
          </w:tcPr>
          <w:p>
            <w:pPr>
              <w:spacing w:after="0"/>
              <w:rPr>
                <w:sz w:val="10"/>
                <w:szCs w:val="10"/>
                <w:color w:val="auto"/>
              </w:rPr>
            </w:pPr>
          </w:p>
        </w:tc>
        <w:tc>
          <w:tcPr>
            <w:tcW w:w="1540" w:type="dxa"/>
            <w:vAlign w:val="bottom"/>
            <w:shd w:val="clear" w:color="auto" w:fill="DBEEF4"/>
          </w:tcPr>
          <w:p>
            <w:pPr>
              <w:spacing w:after="0"/>
              <w:rPr>
                <w:sz w:val="10"/>
                <w:szCs w:val="10"/>
                <w:color w:val="auto"/>
              </w:rPr>
            </w:pPr>
          </w:p>
        </w:tc>
        <w:tc>
          <w:tcPr>
            <w:tcW w:w="2260" w:type="dxa"/>
            <w:vAlign w:val="bottom"/>
            <w:shd w:val="clear" w:color="auto" w:fill="DBEEF4"/>
          </w:tcPr>
          <w:p>
            <w:pPr>
              <w:spacing w:after="0"/>
              <w:rPr>
                <w:sz w:val="10"/>
                <w:szCs w:val="10"/>
                <w:color w:val="auto"/>
              </w:rPr>
            </w:pPr>
          </w:p>
        </w:tc>
        <w:tc>
          <w:tcPr>
            <w:tcW w:w="1200" w:type="dxa"/>
            <w:vAlign w:val="bottom"/>
            <w:shd w:val="clear" w:color="auto" w:fill="DBEEF4"/>
          </w:tcPr>
          <w:p>
            <w:pPr>
              <w:spacing w:after="0"/>
              <w:rPr>
                <w:sz w:val="10"/>
                <w:szCs w:val="10"/>
                <w:color w:val="auto"/>
              </w:rPr>
            </w:pPr>
          </w:p>
        </w:tc>
        <w:tc>
          <w:tcPr>
            <w:tcW w:w="820" w:type="dxa"/>
            <w:vAlign w:val="bottom"/>
            <w:shd w:val="clear" w:color="auto" w:fill="DBEEF4"/>
          </w:tcPr>
          <w:p>
            <w:pPr>
              <w:spacing w:after="0"/>
              <w:rPr>
                <w:sz w:val="10"/>
                <w:szCs w:val="10"/>
                <w:color w:val="auto"/>
              </w:rPr>
            </w:pPr>
          </w:p>
        </w:tc>
        <w:tc>
          <w:tcPr>
            <w:tcW w:w="640" w:type="dxa"/>
            <w:vAlign w:val="bottom"/>
            <w:shd w:val="clear" w:color="auto" w:fill="DBEEF4"/>
          </w:tcPr>
          <w:p>
            <w:pPr>
              <w:spacing w:after="0"/>
              <w:rPr>
                <w:sz w:val="10"/>
                <w:szCs w:val="10"/>
                <w:color w:val="auto"/>
              </w:rPr>
            </w:pPr>
          </w:p>
        </w:tc>
        <w:tc>
          <w:tcPr>
            <w:tcW w:w="580" w:type="dxa"/>
            <w:vAlign w:val="bottom"/>
            <w:shd w:val="clear" w:color="auto" w:fill="DBEEF4"/>
          </w:tcPr>
          <w:p>
            <w:pPr>
              <w:spacing w:after="0"/>
              <w:rPr>
                <w:sz w:val="10"/>
                <w:szCs w:val="10"/>
                <w:color w:val="auto"/>
              </w:rPr>
            </w:pPr>
          </w:p>
        </w:tc>
        <w:tc>
          <w:tcPr>
            <w:tcW w:w="160" w:type="dxa"/>
            <w:vAlign w:val="bottom"/>
            <w:shd w:val="clear" w:color="auto" w:fill="DBEEF4"/>
          </w:tcPr>
          <w:p>
            <w:pPr>
              <w:spacing w:after="0"/>
              <w:rPr>
                <w:sz w:val="10"/>
                <w:szCs w:val="10"/>
                <w:color w:val="auto"/>
              </w:rPr>
            </w:pPr>
          </w:p>
        </w:tc>
        <w:tc>
          <w:tcPr>
            <w:tcW w:w="460" w:type="dxa"/>
            <w:vAlign w:val="bottom"/>
            <w:shd w:val="clear" w:color="auto" w:fill="DBEEF4"/>
          </w:tcPr>
          <w:p>
            <w:pPr>
              <w:spacing w:after="0"/>
              <w:rPr>
                <w:sz w:val="10"/>
                <w:szCs w:val="10"/>
                <w:color w:val="auto"/>
              </w:rPr>
            </w:pPr>
          </w:p>
        </w:tc>
        <w:tc>
          <w:tcPr>
            <w:tcW w:w="120" w:type="dxa"/>
            <w:vAlign w:val="bottom"/>
            <w:shd w:val="clear" w:color="auto" w:fill="DBEEF4"/>
          </w:tcPr>
          <w:p>
            <w:pPr>
              <w:spacing w:after="0"/>
              <w:rPr>
                <w:sz w:val="10"/>
                <w:szCs w:val="10"/>
                <w:color w:val="auto"/>
              </w:rPr>
            </w:pPr>
          </w:p>
        </w:tc>
        <w:tc>
          <w:tcPr>
            <w:tcW w:w="100" w:type="dxa"/>
            <w:vAlign w:val="bottom"/>
            <w:shd w:val="clear" w:color="auto" w:fill="DBEEF4"/>
          </w:tcPr>
          <w:p>
            <w:pPr>
              <w:spacing w:after="0"/>
              <w:rPr>
                <w:sz w:val="10"/>
                <w:szCs w:val="10"/>
                <w:color w:val="auto"/>
              </w:rPr>
            </w:pPr>
          </w:p>
        </w:tc>
        <w:tc>
          <w:tcPr>
            <w:tcW w:w="140" w:type="dxa"/>
            <w:vAlign w:val="bottom"/>
            <w:shd w:val="clear" w:color="auto" w:fill="DBEEF4"/>
          </w:tcPr>
          <w:p>
            <w:pPr>
              <w:spacing w:after="0"/>
              <w:rPr>
                <w:sz w:val="10"/>
                <w:szCs w:val="10"/>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8"/>
                <w:szCs w:val="8"/>
                <w:color w:val="auto"/>
              </w:rPr>
              <w:t>18,355</w:t>
            </w:r>
          </w:p>
        </w:tc>
        <w:tc>
          <w:tcPr>
            <w:tcW w:w="200" w:type="dxa"/>
            <w:vAlign w:val="bottom"/>
            <w:shd w:val="clear" w:color="auto" w:fill="DBEEF4"/>
          </w:tcPr>
          <w:p>
            <w:pPr>
              <w:spacing w:after="0"/>
              <w:rPr>
                <w:sz w:val="10"/>
                <w:szCs w:val="10"/>
                <w:color w:val="auto"/>
              </w:rPr>
            </w:pPr>
          </w:p>
        </w:tc>
        <w:tc>
          <w:tcPr>
            <w:tcW w:w="60" w:type="dxa"/>
            <w:vAlign w:val="bottom"/>
            <w:shd w:val="clear" w:color="auto" w:fill="DBEEF4"/>
          </w:tcPr>
          <w:p>
            <w:pPr>
              <w:spacing w:after="0"/>
              <w:rPr>
                <w:sz w:val="10"/>
                <w:szCs w:val="10"/>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18,141</w:t>
            </w:r>
          </w:p>
        </w:tc>
        <w:tc>
          <w:tcPr>
            <w:tcW w:w="720" w:type="dxa"/>
            <w:vAlign w:val="bottom"/>
            <w:gridSpan w:val="3"/>
            <w:shd w:val="clear" w:color="auto" w:fill="DBEEF4"/>
          </w:tcPr>
          <w:p>
            <w:pPr>
              <w:jc w:val="right"/>
              <w:ind w:right="40"/>
              <w:spacing w:after="0"/>
              <w:rPr>
                <w:sz w:val="20"/>
                <w:szCs w:val="20"/>
                <w:color w:val="auto"/>
              </w:rPr>
            </w:pPr>
            <w:r>
              <w:rPr>
                <w:rFonts w:ascii="Arial" w:cs="Arial" w:eastAsia="Arial" w:hAnsi="Arial"/>
                <w:sz w:val="8"/>
                <w:szCs w:val="8"/>
                <w:color w:val="auto"/>
              </w:rPr>
              <w:t>4 %</w:t>
            </w:r>
          </w:p>
        </w:tc>
      </w:tr>
      <w:tr>
        <w:trPr>
          <w:trHeight w:val="120"/>
        </w:trPr>
        <w:tc>
          <w:tcPr>
            <w:tcW w:w="2920" w:type="dxa"/>
            <w:vAlign w:val="bottom"/>
            <w:gridSpan w:val="4"/>
          </w:tcPr>
          <w:p>
            <w:pPr>
              <w:ind w:left="20"/>
              <w:spacing w:after="0"/>
              <w:rPr>
                <w:sz w:val="20"/>
                <w:szCs w:val="20"/>
                <w:color w:val="auto"/>
              </w:rPr>
            </w:pPr>
            <w:r>
              <w:rPr>
                <w:rFonts w:ascii="Arial" w:cs="Arial" w:eastAsia="Arial" w:hAnsi="Arial"/>
                <w:sz w:val="8"/>
                <w:szCs w:val="8"/>
                <w:i w:val="1"/>
                <w:iCs w:val="1"/>
                <w:color w:val="auto"/>
              </w:rPr>
              <w:t>Applied Data Corporation</w:t>
            </w:r>
          </w:p>
        </w:tc>
        <w:tc>
          <w:tcPr>
            <w:tcW w:w="2260" w:type="dxa"/>
            <w:vAlign w:val="bottom"/>
          </w:tcPr>
          <w:p>
            <w:pPr>
              <w:ind w:left="800"/>
              <w:spacing w:after="0"/>
              <w:rPr>
                <w:sz w:val="20"/>
                <w:szCs w:val="20"/>
                <w:color w:val="auto"/>
              </w:rPr>
            </w:pPr>
            <w:r>
              <w:rPr>
                <w:rFonts w:ascii="Arial" w:cs="Arial" w:eastAsia="Arial" w:hAnsi="Arial"/>
                <w:sz w:val="8"/>
                <w:szCs w:val="8"/>
                <w:color w:val="auto"/>
              </w:rPr>
              <w:t>Information Technology Services</w:t>
            </w: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4"/>
        </w:trPr>
        <w:tc>
          <w:tcPr>
            <w:tcW w:w="20" w:type="dxa"/>
            <w:vAlign w:val="bottom"/>
            <w:shd w:val="clear" w:color="auto" w:fill="DBEEF4"/>
          </w:tcPr>
          <w:p>
            <w:pPr>
              <w:spacing w:after="0"/>
              <w:rPr>
                <w:sz w:val="11"/>
                <w:szCs w:val="11"/>
                <w:color w:val="auto"/>
              </w:rPr>
            </w:pPr>
          </w:p>
        </w:tc>
        <w:tc>
          <w:tcPr>
            <w:tcW w:w="2900" w:type="dxa"/>
            <w:vAlign w:val="bottom"/>
            <w:gridSpan w:val="3"/>
            <w:shd w:val="clear" w:color="auto" w:fill="DBEEF4"/>
          </w:tcPr>
          <w:p>
            <w:pPr>
              <w:ind w:left="80"/>
              <w:spacing w:after="0"/>
              <w:rPr>
                <w:sz w:val="20"/>
                <w:szCs w:val="20"/>
                <w:color w:val="auto"/>
              </w:rPr>
            </w:pPr>
            <w:r>
              <w:rPr>
                <w:rFonts w:ascii="Arial" w:cs="Arial" w:eastAsia="Arial" w:hAnsi="Arial"/>
                <w:sz w:val="8"/>
                <w:szCs w:val="8"/>
                <w:color w:val="auto"/>
              </w:rPr>
              <w:t>First Lien Debt (v)</w:t>
            </w:r>
          </w:p>
        </w:tc>
        <w:tc>
          <w:tcPr>
            <w:tcW w:w="2260" w:type="dxa"/>
            <w:vAlign w:val="bottom"/>
            <w:shd w:val="clear" w:color="auto" w:fill="DBEEF4"/>
          </w:tcPr>
          <w:p>
            <w:pPr>
              <w:spacing w:after="0"/>
              <w:rPr>
                <w:sz w:val="11"/>
                <w:szCs w:val="11"/>
                <w:color w:val="auto"/>
              </w:rPr>
            </w:pPr>
          </w:p>
        </w:tc>
        <w:tc>
          <w:tcPr>
            <w:tcW w:w="1200" w:type="dxa"/>
            <w:vAlign w:val="bottom"/>
            <w:shd w:val="clear" w:color="auto" w:fill="DBEEF4"/>
          </w:tcPr>
          <w:p>
            <w:pPr>
              <w:ind w:left="200"/>
              <w:spacing w:after="0"/>
              <w:rPr>
                <w:sz w:val="20"/>
                <w:szCs w:val="20"/>
                <w:color w:val="auto"/>
              </w:rPr>
            </w:pPr>
            <w:r>
              <w:rPr>
                <w:rFonts w:ascii="Arial" w:cs="Arial" w:eastAsia="Arial" w:hAnsi="Arial"/>
                <w:sz w:val="8"/>
                <w:szCs w:val="8"/>
                <w:color w:val="auto"/>
              </w:rPr>
              <w:t>(L + 6.25%) / (1.50%)</w:t>
            </w:r>
          </w:p>
        </w:tc>
        <w:tc>
          <w:tcPr>
            <w:tcW w:w="820" w:type="dxa"/>
            <w:vAlign w:val="bottom"/>
            <w:shd w:val="clear" w:color="auto" w:fill="DBEEF4"/>
          </w:tcPr>
          <w:p>
            <w:pPr>
              <w:ind w:left="180"/>
              <w:spacing w:after="0"/>
              <w:rPr>
                <w:sz w:val="20"/>
                <w:szCs w:val="20"/>
                <w:color w:val="auto"/>
              </w:rPr>
            </w:pPr>
            <w:r>
              <w:rPr>
                <w:rFonts w:ascii="Arial" w:cs="Arial" w:eastAsia="Arial" w:hAnsi="Arial"/>
                <w:sz w:val="8"/>
                <w:szCs w:val="8"/>
                <w:color w:val="auto"/>
              </w:rPr>
              <w:t>7.75%/0.00%</w:t>
            </w:r>
          </w:p>
        </w:tc>
        <w:tc>
          <w:tcPr>
            <w:tcW w:w="640" w:type="dxa"/>
            <w:vAlign w:val="bottom"/>
            <w:shd w:val="clear" w:color="auto" w:fill="DBEEF4"/>
          </w:tcPr>
          <w:p>
            <w:pPr>
              <w:ind w:left="120"/>
              <w:spacing w:after="0"/>
              <w:rPr>
                <w:sz w:val="20"/>
                <w:szCs w:val="20"/>
                <w:color w:val="auto"/>
              </w:rPr>
            </w:pPr>
            <w:r>
              <w:rPr>
                <w:rFonts w:ascii="Arial" w:cs="Arial" w:eastAsia="Arial" w:hAnsi="Arial"/>
                <w:sz w:val="8"/>
                <w:szCs w:val="8"/>
                <w:color w:val="auto"/>
              </w:rPr>
              <w:t>11/6/2020</w:t>
            </w:r>
          </w:p>
        </w:tc>
        <w:tc>
          <w:tcPr>
            <w:tcW w:w="580" w:type="dxa"/>
            <w:vAlign w:val="bottom"/>
            <w:shd w:val="clear" w:color="auto" w:fill="DBEEF4"/>
          </w:tcPr>
          <w:p>
            <w:pPr>
              <w:ind w:left="120"/>
              <w:spacing w:after="0"/>
              <w:rPr>
                <w:sz w:val="20"/>
                <w:szCs w:val="20"/>
                <w:color w:val="auto"/>
              </w:rPr>
            </w:pPr>
            <w:r>
              <w:rPr>
                <w:rFonts w:ascii="Arial" w:cs="Arial" w:eastAsia="Arial" w:hAnsi="Arial"/>
                <w:sz w:val="8"/>
                <w:szCs w:val="8"/>
                <w:color w:val="auto"/>
              </w:rPr>
              <w:t>11/6/2025</w:t>
            </w:r>
          </w:p>
        </w:tc>
        <w:tc>
          <w:tcPr>
            <w:tcW w:w="160" w:type="dxa"/>
            <w:vAlign w:val="bottom"/>
            <w:shd w:val="clear" w:color="auto" w:fill="DBEEF4"/>
          </w:tcPr>
          <w:p>
            <w:pPr>
              <w:spacing w:after="0"/>
              <w:rPr>
                <w:sz w:val="11"/>
                <w:szCs w:val="11"/>
                <w:color w:val="auto"/>
              </w:rPr>
            </w:pPr>
          </w:p>
        </w:tc>
        <w:tc>
          <w:tcPr>
            <w:tcW w:w="460" w:type="dxa"/>
            <w:vAlign w:val="bottom"/>
            <w:shd w:val="clear" w:color="auto" w:fill="DBEEF4"/>
          </w:tcPr>
          <w:p>
            <w:pPr>
              <w:jc w:val="right"/>
              <w:spacing w:after="0"/>
              <w:rPr>
                <w:sz w:val="20"/>
                <w:szCs w:val="20"/>
                <w:color w:val="auto"/>
              </w:rPr>
            </w:pPr>
            <w:r>
              <w:rPr>
                <w:rFonts w:ascii="Arial" w:cs="Arial" w:eastAsia="Arial" w:hAnsi="Arial"/>
                <w:sz w:val="8"/>
                <w:szCs w:val="8"/>
                <w:color w:val="auto"/>
              </w:rPr>
              <w:t>8,000</w:t>
            </w:r>
          </w:p>
        </w:tc>
        <w:tc>
          <w:tcPr>
            <w:tcW w:w="120" w:type="dxa"/>
            <w:vAlign w:val="bottom"/>
            <w:shd w:val="clear" w:color="auto" w:fill="DBEEF4"/>
          </w:tcPr>
          <w:p>
            <w:pPr>
              <w:spacing w:after="0"/>
              <w:rPr>
                <w:sz w:val="11"/>
                <w:szCs w:val="11"/>
                <w:color w:val="auto"/>
              </w:rPr>
            </w:pPr>
          </w:p>
        </w:tc>
        <w:tc>
          <w:tcPr>
            <w:tcW w:w="1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8"/>
                <w:szCs w:val="8"/>
                <w:color w:val="auto"/>
              </w:rPr>
              <w:t>7,949</w:t>
            </w:r>
          </w:p>
        </w:tc>
        <w:tc>
          <w:tcPr>
            <w:tcW w:w="200" w:type="dxa"/>
            <w:vAlign w:val="bottom"/>
            <w:shd w:val="clear" w:color="auto" w:fill="DBEEF4"/>
          </w:tcPr>
          <w:p>
            <w:pPr>
              <w:spacing w:after="0"/>
              <w:rPr>
                <w:sz w:val="11"/>
                <w:szCs w:val="11"/>
                <w:color w:val="auto"/>
              </w:rPr>
            </w:pPr>
          </w:p>
        </w:tc>
        <w:tc>
          <w:tcPr>
            <w:tcW w:w="60" w:type="dxa"/>
            <w:vAlign w:val="bottom"/>
            <w:shd w:val="clear" w:color="auto" w:fill="DBEEF4"/>
          </w:tcPr>
          <w:p>
            <w:pPr>
              <w:spacing w:after="0"/>
              <w:rPr>
                <w:sz w:val="11"/>
                <w:szCs w:val="11"/>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7,949</w:t>
            </w:r>
          </w:p>
        </w:tc>
        <w:tc>
          <w:tcPr>
            <w:tcW w:w="40" w:type="dxa"/>
            <w:vAlign w:val="bottom"/>
            <w:shd w:val="clear" w:color="auto" w:fill="DBEEF4"/>
          </w:tcPr>
          <w:p>
            <w:pPr>
              <w:spacing w:after="0"/>
              <w:rPr>
                <w:sz w:val="11"/>
                <w:szCs w:val="11"/>
                <w:color w:val="auto"/>
              </w:rPr>
            </w:pPr>
          </w:p>
        </w:tc>
        <w:tc>
          <w:tcPr>
            <w:tcW w:w="5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r>
      <w:tr>
        <w:trPr>
          <w:trHeight w:val="120"/>
        </w:trPr>
        <w:tc>
          <w:tcPr>
            <w:tcW w:w="20" w:type="dxa"/>
            <w:vAlign w:val="bottom"/>
          </w:tcPr>
          <w:p>
            <w:pPr>
              <w:spacing w:after="0"/>
              <w:rPr>
                <w:sz w:val="10"/>
                <w:szCs w:val="10"/>
                <w:color w:val="auto"/>
              </w:rPr>
            </w:pPr>
          </w:p>
        </w:tc>
        <w:tc>
          <w:tcPr>
            <w:tcW w:w="2900" w:type="dxa"/>
            <w:vAlign w:val="bottom"/>
            <w:gridSpan w:val="3"/>
          </w:tcPr>
          <w:p>
            <w:pPr>
              <w:ind w:left="80"/>
              <w:spacing w:after="0"/>
              <w:rPr>
                <w:sz w:val="20"/>
                <w:szCs w:val="20"/>
                <w:color w:val="auto"/>
              </w:rPr>
            </w:pPr>
            <w:r>
              <w:rPr>
                <w:rFonts w:ascii="Arial" w:cs="Arial" w:eastAsia="Arial" w:hAnsi="Arial"/>
                <w:sz w:val="8"/>
                <w:szCs w:val="8"/>
                <w:color w:val="auto"/>
              </w:rPr>
              <w:t>Common Equity (22 units)</w:t>
            </w:r>
          </w:p>
        </w:tc>
        <w:tc>
          <w:tcPr>
            <w:tcW w:w="2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8"/>
                <w:szCs w:val="8"/>
                <w:color w:val="auto"/>
              </w:rPr>
              <w:t>11/6/2020</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3"/>
        </w:trPr>
        <w:tc>
          <w:tcPr>
            <w:tcW w:w="20" w:type="dxa"/>
            <w:vAlign w:val="bottom"/>
            <w:tcBorders>
              <w:bottom w:val="single" w:sz="8" w:color="DBEEF4"/>
            </w:tcBorders>
            <w:shd w:val="clear" w:color="auto" w:fill="DBEEF4"/>
          </w:tcPr>
          <w:p>
            <w:pPr>
              <w:spacing w:after="0"/>
              <w:rPr>
                <w:sz w:val="11"/>
                <w:szCs w:val="11"/>
                <w:color w:val="auto"/>
              </w:rPr>
            </w:pPr>
          </w:p>
        </w:tc>
        <w:tc>
          <w:tcPr>
            <w:tcW w:w="2900" w:type="dxa"/>
            <w:vAlign w:val="bottom"/>
            <w:tcBorders>
              <w:bottom w:val="single" w:sz="8" w:color="DBEEF4"/>
            </w:tcBorders>
            <w:gridSpan w:val="3"/>
            <w:shd w:val="clear" w:color="auto" w:fill="DBEEF4"/>
          </w:tcPr>
          <w:p>
            <w:pPr>
              <w:ind w:left="80"/>
              <w:spacing w:after="0"/>
              <w:rPr>
                <w:sz w:val="20"/>
                <w:szCs w:val="20"/>
                <w:color w:val="auto"/>
              </w:rPr>
            </w:pPr>
            <w:r>
              <w:rPr>
                <w:rFonts w:ascii="Arial" w:cs="Arial" w:eastAsia="Arial" w:hAnsi="Arial"/>
                <w:sz w:val="8"/>
                <w:szCs w:val="8"/>
                <w:color w:val="auto"/>
              </w:rPr>
              <w:t>Preferred Equity (1,070,614 units)</w:t>
            </w:r>
          </w:p>
        </w:tc>
        <w:tc>
          <w:tcPr>
            <w:tcW w:w="2260" w:type="dxa"/>
            <w:vAlign w:val="bottom"/>
            <w:tcBorders>
              <w:bottom w:val="single" w:sz="8" w:color="DBEEF4"/>
            </w:tcBorders>
            <w:shd w:val="clear" w:color="auto" w:fill="DBEEF4"/>
          </w:tcPr>
          <w:p>
            <w:pPr>
              <w:spacing w:after="0"/>
              <w:rPr>
                <w:sz w:val="11"/>
                <w:szCs w:val="11"/>
                <w:color w:val="auto"/>
              </w:rPr>
            </w:pPr>
          </w:p>
        </w:tc>
        <w:tc>
          <w:tcPr>
            <w:tcW w:w="1200" w:type="dxa"/>
            <w:vAlign w:val="bottom"/>
            <w:tcBorders>
              <w:bottom w:val="single" w:sz="8" w:color="DBEEF4"/>
            </w:tcBorders>
            <w:shd w:val="clear" w:color="auto" w:fill="DBEEF4"/>
          </w:tcPr>
          <w:p>
            <w:pPr>
              <w:spacing w:after="0"/>
              <w:rPr>
                <w:sz w:val="11"/>
                <w:szCs w:val="11"/>
                <w:color w:val="auto"/>
              </w:rPr>
            </w:pPr>
          </w:p>
        </w:tc>
        <w:tc>
          <w:tcPr>
            <w:tcW w:w="820" w:type="dxa"/>
            <w:vAlign w:val="bottom"/>
            <w:tcBorders>
              <w:bottom w:val="single" w:sz="8" w:color="DBEEF4"/>
            </w:tcBorders>
            <w:shd w:val="clear" w:color="auto" w:fill="DBEEF4"/>
          </w:tcPr>
          <w:p>
            <w:pPr>
              <w:spacing w:after="0"/>
              <w:rPr>
                <w:sz w:val="11"/>
                <w:szCs w:val="11"/>
                <w:color w:val="auto"/>
              </w:rPr>
            </w:pPr>
          </w:p>
        </w:tc>
        <w:tc>
          <w:tcPr>
            <w:tcW w:w="6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8"/>
                <w:szCs w:val="8"/>
                <w:color w:val="auto"/>
              </w:rPr>
              <w:t>11/6/2020</w:t>
            </w:r>
          </w:p>
        </w:tc>
        <w:tc>
          <w:tcPr>
            <w:tcW w:w="580" w:type="dxa"/>
            <w:vAlign w:val="bottom"/>
            <w:tcBorders>
              <w:bottom w:val="single" w:sz="8" w:color="DBEEF4"/>
            </w:tcBorders>
            <w:shd w:val="clear" w:color="auto" w:fill="DBEEF4"/>
          </w:tcPr>
          <w:p>
            <w:pPr>
              <w:spacing w:after="0"/>
              <w:rPr>
                <w:sz w:val="11"/>
                <w:szCs w:val="11"/>
                <w:color w:val="auto"/>
              </w:rPr>
            </w:pPr>
          </w:p>
        </w:tc>
        <w:tc>
          <w:tcPr>
            <w:tcW w:w="160" w:type="dxa"/>
            <w:vAlign w:val="bottom"/>
            <w:tcBorders>
              <w:bottom w:val="single" w:sz="8" w:color="DBEEF4"/>
            </w:tcBorders>
            <w:shd w:val="clear" w:color="auto" w:fill="DBEEF4"/>
          </w:tcPr>
          <w:p>
            <w:pPr>
              <w:spacing w:after="0"/>
              <w:rPr>
                <w:sz w:val="11"/>
                <w:szCs w:val="11"/>
                <w:color w:val="auto"/>
              </w:rPr>
            </w:pPr>
          </w:p>
        </w:tc>
        <w:tc>
          <w:tcPr>
            <w:tcW w:w="460" w:type="dxa"/>
            <w:vAlign w:val="bottom"/>
            <w:tcBorders>
              <w:bottom w:val="single" w:sz="8" w:color="DBEEF4"/>
            </w:tcBorders>
            <w:shd w:val="clear" w:color="auto" w:fill="DBEEF4"/>
          </w:tcPr>
          <w:p>
            <w:pPr>
              <w:spacing w:after="0"/>
              <w:rPr>
                <w:sz w:val="11"/>
                <w:szCs w:val="11"/>
                <w:color w:val="auto"/>
              </w:rPr>
            </w:pPr>
          </w:p>
        </w:tc>
        <w:tc>
          <w:tcPr>
            <w:tcW w:w="120" w:type="dxa"/>
            <w:vAlign w:val="bottom"/>
            <w:tcBorders>
              <w:bottom w:val="single" w:sz="8" w:color="DBEEF4"/>
            </w:tcBorders>
            <w:shd w:val="clear" w:color="auto" w:fill="DBEEF4"/>
          </w:tcPr>
          <w:p>
            <w:pPr>
              <w:spacing w:after="0"/>
              <w:rPr>
                <w:sz w:val="11"/>
                <w:szCs w:val="11"/>
                <w:color w:val="auto"/>
              </w:rPr>
            </w:pPr>
          </w:p>
        </w:tc>
        <w:tc>
          <w:tcPr>
            <w:tcW w:w="100" w:type="dxa"/>
            <w:vAlign w:val="bottom"/>
            <w:tcBorders>
              <w:bottom w:val="single" w:sz="8" w:color="DBEEF4"/>
            </w:tcBorders>
            <w:shd w:val="clear" w:color="auto" w:fill="DBEEF4"/>
          </w:tcPr>
          <w:p>
            <w:pPr>
              <w:spacing w:after="0"/>
              <w:rPr>
                <w:sz w:val="11"/>
                <w:szCs w:val="11"/>
                <w:color w:val="auto"/>
              </w:rPr>
            </w:pPr>
          </w:p>
        </w:tc>
        <w:tc>
          <w:tcPr>
            <w:tcW w:w="140" w:type="dxa"/>
            <w:vAlign w:val="bottom"/>
            <w:tcBorders>
              <w:bottom w:val="single" w:sz="8" w:color="auto"/>
            </w:tcBorders>
            <w:shd w:val="clear" w:color="auto" w:fill="DBEEF4"/>
          </w:tcPr>
          <w:p>
            <w:pPr>
              <w:spacing w:after="0"/>
              <w:rPr>
                <w:sz w:val="11"/>
                <w:szCs w:val="11"/>
                <w:color w:val="auto"/>
              </w:rPr>
            </w:pPr>
          </w:p>
        </w:tc>
        <w:tc>
          <w:tcPr>
            <w:tcW w:w="42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1,071</w:t>
            </w:r>
          </w:p>
        </w:tc>
        <w:tc>
          <w:tcPr>
            <w:tcW w:w="200" w:type="dxa"/>
            <w:vAlign w:val="bottom"/>
            <w:tcBorders>
              <w:bottom w:val="single" w:sz="8" w:color="DBEEF4"/>
            </w:tcBorders>
            <w:shd w:val="clear" w:color="auto" w:fill="DBEEF4"/>
          </w:tcPr>
          <w:p>
            <w:pPr>
              <w:spacing w:after="0"/>
              <w:rPr>
                <w:sz w:val="11"/>
                <w:szCs w:val="11"/>
                <w:color w:val="auto"/>
              </w:rPr>
            </w:pPr>
          </w:p>
        </w:tc>
        <w:tc>
          <w:tcPr>
            <w:tcW w:w="60" w:type="dxa"/>
            <w:vAlign w:val="bottom"/>
            <w:tcBorders>
              <w:bottom w:val="single" w:sz="8" w:color="auto"/>
            </w:tcBorders>
            <w:shd w:val="clear" w:color="auto" w:fill="DBEEF4"/>
          </w:tcPr>
          <w:p>
            <w:pPr>
              <w:spacing w:after="0"/>
              <w:rPr>
                <w:sz w:val="11"/>
                <w:szCs w:val="11"/>
                <w:color w:val="auto"/>
              </w:rPr>
            </w:pPr>
          </w:p>
        </w:tc>
        <w:tc>
          <w:tcPr>
            <w:tcW w:w="44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1,071</w:t>
            </w:r>
          </w:p>
        </w:tc>
        <w:tc>
          <w:tcPr>
            <w:tcW w:w="40" w:type="dxa"/>
            <w:vAlign w:val="bottom"/>
            <w:tcBorders>
              <w:bottom w:val="single" w:sz="8" w:color="DBEEF4"/>
            </w:tcBorders>
            <w:shd w:val="clear" w:color="auto" w:fill="DBEEF4"/>
          </w:tcPr>
          <w:p>
            <w:pPr>
              <w:spacing w:after="0"/>
              <w:rPr>
                <w:sz w:val="11"/>
                <w:szCs w:val="11"/>
                <w:color w:val="auto"/>
              </w:rPr>
            </w:pPr>
          </w:p>
        </w:tc>
        <w:tc>
          <w:tcPr>
            <w:tcW w:w="560" w:type="dxa"/>
            <w:vAlign w:val="bottom"/>
            <w:tcBorders>
              <w:bottom w:val="single" w:sz="8" w:color="DBEEF4"/>
            </w:tcBorders>
            <w:shd w:val="clear" w:color="auto" w:fill="DBEEF4"/>
          </w:tcPr>
          <w:p>
            <w:pPr>
              <w:spacing w:after="0"/>
              <w:rPr>
                <w:sz w:val="11"/>
                <w:szCs w:val="11"/>
                <w:color w:val="auto"/>
              </w:rPr>
            </w:pPr>
          </w:p>
        </w:tc>
        <w:tc>
          <w:tcPr>
            <w:tcW w:w="120" w:type="dxa"/>
            <w:vAlign w:val="bottom"/>
            <w:tcBorders>
              <w:bottom w:val="single" w:sz="8" w:color="DBEEF4"/>
            </w:tcBorders>
            <w:shd w:val="clear" w:color="auto" w:fill="DBEEF4"/>
          </w:tcPr>
          <w:p>
            <w:pPr>
              <w:spacing w:after="0"/>
              <w:rPr>
                <w:sz w:val="11"/>
                <w:szCs w:val="11"/>
                <w:color w:val="auto"/>
              </w:rPr>
            </w:pPr>
          </w:p>
        </w:tc>
      </w:tr>
      <w:tr>
        <w:trPr>
          <w:trHeight w:val="113"/>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8"/>
                <w:szCs w:val="8"/>
                <w:color w:val="auto"/>
              </w:rPr>
              <w:t>9,020</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9,020</w:t>
            </w:r>
          </w:p>
        </w:tc>
        <w:tc>
          <w:tcPr>
            <w:tcW w:w="720" w:type="dxa"/>
            <w:vAlign w:val="bottom"/>
            <w:gridSpan w:val="3"/>
          </w:tcPr>
          <w:p>
            <w:pPr>
              <w:jc w:val="right"/>
              <w:ind w:right="40"/>
              <w:spacing w:after="0"/>
              <w:rPr>
                <w:sz w:val="20"/>
                <w:szCs w:val="20"/>
                <w:color w:val="auto"/>
              </w:rPr>
            </w:pPr>
            <w:r>
              <w:rPr>
                <w:rFonts w:ascii="Arial" w:cs="Arial" w:eastAsia="Arial" w:hAnsi="Arial"/>
                <w:sz w:val="8"/>
                <w:szCs w:val="8"/>
                <w:color w:val="auto"/>
              </w:rPr>
              <w:t>2 %</w:t>
            </w:r>
          </w:p>
        </w:tc>
      </w:tr>
      <w:tr>
        <w:trPr>
          <w:trHeight w:val="134"/>
        </w:trPr>
        <w:tc>
          <w:tcPr>
            <w:tcW w:w="2920" w:type="dxa"/>
            <w:vAlign w:val="bottom"/>
            <w:gridSpan w:val="4"/>
            <w:shd w:val="clear" w:color="auto" w:fill="DBEEF4"/>
          </w:tcPr>
          <w:p>
            <w:pPr>
              <w:ind w:left="20"/>
              <w:spacing w:after="0"/>
              <w:rPr>
                <w:sz w:val="20"/>
                <w:szCs w:val="20"/>
                <w:color w:val="auto"/>
              </w:rPr>
            </w:pPr>
            <w:r>
              <w:rPr>
                <w:rFonts w:ascii="Arial" w:cs="Arial" w:eastAsia="Arial" w:hAnsi="Arial"/>
                <w:sz w:val="8"/>
                <w:szCs w:val="8"/>
                <w:i w:val="1"/>
                <w:iCs w:val="1"/>
                <w:color w:val="auto"/>
              </w:rPr>
              <w:t>Argo Turboserve Corporation</w:t>
            </w:r>
          </w:p>
        </w:tc>
        <w:tc>
          <w:tcPr>
            <w:tcW w:w="2260" w:type="dxa"/>
            <w:vAlign w:val="bottom"/>
            <w:shd w:val="clear" w:color="auto" w:fill="DBEEF4"/>
          </w:tcPr>
          <w:p>
            <w:pPr>
              <w:ind w:left="800"/>
              <w:spacing w:after="0"/>
              <w:rPr>
                <w:sz w:val="20"/>
                <w:szCs w:val="20"/>
                <w:color w:val="auto"/>
              </w:rPr>
            </w:pPr>
            <w:r>
              <w:rPr>
                <w:rFonts w:ascii="Arial" w:cs="Arial" w:eastAsia="Arial" w:hAnsi="Arial"/>
                <w:sz w:val="8"/>
                <w:szCs w:val="8"/>
                <w:color w:val="auto"/>
              </w:rPr>
              <w:t>Business Services</w:t>
            </w:r>
          </w:p>
        </w:tc>
        <w:tc>
          <w:tcPr>
            <w:tcW w:w="1200" w:type="dxa"/>
            <w:vAlign w:val="bottom"/>
            <w:shd w:val="clear" w:color="auto" w:fill="DBEEF4"/>
          </w:tcPr>
          <w:p>
            <w:pPr>
              <w:spacing w:after="0"/>
              <w:rPr>
                <w:sz w:val="11"/>
                <w:szCs w:val="11"/>
                <w:color w:val="auto"/>
              </w:rPr>
            </w:pP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580" w:type="dxa"/>
            <w:vAlign w:val="bottom"/>
            <w:shd w:val="clear" w:color="auto" w:fill="DBEEF4"/>
          </w:tcPr>
          <w:p>
            <w:pPr>
              <w:spacing w:after="0"/>
              <w:rPr>
                <w:sz w:val="11"/>
                <w:szCs w:val="11"/>
                <w:color w:val="auto"/>
              </w:rPr>
            </w:pPr>
          </w:p>
        </w:tc>
        <w:tc>
          <w:tcPr>
            <w:tcW w:w="160" w:type="dxa"/>
            <w:vAlign w:val="bottom"/>
            <w:shd w:val="clear" w:color="auto" w:fill="DBEEF4"/>
          </w:tcPr>
          <w:p>
            <w:pPr>
              <w:spacing w:after="0"/>
              <w:rPr>
                <w:sz w:val="11"/>
                <w:szCs w:val="11"/>
                <w:color w:val="auto"/>
              </w:rPr>
            </w:pPr>
          </w:p>
        </w:tc>
        <w:tc>
          <w:tcPr>
            <w:tcW w:w="4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1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42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60" w:type="dxa"/>
            <w:vAlign w:val="bottom"/>
            <w:shd w:val="clear" w:color="auto" w:fill="DBEEF4"/>
          </w:tcPr>
          <w:p>
            <w:pPr>
              <w:spacing w:after="0"/>
              <w:rPr>
                <w:sz w:val="11"/>
                <w:szCs w:val="11"/>
                <w:color w:val="auto"/>
              </w:rPr>
            </w:pPr>
          </w:p>
        </w:tc>
        <w:tc>
          <w:tcPr>
            <w:tcW w:w="440" w:type="dxa"/>
            <w:vAlign w:val="bottom"/>
            <w:shd w:val="clear" w:color="auto" w:fill="DBEEF4"/>
          </w:tcPr>
          <w:p>
            <w:pPr>
              <w:spacing w:after="0"/>
              <w:rPr>
                <w:sz w:val="11"/>
                <w:szCs w:val="11"/>
                <w:color w:val="auto"/>
              </w:rPr>
            </w:pPr>
          </w:p>
        </w:tc>
        <w:tc>
          <w:tcPr>
            <w:tcW w:w="40" w:type="dxa"/>
            <w:vAlign w:val="bottom"/>
            <w:shd w:val="clear" w:color="auto" w:fill="DBEEF4"/>
          </w:tcPr>
          <w:p>
            <w:pPr>
              <w:spacing w:after="0"/>
              <w:rPr>
                <w:sz w:val="11"/>
                <w:szCs w:val="11"/>
                <w:color w:val="auto"/>
              </w:rPr>
            </w:pPr>
          </w:p>
        </w:tc>
        <w:tc>
          <w:tcPr>
            <w:tcW w:w="5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r>
      <w:tr>
        <w:trPr>
          <w:trHeight w:val="120"/>
        </w:trPr>
        <w:tc>
          <w:tcPr>
            <w:tcW w:w="20" w:type="dxa"/>
            <w:vAlign w:val="bottom"/>
          </w:tcPr>
          <w:p>
            <w:pPr>
              <w:spacing w:after="0"/>
              <w:rPr>
                <w:sz w:val="10"/>
                <w:szCs w:val="10"/>
                <w:color w:val="auto"/>
              </w:rPr>
            </w:pPr>
          </w:p>
        </w:tc>
        <w:tc>
          <w:tcPr>
            <w:tcW w:w="2900" w:type="dxa"/>
            <w:vAlign w:val="bottom"/>
            <w:gridSpan w:val="3"/>
          </w:tcPr>
          <w:p>
            <w:pPr>
              <w:ind w:left="80"/>
              <w:spacing w:after="0"/>
              <w:rPr>
                <w:sz w:val="20"/>
                <w:szCs w:val="20"/>
                <w:color w:val="auto"/>
              </w:rPr>
            </w:pPr>
            <w:r>
              <w:rPr>
                <w:rFonts w:ascii="Arial" w:cs="Arial" w:eastAsia="Arial" w:hAnsi="Arial"/>
                <w:sz w:val="8"/>
                <w:szCs w:val="8"/>
                <w:color w:val="auto"/>
              </w:rPr>
              <w:t>Second Lien Debt (j)</w:t>
            </w:r>
          </w:p>
        </w:tc>
        <w:tc>
          <w:tcPr>
            <w:tcW w:w="2260" w:type="dxa"/>
            <w:vAlign w:val="bottom"/>
          </w:tcPr>
          <w:p>
            <w:pPr>
              <w:spacing w:after="0"/>
              <w:rPr>
                <w:sz w:val="10"/>
                <w:szCs w:val="10"/>
                <w:color w:val="auto"/>
              </w:rPr>
            </w:pPr>
          </w:p>
        </w:tc>
        <w:tc>
          <w:tcPr>
            <w:tcW w:w="1200" w:type="dxa"/>
            <w:vAlign w:val="bottom"/>
          </w:tcPr>
          <w:p>
            <w:pPr>
              <w:ind w:left="200"/>
              <w:spacing w:after="0"/>
              <w:rPr>
                <w:sz w:val="20"/>
                <w:szCs w:val="20"/>
                <w:color w:val="auto"/>
              </w:rPr>
            </w:pPr>
            <w:r>
              <w:rPr>
                <w:rFonts w:ascii="Arial" w:cs="Arial" w:eastAsia="Arial" w:hAnsi="Arial"/>
                <w:sz w:val="8"/>
                <w:szCs w:val="8"/>
                <w:color w:val="auto"/>
              </w:rPr>
              <w:t>(L + 10.75%) / (2.00%)</w:t>
            </w:r>
          </w:p>
        </w:tc>
        <w:tc>
          <w:tcPr>
            <w:tcW w:w="820" w:type="dxa"/>
            <w:vAlign w:val="bottom"/>
          </w:tcPr>
          <w:p>
            <w:pPr>
              <w:ind w:left="180"/>
              <w:spacing w:after="0"/>
              <w:rPr>
                <w:sz w:val="20"/>
                <w:szCs w:val="20"/>
                <w:color w:val="auto"/>
              </w:rPr>
            </w:pPr>
            <w:r>
              <w:rPr>
                <w:rFonts w:ascii="Arial" w:cs="Arial" w:eastAsia="Arial" w:hAnsi="Arial"/>
                <w:sz w:val="8"/>
                <w:szCs w:val="8"/>
                <w:color w:val="auto"/>
              </w:rPr>
              <w:t>12.75%/0.00%</w:t>
            </w:r>
          </w:p>
        </w:tc>
        <w:tc>
          <w:tcPr>
            <w:tcW w:w="640" w:type="dxa"/>
            <w:vAlign w:val="bottom"/>
          </w:tcPr>
          <w:p>
            <w:pPr>
              <w:ind w:left="120"/>
              <w:spacing w:after="0"/>
              <w:rPr>
                <w:sz w:val="20"/>
                <w:szCs w:val="20"/>
                <w:color w:val="auto"/>
              </w:rPr>
            </w:pPr>
            <w:r>
              <w:rPr>
                <w:rFonts w:ascii="Arial" w:cs="Arial" w:eastAsia="Arial" w:hAnsi="Arial"/>
                <w:sz w:val="8"/>
                <w:szCs w:val="8"/>
                <w:color w:val="auto"/>
              </w:rPr>
              <w:t>12/26/2018</w:t>
            </w:r>
          </w:p>
        </w:tc>
        <w:tc>
          <w:tcPr>
            <w:tcW w:w="580" w:type="dxa"/>
            <w:vAlign w:val="bottom"/>
          </w:tcPr>
          <w:p>
            <w:pPr>
              <w:ind w:left="120"/>
              <w:spacing w:after="0"/>
              <w:rPr>
                <w:sz w:val="20"/>
                <w:szCs w:val="20"/>
                <w:color w:val="auto"/>
              </w:rPr>
            </w:pPr>
            <w:r>
              <w:rPr>
                <w:rFonts w:ascii="Arial" w:cs="Arial" w:eastAsia="Arial" w:hAnsi="Arial"/>
                <w:sz w:val="8"/>
                <w:szCs w:val="8"/>
                <w:color w:val="auto"/>
              </w:rPr>
              <w:t>6/28/2023</w:t>
            </w:r>
          </w:p>
        </w:tc>
        <w:tc>
          <w:tcPr>
            <w:tcW w:w="1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13,031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8"/>
                <w:szCs w:val="8"/>
                <w:color w:val="auto"/>
              </w:rPr>
              <w:t>12,990</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13,031</w:t>
            </w:r>
          </w:p>
        </w:tc>
        <w:tc>
          <w:tcPr>
            <w:tcW w:w="720" w:type="dxa"/>
            <w:vAlign w:val="bottom"/>
            <w:gridSpan w:val="3"/>
          </w:tcPr>
          <w:p>
            <w:pPr>
              <w:jc w:val="right"/>
              <w:ind w:right="40"/>
              <w:spacing w:after="0"/>
              <w:rPr>
                <w:sz w:val="20"/>
                <w:szCs w:val="20"/>
                <w:color w:val="auto"/>
              </w:rPr>
            </w:pPr>
            <w:r>
              <w:rPr>
                <w:rFonts w:ascii="Arial" w:cs="Arial" w:eastAsia="Arial" w:hAnsi="Arial"/>
                <w:sz w:val="8"/>
                <w:szCs w:val="8"/>
                <w:color w:val="auto"/>
              </w:rPr>
              <w:t>3 %</w:t>
            </w:r>
          </w:p>
        </w:tc>
      </w:tr>
      <w:tr>
        <w:trPr>
          <w:trHeight w:val="134"/>
        </w:trPr>
        <w:tc>
          <w:tcPr>
            <w:tcW w:w="20" w:type="dxa"/>
            <w:vAlign w:val="bottom"/>
            <w:shd w:val="clear" w:color="auto" w:fill="DBEEF4"/>
          </w:tcPr>
          <w:p>
            <w:pPr>
              <w:spacing w:after="0"/>
              <w:rPr>
                <w:sz w:val="11"/>
                <w:szCs w:val="11"/>
                <w:color w:val="auto"/>
              </w:rPr>
            </w:pPr>
          </w:p>
        </w:tc>
        <w:tc>
          <w:tcPr>
            <w:tcW w:w="840" w:type="dxa"/>
            <w:vAlign w:val="bottom"/>
            <w:shd w:val="clear" w:color="auto" w:fill="DBEEF4"/>
          </w:tcPr>
          <w:p>
            <w:pPr>
              <w:spacing w:after="0"/>
              <w:rPr>
                <w:sz w:val="11"/>
                <w:szCs w:val="11"/>
                <w:color w:val="auto"/>
              </w:rPr>
            </w:pPr>
          </w:p>
        </w:tc>
        <w:tc>
          <w:tcPr>
            <w:tcW w:w="520" w:type="dxa"/>
            <w:vAlign w:val="bottom"/>
            <w:shd w:val="clear" w:color="auto" w:fill="DBEEF4"/>
          </w:tcPr>
          <w:p>
            <w:pPr>
              <w:spacing w:after="0"/>
              <w:rPr>
                <w:sz w:val="11"/>
                <w:szCs w:val="11"/>
                <w:color w:val="auto"/>
              </w:rPr>
            </w:pPr>
          </w:p>
        </w:tc>
        <w:tc>
          <w:tcPr>
            <w:tcW w:w="1540" w:type="dxa"/>
            <w:vAlign w:val="bottom"/>
            <w:shd w:val="clear" w:color="auto" w:fill="DBEEF4"/>
          </w:tcPr>
          <w:p>
            <w:pPr>
              <w:spacing w:after="0"/>
              <w:rPr>
                <w:sz w:val="11"/>
                <w:szCs w:val="11"/>
                <w:color w:val="auto"/>
              </w:rPr>
            </w:pPr>
          </w:p>
        </w:tc>
        <w:tc>
          <w:tcPr>
            <w:tcW w:w="2260" w:type="dxa"/>
            <w:vAlign w:val="bottom"/>
            <w:shd w:val="clear" w:color="auto" w:fill="DBEEF4"/>
          </w:tcPr>
          <w:p>
            <w:pPr>
              <w:spacing w:after="0"/>
              <w:rPr>
                <w:sz w:val="11"/>
                <w:szCs w:val="11"/>
                <w:color w:val="auto"/>
              </w:rPr>
            </w:pPr>
          </w:p>
        </w:tc>
        <w:tc>
          <w:tcPr>
            <w:tcW w:w="1200" w:type="dxa"/>
            <w:vAlign w:val="bottom"/>
            <w:shd w:val="clear" w:color="auto" w:fill="DBEEF4"/>
          </w:tcPr>
          <w:p>
            <w:pPr>
              <w:spacing w:after="0"/>
              <w:rPr>
                <w:sz w:val="11"/>
                <w:szCs w:val="11"/>
                <w:color w:val="auto"/>
              </w:rPr>
            </w:pP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580" w:type="dxa"/>
            <w:vAlign w:val="bottom"/>
            <w:shd w:val="clear" w:color="auto" w:fill="DBEEF4"/>
          </w:tcPr>
          <w:p>
            <w:pPr>
              <w:spacing w:after="0"/>
              <w:rPr>
                <w:sz w:val="11"/>
                <w:szCs w:val="11"/>
                <w:color w:val="auto"/>
              </w:rPr>
            </w:pPr>
          </w:p>
        </w:tc>
        <w:tc>
          <w:tcPr>
            <w:tcW w:w="160" w:type="dxa"/>
            <w:vAlign w:val="bottom"/>
            <w:shd w:val="clear" w:color="auto" w:fill="DBEEF4"/>
          </w:tcPr>
          <w:p>
            <w:pPr>
              <w:spacing w:after="0"/>
              <w:rPr>
                <w:sz w:val="11"/>
                <w:szCs w:val="11"/>
                <w:color w:val="auto"/>
              </w:rPr>
            </w:pPr>
          </w:p>
        </w:tc>
        <w:tc>
          <w:tcPr>
            <w:tcW w:w="4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1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42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60" w:type="dxa"/>
            <w:vAlign w:val="bottom"/>
            <w:shd w:val="clear" w:color="auto" w:fill="DBEEF4"/>
          </w:tcPr>
          <w:p>
            <w:pPr>
              <w:spacing w:after="0"/>
              <w:rPr>
                <w:sz w:val="11"/>
                <w:szCs w:val="11"/>
                <w:color w:val="auto"/>
              </w:rPr>
            </w:pPr>
          </w:p>
        </w:tc>
        <w:tc>
          <w:tcPr>
            <w:tcW w:w="440" w:type="dxa"/>
            <w:vAlign w:val="bottom"/>
            <w:shd w:val="clear" w:color="auto" w:fill="DBEEF4"/>
          </w:tcPr>
          <w:p>
            <w:pPr>
              <w:spacing w:after="0"/>
              <w:rPr>
                <w:sz w:val="11"/>
                <w:szCs w:val="11"/>
                <w:color w:val="auto"/>
              </w:rPr>
            </w:pPr>
          </w:p>
        </w:tc>
        <w:tc>
          <w:tcPr>
            <w:tcW w:w="40" w:type="dxa"/>
            <w:vAlign w:val="bottom"/>
            <w:shd w:val="clear" w:color="auto" w:fill="DBEEF4"/>
          </w:tcPr>
          <w:p>
            <w:pPr>
              <w:spacing w:after="0"/>
              <w:rPr>
                <w:sz w:val="11"/>
                <w:szCs w:val="11"/>
                <w:color w:val="auto"/>
              </w:rPr>
            </w:pPr>
          </w:p>
        </w:tc>
        <w:tc>
          <w:tcPr>
            <w:tcW w:w="5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r>
      <w:tr>
        <w:trPr>
          <w:trHeight w:val="120"/>
        </w:trPr>
        <w:tc>
          <w:tcPr>
            <w:tcW w:w="2920" w:type="dxa"/>
            <w:vAlign w:val="bottom"/>
            <w:gridSpan w:val="4"/>
          </w:tcPr>
          <w:p>
            <w:pPr>
              <w:ind w:left="20"/>
              <w:spacing w:after="0"/>
              <w:rPr>
                <w:sz w:val="20"/>
                <w:szCs w:val="20"/>
                <w:color w:val="auto"/>
              </w:rPr>
            </w:pPr>
            <w:r>
              <w:rPr>
                <w:rFonts w:ascii="Arial" w:cs="Arial" w:eastAsia="Arial" w:hAnsi="Arial"/>
                <w:sz w:val="8"/>
                <w:szCs w:val="8"/>
                <w:i w:val="1"/>
                <w:iCs w:val="1"/>
                <w:color w:val="auto"/>
              </w:rPr>
              <w:t>AVC Investors, LLC (dba Auveco)</w:t>
            </w:r>
          </w:p>
        </w:tc>
        <w:tc>
          <w:tcPr>
            <w:tcW w:w="2260" w:type="dxa"/>
            <w:vAlign w:val="bottom"/>
          </w:tcPr>
          <w:p>
            <w:pPr>
              <w:ind w:left="800"/>
              <w:spacing w:after="0"/>
              <w:rPr>
                <w:sz w:val="20"/>
                <w:szCs w:val="20"/>
                <w:color w:val="auto"/>
              </w:rPr>
            </w:pPr>
            <w:r>
              <w:rPr>
                <w:rFonts w:ascii="Arial" w:cs="Arial" w:eastAsia="Arial" w:hAnsi="Arial"/>
                <w:sz w:val="8"/>
                <w:szCs w:val="8"/>
                <w:color w:val="auto"/>
              </w:rPr>
              <w:t>Specialty Distribution</w:t>
            </w: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4"/>
        </w:trPr>
        <w:tc>
          <w:tcPr>
            <w:tcW w:w="20" w:type="dxa"/>
            <w:vAlign w:val="bottom"/>
            <w:shd w:val="clear" w:color="auto" w:fill="DBEEF4"/>
          </w:tcPr>
          <w:p>
            <w:pPr>
              <w:spacing w:after="0"/>
              <w:rPr>
                <w:sz w:val="11"/>
                <w:szCs w:val="11"/>
                <w:color w:val="auto"/>
              </w:rPr>
            </w:pPr>
          </w:p>
        </w:tc>
        <w:tc>
          <w:tcPr>
            <w:tcW w:w="2900" w:type="dxa"/>
            <w:vAlign w:val="bottom"/>
            <w:gridSpan w:val="3"/>
            <w:shd w:val="clear" w:color="auto" w:fill="DBEEF4"/>
          </w:tcPr>
          <w:p>
            <w:pPr>
              <w:ind w:left="80"/>
              <w:spacing w:after="0"/>
              <w:rPr>
                <w:sz w:val="20"/>
                <w:szCs w:val="20"/>
                <w:color w:val="auto"/>
              </w:rPr>
            </w:pPr>
            <w:r>
              <w:rPr>
                <w:rFonts w:ascii="Arial" w:cs="Arial" w:eastAsia="Arial" w:hAnsi="Arial"/>
                <w:sz w:val="8"/>
                <w:szCs w:val="8"/>
                <w:color w:val="auto"/>
              </w:rPr>
              <w:t>Second Lien Debt (k)</w:t>
            </w:r>
          </w:p>
        </w:tc>
        <w:tc>
          <w:tcPr>
            <w:tcW w:w="2260" w:type="dxa"/>
            <w:vAlign w:val="bottom"/>
            <w:shd w:val="clear" w:color="auto" w:fill="DBEEF4"/>
          </w:tcPr>
          <w:p>
            <w:pPr>
              <w:spacing w:after="0"/>
              <w:rPr>
                <w:sz w:val="11"/>
                <w:szCs w:val="11"/>
                <w:color w:val="auto"/>
              </w:rPr>
            </w:pPr>
          </w:p>
        </w:tc>
        <w:tc>
          <w:tcPr>
            <w:tcW w:w="1200" w:type="dxa"/>
            <w:vAlign w:val="bottom"/>
            <w:shd w:val="clear" w:color="auto" w:fill="DBEEF4"/>
          </w:tcPr>
          <w:p>
            <w:pPr>
              <w:spacing w:after="0"/>
              <w:rPr>
                <w:sz w:val="11"/>
                <w:szCs w:val="11"/>
                <w:color w:val="auto"/>
              </w:rPr>
            </w:pPr>
          </w:p>
        </w:tc>
        <w:tc>
          <w:tcPr>
            <w:tcW w:w="820" w:type="dxa"/>
            <w:vAlign w:val="bottom"/>
            <w:shd w:val="clear" w:color="auto" w:fill="DBEEF4"/>
          </w:tcPr>
          <w:p>
            <w:pPr>
              <w:ind w:left="180"/>
              <w:spacing w:after="0"/>
              <w:rPr>
                <w:sz w:val="20"/>
                <w:szCs w:val="20"/>
                <w:color w:val="auto"/>
              </w:rPr>
            </w:pPr>
            <w:r>
              <w:rPr>
                <w:rFonts w:ascii="Arial" w:cs="Arial" w:eastAsia="Arial" w:hAnsi="Arial"/>
                <w:sz w:val="8"/>
                <w:szCs w:val="8"/>
                <w:color w:val="auto"/>
              </w:rPr>
              <w:t>11.50%/0.00%</w:t>
            </w:r>
          </w:p>
        </w:tc>
        <w:tc>
          <w:tcPr>
            <w:tcW w:w="640" w:type="dxa"/>
            <w:vAlign w:val="bottom"/>
            <w:shd w:val="clear" w:color="auto" w:fill="DBEEF4"/>
          </w:tcPr>
          <w:p>
            <w:pPr>
              <w:ind w:left="120"/>
              <w:spacing w:after="0"/>
              <w:rPr>
                <w:sz w:val="20"/>
                <w:szCs w:val="20"/>
                <w:color w:val="auto"/>
              </w:rPr>
            </w:pPr>
            <w:r>
              <w:rPr>
                <w:rFonts w:ascii="Arial" w:cs="Arial" w:eastAsia="Arial" w:hAnsi="Arial"/>
                <w:sz w:val="8"/>
                <w:szCs w:val="8"/>
                <w:color w:val="auto"/>
              </w:rPr>
              <w:t>1/3/2018</w:t>
            </w:r>
          </w:p>
        </w:tc>
        <w:tc>
          <w:tcPr>
            <w:tcW w:w="580" w:type="dxa"/>
            <w:vAlign w:val="bottom"/>
            <w:shd w:val="clear" w:color="auto" w:fill="DBEEF4"/>
          </w:tcPr>
          <w:p>
            <w:pPr>
              <w:ind w:left="120"/>
              <w:spacing w:after="0"/>
              <w:rPr>
                <w:sz w:val="20"/>
                <w:szCs w:val="20"/>
                <w:color w:val="auto"/>
              </w:rPr>
            </w:pPr>
            <w:r>
              <w:rPr>
                <w:rFonts w:ascii="Arial" w:cs="Arial" w:eastAsia="Arial" w:hAnsi="Arial"/>
                <w:sz w:val="8"/>
                <w:szCs w:val="8"/>
                <w:color w:val="auto"/>
              </w:rPr>
              <w:t>7/3/2023</w:t>
            </w:r>
          </w:p>
        </w:tc>
        <w:tc>
          <w:tcPr>
            <w:tcW w:w="160" w:type="dxa"/>
            <w:vAlign w:val="bottom"/>
            <w:shd w:val="clear" w:color="auto" w:fill="DBEEF4"/>
          </w:tcPr>
          <w:p>
            <w:pPr>
              <w:spacing w:after="0"/>
              <w:rPr>
                <w:sz w:val="11"/>
                <w:szCs w:val="11"/>
                <w:color w:val="auto"/>
              </w:rPr>
            </w:pPr>
          </w:p>
        </w:tc>
        <w:tc>
          <w:tcPr>
            <w:tcW w:w="460" w:type="dxa"/>
            <w:vAlign w:val="bottom"/>
            <w:shd w:val="clear" w:color="auto" w:fill="DBEEF4"/>
          </w:tcPr>
          <w:p>
            <w:pPr>
              <w:jc w:val="right"/>
              <w:spacing w:after="0"/>
              <w:rPr>
                <w:sz w:val="20"/>
                <w:szCs w:val="20"/>
                <w:color w:val="auto"/>
              </w:rPr>
            </w:pPr>
            <w:r>
              <w:rPr>
                <w:rFonts w:ascii="Arial" w:cs="Arial" w:eastAsia="Arial" w:hAnsi="Arial"/>
                <w:sz w:val="8"/>
                <w:szCs w:val="8"/>
                <w:color w:val="auto"/>
              </w:rPr>
              <w:t>22,500</w:t>
            </w:r>
          </w:p>
        </w:tc>
        <w:tc>
          <w:tcPr>
            <w:tcW w:w="120" w:type="dxa"/>
            <w:vAlign w:val="bottom"/>
            <w:shd w:val="clear" w:color="auto" w:fill="DBEEF4"/>
          </w:tcPr>
          <w:p>
            <w:pPr>
              <w:spacing w:after="0"/>
              <w:rPr>
                <w:sz w:val="11"/>
                <w:szCs w:val="11"/>
                <w:color w:val="auto"/>
              </w:rPr>
            </w:pPr>
          </w:p>
        </w:tc>
        <w:tc>
          <w:tcPr>
            <w:tcW w:w="1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8"/>
                <w:szCs w:val="8"/>
                <w:color w:val="auto"/>
              </w:rPr>
              <w:t>22,448</w:t>
            </w:r>
          </w:p>
        </w:tc>
        <w:tc>
          <w:tcPr>
            <w:tcW w:w="200" w:type="dxa"/>
            <w:vAlign w:val="bottom"/>
            <w:shd w:val="clear" w:color="auto" w:fill="DBEEF4"/>
          </w:tcPr>
          <w:p>
            <w:pPr>
              <w:spacing w:after="0"/>
              <w:rPr>
                <w:sz w:val="11"/>
                <w:szCs w:val="11"/>
                <w:color w:val="auto"/>
              </w:rPr>
            </w:pPr>
          </w:p>
        </w:tc>
        <w:tc>
          <w:tcPr>
            <w:tcW w:w="60" w:type="dxa"/>
            <w:vAlign w:val="bottom"/>
            <w:shd w:val="clear" w:color="auto" w:fill="DBEEF4"/>
          </w:tcPr>
          <w:p>
            <w:pPr>
              <w:spacing w:after="0"/>
              <w:rPr>
                <w:sz w:val="11"/>
                <w:szCs w:val="11"/>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22,500</w:t>
            </w:r>
          </w:p>
        </w:tc>
        <w:tc>
          <w:tcPr>
            <w:tcW w:w="40" w:type="dxa"/>
            <w:vAlign w:val="bottom"/>
            <w:shd w:val="clear" w:color="auto" w:fill="DBEEF4"/>
          </w:tcPr>
          <w:p>
            <w:pPr>
              <w:spacing w:after="0"/>
              <w:rPr>
                <w:sz w:val="11"/>
                <w:szCs w:val="11"/>
                <w:color w:val="auto"/>
              </w:rPr>
            </w:pPr>
          </w:p>
        </w:tc>
        <w:tc>
          <w:tcPr>
            <w:tcW w:w="5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r>
      <w:tr>
        <w:trPr>
          <w:trHeight w:val="126"/>
        </w:trPr>
        <w:tc>
          <w:tcPr>
            <w:tcW w:w="20" w:type="dxa"/>
            <w:vAlign w:val="bottom"/>
          </w:tcPr>
          <w:p>
            <w:pPr>
              <w:spacing w:after="0"/>
              <w:rPr>
                <w:sz w:val="10"/>
                <w:szCs w:val="10"/>
                <w:color w:val="auto"/>
              </w:rPr>
            </w:pPr>
          </w:p>
        </w:tc>
        <w:tc>
          <w:tcPr>
            <w:tcW w:w="2900" w:type="dxa"/>
            <w:vAlign w:val="bottom"/>
            <w:gridSpan w:val="3"/>
          </w:tcPr>
          <w:p>
            <w:pPr>
              <w:ind w:left="80"/>
              <w:spacing w:after="0"/>
              <w:rPr>
                <w:sz w:val="20"/>
                <w:szCs w:val="20"/>
                <w:color w:val="auto"/>
              </w:rPr>
            </w:pPr>
            <w:r>
              <w:rPr>
                <w:rFonts w:ascii="Arial" w:cs="Arial" w:eastAsia="Arial" w:hAnsi="Arial"/>
                <w:sz w:val="8"/>
                <w:szCs w:val="8"/>
                <w:color w:val="auto"/>
              </w:rPr>
              <w:t>Common Equity (5,000 units) (j)</w:t>
            </w:r>
          </w:p>
        </w:tc>
        <w:tc>
          <w:tcPr>
            <w:tcW w:w="2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8"/>
                <w:szCs w:val="8"/>
                <w:color w:val="auto"/>
              </w:rPr>
              <w:t>1/3/2018</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487</w:t>
            </w:r>
          </w:p>
        </w:tc>
        <w:tc>
          <w:tcPr>
            <w:tcW w:w="2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464</w:t>
            </w: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0"/>
        </w:trPr>
        <w:tc>
          <w:tcPr>
            <w:tcW w:w="20" w:type="dxa"/>
            <w:vAlign w:val="bottom"/>
            <w:shd w:val="clear" w:color="auto" w:fill="DBEEF4"/>
          </w:tcPr>
          <w:p>
            <w:pPr>
              <w:spacing w:after="0"/>
              <w:rPr>
                <w:sz w:val="10"/>
                <w:szCs w:val="10"/>
                <w:color w:val="auto"/>
              </w:rPr>
            </w:pPr>
          </w:p>
        </w:tc>
        <w:tc>
          <w:tcPr>
            <w:tcW w:w="840" w:type="dxa"/>
            <w:vAlign w:val="bottom"/>
            <w:shd w:val="clear" w:color="auto" w:fill="DBEEF4"/>
          </w:tcPr>
          <w:p>
            <w:pPr>
              <w:spacing w:after="0"/>
              <w:rPr>
                <w:sz w:val="10"/>
                <w:szCs w:val="10"/>
                <w:color w:val="auto"/>
              </w:rPr>
            </w:pPr>
          </w:p>
        </w:tc>
        <w:tc>
          <w:tcPr>
            <w:tcW w:w="520" w:type="dxa"/>
            <w:vAlign w:val="bottom"/>
            <w:shd w:val="clear" w:color="auto" w:fill="DBEEF4"/>
          </w:tcPr>
          <w:p>
            <w:pPr>
              <w:spacing w:after="0"/>
              <w:rPr>
                <w:sz w:val="10"/>
                <w:szCs w:val="10"/>
                <w:color w:val="auto"/>
              </w:rPr>
            </w:pPr>
          </w:p>
        </w:tc>
        <w:tc>
          <w:tcPr>
            <w:tcW w:w="1540" w:type="dxa"/>
            <w:vAlign w:val="bottom"/>
            <w:shd w:val="clear" w:color="auto" w:fill="DBEEF4"/>
          </w:tcPr>
          <w:p>
            <w:pPr>
              <w:spacing w:after="0"/>
              <w:rPr>
                <w:sz w:val="10"/>
                <w:szCs w:val="10"/>
                <w:color w:val="auto"/>
              </w:rPr>
            </w:pPr>
          </w:p>
        </w:tc>
        <w:tc>
          <w:tcPr>
            <w:tcW w:w="2260" w:type="dxa"/>
            <w:vAlign w:val="bottom"/>
            <w:shd w:val="clear" w:color="auto" w:fill="DBEEF4"/>
          </w:tcPr>
          <w:p>
            <w:pPr>
              <w:spacing w:after="0"/>
              <w:rPr>
                <w:sz w:val="10"/>
                <w:szCs w:val="10"/>
                <w:color w:val="auto"/>
              </w:rPr>
            </w:pPr>
          </w:p>
        </w:tc>
        <w:tc>
          <w:tcPr>
            <w:tcW w:w="1200" w:type="dxa"/>
            <w:vAlign w:val="bottom"/>
            <w:shd w:val="clear" w:color="auto" w:fill="DBEEF4"/>
          </w:tcPr>
          <w:p>
            <w:pPr>
              <w:spacing w:after="0"/>
              <w:rPr>
                <w:sz w:val="10"/>
                <w:szCs w:val="10"/>
                <w:color w:val="auto"/>
              </w:rPr>
            </w:pPr>
          </w:p>
        </w:tc>
        <w:tc>
          <w:tcPr>
            <w:tcW w:w="820" w:type="dxa"/>
            <w:vAlign w:val="bottom"/>
            <w:shd w:val="clear" w:color="auto" w:fill="DBEEF4"/>
          </w:tcPr>
          <w:p>
            <w:pPr>
              <w:spacing w:after="0"/>
              <w:rPr>
                <w:sz w:val="10"/>
                <w:szCs w:val="10"/>
                <w:color w:val="auto"/>
              </w:rPr>
            </w:pPr>
          </w:p>
        </w:tc>
        <w:tc>
          <w:tcPr>
            <w:tcW w:w="640" w:type="dxa"/>
            <w:vAlign w:val="bottom"/>
            <w:shd w:val="clear" w:color="auto" w:fill="DBEEF4"/>
          </w:tcPr>
          <w:p>
            <w:pPr>
              <w:spacing w:after="0"/>
              <w:rPr>
                <w:sz w:val="10"/>
                <w:szCs w:val="10"/>
                <w:color w:val="auto"/>
              </w:rPr>
            </w:pPr>
          </w:p>
        </w:tc>
        <w:tc>
          <w:tcPr>
            <w:tcW w:w="580" w:type="dxa"/>
            <w:vAlign w:val="bottom"/>
            <w:shd w:val="clear" w:color="auto" w:fill="DBEEF4"/>
          </w:tcPr>
          <w:p>
            <w:pPr>
              <w:spacing w:after="0"/>
              <w:rPr>
                <w:sz w:val="10"/>
                <w:szCs w:val="10"/>
                <w:color w:val="auto"/>
              </w:rPr>
            </w:pPr>
          </w:p>
        </w:tc>
        <w:tc>
          <w:tcPr>
            <w:tcW w:w="160" w:type="dxa"/>
            <w:vAlign w:val="bottom"/>
            <w:shd w:val="clear" w:color="auto" w:fill="DBEEF4"/>
          </w:tcPr>
          <w:p>
            <w:pPr>
              <w:spacing w:after="0"/>
              <w:rPr>
                <w:sz w:val="10"/>
                <w:szCs w:val="10"/>
                <w:color w:val="auto"/>
              </w:rPr>
            </w:pPr>
          </w:p>
        </w:tc>
        <w:tc>
          <w:tcPr>
            <w:tcW w:w="460" w:type="dxa"/>
            <w:vAlign w:val="bottom"/>
            <w:shd w:val="clear" w:color="auto" w:fill="DBEEF4"/>
          </w:tcPr>
          <w:p>
            <w:pPr>
              <w:spacing w:after="0"/>
              <w:rPr>
                <w:sz w:val="10"/>
                <w:szCs w:val="10"/>
                <w:color w:val="auto"/>
              </w:rPr>
            </w:pPr>
          </w:p>
        </w:tc>
        <w:tc>
          <w:tcPr>
            <w:tcW w:w="120" w:type="dxa"/>
            <w:vAlign w:val="bottom"/>
            <w:shd w:val="clear" w:color="auto" w:fill="DBEEF4"/>
          </w:tcPr>
          <w:p>
            <w:pPr>
              <w:spacing w:after="0"/>
              <w:rPr>
                <w:sz w:val="10"/>
                <w:szCs w:val="10"/>
                <w:color w:val="auto"/>
              </w:rPr>
            </w:pPr>
          </w:p>
        </w:tc>
        <w:tc>
          <w:tcPr>
            <w:tcW w:w="100" w:type="dxa"/>
            <w:vAlign w:val="bottom"/>
            <w:shd w:val="clear" w:color="auto" w:fill="DBEEF4"/>
          </w:tcPr>
          <w:p>
            <w:pPr>
              <w:spacing w:after="0"/>
              <w:rPr>
                <w:sz w:val="10"/>
                <w:szCs w:val="10"/>
                <w:color w:val="auto"/>
              </w:rPr>
            </w:pPr>
          </w:p>
        </w:tc>
        <w:tc>
          <w:tcPr>
            <w:tcW w:w="140" w:type="dxa"/>
            <w:vAlign w:val="bottom"/>
            <w:shd w:val="clear" w:color="auto" w:fill="DBEEF4"/>
          </w:tcPr>
          <w:p>
            <w:pPr>
              <w:spacing w:after="0"/>
              <w:rPr>
                <w:sz w:val="10"/>
                <w:szCs w:val="10"/>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8"/>
                <w:szCs w:val="8"/>
                <w:color w:val="auto"/>
              </w:rPr>
              <w:t>22,935</w:t>
            </w:r>
          </w:p>
        </w:tc>
        <w:tc>
          <w:tcPr>
            <w:tcW w:w="200" w:type="dxa"/>
            <w:vAlign w:val="bottom"/>
            <w:shd w:val="clear" w:color="auto" w:fill="DBEEF4"/>
          </w:tcPr>
          <w:p>
            <w:pPr>
              <w:spacing w:after="0"/>
              <w:rPr>
                <w:sz w:val="10"/>
                <w:szCs w:val="10"/>
                <w:color w:val="auto"/>
              </w:rPr>
            </w:pPr>
          </w:p>
        </w:tc>
        <w:tc>
          <w:tcPr>
            <w:tcW w:w="60" w:type="dxa"/>
            <w:vAlign w:val="bottom"/>
            <w:shd w:val="clear" w:color="auto" w:fill="DBEEF4"/>
          </w:tcPr>
          <w:p>
            <w:pPr>
              <w:spacing w:after="0"/>
              <w:rPr>
                <w:sz w:val="10"/>
                <w:szCs w:val="10"/>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22,964</w:t>
            </w:r>
          </w:p>
        </w:tc>
        <w:tc>
          <w:tcPr>
            <w:tcW w:w="720" w:type="dxa"/>
            <w:vAlign w:val="bottom"/>
            <w:gridSpan w:val="3"/>
            <w:shd w:val="clear" w:color="auto" w:fill="DBEEF4"/>
          </w:tcPr>
          <w:p>
            <w:pPr>
              <w:jc w:val="right"/>
              <w:ind w:right="40"/>
              <w:spacing w:after="0"/>
              <w:rPr>
                <w:sz w:val="20"/>
                <w:szCs w:val="20"/>
                <w:color w:val="auto"/>
              </w:rPr>
            </w:pPr>
            <w:r>
              <w:rPr>
                <w:rFonts w:ascii="Arial" w:cs="Arial" w:eastAsia="Arial" w:hAnsi="Arial"/>
                <w:sz w:val="8"/>
                <w:szCs w:val="8"/>
                <w:color w:val="auto"/>
              </w:rPr>
              <w:t>6 %</w:t>
            </w:r>
          </w:p>
        </w:tc>
      </w:tr>
      <w:tr>
        <w:trPr>
          <w:trHeight w:val="120"/>
        </w:trPr>
        <w:tc>
          <w:tcPr>
            <w:tcW w:w="2920" w:type="dxa"/>
            <w:vAlign w:val="bottom"/>
            <w:gridSpan w:val="4"/>
          </w:tcPr>
          <w:p>
            <w:pPr>
              <w:ind w:left="20"/>
              <w:spacing w:after="0"/>
              <w:rPr>
                <w:sz w:val="20"/>
                <w:szCs w:val="20"/>
                <w:color w:val="auto"/>
              </w:rPr>
            </w:pPr>
            <w:r>
              <w:rPr>
                <w:rFonts w:ascii="Arial" w:cs="Arial" w:eastAsia="Arial" w:hAnsi="Arial"/>
                <w:sz w:val="8"/>
                <w:szCs w:val="8"/>
                <w:i w:val="1"/>
                <w:iCs w:val="1"/>
                <w:color w:val="auto"/>
              </w:rPr>
              <w:t>B&amp;B Roadway and Security Solutions, LLC</w:t>
            </w:r>
          </w:p>
        </w:tc>
        <w:tc>
          <w:tcPr>
            <w:tcW w:w="2260" w:type="dxa"/>
            <w:vAlign w:val="bottom"/>
          </w:tcPr>
          <w:p>
            <w:pPr>
              <w:ind w:left="800"/>
              <w:spacing w:after="0"/>
              <w:rPr>
                <w:sz w:val="20"/>
                <w:szCs w:val="20"/>
                <w:color w:val="auto"/>
              </w:rPr>
            </w:pPr>
            <w:r>
              <w:rPr>
                <w:rFonts w:ascii="Arial" w:cs="Arial" w:eastAsia="Arial" w:hAnsi="Arial"/>
                <w:sz w:val="8"/>
                <w:szCs w:val="8"/>
                <w:color w:val="auto"/>
              </w:rPr>
              <w:t>Component Manufacturing</w:t>
            </w: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4"/>
        </w:trPr>
        <w:tc>
          <w:tcPr>
            <w:tcW w:w="20" w:type="dxa"/>
            <w:vAlign w:val="bottom"/>
            <w:shd w:val="clear" w:color="auto" w:fill="DBEEF4"/>
          </w:tcPr>
          <w:p>
            <w:pPr>
              <w:spacing w:after="0"/>
              <w:rPr>
                <w:sz w:val="11"/>
                <w:szCs w:val="11"/>
                <w:color w:val="auto"/>
              </w:rPr>
            </w:pPr>
          </w:p>
        </w:tc>
        <w:tc>
          <w:tcPr>
            <w:tcW w:w="2900" w:type="dxa"/>
            <w:vAlign w:val="bottom"/>
            <w:gridSpan w:val="3"/>
            <w:shd w:val="clear" w:color="auto" w:fill="DBEEF4"/>
          </w:tcPr>
          <w:p>
            <w:pPr>
              <w:ind w:left="80"/>
              <w:spacing w:after="0"/>
              <w:rPr>
                <w:sz w:val="20"/>
                <w:szCs w:val="20"/>
                <w:color w:val="auto"/>
              </w:rPr>
            </w:pPr>
            <w:r>
              <w:rPr>
                <w:rFonts w:ascii="Arial" w:cs="Arial" w:eastAsia="Arial" w:hAnsi="Arial"/>
                <w:sz w:val="8"/>
                <w:szCs w:val="8"/>
                <w:color w:val="auto"/>
              </w:rPr>
              <w:t>Second Lien Debt</w:t>
            </w:r>
          </w:p>
        </w:tc>
        <w:tc>
          <w:tcPr>
            <w:tcW w:w="2260" w:type="dxa"/>
            <w:vAlign w:val="bottom"/>
            <w:shd w:val="clear" w:color="auto" w:fill="DBEEF4"/>
          </w:tcPr>
          <w:p>
            <w:pPr>
              <w:spacing w:after="0"/>
              <w:rPr>
                <w:sz w:val="11"/>
                <w:szCs w:val="11"/>
                <w:color w:val="auto"/>
              </w:rPr>
            </w:pPr>
          </w:p>
        </w:tc>
        <w:tc>
          <w:tcPr>
            <w:tcW w:w="1200" w:type="dxa"/>
            <w:vAlign w:val="bottom"/>
            <w:shd w:val="clear" w:color="auto" w:fill="DBEEF4"/>
          </w:tcPr>
          <w:p>
            <w:pPr>
              <w:spacing w:after="0"/>
              <w:rPr>
                <w:sz w:val="11"/>
                <w:szCs w:val="11"/>
                <w:color w:val="auto"/>
              </w:rPr>
            </w:pPr>
          </w:p>
        </w:tc>
        <w:tc>
          <w:tcPr>
            <w:tcW w:w="820" w:type="dxa"/>
            <w:vAlign w:val="bottom"/>
            <w:shd w:val="clear" w:color="auto" w:fill="DBEEF4"/>
          </w:tcPr>
          <w:p>
            <w:pPr>
              <w:ind w:left="180"/>
              <w:spacing w:after="0"/>
              <w:rPr>
                <w:sz w:val="20"/>
                <w:szCs w:val="20"/>
                <w:color w:val="auto"/>
              </w:rPr>
            </w:pPr>
            <w:r>
              <w:rPr>
                <w:rFonts w:ascii="Arial" w:cs="Arial" w:eastAsia="Arial" w:hAnsi="Arial"/>
                <w:sz w:val="8"/>
                <w:szCs w:val="8"/>
                <w:color w:val="auto"/>
              </w:rPr>
              <w:t>11.25%/4.00%</w:t>
            </w:r>
          </w:p>
        </w:tc>
        <w:tc>
          <w:tcPr>
            <w:tcW w:w="640" w:type="dxa"/>
            <w:vAlign w:val="bottom"/>
            <w:shd w:val="clear" w:color="auto" w:fill="DBEEF4"/>
          </w:tcPr>
          <w:p>
            <w:pPr>
              <w:ind w:left="120"/>
              <w:spacing w:after="0"/>
              <w:rPr>
                <w:sz w:val="20"/>
                <w:szCs w:val="20"/>
                <w:color w:val="auto"/>
              </w:rPr>
            </w:pPr>
            <w:r>
              <w:rPr>
                <w:rFonts w:ascii="Arial" w:cs="Arial" w:eastAsia="Arial" w:hAnsi="Arial"/>
                <w:sz w:val="8"/>
                <w:szCs w:val="8"/>
                <w:color w:val="auto"/>
              </w:rPr>
              <w:t>2/27/2018</w:t>
            </w:r>
          </w:p>
        </w:tc>
        <w:tc>
          <w:tcPr>
            <w:tcW w:w="580" w:type="dxa"/>
            <w:vAlign w:val="bottom"/>
            <w:shd w:val="clear" w:color="auto" w:fill="DBEEF4"/>
          </w:tcPr>
          <w:p>
            <w:pPr>
              <w:ind w:left="120"/>
              <w:spacing w:after="0"/>
              <w:rPr>
                <w:sz w:val="20"/>
                <w:szCs w:val="20"/>
                <w:color w:val="auto"/>
              </w:rPr>
            </w:pPr>
            <w:r>
              <w:rPr>
                <w:rFonts w:ascii="Arial" w:cs="Arial" w:eastAsia="Arial" w:hAnsi="Arial"/>
                <w:sz w:val="8"/>
                <w:szCs w:val="8"/>
                <w:color w:val="auto"/>
              </w:rPr>
              <w:t>1/1/2022</w:t>
            </w:r>
          </w:p>
        </w:tc>
        <w:tc>
          <w:tcPr>
            <w:tcW w:w="160" w:type="dxa"/>
            <w:vAlign w:val="bottom"/>
            <w:shd w:val="clear" w:color="auto" w:fill="DBEEF4"/>
          </w:tcPr>
          <w:p>
            <w:pPr>
              <w:spacing w:after="0"/>
              <w:rPr>
                <w:sz w:val="11"/>
                <w:szCs w:val="11"/>
                <w:color w:val="auto"/>
              </w:rPr>
            </w:pPr>
          </w:p>
        </w:tc>
        <w:tc>
          <w:tcPr>
            <w:tcW w:w="460" w:type="dxa"/>
            <w:vAlign w:val="bottom"/>
            <w:shd w:val="clear" w:color="auto" w:fill="DBEEF4"/>
          </w:tcPr>
          <w:p>
            <w:pPr>
              <w:jc w:val="right"/>
              <w:spacing w:after="0"/>
              <w:rPr>
                <w:sz w:val="20"/>
                <w:szCs w:val="20"/>
                <w:color w:val="auto"/>
              </w:rPr>
            </w:pPr>
            <w:r>
              <w:rPr>
                <w:rFonts w:ascii="Arial" w:cs="Arial" w:eastAsia="Arial" w:hAnsi="Arial"/>
                <w:sz w:val="8"/>
                <w:szCs w:val="8"/>
                <w:color w:val="auto"/>
              </w:rPr>
              <w:t>10,910</w:t>
            </w:r>
          </w:p>
        </w:tc>
        <w:tc>
          <w:tcPr>
            <w:tcW w:w="120" w:type="dxa"/>
            <w:vAlign w:val="bottom"/>
            <w:shd w:val="clear" w:color="auto" w:fill="DBEEF4"/>
          </w:tcPr>
          <w:p>
            <w:pPr>
              <w:spacing w:after="0"/>
              <w:rPr>
                <w:sz w:val="11"/>
                <w:szCs w:val="11"/>
                <w:color w:val="auto"/>
              </w:rPr>
            </w:pPr>
          </w:p>
        </w:tc>
        <w:tc>
          <w:tcPr>
            <w:tcW w:w="1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8"/>
                <w:szCs w:val="8"/>
                <w:color w:val="auto"/>
              </w:rPr>
              <w:t>10,890</w:t>
            </w:r>
          </w:p>
        </w:tc>
        <w:tc>
          <w:tcPr>
            <w:tcW w:w="200" w:type="dxa"/>
            <w:vAlign w:val="bottom"/>
            <w:shd w:val="clear" w:color="auto" w:fill="DBEEF4"/>
          </w:tcPr>
          <w:p>
            <w:pPr>
              <w:spacing w:after="0"/>
              <w:rPr>
                <w:sz w:val="11"/>
                <w:szCs w:val="11"/>
                <w:color w:val="auto"/>
              </w:rPr>
            </w:pPr>
          </w:p>
        </w:tc>
        <w:tc>
          <w:tcPr>
            <w:tcW w:w="60" w:type="dxa"/>
            <w:vAlign w:val="bottom"/>
            <w:shd w:val="clear" w:color="auto" w:fill="DBEEF4"/>
          </w:tcPr>
          <w:p>
            <w:pPr>
              <w:spacing w:after="0"/>
              <w:rPr>
                <w:sz w:val="11"/>
                <w:szCs w:val="11"/>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10,782</w:t>
            </w:r>
          </w:p>
        </w:tc>
        <w:tc>
          <w:tcPr>
            <w:tcW w:w="40" w:type="dxa"/>
            <w:vAlign w:val="bottom"/>
            <w:shd w:val="clear" w:color="auto" w:fill="DBEEF4"/>
          </w:tcPr>
          <w:p>
            <w:pPr>
              <w:spacing w:after="0"/>
              <w:rPr>
                <w:sz w:val="11"/>
                <w:szCs w:val="11"/>
                <w:color w:val="auto"/>
              </w:rPr>
            </w:pPr>
          </w:p>
        </w:tc>
        <w:tc>
          <w:tcPr>
            <w:tcW w:w="5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r>
      <w:tr>
        <w:trPr>
          <w:trHeight w:val="126"/>
        </w:trPr>
        <w:tc>
          <w:tcPr>
            <w:tcW w:w="20" w:type="dxa"/>
            <w:vAlign w:val="bottom"/>
          </w:tcPr>
          <w:p>
            <w:pPr>
              <w:spacing w:after="0"/>
              <w:rPr>
                <w:sz w:val="10"/>
                <w:szCs w:val="10"/>
                <w:color w:val="auto"/>
              </w:rPr>
            </w:pPr>
          </w:p>
        </w:tc>
        <w:tc>
          <w:tcPr>
            <w:tcW w:w="2900" w:type="dxa"/>
            <w:vAlign w:val="bottom"/>
            <w:gridSpan w:val="3"/>
          </w:tcPr>
          <w:p>
            <w:pPr>
              <w:ind w:left="80"/>
              <w:spacing w:after="0"/>
              <w:rPr>
                <w:sz w:val="20"/>
                <w:szCs w:val="20"/>
                <w:color w:val="auto"/>
              </w:rPr>
            </w:pPr>
            <w:r>
              <w:rPr>
                <w:rFonts w:ascii="Arial" w:cs="Arial" w:eastAsia="Arial" w:hAnsi="Arial"/>
                <w:sz w:val="8"/>
                <w:szCs w:val="8"/>
                <w:color w:val="auto"/>
              </w:rPr>
              <w:t>Common Equity (50,000 units) (h)(j)</w:t>
            </w:r>
          </w:p>
        </w:tc>
        <w:tc>
          <w:tcPr>
            <w:tcW w:w="2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8"/>
                <w:szCs w:val="8"/>
                <w:color w:val="auto"/>
              </w:rPr>
              <w:t>2/27/2018</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497</w:t>
            </w:r>
          </w:p>
        </w:tc>
        <w:tc>
          <w:tcPr>
            <w:tcW w:w="2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0"/>
        </w:trPr>
        <w:tc>
          <w:tcPr>
            <w:tcW w:w="20" w:type="dxa"/>
            <w:vAlign w:val="bottom"/>
            <w:shd w:val="clear" w:color="auto" w:fill="DBEEF4"/>
          </w:tcPr>
          <w:p>
            <w:pPr>
              <w:spacing w:after="0"/>
              <w:rPr>
                <w:sz w:val="10"/>
                <w:szCs w:val="10"/>
                <w:color w:val="auto"/>
              </w:rPr>
            </w:pPr>
          </w:p>
        </w:tc>
        <w:tc>
          <w:tcPr>
            <w:tcW w:w="840" w:type="dxa"/>
            <w:vAlign w:val="bottom"/>
            <w:shd w:val="clear" w:color="auto" w:fill="DBEEF4"/>
          </w:tcPr>
          <w:p>
            <w:pPr>
              <w:spacing w:after="0"/>
              <w:rPr>
                <w:sz w:val="10"/>
                <w:szCs w:val="10"/>
                <w:color w:val="auto"/>
              </w:rPr>
            </w:pPr>
          </w:p>
        </w:tc>
        <w:tc>
          <w:tcPr>
            <w:tcW w:w="520" w:type="dxa"/>
            <w:vAlign w:val="bottom"/>
            <w:shd w:val="clear" w:color="auto" w:fill="DBEEF4"/>
          </w:tcPr>
          <w:p>
            <w:pPr>
              <w:spacing w:after="0"/>
              <w:rPr>
                <w:sz w:val="10"/>
                <w:szCs w:val="10"/>
                <w:color w:val="auto"/>
              </w:rPr>
            </w:pPr>
          </w:p>
        </w:tc>
        <w:tc>
          <w:tcPr>
            <w:tcW w:w="1540" w:type="dxa"/>
            <w:vAlign w:val="bottom"/>
            <w:shd w:val="clear" w:color="auto" w:fill="DBEEF4"/>
          </w:tcPr>
          <w:p>
            <w:pPr>
              <w:spacing w:after="0"/>
              <w:rPr>
                <w:sz w:val="10"/>
                <w:szCs w:val="10"/>
                <w:color w:val="auto"/>
              </w:rPr>
            </w:pPr>
          </w:p>
        </w:tc>
        <w:tc>
          <w:tcPr>
            <w:tcW w:w="2260" w:type="dxa"/>
            <w:vAlign w:val="bottom"/>
            <w:shd w:val="clear" w:color="auto" w:fill="DBEEF4"/>
          </w:tcPr>
          <w:p>
            <w:pPr>
              <w:spacing w:after="0"/>
              <w:rPr>
                <w:sz w:val="10"/>
                <w:szCs w:val="10"/>
                <w:color w:val="auto"/>
              </w:rPr>
            </w:pPr>
          </w:p>
        </w:tc>
        <w:tc>
          <w:tcPr>
            <w:tcW w:w="1200" w:type="dxa"/>
            <w:vAlign w:val="bottom"/>
            <w:shd w:val="clear" w:color="auto" w:fill="DBEEF4"/>
          </w:tcPr>
          <w:p>
            <w:pPr>
              <w:spacing w:after="0"/>
              <w:rPr>
                <w:sz w:val="10"/>
                <w:szCs w:val="10"/>
                <w:color w:val="auto"/>
              </w:rPr>
            </w:pPr>
          </w:p>
        </w:tc>
        <w:tc>
          <w:tcPr>
            <w:tcW w:w="820" w:type="dxa"/>
            <w:vAlign w:val="bottom"/>
            <w:shd w:val="clear" w:color="auto" w:fill="DBEEF4"/>
          </w:tcPr>
          <w:p>
            <w:pPr>
              <w:spacing w:after="0"/>
              <w:rPr>
                <w:sz w:val="10"/>
                <w:szCs w:val="10"/>
                <w:color w:val="auto"/>
              </w:rPr>
            </w:pPr>
          </w:p>
        </w:tc>
        <w:tc>
          <w:tcPr>
            <w:tcW w:w="640" w:type="dxa"/>
            <w:vAlign w:val="bottom"/>
            <w:shd w:val="clear" w:color="auto" w:fill="DBEEF4"/>
          </w:tcPr>
          <w:p>
            <w:pPr>
              <w:spacing w:after="0"/>
              <w:rPr>
                <w:sz w:val="10"/>
                <w:szCs w:val="10"/>
                <w:color w:val="auto"/>
              </w:rPr>
            </w:pPr>
          </w:p>
        </w:tc>
        <w:tc>
          <w:tcPr>
            <w:tcW w:w="580" w:type="dxa"/>
            <w:vAlign w:val="bottom"/>
            <w:shd w:val="clear" w:color="auto" w:fill="DBEEF4"/>
          </w:tcPr>
          <w:p>
            <w:pPr>
              <w:spacing w:after="0"/>
              <w:rPr>
                <w:sz w:val="10"/>
                <w:szCs w:val="10"/>
                <w:color w:val="auto"/>
              </w:rPr>
            </w:pPr>
          </w:p>
        </w:tc>
        <w:tc>
          <w:tcPr>
            <w:tcW w:w="160" w:type="dxa"/>
            <w:vAlign w:val="bottom"/>
            <w:shd w:val="clear" w:color="auto" w:fill="DBEEF4"/>
          </w:tcPr>
          <w:p>
            <w:pPr>
              <w:spacing w:after="0"/>
              <w:rPr>
                <w:sz w:val="10"/>
                <w:szCs w:val="10"/>
                <w:color w:val="auto"/>
              </w:rPr>
            </w:pPr>
          </w:p>
        </w:tc>
        <w:tc>
          <w:tcPr>
            <w:tcW w:w="460" w:type="dxa"/>
            <w:vAlign w:val="bottom"/>
            <w:shd w:val="clear" w:color="auto" w:fill="DBEEF4"/>
          </w:tcPr>
          <w:p>
            <w:pPr>
              <w:spacing w:after="0"/>
              <w:rPr>
                <w:sz w:val="10"/>
                <w:szCs w:val="10"/>
                <w:color w:val="auto"/>
              </w:rPr>
            </w:pPr>
          </w:p>
        </w:tc>
        <w:tc>
          <w:tcPr>
            <w:tcW w:w="120" w:type="dxa"/>
            <w:vAlign w:val="bottom"/>
            <w:shd w:val="clear" w:color="auto" w:fill="DBEEF4"/>
          </w:tcPr>
          <w:p>
            <w:pPr>
              <w:spacing w:after="0"/>
              <w:rPr>
                <w:sz w:val="10"/>
                <w:szCs w:val="10"/>
                <w:color w:val="auto"/>
              </w:rPr>
            </w:pPr>
          </w:p>
        </w:tc>
        <w:tc>
          <w:tcPr>
            <w:tcW w:w="100" w:type="dxa"/>
            <w:vAlign w:val="bottom"/>
            <w:shd w:val="clear" w:color="auto" w:fill="DBEEF4"/>
          </w:tcPr>
          <w:p>
            <w:pPr>
              <w:spacing w:after="0"/>
              <w:rPr>
                <w:sz w:val="10"/>
                <w:szCs w:val="10"/>
                <w:color w:val="auto"/>
              </w:rPr>
            </w:pPr>
          </w:p>
        </w:tc>
        <w:tc>
          <w:tcPr>
            <w:tcW w:w="140" w:type="dxa"/>
            <w:vAlign w:val="bottom"/>
            <w:shd w:val="clear" w:color="auto" w:fill="DBEEF4"/>
          </w:tcPr>
          <w:p>
            <w:pPr>
              <w:spacing w:after="0"/>
              <w:rPr>
                <w:sz w:val="10"/>
                <w:szCs w:val="10"/>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8"/>
                <w:szCs w:val="8"/>
                <w:color w:val="auto"/>
              </w:rPr>
              <w:t>11,387</w:t>
            </w:r>
          </w:p>
        </w:tc>
        <w:tc>
          <w:tcPr>
            <w:tcW w:w="200" w:type="dxa"/>
            <w:vAlign w:val="bottom"/>
            <w:shd w:val="clear" w:color="auto" w:fill="DBEEF4"/>
          </w:tcPr>
          <w:p>
            <w:pPr>
              <w:spacing w:after="0"/>
              <w:rPr>
                <w:sz w:val="10"/>
                <w:szCs w:val="10"/>
                <w:color w:val="auto"/>
              </w:rPr>
            </w:pPr>
          </w:p>
        </w:tc>
        <w:tc>
          <w:tcPr>
            <w:tcW w:w="60" w:type="dxa"/>
            <w:vAlign w:val="bottom"/>
            <w:shd w:val="clear" w:color="auto" w:fill="DBEEF4"/>
          </w:tcPr>
          <w:p>
            <w:pPr>
              <w:spacing w:after="0"/>
              <w:rPr>
                <w:sz w:val="10"/>
                <w:szCs w:val="10"/>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10,782</w:t>
            </w:r>
          </w:p>
        </w:tc>
        <w:tc>
          <w:tcPr>
            <w:tcW w:w="720" w:type="dxa"/>
            <w:vAlign w:val="bottom"/>
            <w:gridSpan w:val="3"/>
            <w:shd w:val="clear" w:color="auto" w:fill="DBEEF4"/>
          </w:tcPr>
          <w:p>
            <w:pPr>
              <w:jc w:val="right"/>
              <w:ind w:right="40"/>
              <w:spacing w:after="0"/>
              <w:rPr>
                <w:sz w:val="20"/>
                <w:szCs w:val="20"/>
                <w:color w:val="auto"/>
              </w:rPr>
            </w:pPr>
            <w:r>
              <w:rPr>
                <w:rFonts w:ascii="Arial" w:cs="Arial" w:eastAsia="Arial" w:hAnsi="Arial"/>
                <w:sz w:val="8"/>
                <w:szCs w:val="8"/>
                <w:color w:val="auto"/>
              </w:rPr>
              <w:t>3 %</w:t>
            </w:r>
          </w:p>
        </w:tc>
      </w:tr>
      <w:tr>
        <w:trPr>
          <w:trHeight w:val="120"/>
        </w:trPr>
        <w:tc>
          <w:tcPr>
            <w:tcW w:w="2920" w:type="dxa"/>
            <w:vAlign w:val="bottom"/>
            <w:gridSpan w:val="4"/>
          </w:tcPr>
          <w:p>
            <w:pPr>
              <w:ind w:left="20"/>
              <w:spacing w:after="0"/>
              <w:rPr>
                <w:sz w:val="20"/>
                <w:szCs w:val="20"/>
                <w:color w:val="auto"/>
              </w:rPr>
            </w:pPr>
            <w:r>
              <w:rPr>
                <w:rFonts w:ascii="Arial" w:cs="Arial" w:eastAsia="Arial" w:hAnsi="Arial"/>
                <w:sz w:val="8"/>
                <w:szCs w:val="8"/>
                <w:i w:val="1"/>
                <w:iCs w:val="1"/>
                <w:color w:val="auto"/>
              </w:rPr>
              <w:t>Bandon Fitness (Texas), Inc.</w:t>
            </w:r>
          </w:p>
        </w:tc>
        <w:tc>
          <w:tcPr>
            <w:tcW w:w="2260" w:type="dxa"/>
            <w:vAlign w:val="bottom"/>
          </w:tcPr>
          <w:p>
            <w:pPr>
              <w:ind w:left="800"/>
              <w:spacing w:after="0"/>
              <w:rPr>
                <w:sz w:val="20"/>
                <w:szCs w:val="20"/>
                <w:color w:val="auto"/>
              </w:rPr>
            </w:pPr>
            <w:r>
              <w:rPr>
                <w:rFonts w:ascii="Arial" w:cs="Arial" w:eastAsia="Arial" w:hAnsi="Arial"/>
                <w:sz w:val="8"/>
                <w:szCs w:val="8"/>
                <w:color w:val="auto"/>
              </w:rPr>
              <w:t>Retail</w:t>
            </w: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4"/>
        </w:trPr>
        <w:tc>
          <w:tcPr>
            <w:tcW w:w="20" w:type="dxa"/>
            <w:vAlign w:val="bottom"/>
            <w:shd w:val="clear" w:color="auto" w:fill="DBEEF4"/>
          </w:tcPr>
          <w:p>
            <w:pPr>
              <w:spacing w:after="0"/>
              <w:rPr>
                <w:sz w:val="11"/>
                <w:szCs w:val="11"/>
                <w:color w:val="auto"/>
              </w:rPr>
            </w:pPr>
          </w:p>
        </w:tc>
        <w:tc>
          <w:tcPr>
            <w:tcW w:w="2900" w:type="dxa"/>
            <w:vAlign w:val="bottom"/>
            <w:gridSpan w:val="3"/>
            <w:shd w:val="clear" w:color="auto" w:fill="DBEEF4"/>
          </w:tcPr>
          <w:p>
            <w:pPr>
              <w:ind w:left="80"/>
              <w:spacing w:after="0"/>
              <w:rPr>
                <w:sz w:val="20"/>
                <w:szCs w:val="20"/>
                <w:color w:val="auto"/>
              </w:rPr>
            </w:pPr>
            <w:r>
              <w:rPr>
                <w:rFonts w:ascii="Arial" w:cs="Arial" w:eastAsia="Arial" w:hAnsi="Arial"/>
                <w:sz w:val="8"/>
                <w:szCs w:val="8"/>
                <w:color w:val="auto"/>
              </w:rPr>
              <w:t>First Lien Debt (j)(z)</w:t>
            </w:r>
          </w:p>
        </w:tc>
        <w:tc>
          <w:tcPr>
            <w:tcW w:w="2260" w:type="dxa"/>
            <w:vAlign w:val="bottom"/>
            <w:shd w:val="clear" w:color="auto" w:fill="DBEEF4"/>
          </w:tcPr>
          <w:p>
            <w:pPr>
              <w:spacing w:after="0"/>
              <w:rPr>
                <w:sz w:val="11"/>
                <w:szCs w:val="11"/>
                <w:color w:val="auto"/>
              </w:rPr>
            </w:pPr>
          </w:p>
        </w:tc>
        <w:tc>
          <w:tcPr>
            <w:tcW w:w="1200" w:type="dxa"/>
            <w:vAlign w:val="bottom"/>
            <w:shd w:val="clear" w:color="auto" w:fill="DBEEF4"/>
          </w:tcPr>
          <w:p>
            <w:pPr>
              <w:ind w:left="200"/>
              <w:spacing w:after="0"/>
              <w:rPr>
                <w:sz w:val="20"/>
                <w:szCs w:val="20"/>
                <w:color w:val="auto"/>
              </w:rPr>
            </w:pPr>
            <w:r>
              <w:rPr>
                <w:rFonts w:ascii="Arial" w:cs="Arial" w:eastAsia="Arial" w:hAnsi="Arial"/>
                <w:sz w:val="8"/>
                <w:szCs w:val="8"/>
                <w:color w:val="auto"/>
              </w:rPr>
              <w:t>(L + 6.50%) / (2.25%)</w:t>
            </w:r>
          </w:p>
        </w:tc>
        <w:tc>
          <w:tcPr>
            <w:tcW w:w="820" w:type="dxa"/>
            <w:vAlign w:val="bottom"/>
            <w:shd w:val="clear" w:color="auto" w:fill="DBEEF4"/>
          </w:tcPr>
          <w:p>
            <w:pPr>
              <w:ind w:left="180"/>
              <w:spacing w:after="0"/>
              <w:rPr>
                <w:sz w:val="20"/>
                <w:szCs w:val="20"/>
                <w:color w:val="auto"/>
              </w:rPr>
            </w:pPr>
            <w:r>
              <w:rPr>
                <w:rFonts w:ascii="Arial" w:cs="Arial" w:eastAsia="Arial" w:hAnsi="Arial"/>
                <w:sz w:val="8"/>
                <w:szCs w:val="8"/>
                <w:color w:val="auto"/>
              </w:rPr>
              <w:t>8.75%/0.25%</w:t>
            </w:r>
          </w:p>
        </w:tc>
        <w:tc>
          <w:tcPr>
            <w:tcW w:w="640" w:type="dxa"/>
            <w:vAlign w:val="bottom"/>
            <w:shd w:val="clear" w:color="auto" w:fill="DBEEF4"/>
          </w:tcPr>
          <w:p>
            <w:pPr>
              <w:ind w:left="120"/>
              <w:spacing w:after="0"/>
              <w:rPr>
                <w:sz w:val="20"/>
                <w:szCs w:val="20"/>
                <w:color w:val="auto"/>
              </w:rPr>
            </w:pPr>
            <w:r>
              <w:rPr>
                <w:rFonts w:ascii="Arial" w:cs="Arial" w:eastAsia="Arial" w:hAnsi="Arial"/>
                <w:sz w:val="8"/>
                <w:szCs w:val="8"/>
                <w:color w:val="auto"/>
              </w:rPr>
              <w:t>8/9/2019</w:t>
            </w:r>
          </w:p>
        </w:tc>
        <w:tc>
          <w:tcPr>
            <w:tcW w:w="580" w:type="dxa"/>
            <w:vAlign w:val="bottom"/>
            <w:shd w:val="clear" w:color="auto" w:fill="DBEEF4"/>
          </w:tcPr>
          <w:p>
            <w:pPr>
              <w:ind w:left="120"/>
              <w:spacing w:after="0"/>
              <w:rPr>
                <w:sz w:val="20"/>
                <w:szCs w:val="20"/>
                <w:color w:val="auto"/>
              </w:rPr>
            </w:pPr>
            <w:r>
              <w:rPr>
                <w:rFonts w:ascii="Arial" w:cs="Arial" w:eastAsia="Arial" w:hAnsi="Arial"/>
                <w:sz w:val="8"/>
                <w:szCs w:val="8"/>
                <w:color w:val="auto"/>
              </w:rPr>
              <w:t>8/9/2024</w:t>
            </w:r>
          </w:p>
        </w:tc>
        <w:tc>
          <w:tcPr>
            <w:tcW w:w="160" w:type="dxa"/>
            <w:vAlign w:val="bottom"/>
            <w:shd w:val="clear" w:color="auto" w:fill="DBEEF4"/>
          </w:tcPr>
          <w:p>
            <w:pPr>
              <w:spacing w:after="0"/>
              <w:rPr>
                <w:sz w:val="11"/>
                <w:szCs w:val="11"/>
                <w:color w:val="auto"/>
              </w:rPr>
            </w:pPr>
          </w:p>
        </w:tc>
        <w:tc>
          <w:tcPr>
            <w:tcW w:w="460" w:type="dxa"/>
            <w:vAlign w:val="bottom"/>
            <w:shd w:val="clear" w:color="auto" w:fill="DBEEF4"/>
          </w:tcPr>
          <w:p>
            <w:pPr>
              <w:jc w:val="right"/>
              <w:spacing w:after="0"/>
              <w:rPr>
                <w:sz w:val="20"/>
                <w:szCs w:val="20"/>
                <w:color w:val="auto"/>
              </w:rPr>
            </w:pPr>
            <w:r>
              <w:rPr>
                <w:rFonts w:ascii="Arial" w:cs="Arial" w:eastAsia="Arial" w:hAnsi="Arial"/>
                <w:sz w:val="8"/>
                <w:szCs w:val="8"/>
                <w:color w:val="auto"/>
              </w:rPr>
              <w:t>14,680</w:t>
            </w:r>
          </w:p>
        </w:tc>
        <w:tc>
          <w:tcPr>
            <w:tcW w:w="120" w:type="dxa"/>
            <w:vAlign w:val="bottom"/>
            <w:shd w:val="clear" w:color="auto" w:fill="DBEEF4"/>
          </w:tcPr>
          <w:p>
            <w:pPr>
              <w:spacing w:after="0"/>
              <w:rPr>
                <w:sz w:val="11"/>
                <w:szCs w:val="11"/>
                <w:color w:val="auto"/>
              </w:rPr>
            </w:pPr>
          </w:p>
        </w:tc>
        <w:tc>
          <w:tcPr>
            <w:tcW w:w="1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8"/>
                <w:szCs w:val="8"/>
                <w:color w:val="auto"/>
              </w:rPr>
              <w:t>14,289</w:t>
            </w:r>
          </w:p>
        </w:tc>
        <w:tc>
          <w:tcPr>
            <w:tcW w:w="200" w:type="dxa"/>
            <w:vAlign w:val="bottom"/>
            <w:shd w:val="clear" w:color="auto" w:fill="DBEEF4"/>
          </w:tcPr>
          <w:p>
            <w:pPr>
              <w:spacing w:after="0"/>
              <w:rPr>
                <w:sz w:val="11"/>
                <w:szCs w:val="11"/>
                <w:color w:val="auto"/>
              </w:rPr>
            </w:pPr>
          </w:p>
        </w:tc>
        <w:tc>
          <w:tcPr>
            <w:tcW w:w="60" w:type="dxa"/>
            <w:vAlign w:val="bottom"/>
            <w:shd w:val="clear" w:color="auto" w:fill="DBEEF4"/>
          </w:tcPr>
          <w:p>
            <w:pPr>
              <w:spacing w:after="0"/>
              <w:rPr>
                <w:sz w:val="11"/>
                <w:szCs w:val="11"/>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15,591</w:t>
            </w:r>
          </w:p>
        </w:tc>
        <w:tc>
          <w:tcPr>
            <w:tcW w:w="40" w:type="dxa"/>
            <w:vAlign w:val="bottom"/>
            <w:shd w:val="clear" w:color="auto" w:fill="DBEEF4"/>
          </w:tcPr>
          <w:p>
            <w:pPr>
              <w:spacing w:after="0"/>
              <w:rPr>
                <w:sz w:val="11"/>
                <w:szCs w:val="11"/>
                <w:color w:val="auto"/>
              </w:rPr>
            </w:pPr>
          </w:p>
        </w:tc>
        <w:tc>
          <w:tcPr>
            <w:tcW w:w="5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r>
      <w:tr>
        <w:trPr>
          <w:trHeight w:val="126"/>
        </w:trPr>
        <w:tc>
          <w:tcPr>
            <w:tcW w:w="20" w:type="dxa"/>
            <w:vAlign w:val="bottom"/>
          </w:tcPr>
          <w:p>
            <w:pPr>
              <w:spacing w:after="0"/>
              <w:rPr>
                <w:sz w:val="10"/>
                <w:szCs w:val="10"/>
                <w:color w:val="auto"/>
              </w:rPr>
            </w:pPr>
          </w:p>
        </w:tc>
        <w:tc>
          <w:tcPr>
            <w:tcW w:w="2900" w:type="dxa"/>
            <w:vAlign w:val="bottom"/>
            <w:gridSpan w:val="3"/>
          </w:tcPr>
          <w:p>
            <w:pPr>
              <w:ind w:left="80"/>
              <w:spacing w:after="0"/>
              <w:rPr>
                <w:sz w:val="20"/>
                <w:szCs w:val="20"/>
                <w:color w:val="auto"/>
              </w:rPr>
            </w:pPr>
            <w:r>
              <w:rPr>
                <w:rFonts w:ascii="Arial" w:cs="Arial" w:eastAsia="Arial" w:hAnsi="Arial"/>
                <w:sz w:val="8"/>
                <w:szCs w:val="8"/>
                <w:color w:val="auto"/>
              </w:rPr>
              <w:t>Common Equity (545,810 units) (j)</w:t>
            </w:r>
          </w:p>
        </w:tc>
        <w:tc>
          <w:tcPr>
            <w:tcW w:w="2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8"/>
                <w:szCs w:val="8"/>
                <w:color w:val="auto"/>
              </w:rPr>
              <w:t>8/9/2019</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931</w:t>
            </w:r>
          </w:p>
        </w:tc>
        <w:tc>
          <w:tcPr>
            <w:tcW w:w="2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554</w:t>
            </w: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0"/>
        </w:trPr>
        <w:tc>
          <w:tcPr>
            <w:tcW w:w="20" w:type="dxa"/>
            <w:vAlign w:val="bottom"/>
            <w:shd w:val="clear" w:color="auto" w:fill="DBEEF4"/>
          </w:tcPr>
          <w:p>
            <w:pPr>
              <w:spacing w:after="0"/>
              <w:rPr>
                <w:sz w:val="10"/>
                <w:szCs w:val="10"/>
                <w:color w:val="auto"/>
              </w:rPr>
            </w:pPr>
          </w:p>
        </w:tc>
        <w:tc>
          <w:tcPr>
            <w:tcW w:w="840" w:type="dxa"/>
            <w:vAlign w:val="bottom"/>
            <w:shd w:val="clear" w:color="auto" w:fill="DBEEF4"/>
          </w:tcPr>
          <w:p>
            <w:pPr>
              <w:spacing w:after="0"/>
              <w:rPr>
                <w:sz w:val="10"/>
                <w:szCs w:val="10"/>
                <w:color w:val="auto"/>
              </w:rPr>
            </w:pPr>
          </w:p>
        </w:tc>
        <w:tc>
          <w:tcPr>
            <w:tcW w:w="520" w:type="dxa"/>
            <w:vAlign w:val="bottom"/>
            <w:shd w:val="clear" w:color="auto" w:fill="DBEEF4"/>
          </w:tcPr>
          <w:p>
            <w:pPr>
              <w:spacing w:after="0"/>
              <w:rPr>
                <w:sz w:val="10"/>
                <w:szCs w:val="10"/>
                <w:color w:val="auto"/>
              </w:rPr>
            </w:pPr>
          </w:p>
        </w:tc>
        <w:tc>
          <w:tcPr>
            <w:tcW w:w="1540" w:type="dxa"/>
            <w:vAlign w:val="bottom"/>
            <w:shd w:val="clear" w:color="auto" w:fill="DBEEF4"/>
          </w:tcPr>
          <w:p>
            <w:pPr>
              <w:spacing w:after="0"/>
              <w:rPr>
                <w:sz w:val="10"/>
                <w:szCs w:val="10"/>
                <w:color w:val="auto"/>
              </w:rPr>
            </w:pPr>
          </w:p>
        </w:tc>
        <w:tc>
          <w:tcPr>
            <w:tcW w:w="2260" w:type="dxa"/>
            <w:vAlign w:val="bottom"/>
            <w:shd w:val="clear" w:color="auto" w:fill="DBEEF4"/>
          </w:tcPr>
          <w:p>
            <w:pPr>
              <w:spacing w:after="0"/>
              <w:rPr>
                <w:sz w:val="10"/>
                <w:szCs w:val="10"/>
                <w:color w:val="auto"/>
              </w:rPr>
            </w:pPr>
          </w:p>
        </w:tc>
        <w:tc>
          <w:tcPr>
            <w:tcW w:w="1200" w:type="dxa"/>
            <w:vAlign w:val="bottom"/>
            <w:shd w:val="clear" w:color="auto" w:fill="DBEEF4"/>
          </w:tcPr>
          <w:p>
            <w:pPr>
              <w:spacing w:after="0"/>
              <w:rPr>
                <w:sz w:val="10"/>
                <w:szCs w:val="10"/>
                <w:color w:val="auto"/>
              </w:rPr>
            </w:pPr>
          </w:p>
        </w:tc>
        <w:tc>
          <w:tcPr>
            <w:tcW w:w="820" w:type="dxa"/>
            <w:vAlign w:val="bottom"/>
            <w:shd w:val="clear" w:color="auto" w:fill="DBEEF4"/>
          </w:tcPr>
          <w:p>
            <w:pPr>
              <w:spacing w:after="0"/>
              <w:rPr>
                <w:sz w:val="10"/>
                <w:szCs w:val="10"/>
                <w:color w:val="auto"/>
              </w:rPr>
            </w:pPr>
          </w:p>
        </w:tc>
        <w:tc>
          <w:tcPr>
            <w:tcW w:w="640" w:type="dxa"/>
            <w:vAlign w:val="bottom"/>
            <w:shd w:val="clear" w:color="auto" w:fill="DBEEF4"/>
          </w:tcPr>
          <w:p>
            <w:pPr>
              <w:spacing w:after="0"/>
              <w:rPr>
                <w:sz w:val="10"/>
                <w:szCs w:val="10"/>
                <w:color w:val="auto"/>
              </w:rPr>
            </w:pPr>
          </w:p>
        </w:tc>
        <w:tc>
          <w:tcPr>
            <w:tcW w:w="580" w:type="dxa"/>
            <w:vAlign w:val="bottom"/>
            <w:shd w:val="clear" w:color="auto" w:fill="DBEEF4"/>
          </w:tcPr>
          <w:p>
            <w:pPr>
              <w:spacing w:after="0"/>
              <w:rPr>
                <w:sz w:val="10"/>
                <w:szCs w:val="10"/>
                <w:color w:val="auto"/>
              </w:rPr>
            </w:pPr>
          </w:p>
        </w:tc>
        <w:tc>
          <w:tcPr>
            <w:tcW w:w="160" w:type="dxa"/>
            <w:vAlign w:val="bottom"/>
            <w:shd w:val="clear" w:color="auto" w:fill="DBEEF4"/>
          </w:tcPr>
          <w:p>
            <w:pPr>
              <w:spacing w:after="0"/>
              <w:rPr>
                <w:sz w:val="10"/>
                <w:szCs w:val="10"/>
                <w:color w:val="auto"/>
              </w:rPr>
            </w:pPr>
          </w:p>
        </w:tc>
        <w:tc>
          <w:tcPr>
            <w:tcW w:w="460" w:type="dxa"/>
            <w:vAlign w:val="bottom"/>
            <w:shd w:val="clear" w:color="auto" w:fill="DBEEF4"/>
          </w:tcPr>
          <w:p>
            <w:pPr>
              <w:spacing w:after="0"/>
              <w:rPr>
                <w:sz w:val="10"/>
                <w:szCs w:val="10"/>
                <w:color w:val="auto"/>
              </w:rPr>
            </w:pPr>
          </w:p>
        </w:tc>
        <w:tc>
          <w:tcPr>
            <w:tcW w:w="120" w:type="dxa"/>
            <w:vAlign w:val="bottom"/>
            <w:shd w:val="clear" w:color="auto" w:fill="DBEEF4"/>
          </w:tcPr>
          <w:p>
            <w:pPr>
              <w:spacing w:after="0"/>
              <w:rPr>
                <w:sz w:val="10"/>
                <w:szCs w:val="10"/>
                <w:color w:val="auto"/>
              </w:rPr>
            </w:pPr>
          </w:p>
        </w:tc>
        <w:tc>
          <w:tcPr>
            <w:tcW w:w="100" w:type="dxa"/>
            <w:vAlign w:val="bottom"/>
            <w:shd w:val="clear" w:color="auto" w:fill="DBEEF4"/>
          </w:tcPr>
          <w:p>
            <w:pPr>
              <w:spacing w:after="0"/>
              <w:rPr>
                <w:sz w:val="10"/>
                <w:szCs w:val="10"/>
                <w:color w:val="auto"/>
              </w:rPr>
            </w:pPr>
          </w:p>
        </w:tc>
        <w:tc>
          <w:tcPr>
            <w:tcW w:w="140" w:type="dxa"/>
            <w:vAlign w:val="bottom"/>
            <w:shd w:val="clear" w:color="auto" w:fill="DBEEF4"/>
          </w:tcPr>
          <w:p>
            <w:pPr>
              <w:spacing w:after="0"/>
              <w:rPr>
                <w:sz w:val="10"/>
                <w:szCs w:val="10"/>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8"/>
                <w:szCs w:val="8"/>
                <w:color w:val="auto"/>
              </w:rPr>
              <w:t>15,220</w:t>
            </w:r>
          </w:p>
        </w:tc>
        <w:tc>
          <w:tcPr>
            <w:tcW w:w="200" w:type="dxa"/>
            <w:vAlign w:val="bottom"/>
            <w:shd w:val="clear" w:color="auto" w:fill="DBEEF4"/>
          </w:tcPr>
          <w:p>
            <w:pPr>
              <w:spacing w:after="0"/>
              <w:rPr>
                <w:sz w:val="10"/>
                <w:szCs w:val="10"/>
                <w:color w:val="auto"/>
              </w:rPr>
            </w:pPr>
          </w:p>
        </w:tc>
        <w:tc>
          <w:tcPr>
            <w:tcW w:w="60" w:type="dxa"/>
            <w:vAlign w:val="bottom"/>
            <w:shd w:val="clear" w:color="auto" w:fill="DBEEF4"/>
          </w:tcPr>
          <w:p>
            <w:pPr>
              <w:spacing w:after="0"/>
              <w:rPr>
                <w:sz w:val="10"/>
                <w:szCs w:val="10"/>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16,145</w:t>
            </w:r>
          </w:p>
        </w:tc>
        <w:tc>
          <w:tcPr>
            <w:tcW w:w="720" w:type="dxa"/>
            <w:vAlign w:val="bottom"/>
            <w:gridSpan w:val="3"/>
            <w:shd w:val="clear" w:color="auto" w:fill="DBEEF4"/>
          </w:tcPr>
          <w:p>
            <w:pPr>
              <w:jc w:val="right"/>
              <w:ind w:right="40"/>
              <w:spacing w:after="0"/>
              <w:rPr>
                <w:sz w:val="20"/>
                <w:szCs w:val="20"/>
                <w:color w:val="auto"/>
              </w:rPr>
            </w:pPr>
            <w:r>
              <w:rPr>
                <w:rFonts w:ascii="Arial" w:cs="Arial" w:eastAsia="Arial" w:hAnsi="Arial"/>
                <w:sz w:val="8"/>
                <w:szCs w:val="8"/>
                <w:color w:val="auto"/>
              </w:rPr>
              <w:t>4 %</w:t>
            </w:r>
          </w:p>
        </w:tc>
      </w:tr>
      <w:tr>
        <w:trPr>
          <w:trHeight w:val="120"/>
        </w:trPr>
        <w:tc>
          <w:tcPr>
            <w:tcW w:w="2920" w:type="dxa"/>
            <w:vAlign w:val="bottom"/>
            <w:gridSpan w:val="4"/>
          </w:tcPr>
          <w:p>
            <w:pPr>
              <w:ind w:left="20"/>
              <w:spacing w:after="0"/>
              <w:rPr>
                <w:sz w:val="20"/>
                <w:szCs w:val="20"/>
                <w:color w:val="auto"/>
              </w:rPr>
            </w:pPr>
            <w:r>
              <w:rPr>
                <w:rFonts w:ascii="Arial" w:cs="Arial" w:eastAsia="Arial" w:hAnsi="Arial"/>
                <w:sz w:val="8"/>
                <w:szCs w:val="8"/>
                <w:i w:val="1"/>
                <w:iCs w:val="1"/>
                <w:color w:val="auto"/>
              </w:rPr>
              <w:t>BCM One Group Holdings, Inc.</w:t>
            </w:r>
          </w:p>
        </w:tc>
        <w:tc>
          <w:tcPr>
            <w:tcW w:w="2260" w:type="dxa"/>
            <w:vAlign w:val="bottom"/>
          </w:tcPr>
          <w:p>
            <w:pPr>
              <w:ind w:left="800"/>
              <w:spacing w:after="0"/>
              <w:rPr>
                <w:sz w:val="20"/>
                <w:szCs w:val="20"/>
                <w:color w:val="auto"/>
              </w:rPr>
            </w:pPr>
            <w:r>
              <w:rPr>
                <w:rFonts w:ascii="Arial" w:cs="Arial" w:eastAsia="Arial" w:hAnsi="Arial"/>
                <w:sz w:val="8"/>
                <w:szCs w:val="8"/>
                <w:color w:val="auto"/>
              </w:rPr>
              <w:t>Information Technology Services</w:t>
            </w: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4"/>
        </w:trPr>
        <w:tc>
          <w:tcPr>
            <w:tcW w:w="20" w:type="dxa"/>
            <w:vAlign w:val="bottom"/>
            <w:shd w:val="clear" w:color="auto" w:fill="DBEEF4"/>
          </w:tcPr>
          <w:p>
            <w:pPr>
              <w:spacing w:after="0"/>
              <w:rPr>
                <w:sz w:val="11"/>
                <w:szCs w:val="11"/>
                <w:color w:val="auto"/>
              </w:rPr>
            </w:pPr>
          </w:p>
        </w:tc>
        <w:tc>
          <w:tcPr>
            <w:tcW w:w="2900" w:type="dxa"/>
            <w:vAlign w:val="bottom"/>
            <w:gridSpan w:val="3"/>
            <w:shd w:val="clear" w:color="auto" w:fill="DBEEF4"/>
          </w:tcPr>
          <w:p>
            <w:pPr>
              <w:ind w:left="80"/>
              <w:spacing w:after="0"/>
              <w:rPr>
                <w:sz w:val="20"/>
                <w:szCs w:val="20"/>
                <w:color w:val="auto"/>
              </w:rPr>
            </w:pPr>
            <w:r>
              <w:rPr>
                <w:rFonts w:ascii="Arial" w:cs="Arial" w:eastAsia="Arial" w:hAnsi="Arial"/>
                <w:sz w:val="8"/>
                <w:szCs w:val="8"/>
                <w:color w:val="auto"/>
              </w:rPr>
              <w:t>Subordinated Debt (k)</w:t>
            </w:r>
          </w:p>
        </w:tc>
        <w:tc>
          <w:tcPr>
            <w:tcW w:w="2260" w:type="dxa"/>
            <w:vAlign w:val="bottom"/>
            <w:shd w:val="clear" w:color="auto" w:fill="DBEEF4"/>
          </w:tcPr>
          <w:p>
            <w:pPr>
              <w:spacing w:after="0"/>
              <w:rPr>
                <w:sz w:val="11"/>
                <w:szCs w:val="11"/>
                <w:color w:val="auto"/>
              </w:rPr>
            </w:pPr>
          </w:p>
        </w:tc>
        <w:tc>
          <w:tcPr>
            <w:tcW w:w="1200" w:type="dxa"/>
            <w:vAlign w:val="bottom"/>
            <w:shd w:val="clear" w:color="auto" w:fill="DBEEF4"/>
          </w:tcPr>
          <w:p>
            <w:pPr>
              <w:spacing w:after="0"/>
              <w:rPr>
                <w:sz w:val="11"/>
                <w:szCs w:val="11"/>
                <w:color w:val="auto"/>
              </w:rPr>
            </w:pPr>
          </w:p>
        </w:tc>
        <w:tc>
          <w:tcPr>
            <w:tcW w:w="820" w:type="dxa"/>
            <w:vAlign w:val="bottom"/>
            <w:shd w:val="clear" w:color="auto" w:fill="DBEEF4"/>
          </w:tcPr>
          <w:p>
            <w:pPr>
              <w:ind w:left="180"/>
              <w:spacing w:after="0"/>
              <w:rPr>
                <w:sz w:val="20"/>
                <w:szCs w:val="20"/>
                <w:color w:val="auto"/>
              </w:rPr>
            </w:pPr>
            <w:r>
              <w:rPr>
                <w:rFonts w:ascii="Arial" w:cs="Arial" w:eastAsia="Arial" w:hAnsi="Arial"/>
                <w:sz w:val="8"/>
                <w:szCs w:val="8"/>
                <w:color w:val="auto"/>
              </w:rPr>
              <w:t>11.00%/0.00%</w:t>
            </w:r>
          </w:p>
        </w:tc>
        <w:tc>
          <w:tcPr>
            <w:tcW w:w="640" w:type="dxa"/>
            <w:vAlign w:val="bottom"/>
            <w:shd w:val="clear" w:color="auto" w:fill="DBEEF4"/>
          </w:tcPr>
          <w:p>
            <w:pPr>
              <w:ind w:left="120"/>
              <w:spacing w:after="0"/>
              <w:rPr>
                <w:sz w:val="20"/>
                <w:szCs w:val="20"/>
                <w:color w:val="auto"/>
              </w:rPr>
            </w:pPr>
            <w:r>
              <w:rPr>
                <w:rFonts w:ascii="Arial" w:cs="Arial" w:eastAsia="Arial" w:hAnsi="Arial"/>
                <w:sz w:val="8"/>
                <w:szCs w:val="8"/>
                <w:color w:val="auto"/>
              </w:rPr>
              <w:t>1/3/2019</w:t>
            </w:r>
          </w:p>
        </w:tc>
        <w:tc>
          <w:tcPr>
            <w:tcW w:w="580" w:type="dxa"/>
            <w:vAlign w:val="bottom"/>
            <w:shd w:val="clear" w:color="auto" w:fill="DBEEF4"/>
          </w:tcPr>
          <w:p>
            <w:pPr>
              <w:ind w:left="120"/>
              <w:spacing w:after="0"/>
              <w:rPr>
                <w:sz w:val="20"/>
                <w:szCs w:val="20"/>
                <w:color w:val="auto"/>
              </w:rPr>
            </w:pPr>
            <w:r>
              <w:rPr>
                <w:rFonts w:ascii="Arial" w:cs="Arial" w:eastAsia="Arial" w:hAnsi="Arial"/>
                <w:sz w:val="8"/>
                <w:szCs w:val="8"/>
                <w:color w:val="auto"/>
              </w:rPr>
              <w:t>7/3/2024</w:t>
            </w:r>
          </w:p>
        </w:tc>
        <w:tc>
          <w:tcPr>
            <w:tcW w:w="160" w:type="dxa"/>
            <w:vAlign w:val="bottom"/>
            <w:shd w:val="clear" w:color="auto" w:fill="DBEEF4"/>
          </w:tcPr>
          <w:p>
            <w:pPr>
              <w:spacing w:after="0"/>
              <w:rPr>
                <w:sz w:val="11"/>
                <w:szCs w:val="11"/>
                <w:color w:val="auto"/>
              </w:rPr>
            </w:pPr>
          </w:p>
        </w:tc>
        <w:tc>
          <w:tcPr>
            <w:tcW w:w="460" w:type="dxa"/>
            <w:vAlign w:val="bottom"/>
            <w:shd w:val="clear" w:color="auto" w:fill="DBEEF4"/>
          </w:tcPr>
          <w:p>
            <w:pPr>
              <w:jc w:val="right"/>
              <w:spacing w:after="0"/>
              <w:rPr>
                <w:sz w:val="20"/>
                <w:szCs w:val="20"/>
                <w:color w:val="auto"/>
              </w:rPr>
            </w:pPr>
            <w:r>
              <w:rPr>
                <w:rFonts w:ascii="Arial" w:cs="Arial" w:eastAsia="Arial" w:hAnsi="Arial"/>
                <w:sz w:val="8"/>
                <w:szCs w:val="8"/>
                <w:color w:val="auto"/>
              </w:rPr>
              <w:t>30,000</w:t>
            </w:r>
          </w:p>
        </w:tc>
        <w:tc>
          <w:tcPr>
            <w:tcW w:w="120" w:type="dxa"/>
            <w:vAlign w:val="bottom"/>
            <w:shd w:val="clear" w:color="auto" w:fill="DBEEF4"/>
          </w:tcPr>
          <w:p>
            <w:pPr>
              <w:spacing w:after="0"/>
              <w:rPr>
                <w:sz w:val="11"/>
                <w:szCs w:val="11"/>
                <w:color w:val="auto"/>
              </w:rPr>
            </w:pPr>
          </w:p>
        </w:tc>
        <w:tc>
          <w:tcPr>
            <w:tcW w:w="1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420" w:type="dxa"/>
            <w:vAlign w:val="bottom"/>
            <w:shd w:val="clear" w:color="auto" w:fill="DBEEF4"/>
          </w:tcPr>
          <w:p>
            <w:pPr>
              <w:jc w:val="right"/>
              <w:spacing w:after="0"/>
              <w:rPr>
                <w:sz w:val="20"/>
                <w:szCs w:val="20"/>
                <w:color w:val="auto"/>
              </w:rPr>
            </w:pPr>
            <w:r>
              <w:rPr>
                <w:rFonts w:ascii="Arial" w:cs="Arial" w:eastAsia="Arial" w:hAnsi="Arial"/>
                <w:sz w:val="8"/>
                <w:szCs w:val="8"/>
                <w:color w:val="auto"/>
              </w:rPr>
              <w:t>29,887</w:t>
            </w:r>
          </w:p>
        </w:tc>
        <w:tc>
          <w:tcPr>
            <w:tcW w:w="200" w:type="dxa"/>
            <w:vAlign w:val="bottom"/>
            <w:shd w:val="clear" w:color="auto" w:fill="DBEEF4"/>
          </w:tcPr>
          <w:p>
            <w:pPr>
              <w:spacing w:after="0"/>
              <w:rPr>
                <w:sz w:val="11"/>
                <w:szCs w:val="11"/>
                <w:color w:val="auto"/>
              </w:rPr>
            </w:pPr>
          </w:p>
        </w:tc>
        <w:tc>
          <w:tcPr>
            <w:tcW w:w="60" w:type="dxa"/>
            <w:vAlign w:val="bottom"/>
            <w:shd w:val="clear" w:color="auto" w:fill="DBEEF4"/>
          </w:tcPr>
          <w:p>
            <w:pPr>
              <w:spacing w:after="0"/>
              <w:rPr>
                <w:sz w:val="11"/>
                <w:szCs w:val="11"/>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30,000</w:t>
            </w:r>
          </w:p>
        </w:tc>
        <w:tc>
          <w:tcPr>
            <w:tcW w:w="40" w:type="dxa"/>
            <w:vAlign w:val="bottom"/>
            <w:shd w:val="clear" w:color="auto" w:fill="DBEEF4"/>
          </w:tcPr>
          <w:p>
            <w:pPr>
              <w:spacing w:after="0"/>
              <w:rPr>
                <w:sz w:val="11"/>
                <w:szCs w:val="11"/>
                <w:color w:val="auto"/>
              </w:rPr>
            </w:pPr>
          </w:p>
        </w:tc>
        <w:tc>
          <w:tcPr>
            <w:tcW w:w="5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r>
      <w:tr>
        <w:trPr>
          <w:trHeight w:val="120"/>
        </w:trPr>
        <w:tc>
          <w:tcPr>
            <w:tcW w:w="20" w:type="dxa"/>
            <w:vAlign w:val="bottom"/>
          </w:tcPr>
          <w:p>
            <w:pPr>
              <w:spacing w:after="0"/>
              <w:rPr>
                <w:sz w:val="10"/>
                <w:szCs w:val="10"/>
                <w:color w:val="auto"/>
              </w:rPr>
            </w:pPr>
          </w:p>
        </w:tc>
        <w:tc>
          <w:tcPr>
            <w:tcW w:w="2900" w:type="dxa"/>
            <w:vAlign w:val="bottom"/>
            <w:gridSpan w:val="3"/>
          </w:tcPr>
          <w:p>
            <w:pPr>
              <w:ind w:left="80"/>
              <w:spacing w:after="0"/>
              <w:rPr>
                <w:sz w:val="20"/>
                <w:szCs w:val="20"/>
                <w:color w:val="auto"/>
              </w:rPr>
            </w:pPr>
            <w:r>
              <w:rPr>
                <w:rFonts w:ascii="Arial" w:cs="Arial" w:eastAsia="Arial" w:hAnsi="Arial"/>
                <w:sz w:val="8"/>
                <w:szCs w:val="8"/>
                <w:color w:val="auto"/>
              </w:rPr>
              <w:t>Common Equity (1,281 shares)</w:t>
            </w:r>
          </w:p>
        </w:tc>
        <w:tc>
          <w:tcPr>
            <w:tcW w:w="2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8"/>
                <w:szCs w:val="8"/>
                <w:color w:val="auto"/>
              </w:rPr>
              <w:t>1/3/2019</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8"/>
                <w:szCs w:val="8"/>
                <w:color w:val="auto"/>
              </w:rPr>
              <w:t>48</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458</w:t>
            </w: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3"/>
        </w:trPr>
        <w:tc>
          <w:tcPr>
            <w:tcW w:w="20" w:type="dxa"/>
            <w:vAlign w:val="bottom"/>
            <w:tcBorders>
              <w:bottom w:val="single" w:sz="8" w:color="DBEEF4"/>
            </w:tcBorders>
            <w:shd w:val="clear" w:color="auto" w:fill="DBEEF4"/>
          </w:tcPr>
          <w:p>
            <w:pPr>
              <w:spacing w:after="0"/>
              <w:rPr>
                <w:sz w:val="11"/>
                <w:szCs w:val="11"/>
                <w:color w:val="auto"/>
              </w:rPr>
            </w:pPr>
          </w:p>
        </w:tc>
        <w:tc>
          <w:tcPr>
            <w:tcW w:w="2900" w:type="dxa"/>
            <w:vAlign w:val="bottom"/>
            <w:tcBorders>
              <w:bottom w:val="single" w:sz="8" w:color="DBEEF4"/>
            </w:tcBorders>
            <w:gridSpan w:val="3"/>
            <w:shd w:val="clear" w:color="auto" w:fill="DBEEF4"/>
          </w:tcPr>
          <w:p>
            <w:pPr>
              <w:ind w:left="80"/>
              <w:spacing w:after="0"/>
              <w:rPr>
                <w:sz w:val="20"/>
                <w:szCs w:val="20"/>
                <w:color w:val="auto"/>
              </w:rPr>
            </w:pPr>
            <w:r>
              <w:rPr>
                <w:rFonts w:ascii="Arial" w:cs="Arial" w:eastAsia="Arial" w:hAnsi="Arial"/>
                <w:sz w:val="8"/>
                <w:szCs w:val="8"/>
                <w:color w:val="auto"/>
              </w:rPr>
              <w:t>Preferred Equity (74 shares)</w:t>
            </w:r>
          </w:p>
        </w:tc>
        <w:tc>
          <w:tcPr>
            <w:tcW w:w="2260" w:type="dxa"/>
            <w:vAlign w:val="bottom"/>
            <w:tcBorders>
              <w:bottom w:val="single" w:sz="8" w:color="DBEEF4"/>
            </w:tcBorders>
            <w:shd w:val="clear" w:color="auto" w:fill="DBEEF4"/>
          </w:tcPr>
          <w:p>
            <w:pPr>
              <w:spacing w:after="0"/>
              <w:rPr>
                <w:sz w:val="11"/>
                <w:szCs w:val="11"/>
                <w:color w:val="auto"/>
              </w:rPr>
            </w:pPr>
          </w:p>
        </w:tc>
        <w:tc>
          <w:tcPr>
            <w:tcW w:w="1200" w:type="dxa"/>
            <w:vAlign w:val="bottom"/>
            <w:tcBorders>
              <w:bottom w:val="single" w:sz="8" w:color="DBEEF4"/>
            </w:tcBorders>
            <w:shd w:val="clear" w:color="auto" w:fill="DBEEF4"/>
          </w:tcPr>
          <w:p>
            <w:pPr>
              <w:spacing w:after="0"/>
              <w:rPr>
                <w:sz w:val="11"/>
                <w:szCs w:val="11"/>
                <w:color w:val="auto"/>
              </w:rPr>
            </w:pPr>
          </w:p>
        </w:tc>
        <w:tc>
          <w:tcPr>
            <w:tcW w:w="820" w:type="dxa"/>
            <w:vAlign w:val="bottom"/>
            <w:tcBorders>
              <w:bottom w:val="single" w:sz="8" w:color="DBEEF4"/>
            </w:tcBorders>
            <w:shd w:val="clear" w:color="auto" w:fill="DBEEF4"/>
          </w:tcPr>
          <w:p>
            <w:pPr>
              <w:spacing w:after="0"/>
              <w:rPr>
                <w:sz w:val="11"/>
                <w:szCs w:val="11"/>
                <w:color w:val="auto"/>
              </w:rPr>
            </w:pPr>
          </w:p>
        </w:tc>
        <w:tc>
          <w:tcPr>
            <w:tcW w:w="6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8"/>
                <w:szCs w:val="8"/>
                <w:color w:val="auto"/>
              </w:rPr>
              <w:t>1/3/2019</w:t>
            </w:r>
          </w:p>
        </w:tc>
        <w:tc>
          <w:tcPr>
            <w:tcW w:w="580" w:type="dxa"/>
            <w:vAlign w:val="bottom"/>
            <w:tcBorders>
              <w:bottom w:val="single" w:sz="8" w:color="DBEEF4"/>
            </w:tcBorders>
            <w:shd w:val="clear" w:color="auto" w:fill="DBEEF4"/>
          </w:tcPr>
          <w:p>
            <w:pPr>
              <w:spacing w:after="0"/>
              <w:rPr>
                <w:sz w:val="11"/>
                <w:szCs w:val="11"/>
                <w:color w:val="auto"/>
              </w:rPr>
            </w:pPr>
          </w:p>
        </w:tc>
        <w:tc>
          <w:tcPr>
            <w:tcW w:w="160" w:type="dxa"/>
            <w:vAlign w:val="bottom"/>
            <w:tcBorders>
              <w:bottom w:val="single" w:sz="8" w:color="DBEEF4"/>
            </w:tcBorders>
            <w:shd w:val="clear" w:color="auto" w:fill="DBEEF4"/>
          </w:tcPr>
          <w:p>
            <w:pPr>
              <w:spacing w:after="0"/>
              <w:rPr>
                <w:sz w:val="11"/>
                <w:szCs w:val="11"/>
                <w:color w:val="auto"/>
              </w:rPr>
            </w:pPr>
          </w:p>
        </w:tc>
        <w:tc>
          <w:tcPr>
            <w:tcW w:w="460" w:type="dxa"/>
            <w:vAlign w:val="bottom"/>
            <w:tcBorders>
              <w:bottom w:val="single" w:sz="8" w:color="DBEEF4"/>
            </w:tcBorders>
            <w:shd w:val="clear" w:color="auto" w:fill="DBEEF4"/>
          </w:tcPr>
          <w:p>
            <w:pPr>
              <w:spacing w:after="0"/>
              <w:rPr>
                <w:sz w:val="11"/>
                <w:szCs w:val="11"/>
                <w:color w:val="auto"/>
              </w:rPr>
            </w:pPr>
          </w:p>
        </w:tc>
        <w:tc>
          <w:tcPr>
            <w:tcW w:w="120" w:type="dxa"/>
            <w:vAlign w:val="bottom"/>
            <w:tcBorders>
              <w:bottom w:val="single" w:sz="8" w:color="DBEEF4"/>
            </w:tcBorders>
            <w:shd w:val="clear" w:color="auto" w:fill="DBEEF4"/>
          </w:tcPr>
          <w:p>
            <w:pPr>
              <w:spacing w:after="0"/>
              <w:rPr>
                <w:sz w:val="11"/>
                <w:szCs w:val="11"/>
                <w:color w:val="auto"/>
              </w:rPr>
            </w:pPr>
          </w:p>
        </w:tc>
        <w:tc>
          <w:tcPr>
            <w:tcW w:w="100" w:type="dxa"/>
            <w:vAlign w:val="bottom"/>
            <w:tcBorders>
              <w:bottom w:val="single" w:sz="8" w:color="DBEEF4"/>
            </w:tcBorders>
            <w:shd w:val="clear" w:color="auto" w:fill="DBEEF4"/>
          </w:tcPr>
          <w:p>
            <w:pPr>
              <w:spacing w:after="0"/>
              <w:rPr>
                <w:sz w:val="11"/>
                <w:szCs w:val="11"/>
                <w:color w:val="auto"/>
              </w:rPr>
            </w:pPr>
          </w:p>
        </w:tc>
        <w:tc>
          <w:tcPr>
            <w:tcW w:w="140" w:type="dxa"/>
            <w:vAlign w:val="bottom"/>
            <w:tcBorders>
              <w:bottom w:val="single" w:sz="8" w:color="auto"/>
            </w:tcBorders>
            <w:shd w:val="clear" w:color="auto" w:fill="DBEEF4"/>
          </w:tcPr>
          <w:p>
            <w:pPr>
              <w:spacing w:after="0"/>
              <w:rPr>
                <w:sz w:val="11"/>
                <w:szCs w:val="11"/>
                <w:color w:val="auto"/>
              </w:rPr>
            </w:pPr>
          </w:p>
        </w:tc>
        <w:tc>
          <w:tcPr>
            <w:tcW w:w="42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736</w:t>
            </w:r>
          </w:p>
        </w:tc>
        <w:tc>
          <w:tcPr>
            <w:tcW w:w="200" w:type="dxa"/>
            <w:vAlign w:val="bottom"/>
            <w:tcBorders>
              <w:bottom w:val="single" w:sz="8" w:color="DBEEF4"/>
            </w:tcBorders>
            <w:shd w:val="clear" w:color="auto" w:fill="DBEEF4"/>
          </w:tcPr>
          <w:p>
            <w:pPr>
              <w:spacing w:after="0"/>
              <w:rPr>
                <w:sz w:val="11"/>
                <w:szCs w:val="11"/>
                <w:color w:val="auto"/>
              </w:rPr>
            </w:pPr>
          </w:p>
        </w:tc>
        <w:tc>
          <w:tcPr>
            <w:tcW w:w="60" w:type="dxa"/>
            <w:vAlign w:val="bottom"/>
            <w:tcBorders>
              <w:bottom w:val="single" w:sz="8" w:color="auto"/>
            </w:tcBorders>
            <w:shd w:val="clear" w:color="auto" w:fill="DBEEF4"/>
          </w:tcPr>
          <w:p>
            <w:pPr>
              <w:spacing w:after="0"/>
              <w:rPr>
                <w:sz w:val="11"/>
                <w:szCs w:val="11"/>
                <w:color w:val="auto"/>
              </w:rPr>
            </w:pPr>
          </w:p>
        </w:tc>
        <w:tc>
          <w:tcPr>
            <w:tcW w:w="44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737</w:t>
            </w:r>
          </w:p>
        </w:tc>
        <w:tc>
          <w:tcPr>
            <w:tcW w:w="40" w:type="dxa"/>
            <w:vAlign w:val="bottom"/>
            <w:tcBorders>
              <w:bottom w:val="single" w:sz="8" w:color="DBEEF4"/>
            </w:tcBorders>
            <w:shd w:val="clear" w:color="auto" w:fill="DBEEF4"/>
          </w:tcPr>
          <w:p>
            <w:pPr>
              <w:spacing w:after="0"/>
              <w:rPr>
                <w:sz w:val="11"/>
                <w:szCs w:val="11"/>
                <w:color w:val="auto"/>
              </w:rPr>
            </w:pPr>
          </w:p>
        </w:tc>
        <w:tc>
          <w:tcPr>
            <w:tcW w:w="560" w:type="dxa"/>
            <w:vAlign w:val="bottom"/>
            <w:tcBorders>
              <w:bottom w:val="single" w:sz="8" w:color="DBEEF4"/>
            </w:tcBorders>
            <w:shd w:val="clear" w:color="auto" w:fill="DBEEF4"/>
          </w:tcPr>
          <w:p>
            <w:pPr>
              <w:spacing w:after="0"/>
              <w:rPr>
                <w:sz w:val="11"/>
                <w:szCs w:val="11"/>
                <w:color w:val="auto"/>
              </w:rPr>
            </w:pPr>
          </w:p>
        </w:tc>
        <w:tc>
          <w:tcPr>
            <w:tcW w:w="120" w:type="dxa"/>
            <w:vAlign w:val="bottom"/>
            <w:tcBorders>
              <w:bottom w:val="single" w:sz="8" w:color="DBEEF4"/>
            </w:tcBorders>
            <w:shd w:val="clear" w:color="auto" w:fill="DBEEF4"/>
          </w:tcPr>
          <w:p>
            <w:pPr>
              <w:spacing w:after="0"/>
              <w:rPr>
                <w:sz w:val="11"/>
                <w:szCs w:val="11"/>
                <w:color w:val="auto"/>
              </w:rPr>
            </w:pPr>
          </w:p>
        </w:tc>
      </w:tr>
      <w:tr>
        <w:trPr>
          <w:trHeight w:val="113"/>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8"/>
                <w:szCs w:val="8"/>
                <w:color w:val="auto"/>
              </w:rPr>
              <w:t>30,671</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31,195</w:t>
            </w:r>
          </w:p>
        </w:tc>
        <w:tc>
          <w:tcPr>
            <w:tcW w:w="720" w:type="dxa"/>
            <w:vAlign w:val="bottom"/>
            <w:gridSpan w:val="3"/>
          </w:tcPr>
          <w:p>
            <w:pPr>
              <w:jc w:val="right"/>
              <w:ind w:right="40"/>
              <w:spacing w:after="0"/>
              <w:rPr>
                <w:sz w:val="20"/>
                <w:szCs w:val="20"/>
                <w:color w:val="auto"/>
              </w:rPr>
            </w:pPr>
            <w:r>
              <w:rPr>
                <w:rFonts w:ascii="Arial" w:cs="Arial" w:eastAsia="Arial" w:hAnsi="Arial"/>
                <w:sz w:val="8"/>
                <w:szCs w:val="8"/>
                <w:color w:val="auto"/>
              </w:rPr>
              <w:t>8 %</w:t>
            </w:r>
          </w:p>
        </w:tc>
      </w:tr>
      <w:tr>
        <w:trPr>
          <w:trHeight w:val="134"/>
        </w:trPr>
        <w:tc>
          <w:tcPr>
            <w:tcW w:w="2920" w:type="dxa"/>
            <w:vAlign w:val="bottom"/>
            <w:gridSpan w:val="4"/>
            <w:shd w:val="clear" w:color="auto" w:fill="DBEEF4"/>
          </w:tcPr>
          <w:p>
            <w:pPr>
              <w:ind w:left="20"/>
              <w:spacing w:after="0"/>
              <w:rPr>
                <w:sz w:val="20"/>
                <w:szCs w:val="20"/>
                <w:color w:val="auto"/>
              </w:rPr>
            </w:pPr>
            <w:r>
              <w:rPr>
                <w:rFonts w:ascii="Arial" w:cs="Arial" w:eastAsia="Arial" w:hAnsi="Arial"/>
                <w:sz w:val="8"/>
                <w:szCs w:val="8"/>
                <w:i w:val="1"/>
                <w:iCs w:val="1"/>
                <w:color w:val="auto"/>
              </w:rPr>
              <w:t>Bedford Precision Parts LLC</w:t>
            </w:r>
          </w:p>
        </w:tc>
        <w:tc>
          <w:tcPr>
            <w:tcW w:w="2260" w:type="dxa"/>
            <w:vAlign w:val="bottom"/>
            <w:shd w:val="clear" w:color="auto" w:fill="DBEEF4"/>
          </w:tcPr>
          <w:p>
            <w:pPr>
              <w:ind w:left="800"/>
              <w:spacing w:after="0"/>
              <w:rPr>
                <w:sz w:val="20"/>
                <w:szCs w:val="20"/>
                <w:color w:val="auto"/>
              </w:rPr>
            </w:pPr>
            <w:r>
              <w:rPr>
                <w:rFonts w:ascii="Arial" w:cs="Arial" w:eastAsia="Arial" w:hAnsi="Arial"/>
                <w:sz w:val="8"/>
                <w:szCs w:val="8"/>
                <w:color w:val="auto"/>
              </w:rPr>
              <w:t>Specialty Distribution</w:t>
            </w:r>
          </w:p>
        </w:tc>
        <w:tc>
          <w:tcPr>
            <w:tcW w:w="1200" w:type="dxa"/>
            <w:vAlign w:val="bottom"/>
            <w:shd w:val="clear" w:color="auto" w:fill="DBEEF4"/>
          </w:tcPr>
          <w:p>
            <w:pPr>
              <w:spacing w:after="0"/>
              <w:rPr>
                <w:sz w:val="11"/>
                <w:szCs w:val="11"/>
                <w:color w:val="auto"/>
              </w:rPr>
            </w:pP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580" w:type="dxa"/>
            <w:vAlign w:val="bottom"/>
            <w:shd w:val="clear" w:color="auto" w:fill="DBEEF4"/>
          </w:tcPr>
          <w:p>
            <w:pPr>
              <w:spacing w:after="0"/>
              <w:rPr>
                <w:sz w:val="11"/>
                <w:szCs w:val="11"/>
                <w:color w:val="auto"/>
              </w:rPr>
            </w:pPr>
          </w:p>
        </w:tc>
        <w:tc>
          <w:tcPr>
            <w:tcW w:w="160" w:type="dxa"/>
            <w:vAlign w:val="bottom"/>
            <w:shd w:val="clear" w:color="auto" w:fill="DBEEF4"/>
          </w:tcPr>
          <w:p>
            <w:pPr>
              <w:spacing w:after="0"/>
              <w:rPr>
                <w:sz w:val="11"/>
                <w:szCs w:val="11"/>
                <w:color w:val="auto"/>
              </w:rPr>
            </w:pPr>
          </w:p>
        </w:tc>
        <w:tc>
          <w:tcPr>
            <w:tcW w:w="4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1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42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60" w:type="dxa"/>
            <w:vAlign w:val="bottom"/>
            <w:shd w:val="clear" w:color="auto" w:fill="DBEEF4"/>
          </w:tcPr>
          <w:p>
            <w:pPr>
              <w:spacing w:after="0"/>
              <w:rPr>
                <w:sz w:val="11"/>
                <w:szCs w:val="11"/>
                <w:color w:val="auto"/>
              </w:rPr>
            </w:pPr>
          </w:p>
        </w:tc>
        <w:tc>
          <w:tcPr>
            <w:tcW w:w="440" w:type="dxa"/>
            <w:vAlign w:val="bottom"/>
            <w:shd w:val="clear" w:color="auto" w:fill="DBEEF4"/>
          </w:tcPr>
          <w:p>
            <w:pPr>
              <w:spacing w:after="0"/>
              <w:rPr>
                <w:sz w:val="11"/>
                <w:szCs w:val="11"/>
                <w:color w:val="auto"/>
              </w:rPr>
            </w:pPr>
          </w:p>
        </w:tc>
        <w:tc>
          <w:tcPr>
            <w:tcW w:w="40" w:type="dxa"/>
            <w:vAlign w:val="bottom"/>
            <w:shd w:val="clear" w:color="auto" w:fill="DBEEF4"/>
          </w:tcPr>
          <w:p>
            <w:pPr>
              <w:spacing w:after="0"/>
              <w:rPr>
                <w:sz w:val="11"/>
                <w:szCs w:val="11"/>
                <w:color w:val="auto"/>
              </w:rPr>
            </w:pPr>
          </w:p>
        </w:tc>
        <w:tc>
          <w:tcPr>
            <w:tcW w:w="5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r>
      <w:tr>
        <w:trPr>
          <w:trHeight w:val="120"/>
        </w:trPr>
        <w:tc>
          <w:tcPr>
            <w:tcW w:w="20" w:type="dxa"/>
            <w:vAlign w:val="bottom"/>
          </w:tcPr>
          <w:p>
            <w:pPr>
              <w:spacing w:after="0"/>
              <w:rPr>
                <w:sz w:val="10"/>
                <w:szCs w:val="10"/>
                <w:color w:val="auto"/>
              </w:rPr>
            </w:pPr>
          </w:p>
        </w:tc>
        <w:tc>
          <w:tcPr>
            <w:tcW w:w="2900" w:type="dxa"/>
            <w:vAlign w:val="bottom"/>
            <w:gridSpan w:val="3"/>
          </w:tcPr>
          <w:p>
            <w:pPr>
              <w:ind w:left="80"/>
              <w:spacing w:after="0"/>
              <w:rPr>
                <w:sz w:val="20"/>
                <w:szCs w:val="20"/>
                <w:color w:val="auto"/>
              </w:rPr>
            </w:pPr>
            <w:r>
              <w:rPr>
                <w:rFonts w:ascii="Arial" w:cs="Arial" w:eastAsia="Arial" w:hAnsi="Arial"/>
                <w:sz w:val="8"/>
                <w:szCs w:val="8"/>
                <w:color w:val="auto"/>
              </w:rPr>
              <w:t>First Lien Debt (j)(s)</w:t>
            </w:r>
          </w:p>
        </w:tc>
        <w:tc>
          <w:tcPr>
            <w:tcW w:w="2260" w:type="dxa"/>
            <w:vAlign w:val="bottom"/>
          </w:tcPr>
          <w:p>
            <w:pPr>
              <w:spacing w:after="0"/>
              <w:rPr>
                <w:sz w:val="10"/>
                <w:szCs w:val="10"/>
                <w:color w:val="auto"/>
              </w:rPr>
            </w:pPr>
          </w:p>
        </w:tc>
        <w:tc>
          <w:tcPr>
            <w:tcW w:w="1200" w:type="dxa"/>
            <w:vAlign w:val="bottom"/>
          </w:tcPr>
          <w:p>
            <w:pPr>
              <w:ind w:left="200"/>
              <w:spacing w:after="0"/>
              <w:rPr>
                <w:sz w:val="20"/>
                <w:szCs w:val="20"/>
                <w:color w:val="auto"/>
              </w:rPr>
            </w:pPr>
            <w:r>
              <w:rPr>
                <w:rFonts w:ascii="Arial" w:cs="Arial" w:eastAsia="Arial" w:hAnsi="Arial"/>
                <w:sz w:val="8"/>
                <w:szCs w:val="8"/>
                <w:color w:val="auto"/>
              </w:rPr>
              <w:t>(L + 6.25%) / (2.00%)</w:t>
            </w:r>
          </w:p>
        </w:tc>
        <w:tc>
          <w:tcPr>
            <w:tcW w:w="820" w:type="dxa"/>
            <w:vAlign w:val="bottom"/>
          </w:tcPr>
          <w:p>
            <w:pPr>
              <w:ind w:left="180"/>
              <w:spacing w:after="0"/>
              <w:rPr>
                <w:sz w:val="20"/>
                <w:szCs w:val="20"/>
                <w:color w:val="auto"/>
              </w:rPr>
            </w:pPr>
            <w:r>
              <w:rPr>
                <w:rFonts w:ascii="Arial" w:cs="Arial" w:eastAsia="Arial" w:hAnsi="Arial"/>
                <w:sz w:val="8"/>
                <w:szCs w:val="8"/>
                <w:color w:val="auto"/>
              </w:rPr>
              <w:t>8.25%/0.00%</w:t>
            </w:r>
          </w:p>
        </w:tc>
        <w:tc>
          <w:tcPr>
            <w:tcW w:w="640" w:type="dxa"/>
            <w:vAlign w:val="bottom"/>
          </w:tcPr>
          <w:p>
            <w:pPr>
              <w:ind w:left="120"/>
              <w:spacing w:after="0"/>
              <w:rPr>
                <w:sz w:val="20"/>
                <w:szCs w:val="20"/>
                <w:color w:val="auto"/>
              </w:rPr>
            </w:pPr>
            <w:r>
              <w:rPr>
                <w:rFonts w:ascii="Arial" w:cs="Arial" w:eastAsia="Arial" w:hAnsi="Arial"/>
                <w:sz w:val="8"/>
                <w:szCs w:val="8"/>
                <w:color w:val="auto"/>
              </w:rPr>
              <w:t>3/12/2019</w:t>
            </w:r>
          </w:p>
        </w:tc>
        <w:tc>
          <w:tcPr>
            <w:tcW w:w="580" w:type="dxa"/>
            <w:vAlign w:val="bottom"/>
          </w:tcPr>
          <w:p>
            <w:pPr>
              <w:ind w:left="120"/>
              <w:spacing w:after="0"/>
              <w:rPr>
                <w:sz w:val="20"/>
                <w:szCs w:val="20"/>
                <w:color w:val="auto"/>
              </w:rPr>
            </w:pPr>
            <w:r>
              <w:rPr>
                <w:rFonts w:ascii="Arial" w:cs="Arial" w:eastAsia="Arial" w:hAnsi="Arial"/>
                <w:sz w:val="8"/>
                <w:szCs w:val="8"/>
                <w:color w:val="auto"/>
              </w:rPr>
              <w:t>3/12/2024</w:t>
            </w:r>
          </w:p>
        </w:tc>
        <w:tc>
          <w:tcPr>
            <w:tcW w:w="1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4,531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8"/>
                <w:szCs w:val="8"/>
                <w:color w:val="auto"/>
              </w:rPr>
              <w:t>4,507</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4,531</w:t>
            </w: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3"/>
        </w:trPr>
        <w:tc>
          <w:tcPr>
            <w:tcW w:w="20" w:type="dxa"/>
            <w:vAlign w:val="bottom"/>
            <w:tcBorders>
              <w:bottom w:val="single" w:sz="8" w:color="DBEEF4"/>
            </w:tcBorders>
            <w:shd w:val="clear" w:color="auto" w:fill="DBEEF4"/>
          </w:tcPr>
          <w:p>
            <w:pPr>
              <w:spacing w:after="0"/>
              <w:rPr>
                <w:sz w:val="11"/>
                <w:szCs w:val="11"/>
                <w:color w:val="auto"/>
              </w:rPr>
            </w:pPr>
          </w:p>
        </w:tc>
        <w:tc>
          <w:tcPr>
            <w:tcW w:w="2900" w:type="dxa"/>
            <w:vAlign w:val="bottom"/>
            <w:tcBorders>
              <w:bottom w:val="single" w:sz="8" w:color="DBEEF4"/>
            </w:tcBorders>
            <w:gridSpan w:val="3"/>
            <w:shd w:val="clear" w:color="auto" w:fill="DBEEF4"/>
          </w:tcPr>
          <w:p>
            <w:pPr>
              <w:ind w:left="80"/>
              <w:spacing w:after="0"/>
              <w:rPr>
                <w:sz w:val="20"/>
                <w:szCs w:val="20"/>
                <w:color w:val="auto"/>
              </w:rPr>
            </w:pPr>
            <w:r>
              <w:rPr>
                <w:rFonts w:ascii="Arial" w:cs="Arial" w:eastAsia="Arial" w:hAnsi="Arial"/>
                <w:sz w:val="8"/>
                <w:szCs w:val="8"/>
                <w:color w:val="auto"/>
              </w:rPr>
              <w:t>Common Equity (500,000 units) (h)(j)</w:t>
            </w:r>
          </w:p>
        </w:tc>
        <w:tc>
          <w:tcPr>
            <w:tcW w:w="2260" w:type="dxa"/>
            <w:vAlign w:val="bottom"/>
            <w:tcBorders>
              <w:bottom w:val="single" w:sz="8" w:color="DBEEF4"/>
            </w:tcBorders>
            <w:shd w:val="clear" w:color="auto" w:fill="DBEEF4"/>
          </w:tcPr>
          <w:p>
            <w:pPr>
              <w:spacing w:after="0"/>
              <w:rPr>
                <w:sz w:val="11"/>
                <w:szCs w:val="11"/>
                <w:color w:val="auto"/>
              </w:rPr>
            </w:pPr>
          </w:p>
        </w:tc>
        <w:tc>
          <w:tcPr>
            <w:tcW w:w="1200" w:type="dxa"/>
            <w:vAlign w:val="bottom"/>
            <w:tcBorders>
              <w:bottom w:val="single" w:sz="8" w:color="DBEEF4"/>
            </w:tcBorders>
            <w:shd w:val="clear" w:color="auto" w:fill="DBEEF4"/>
          </w:tcPr>
          <w:p>
            <w:pPr>
              <w:spacing w:after="0"/>
              <w:rPr>
                <w:sz w:val="11"/>
                <w:szCs w:val="11"/>
                <w:color w:val="auto"/>
              </w:rPr>
            </w:pPr>
          </w:p>
        </w:tc>
        <w:tc>
          <w:tcPr>
            <w:tcW w:w="820" w:type="dxa"/>
            <w:vAlign w:val="bottom"/>
            <w:tcBorders>
              <w:bottom w:val="single" w:sz="8" w:color="DBEEF4"/>
            </w:tcBorders>
            <w:shd w:val="clear" w:color="auto" w:fill="DBEEF4"/>
          </w:tcPr>
          <w:p>
            <w:pPr>
              <w:spacing w:after="0"/>
              <w:rPr>
                <w:sz w:val="11"/>
                <w:szCs w:val="11"/>
                <w:color w:val="auto"/>
              </w:rPr>
            </w:pPr>
          </w:p>
        </w:tc>
        <w:tc>
          <w:tcPr>
            <w:tcW w:w="6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8"/>
                <w:szCs w:val="8"/>
                <w:color w:val="auto"/>
              </w:rPr>
              <w:t>3/12/2019</w:t>
            </w:r>
          </w:p>
        </w:tc>
        <w:tc>
          <w:tcPr>
            <w:tcW w:w="580" w:type="dxa"/>
            <w:vAlign w:val="bottom"/>
            <w:tcBorders>
              <w:bottom w:val="single" w:sz="8" w:color="DBEEF4"/>
            </w:tcBorders>
            <w:shd w:val="clear" w:color="auto" w:fill="DBEEF4"/>
          </w:tcPr>
          <w:p>
            <w:pPr>
              <w:spacing w:after="0"/>
              <w:rPr>
                <w:sz w:val="11"/>
                <w:szCs w:val="11"/>
                <w:color w:val="auto"/>
              </w:rPr>
            </w:pPr>
          </w:p>
        </w:tc>
        <w:tc>
          <w:tcPr>
            <w:tcW w:w="160" w:type="dxa"/>
            <w:vAlign w:val="bottom"/>
            <w:tcBorders>
              <w:bottom w:val="single" w:sz="8" w:color="DBEEF4"/>
            </w:tcBorders>
            <w:shd w:val="clear" w:color="auto" w:fill="DBEEF4"/>
          </w:tcPr>
          <w:p>
            <w:pPr>
              <w:spacing w:after="0"/>
              <w:rPr>
                <w:sz w:val="11"/>
                <w:szCs w:val="11"/>
                <w:color w:val="auto"/>
              </w:rPr>
            </w:pPr>
          </w:p>
        </w:tc>
        <w:tc>
          <w:tcPr>
            <w:tcW w:w="460" w:type="dxa"/>
            <w:vAlign w:val="bottom"/>
            <w:tcBorders>
              <w:bottom w:val="single" w:sz="8" w:color="DBEEF4"/>
            </w:tcBorders>
            <w:shd w:val="clear" w:color="auto" w:fill="DBEEF4"/>
          </w:tcPr>
          <w:p>
            <w:pPr>
              <w:spacing w:after="0"/>
              <w:rPr>
                <w:sz w:val="11"/>
                <w:szCs w:val="11"/>
                <w:color w:val="auto"/>
              </w:rPr>
            </w:pPr>
          </w:p>
        </w:tc>
        <w:tc>
          <w:tcPr>
            <w:tcW w:w="120" w:type="dxa"/>
            <w:vAlign w:val="bottom"/>
            <w:tcBorders>
              <w:bottom w:val="single" w:sz="8" w:color="DBEEF4"/>
            </w:tcBorders>
            <w:shd w:val="clear" w:color="auto" w:fill="DBEEF4"/>
          </w:tcPr>
          <w:p>
            <w:pPr>
              <w:spacing w:after="0"/>
              <w:rPr>
                <w:sz w:val="11"/>
                <w:szCs w:val="11"/>
                <w:color w:val="auto"/>
              </w:rPr>
            </w:pPr>
          </w:p>
        </w:tc>
        <w:tc>
          <w:tcPr>
            <w:tcW w:w="100" w:type="dxa"/>
            <w:vAlign w:val="bottom"/>
            <w:tcBorders>
              <w:bottom w:val="single" w:sz="8" w:color="DBEEF4"/>
            </w:tcBorders>
            <w:shd w:val="clear" w:color="auto" w:fill="DBEEF4"/>
          </w:tcPr>
          <w:p>
            <w:pPr>
              <w:spacing w:after="0"/>
              <w:rPr>
                <w:sz w:val="11"/>
                <w:szCs w:val="11"/>
                <w:color w:val="auto"/>
              </w:rPr>
            </w:pPr>
          </w:p>
        </w:tc>
        <w:tc>
          <w:tcPr>
            <w:tcW w:w="140" w:type="dxa"/>
            <w:vAlign w:val="bottom"/>
            <w:tcBorders>
              <w:bottom w:val="single" w:sz="8" w:color="auto"/>
            </w:tcBorders>
            <w:shd w:val="clear" w:color="auto" w:fill="DBEEF4"/>
          </w:tcPr>
          <w:p>
            <w:pPr>
              <w:spacing w:after="0"/>
              <w:rPr>
                <w:sz w:val="11"/>
                <w:szCs w:val="11"/>
                <w:color w:val="auto"/>
              </w:rPr>
            </w:pPr>
          </w:p>
        </w:tc>
        <w:tc>
          <w:tcPr>
            <w:tcW w:w="42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500</w:t>
            </w:r>
          </w:p>
        </w:tc>
        <w:tc>
          <w:tcPr>
            <w:tcW w:w="200" w:type="dxa"/>
            <w:vAlign w:val="bottom"/>
            <w:tcBorders>
              <w:bottom w:val="single" w:sz="8" w:color="DBEEF4"/>
            </w:tcBorders>
            <w:shd w:val="clear" w:color="auto" w:fill="DBEEF4"/>
          </w:tcPr>
          <w:p>
            <w:pPr>
              <w:spacing w:after="0"/>
              <w:rPr>
                <w:sz w:val="11"/>
                <w:szCs w:val="11"/>
                <w:color w:val="auto"/>
              </w:rPr>
            </w:pPr>
          </w:p>
        </w:tc>
        <w:tc>
          <w:tcPr>
            <w:tcW w:w="60" w:type="dxa"/>
            <w:vAlign w:val="bottom"/>
            <w:tcBorders>
              <w:bottom w:val="single" w:sz="8" w:color="auto"/>
            </w:tcBorders>
            <w:shd w:val="clear" w:color="auto" w:fill="DBEEF4"/>
          </w:tcPr>
          <w:p>
            <w:pPr>
              <w:spacing w:after="0"/>
              <w:rPr>
                <w:sz w:val="11"/>
                <w:szCs w:val="11"/>
                <w:color w:val="auto"/>
              </w:rPr>
            </w:pPr>
          </w:p>
        </w:tc>
        <w:tc>
          <w:tcPr>
            <w:tcW w:w="44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263</w:t>
            </w:r>
          </w:p>
        </w:tc>
        <w:tc>
          <w:tcPr>
            <w:tcW w:w="40" w:type="dxa"/>
            <w:vAlign w:val="bottom"/>
            <w:tcBorders>
              <w:bottom w:val="single" w:sz="8" w:color="DBEEF4"/>
            </w:tcBorders>
            <w:shd w:val="clear" w:color="auto" w:fill="DBEEF4"/>
          </w:tcPr>
          <w:p>
            <w:pPr>
              <w:spacing w:after="0"/>
              <w:rPr>
                <w:sz w:val="11"/>
                <w:szCs w:val="11"/>
                <w:color w:val="auto"/>
              </w:rPr>
            </w:pPr>
          </w:p>
        </w:tc>
        <w:tc>
          <w:tcPr>
            <w:tcW w:w="560" w:type="dxa"/>
            <w:vAlign w:val="bottom"/>
            <w:tcBorders>
              <w:bottom w:val="single" w:sz="8" w:color="DBEEF4"/>
            </w:tcBorders>
            <w:shd w:val="clear" w:color="auto" w:fill="DBEEF4"/>
          </w:tcPr>
          <w:p>
            <w:pPr>
              <w:spacing w:after="0"/>
              <w:rPr>
                <w:sz w:val="11"/>
                <w:szCs w:val="11"/>
                <w:color w:val="auto"/>
              </w:rPr>
            </w:pPr>
          </w:p>
        </w:tc>
        <w:tc>
          <w:tcPr>
            <w:tcW w:w="120" w:type="dxa"/>
            <w:vAlign w:val="bottom"/>
            <w:tcBorders>
              <w:bottom w:val="single" w:sz="8" w:color="DBEEF4"/>
            </w:tcBorders>
            <w:shd w:val="clear" w:color="auto" w:fill="DBEEF4"/>
          </w:tcPr>
          <w:p>
            <w:pPr>
              <w:spacing w:after="0"/>
              <w:rPr>
                <w:sz w:val="11"/>
                <w:szCs w:val="11"/>
                <w:color w:val="auto"/>
              </w:rPr>
            </w:pPr>
          </w:p>
        </w:tc>
      </w:tr>
      <w:tr>
        <w:trPr>
          <w:trHeight w:val="113"/>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8"/>
                <w:szCs w:val="8"/>
                <w:color w:val="auto"/>
              </w:rPr>
              <w:t>5,007</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4,794</w:t>
            </w:r>
          </w:p>
        </w:tc>
        <w:tc>
          <w:tcPr>
            <w:tcW w:w="720" w:type="dxa"/>
            <w:vAlign w:val="bottom"/>
            <w:gridSpan w:val="3"/>
          </w:tcPr>
          <w:p>
            <w:pPr>
              <w:jc w:val="right"/>
              <w:ind w:right="40"/>
              <w:spacing w:after="0"/>
              <w:rPr>
                <w:sz w:val="20"/>
                <w:szCs w:val="20"/>
                <w:color w:val="auto"/>
              </w:rPr>
            </w:pPr>
            <w:r>
              <w:rPr>
                <w:rFonts w:ascii="Arial" w:cs="Arial" w:eastAsia="Arial" w:hAnsi="Arial"/>
                <w:sz w:val="8"/>
                <w:szCs w:val="8"/>
                <w:color w:val="auto"/>
              </w:rPr>
              <w:t>1 %</w:t>
            </w:r>
          </w:p>
        </w:tc>
      </w:tr>
      <w:tr>
        <w:trPr>
          <w:trHeight w:val="134"/>
        </w:trPr>
        <w:tc>
          <w:tcPr>
            <w:tcW w:w="2920" w:type="dxa"/>
            <w:vAlign w:val="bottom"/>
            <w:gridSpan w:val="4"/>
            <w:shd w:val="clear" w:color="auto" w:fill="DBEEF4"/>
          </w:tcPr>
          <w:p>
            <w:pPr>
              <w:ind w:left="20"/>
              <w:spacing w:after="0"/>
              <w:rPr>
                <w:sz w:val="20"/>
                <w:szCs w:val="20"/>
                <w:color w:val="auto"/>
              </w:rPr>
            </w:pPr>
            <w:r>
              <w:rPr>
                <w:rFonts w:ascii="Arial" w:cs="Arial" w:eastAsia="Arial" w:hAnsi="Arial"/>
                <w:sz w:val="8"/>
                <w:szCs w:val="8"/>
                <w:i w:val="1"/>
                <w:iCs w:val="1"/>
                <w:color w:val="auto"/>
              </w:rPr>
              <w:t>Cardboard Box LLC (dba Anthony's Coal Fired Pizza)</w:t>
            </w:r>
          </w:p>
        </w:tc>
        <w:tc>
          <w:tcPr>
            <w:tcW w:w="2260" w:type="dxa"/>
            <w:vAlign w:val="bottom"/>
            <w:shd w:val="clear" w:color="auto" w:fill="DBEEF4"/>
          </w:tcPr>
          <w:p>
            <w:pPr>
              <w:ind w:left="800"/>
              <w:spacing w:after="0"/>
              <w:rPr>
                <w:sz w:val="20"/>
                <w:szCs w:val="20"/>
                <w:color w:val="auto"/>
              </w:rPr>
            </w:pPr>
            <w:r>
              <w:rPr>
                <w:rFonts w:ascii="Arial" w:cs="Arial" w:eastAsia="Arial" w:hAnsi="Arial"/>
                <w:sz w:val="8"/>
                <w:szCs w:val="8"/>
                <w:color w:val="auto"/>
              </w:rPr>
              <w:t>Restaurants</w:t>
            </w:r>
          </w:p>
        </w:tc>
        <w:tc>
          <w:tcPr>
            <w:tcW w:w="1200" w:type="dxa"/>
            <w:vAlign w:val="bottom"/>
            <w:shd w:val="clear" w:color="auto" w:fill="DBEEF4"/>
          </w:tcPr>
          <w:p>
            <w:pPr>
              <w:spacing w:after="0"/>
              <w:rPr>
                <w:sz w:val="11"/>
                <w:szCs w:val="11"/>
                <w:color w:val="auto"/>
              </w:rPr>
            </w:pP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580" w:type="dxa"/>
            <w:vAlign w:val="bottom"/>
            <w:shd w:val="clear" w:color="auto" w:fill="DBEEF4"/>
          </w:tcPr>
          <w:p>
            <w:pPr>
              <w:spacing w:after="0"/>
              <w:rPr>
                <w:sz w:val="11"/>
                <w:szCs w:val="11"/>
                <w:color w:val="auto"/>
              </w:rPr>
            </w:pPr>
          </w:p>
        </w:tc>
        <w:tc>
          <w:tcPr>
            <w:tcW w:w="160" w:type="dxa"/>
            <w:vAlign w:val="bottom"/>
            <w:shd w:val="clear" w:color="auto" w:fill="DBEEF4"/>
          </w:tcPr>
          <w:p>
            <w:pPr>
              <w:spacing w:after="0"/>
              <w:rPr>
                <w:sz w:val="11"/>
                <w:szCs w:val="11"/>
                <w:color w:val="auto"/>
              </w:rPr>
            </w:pPr>
          </w:p>
        </w:tc>
        <w:tc>
          <w:tcPr>
            <w:tcW w:w="4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1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42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60" w:type="dxa"/>
            <w:vAlign w:val="bottom"/>
            <w:shd w:val="clear" w:color="auto" w:fill="DBEEF4"/>
          </w:tcPr>
          <w:p>
            <w:pPr>
              <w:spacing w:after="0"/>
              <w:rPr>
                <w:sz w:val="11"/>
                <w:szCs w:val="11"/>
                <w:color w:val="auto"/>
              </w:rPr>
            </w:pPr>
          </w:p>
        </w:tc>
        <w:tc>
          <w:tcPr>
            <w:tcW w:w="440" w:type="dxa"/>
            <w:vAlign w:val="bottom"/>
            <w:shd w:val="clear" w:color="auto" w:fill="DBEEF4"/>
          </w:tcPr>
          <w:p>
            <w:pPr>
              <w:spacing w:after="0"/>
              <w:rPr>
                <w:sz w:val="11"/>
                <w:szCs w:val="11"/>
                <w:color w:val="auto"/>
              </w:rPr>
            </w:pPr>
          </w:p>
        </w:tc>
        <w:tc>
          <w:tcPr>
            <w:tcW w:w="40" w:type="dxa"/>
            <w:vAlign w:val="bottom"/>
            <w:shd w:val="clear" w:color="auto" w:fill="DBEEF4"/>
          </w:tcPr>
          <w:p>
            <w:pPr>
              <w:spacing w:after="0"/>
              <w:rPr>
                <w:sz w:val="11"/>
                <w:szCs w:val="11"/>
                <w:color w:val="auto"/>
              </w:rPr>
            </w:pPr>
          </w:p>
        </w:tc>
        <w:tc>
          <w:tcPr>
            <w:tcW w:w="56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r>
      <w:tr>
        <w:trPr>
          <w:trHeight w:val="120"/>
        </w:trPr>
        <w:tc>
          <w:tcPr>
            <w:tcW w:w="20" w:type="dxa"/>
            <w:vAlign w:val="bottom"/>
          </w:tcPr>
          <w:p>
            <w:pPr>
              <w:spacing w:after="0"/>
              <w:rPr>
                <w:sz w:val="10"/>
                <w:szCs w:val="10"/>
                <w:color w:val="auto"/>
              </w:rPr>
            </w:pPr>
          </w:p>
        </w:tc>
        <w:tc>
          <w:tcPr>
            <w:tcW w:w="2900" w:type="dxa"/>
            <w:vAlign w:val="bottom"/>
            <w:gridSpan w:val="3"/>
          </w:tcPr>
          <w:p>
            <w:pPr>
              <w:ind w:left="80"/>
              <w:spacing w:after="0"/>
              <w:rPr>
                <w:sz w:val="20"/>
                <w:szCs w:val="20"/>
                <w:color w:val="auto"/>
              </w:rPr>
            </w:pPr>
            <w:r>
              <w:rPr>
                <w:rFonts w:ascii="Arial" w:cs="Arial" w:eastAsia="Arial" w:hAnsi="Arial"/>
                <w:sz w:val="8"/>
                <w:szCs w:val="8"/>
                <w:color w:val="auto"/>
              </w:rPr>
              <w:t>Common Equity (521,021 units) (j)</w:t>
            </w:r>
          </w:p>
        </w:tc>
        <w:tc>
          <w:tcPr>
            <w:tcW w:w="2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8"/>
                <w:szCs w:val="8"/>
                <w:color w:val="auto"/>
              </w:rPr>
              <w:t>12/15/2015</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8"/>
                <w:szCs w:val="8"/>
                <w:color w:val="auto"/>
              </w:rPr>
              <w:t>521</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3"/>
        </w:trPr>
        <w:tc>
          <w:tcPr>
            <w:tcW w:w="20" w:type="dxa"/>
            <w:vAlign w:val="bottom"/>
            <w:tcBorders>
              <w:bottom w:val="single" w:sz="8" w:color="DBEEF4"/>
            </w:tcBorders>
            <w:shd w:val="clear" w:color="auto" w:fill="DBEEF4"/>
          </w:tcPr>
          <w:p>
            <w:pPr>
              <w:spacing w:after="0"/>
              <w:rPr>
                <w:sz w:val="11"/>
                <w:szCs w:val="11"/>
                <w:color w:val="auto"/>
              </w:rPr>
            </w:pPr>
          </w:p>
        </w:tc>
        <w:tc>
          <w:tcPr>
            <w:tcW w:w="2900" w:type="dxa"/>
            <w:vAlign w:val="bottom"/>
            <w:tcBorders>
              <w:bottom w:val="single" w:sz="8" w:color="DBEEF4"/>
            </w:tcBorders>
            <w:gridSpan w:val="3"/>
            <w:shd w:val="clear" w:color="auto" w:fill="DBEEF4"/>
          </w:tcPr>
          <w:p>
            <w:pPr>
              <w:ind w:left="80"/>
              <w:spacing w:after="0"/>
              <w:rPr>
                <w:sz w:val="20"/>
                <w:szCs w:val="20"/>
                <w:color w:val="auto"/>
              </w:rPr>
            </w:pPr>
            <w:r>
              <w:rPr>
                <w:rFonts w:ascii="Arial" w:cs="Arial" w:eastAsia="Arial" w:hAnsi="Arial"/>
                <w:sz w:val="8"/>
                <w:szCs w:val="8"/>
                <w:color w:val="auto"/>
              </w:rPr>
              <w:t>Preferred Equity (1,043,133 units) (j)</w:t>
            </w:r>
          </w:p>
        </w:tc>
        <w:tc>
          <w:tcPr>
            <w:tcW w:w="2260" w:type="dxa"/>
            <w:vAlign w:val="bottom"/>
            <w:tcBorders>
              <w:bottom w:val="single" w:sz="8" w:color="DBEEF4"/>
            </w:tcBorders>
            <w:shd w:val="clear" w:color="auto" w:fill="DBEEF4"/>
          </w:tcPr>
          <w:p>
            <w:pPr>
              <w:spacing w:after="0"/>
              <w:rPr>
                <w:sz w:val="11"/>
                <w:szCs w:val="11"/>
                <w:color w:val="auto"/>
              </w:rPr>
            </w:pPr>
          </w:p>
        </w:tc>
        <w:tc>
          <w:tcPr>
            <w:tcW w:w="1200" w:type="dxa"/>
            <w:vAlign w:val="bottom"/>
            <w:tcBorders>
              <w:bottom w:val="single" w:sz="8" w:color="DBEEF4"/>
            </w:tcBorders>
            <w:shd w:val="clear" w:color="auto" w:fill="DBEEF4"/>
          </w:tcPr>
          <w:p>
            <w:pPr>
              <w:spacing w:after="0"/>
              <w:rPr>
                <w:sz w:val="11"/>
                <w:szCs w:val="11"/>
                <w:color w:val="auto"/>
              </w:rPr>
            </w:pPr>
          </w:p>
        </w:tc>
        <w:tc>
          <w:tcPr>
            <w:tcW w:w="820" w:type="dxa"/>
            <w:vAlign w:val="bottom"/>
            <w:tcBorders>
              <w:bottom w:val="single" w:sz="8" w:color="DBEEF4"/>
            </w:tcBorders>
            <w:shd w:val="clear" w:color="auto" w:fill="DBEEF4"/>
          </w:tcPr>
          <w:p>
            <w:pPr>
              <w:spacing w:after="0"/>
              <w:rPr>
                <w:sz w:val="11"/>
                <w:szCs w:val="11"/>
                <w:color w:val="auto"/>
              </w:rPr>
            </w:pPr>
          </w:p>
        </w:tc>
        <w:tc>
          <w:tcPr>
            <w:tcW w:w="6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8"/>
                <w:szCs w:val="8"/>
                <w:color w:val="auto"/>
              </w:rPr>
              <w:t>12/6/2019</w:t>
            </w:r>
          </w:p>
        </w:tc>
        <w:tc>
          <w:tcPr>
            <w:tcW w:w="580" w:type="dxa"/>
            <w:vAlign w:val="bottom"/>
            <w:tcBorders>
              <w:bottom w:val="single" w:sz="8" w:color="DBEEF4"/>
            </w:tcBorders>
            <w:shd w:val="clear" w:color="auto" w:fill="DBEEF4"/>
          </w:tcPr>
          <w:p>
            <w:pPr>
              <w:spacing w:after="0"/>
              <w:rPr>
                <w:sz w:val="11"/>
                <w:szCs w:val="11"/>
                <w:color w:val="auto"/>
              </w:rPr>
            </w:pPr>
          </w:p>
        </w:tc>
        <w:tc>
          <w:tcPr>
            <w:tcW w:w="160" w:type="dxa"/>
            <w:vAlign w:val="bottom"/>
            <w:tcBorders>
              <w:bottom w:val="single" w:sz="8" w:color="DBEEF4"/>
            </w:tcBorders>
            <w:shd w:val="clear" w:color="auto" w:fill="DBEEF4"/>
          </w:tcPr>
          <w:p>
            <w:pPr>
              <w:spacing w:after="0"/>
              <w:rPr>
                <w:sz w:val="11"/>
                <w:szCs w:val="11"/>
                <w:color w:val="auto"/>
              </w:rPr>
            </w:pPr>
          </w:p>
        </w:tc>
        <w:tc>
          <w:tcPr>
            <w:tcW w:w="460" w:type="dxa"/>
            <w:vAlign w:val="bottom"/>
            <w:tcBorders>
              <w:bottom w:val="single" w:sz="8" w:color="DBEEF4"/>
            </w:tcBorders>
            <w:shd w:val="clear" w:color="auto" w:fill="DBEEF4"/>
          </w:tcPr>
          <w:p>
            <w:pPr>
              <w:spacing w:after="0"/>
              <w:rPr>
                <w:sz w:val="11"/>
                <w:szCs w:val="11"/>
                <w:color w:val="auto"/>
              </w:rPr>
            </w:pPr>
          </w:p>
        </w:tc>
        <w:tc>
          <w:tcPr>
            <w:tcW w:w="120" w:type="dxa"/>
            <w:vAlign w:val="bottom"/>
            <w:tcBorders>
              <w:bottom w:val="single" w:sz="8" w:color="DBEEF4"/>
            </w:tcBorders>
            <w:shd w:val="clear" w:color="auto" w:fill="DBEEF4"/>
          </w:tcPr>
          <w:p>
            <w:pPr>
              <w:spacing w:after="0"/>
              <w:rPr>
                <w:sz w:val="11"/>
                <w:szCs w:val="11"/>
                <w:color w:val="auto"/>
              </w:rPr>
            </w:pPr>
          </w:p>
        </w:tc>
        <w:tc>
          <w:tcPr>
            <w:tcW w:w="100" w:type="dxa"/>
            <w:vAlign w:val="bottom"/>
            <w:tcBorders>
              <w:bottom w:val="single" w:sz="8" w:color="DBEEF4"/>
            </w:tcBorders>
            <w:shd w:val="clear" w:color="auto" w:fill="DBEEF4"/>
          </w:tcPr>
          <w:p>
            <w:pPr>
              <w:spacing w:after="0"/>
              <w:rPr>
                <w:sz w:val="11"/>
                <w:szCs w:val="11"/>
                <w:color w:val="auto"/>
              </w:rPr>
            </w:pPr>
          </w:p>
        </w:tc>
        <w:tc>
          <w:tcPr>
            <w:tcW w:w="140" w:type="dxa"/>
            <w:vAlign w:val="bottom"/>
            <w:tcBorders>
              <w:bottom w:val="single" w:sz="8" w:color="auto"/>
            </w:tcBorders>
            <w:shd w:val="clear" w:color="auto" w:fill="DBEEF4"/>
          </w:tcPr>
          <w:p>
            <w:pPr>
              <w:spacing w:after="0"/>
              <w:rPr>
                <w:sz w:val="11"/>
                <w:szCs w:val="11"/>
                <w:color w:val="auto"/>
              </w:rPr>
            </w:pPr>
          </w:p>
        </w:tc>
        <w:tc>
          <w:tcPr>
            <w:tcW w:w="42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96</w:t>
            </w:r>
          </w:p>
        </w:tc>
        <w:tc>
          <w:tcPr>
            <w:tcW w:w="200" w:type="dxa"/>
            <w:vAlign w:val="bottom"/>
            <w:tcBorders>
              <w:bottom w:val="single" w:sz="8" w:color="DBEEF4"/>
            </w:tcBorders>
            <w:shd w:val="clear" w:color="auto" w:fill="DBEEF4"/>
          </w:tcPr>
          <w:p>
            <w:pPr>
              <w:spacing w:after="0"/>
              <w:rPr>
                <w:sz w:val="11"/>
                <w:szCs w:val="11"/>
                <w:color w:val="auto"/>
              </w:rPr>
            </w:pPr>
          </w:p>
        </w:tc>
        <w:tc>
          <w:tcPr>
            <w:tcW w:w="60" w:type="dxa"/>
            <w:vAlign w:val="bottom"/>
            <w:tcBorders>
              <w:bottom w:val="single" w:sz="8" w:color="auto"/>
            </w:tcBorders>
            <w:shd w:val="clear" w:color="auto" w:fill="DBEEF4"/>
          </w:tcPr>
          <w:p>
            <w:pPr>
              <w:spacing w:after="0"/>
              <w:rPr>
                <w:sz w:val="11"/>
                <w:szCs w:val="11"/>
                <w:color w:val="auto"/>
              </w:rPr>
            </w:pPr>
          </w:p>
        </w:tc>
        <w:tc>
          <w:tcPr>
            <w:tcW w:w="44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34</w:t>
            </w:r>
          </w:p>
        </w:tc>
        <w:tc>
          <w:tcPr>
            <w:tcW w:w="40" w:type="dxa"/>
            <w:vAlign w:val="bottom"/>
            <w:tcBorders>
              <w:bottom w:val="single" w:sz="8" w:color="DBEEF4"/>
            </w:tcBorders>
            <w:shd w:val="clear" w:color="auto" w:fill="DBEEF4"/>
          </w:tcPr>
          <w:p>
            <w:pPr>
              <w:spacing w:after="0"/>
              <w:rPr>
                <w:sz w:val="11"/>
                <w:szCs w:val="11"/>
                <w:color w:val="auto"/>
              </w:rPr>
            </w:pPr>
          </w:p>
        </w:tc>
        <w:tc>
          <w:tcPr>
            <w:tcW w:w="560" w:type="dxa"/>
            <w:vAlign w:val="bottom"/>
            <w:tcBorders>
              <w:bottom w:val="single" w:sz="8" w:color="DBEEF4"/>
            </w:tcBorders>
            <w:shd w:val="clear" w:color="auto" w:fill="DBEEF4"/>
          </w:tcPr>
          <w:p>
            <w:pPr>
              <w:spacing w:after="0"/>
              <w:rPr>
                <w:sz w:val="11"/>
                <w:szCs w:val="11"/>
                <w:color w:val="auto"/>
              </w:rPr>
            </w:pPr>
          </w:p>
        </w:tc>
        <w:tc>
          <w:tcPr>
            <w:tcW w:w="120" w:type="dxa"/>
            <w:vAlign w:val="bottom"/>
            <w:tcBorders>
              <w:bottom w:val="single" w:sz="8" w:color="DBEEF4"/>
            </w:tcBorders>
            <w:shd w:val="clear" w:color="auto" w:fill="DBEEF4"/>
          </w:tcPr>
          <w:p>
            <w:pPr>
              <w:spacing w:after="0"/>
              <w:rPr>
                <w:sz w:val="11"/>
                <w:szCs w:val="11"/>
                <w:color w:val="auto"/>
              </w:rPr>
            </w:pPr>
          </w:p>
        </w:tc>
      </w:tr>
      <w:tr>
        <w:trPr>
          <w:trHeight w:val="106"/>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8"/>
                <w:szCs w:val="8"/>
                <w:color w:val="auto"/>
              </w:rPr>
              <w:t>617</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34</w:t>
            </w:r>
          </w:p>
        </w:tc>
        <w:tc>
          <w:tcPr>
            <w:tcW w:w="720" w:type="dxa"/>
            <w:vAlign w:val="bottom"/>
            <w:gridSpan w:val="3"/>
          </w:tcPr>
          <w:p>
            <w:pPr>
              <w:jc w:val="right"/>
              <w:ind w:right="40"/>
              <w:spacing w:after="0"/>
              <w:rPr>
                <w:sz w:val="20"/>
                <w:szCs w:val="20"/>
                <w:color w:val="auto"/>
              </w:rPr>
            </w:pPr>
            <w:r>
              <w:rPr>
                <w:rFonts w:ascii="Arial" w:cs="Arial" w:eastAsia="Arial" w:hAnsi="Arial"/>
                <w:sz w:val="8"/>
                <w:szCs w:val="8"/>
                <w:color w:val="auto"/>
              </w:rPr>
              <w:t>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6231890</wp:posOffset>
            </wp:positionH>
            <wp:positionV relativeFrom="paragraph">
              <wp:posOffset>-7235825</wp:posOffset>
            </wp:positionV>
            <wp:extent cx="499110" cy="1047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99110" cy="104775"/>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-6242685</wp:posOffset>
            </wp:positionV>
            <wp:extent cx="909955" cy="857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09955" cy="85725"/>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-5912485</wp:posOffset>
            </wp:positionV>
            <wp:extent cx="829310" cy="857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9310" cy="85725"/>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-5099685</wp:posOffset>
            </wp:positionV>
            <wp:extent cx="909955" cy="857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09955" cy="85725"/>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-4930775</wp:posOffset>
            </wp:positionV>
            <wp:extent cx="909955" cy="1098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09955" cy="109855"/>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-2378710</wp:posOffset>
            </wp:positionV>
            <wp:extent cx="909955" cy="857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09955" cy="85725"/>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-736600</wp:posOffset>
            </wp:positionV>
            <wp:extent cx="909955" cy="857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09955" cy="85725"/>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-406400</wp:posOffset>
            </wp:positionV>
            <wp:extent cx="909955" cy="857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09955" cy="85725"/>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-76200</wp:posOffset>
            </wp:positionV>
            <wp:extent cx="909955" cy="857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909955" cy="85725"/>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351" w:right="339" w:bottom="433"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27"/>
        </w:trPr>
        <w:tc>
          <w:tcPr>
            <w:tcW w:w="3080" w:type="dxa"/>
            <w:vAlign w:val="bottom"/>
            <w:shd w:val="clear" w:color="auto" w:fill="DBEEF4"/>
          </w:tcPr>
          <w:p>
            <w:pPr>
              <w:ind w:left="20"/>
              <w:spacing w:after="0"/>
              <w:rPr>
                <w:sz w:val="20"/>
                <w:szCs w:val="20"/>
                <w:color w:val="auto"/>
              </w:rPr>
            </w:pPr>
            <w:r>
              <w:rPr>
                <w:rFonts w:ascii="Arial" w:cs="Arial" w:eastAsia="Arial" w:hAnsi="Arial"/>
                <w:sz w:val="8"/>
                <w:szCs w:val="8"/>
                <w:i w:val="1"/>
                <w:iCs w:val="1"/>
                <w:color w:val="auto"/>
              </w:rPr>
              <w:t>Combined Systems, Inc.</w:t>
            </w:r>
          </w:p>
        </w:tc>
        <w:tc>
          <w:tcPr>
            <w:tcW w:w="3300" w:type="dxa"/>
            <w:vAlign w:val="bottom"/>
            <w:shd w:val="clear" w:color="auto" w:fill="DBEEF4"/>
          </w:tcPr>
          <w:p>
            <w:pPr>
              <w:ind w:left="640"/>
              <w:spacing w:after="0"/>
              <w:rPr>
                <w:sz w:val="20"/>
                <w:szCs w:val="20"/>
                <w:color w:val="auto"/>
              </w:rPr>
            </w:pPr>
            <w:r>
              <w:rPr>
                <w:rFonts w:ascii="Arial" w:cs="Arial" w:eastAsia="Arial" w:hAnsi="Arial"/>
                <w:sz w:val="8"/>
                <w:szCs w:val="8"/>
                <w:color w:val="auto"/>
              </w:rPr>
              <w:t>Aerospace &amp; Defense Manufacturing</w:t>
            </w: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44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50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r>
      <w:tr>
        <w:trPr>
          <w:trHeight w:val="120"/>
        </w:trPr>
        <w:tc>
          <w:tcPr>
            <w:tcW w:w="3080" w:type="dxa"/>
            <w:vAlign w:val="bottom"/>
          </w:tcPr>
          <w:p>
            <w:pPr>
              <w:ind w:left="100"/>
              <w:spacing w:after="0"/>
              <w:rPr>
                <w:sz w:val="20"/>
                <w:szCs w:val="20"/>
                <w:color w:val="auto"/>
              </w:rPr>
            </w:pPr>
            <w:r>
              <w:rPr>
                <w:rFonts w:ascii="Arial" w:cs="Arial" w:eastAsia="Arial" w:hAnsi="Arial"/>
                <w:sz w:val="8"/>
                <w:szCs w:val="8"/>
                <w:color w:val="auto"/>
              </w:rPr>
              <w:t>First Lien Debt</w:t>
            </w:r>
          </w:p>
        </w:tc>
        <w:tc>
          <w:tcPr>
            <w:tcW w:w="3300" w:type="dxa"/>
            <w:vAlign w:val="bottom"/>
          </w:tcPr>
          <w:p>
            <w:pPr>
              <w:ind w:left="2300"/>
              <w:spacing w:after="0"/>
              <w:rPr>
                <w:sz w:val="20"/>
                <w:szCs w:val="20"/>
                <w:color w:val="auto"/>
              </w:rPr>
            </w:pPr>
            <w:r>
              <w:rPr>
                <w:rFonts w:ascii="Arial" w:cs="Arial" w:eastAsia="Arial" w:hAnsi="Arial"/>
                <w:sz w:val="8"/>
                <w:szCs w:val="8"/>
                <w:color w:val="auto"/>
              </w:rPr>
              <w:t>(L + 10.00%) / (2.00%)</w:t>
            </w:r>
          </w:p>
        </w:tc>
        <w:tc>
          <w:tcPr>
            <w:tcW w:w="820" w:type="dxa"/>
            <w:vAlign w:val="bottom"/>
          </w:tcPr>
          <w:p>
            <w:pPr>
              <w:ind w:left="180"/>
              <w:spacing w:after="0"/>
              <w:rPr>
                <w:sz w:val="20"/>
                <w:szCs w:val="20"/>
                <w:color w:val="auto"/>
              </w:rPr>
            </w:pPr>
            <w:r>
              <w:rPr>
                <w:rFonts w:ascii="Arial" w:cs="Arial" w:eastAsia="Arial" w:hAnsi="Arial"/>
                <w:sz w:val="8"/>
                <w:szCs w:val="8"/>
                <w:color w:val="auto"/>
              </w:rPr>
              <w:t>12.00%/0.00%</w:t>
            </w:r>
          </w:p>
        </w:tc>
        <w:tc>
          <w:tcPr>
            <w:tcW w:w="640" w:type="dxa"/>
            <w:vAlign w:val="bottom"/>
          </w:tcPr>
          <w:p>
            <w:pPr>
              <w:ind w:left="120"/>
              <w:spacing w:after="0"/>
              <w:rPr>
                <w:sz w:val="20"/>
                <w:szCs w:val="20"/>
                <w:color w:val="auto"/>
              </w:rPr>
            </w:pPr>
            <w:r>
              <w:rPr>
                <w:rFonts w:ascii="Arial" w:cs="Arial" w:eastAsia="Arial" w:hAnsi="Arial"/>
                <w:sz w:val="8"/>
                <w:szCs w:val="8"/>
                <w:color w:val="auto"/>
              </w:rPr>
              <w:t>1/31/2020</w:t>
            </w:r>
          </w:p>
        </w:tc>
        <w:tc>
          <w:tcPr>
            <w:tcW w:w="720" w:type="dxa"/>
            <w:vAlign w:val="bottom"/>
          </w:tcPr>
          <w:p>
            <w:pPr>
              <w:ind w:left="120"/>
              <w:spacing w:after="0"/>
              <w:rPr>
                <w:sz w:val="20"/>
                <w:szCs w:val="20"/>
                <w:color w:val="auto"/>
              </w:rPr>
            </w:pPr>
            <w:r>
              <w:rPr>
                <w:rFonts w:ascii="Arial" w:cs="Arial" w:eastAsia="Arial" w:hAnsi="Arial"/>
                <w:sz w:val="8"/>
                <w:szCs w:val="8"/>
                <w:color w:val="auto"/>
              </w:rPr>
              <w:t>1/31/2025</w:t>
            </w:r>
          </w:p>
        </w:tc>
        <w:tc>
          <w:tcPr>
            <w:tcW w:w="700" w:type="dxa"/>
            <w:vAlign w:val="bottom"/>
          </w:tcPr>
          <w:p>
            <w:pPr>
              <w:jc w:val="right"/>
              <w:ind w:right="198"/>
              <w:spacing w:after="0"/>
              <w:rPr>
                <w:sz w:val="20"/>
                <w:szCs w:val="20"/>
                <w:color w:val="auto"/>
              </w:rPr>
            </w:pPr>
            <w:r>
              <w:rPr>
                <w:rFonts w:ascii="Arial" w:cs="Arial" w:eastAsia="Arial" w:hAnsi="Arial"/>
                <w:sz w:val="8"/>
                <w:szCs w:val="8"/>
                <w:color w:val="auto"/>
              </w:rPr>
              <w:t>7,600</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7,553</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7,600</w:t>
            </w:r>
          </w:p>
        </w:tc>
        <w:tc>
          <w:tcPr>
            <w:tcW w:w="720" w:type="dxa"/>
            <w:vAlign w:val="bottom"/>
          </w:tcPr>
          <w:p>
            <w:pPr>
              <w:spacing w:after="0"/>
              <w:rPr>
                <w:sz w:val="10"/>
                <w:szCs w:val="10"/>
                <w:color w:val="auto"/>
              </w:rPr>
            </w:pPr>
          </w:p>
        </w:tc>
      </w:tr>
      <w:tr>
        <w:trPr>
          <w:trHeight w:val="153"/>
        </w:trPr>
        <w:tc>
          <w:tcPr>
            <w:tcW w:w="3080" w:type="dxa"/>
            <w:vAlign w:val="bottom"/>
            <w:tcBorders>
              <w:bottom w:val="single" w:sz="8" w:color="DBEEF4"/>
            </w:tcBorders>
            <w:shd w:val="clear" w:color="auto" w:fill="DBEEF4"/>
          </w:tcPr>
          <w:p>
            <w:pPr>
              <w:ind w:left="100"/>
              <w:spacing w:after="0"/>
              <w:rPr>
                <w:sz w:val="20"/>
                <w:szCs w:val="20"/>
                <w:color w:val="auto"/>
              </w:rPr>
            </w:pPr>
            <w:r>
              <w:rPr>
                <w:rFonts w:ascii="Arial" w:cs="Arial" w:eastAsia="Arial" w:hAnsi="Arial"/>
                <w:sz w:val="8"/>
                <w:szCs w:val="8"/>
                <w:color w:val="auto"/>
              </w:rPr>
              <w:t>Revolving Loan ($1,050 unfunded commitment) (j)(ac)</w:t>
            </w:r>
          </w:p>
        </w:tc>
        <w:tc>
          <w:tcPr>
            <w:tcW w:w="3300" w:type="dxa"/>
            <w:vAlign w:val="bottom"/>
            <w:tcBorders>
              <w:bottom w:val="single" w:sz="8" w:color="DBEEF4"/>
            </w:tcBorders>
            <w:shd w:val="clear" w:color="auto" w:fill="DBEEF4"/>
          </w:tcPr>
          <w:p>
            <w:pPr>
              <w:ind w:left="2300"/>
              <w:spacing w:after="0"/>
              <w:rPr>
                <w:sz w:val="20"/>
                <w:szCs w:val="20"/>
                <w:color w:val="auto"/>
              </w:rPr>
            </w:pPr>
            <w:r>
              <w:rPr>
                <w:rFonts w:ascii="Arial" w:cs="Arial" w:eastAsia="Arial" w:hAnsi="Arial"/>
                <w:sz w:val="8"/>
                <w:szCs w:val="8"/>
                <w:color w:val="auto"/>
              </w:rPr>
              <w:t>(L + 9.00%) / (2.00%)</w:t>
            </w:r>
          </w:p>
        </w:tc>
        <w:tc>
          <w:tcPr>
            <w:tcW w:w="820" w:type="dxa"/>
            <w:vAlign w:val="bottom"/>
            <w:tcBorders>
              <w:bottom w:val="single" w:sz="8" w:color="DBEEF4"/>
            </w:tcBorders>
            <w:shd w:val="clear" w:color="auto" w:fill="DBEEF4"/>
          </w:tcPr>
          <w:p>
            <w:pPr>
              <w:ind w:left="180"/>
              <w:spacing w:after="0"/>
              <w:rPr>
                <w:sz w:val="20"/>
                <w:szCs w:val="20"/>
                <w:color w:val="auto"/>
              </w:rPr>
            </w:pPr>
            <w:r>
              <w:rPr>
                <w:rFonts w:ascii="Arial" w:cs="Arial" w:eastAsia="Arial" w:hAnsi="Arial"/>
                <w:sz w:val="8"/>
                <w:szCs w:val="8"/>
                <w:color w:val="auto"/>
              </w:rPr>
              <w:t>11.00%/0.00%</w:t>
            </w:r>
          </w:p>
        </w:tc>
        <w:tc>
          <w:tcPr>
            <w:tcW w:w="6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8"/>
                <w:szCs w:val="8"/>
                <w:color w:val="auto"/>
              </w:rPr>
              <w:t>1/31/2020</w:t>
            </w:r>
          </w:p>
        </w:tc>
        <w:tc>
          <w:tcPr>
            <w:tcW w:w="72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8"/>
                <w:szCs w:val="8"/>
                <w:color w:val="auto"/>
              </w:rPr>
              <w:t>1/31/2025</w:t>
            </w:r>
          </w:p>
        </w:tc>
        <w:tc>
          <w:tcPr>
            <w:tcW w:w="700" w:type="dxa"/>
            <w:vAlign w:val="bottom"/>
            <w:tcBorders>
              <w:bottom w:val="single" w:sz="8" w:color="DBEEF4"/>
            </w:tcBorders>
            <w:shd w:val="clear" w:color="auto" w:fill="DBEEF4"/>
          </w:tcPr>
          <w:p>
            <w:pPr>
              <w:jc w:val="right"/>
              <w:ind w:right="198"/>
              <w:spacing w:after="0"/>
              <w:rPr>
                <w:sz w:val="20"/>
                <w:szCs w:val="20"/>
                <w:color w:val="auto"/>
              </w:rPr>
            </w:pPr>
            <w:r>
              <w:rPr>
                <w:rFonts w:ascii="Arial" w:cs="Arial" w:eastAsia="Arial" w:hAnsi="Arial"/>
                <w:sz w:val="8"/>
                <w:szCs w:val="8"/>
                <w:color w:val="auto"/>
              </w:rPr>
              <w:t>2,950</w:t>
            </w:r>
          </w:p>
        </w:tc>
        <w:tc>
          <w:tcPr>
            <w:tcW w:w="120" w:type="dxa"/>
            <w:vAlign w:val="bottom"/>
            <w:tcBorders>
              <w:bottom w:val="single" w:sz="8" w:color="auto"/>
            </w:tcBorders>
            <w:shd w:val="clear" w:color="auto" w:fill="DBEEF4"/>
          </w:tcPr>
          <w:p>
            <w:pPr>
              <w:spacing w:after="0"/>
              <w:rPr>
                <w:sz w:val="13"/>
                <w:szCs w:val="13"/>
                <w:color w:val="auto"/>
              </w:rPr>
            </w:pPr>
          </w:p>
        </w:tc>
        <w:tc>
          <w:tcPr>
            <w:tcW w:w="44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2,930</w:t>
            </w:r>
          </w:p>
        </w:tc>
        <w:tc>
          <w:tcPr>
            <w:tcW w:w="200" w:type="dxa"/>
            <w:vAlign w:val="bottom"/>
            <w:tcBorders>
              <w:bottom w:val="single" w:sz="8" w:color="DBEEF4"/>
            </w:tcBorders>
            <w:shd w:val="clear" w:color="auto" w:fill="DBEEF4"/>
          </w:tcPr>
          <w:p>
            <w:pPr>
              <w:spacing w:after="0"/>
              <w:rPr>
                <w:sz w:val="13"/>
                <w:szCs w:val="13"/>
                <w:color w:val="auto"/>
              </w:rPr>
            </w:pPr>
          </w:p>
        </w:tc>
        <w:tc>
          <w:tcPr>
            <w:tcW w:w="5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2,950</w:t>
            </w:r>
          </w:p>
        </w:tc>
        <w:tc>
          <w:tcPr>
            <w:tcW w:w="720" w:type="dxa"/>
            <w:vAlign w:val="bottom"/>
            <w:tcBorders>
              <w:bottom w:val="single" w:sz="8" w:color="DBEEF4"/>
            </w:tcBorders>
            <w:shd w:val="clear" w:color="auto" w:fill="DBEEF4"/>
          </w:tcPr>
          <w:p>
            <w:pPr>
              <w:spacing w:after="0"/>
              <w:rPr>
                <w:sz w:val="13"/>
                <w:szCs w:val="13"/>
                <w:color w:val="auto"/>
              </w:rPr>
            </w:pPr>
          </w:p>
        </w:tc>
      </w:tr>
      <w:tr>
        <w:trPr>
          <w:trHeight w:val="106"/>
        </w:trPr>
        <w:tc>
          <w:tcPr>
            <w:tcW w:w="30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10,483</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10,550</w:t>
            </w:r>
          </w:p>
        </w:tc>
        <w:tc>
          <w:tcPr>
            <w:tcW w:w="720" w:type="dxa"/>
            <w:vAlign w:val="bottom"/>
          </w:tcPr>
          <w:p>
            <w:pPr>
              <w:jc w:val="right"/>
              <w:spacing w:after="0"/>
              <w:rPr>
                <w:sz w:val="20"/>
                <w:szCs w:val="20"/>
                <w:color w:val="auto"/>
              </w:rPr>
            </w:pPr>
            <w:r>
              <w:rPr>
                <w:rFonts w:ascii="Arial" w:cs="Arial" w:eastAsia="Arial" w:hAnsi="Arial"/>
                <w:sz w:val="8"/>
                <w:szCs w:val="8"/>
                <w:color w:val="auto"/>
              </w:rPr>
              <w:t>3 %</w:t>
            </w:r>
          </w:p>
        </w:tc>
      </w:tr>
      <w:tr>
        <w:trPr>
          <w:trHeight w:val="134"/>
        </w:trPr>
        <w:tc>
          <w:tcPr>
            <w:tcW w:w="3080" w:type="dxa"/>
            <w:vAlign w:val="bottom"/>
            <w:shd w:val="clear" w:color="auto" w:fill="DBEEF4"/>
          </w:tcPr>
          <w:p>
            <w:pPr>
              <w:ind w:left="20"/>
              <w:spacing w:after="0"/>
              <w:rPr>
                <w:sz w:val="20"/>
                <w:szCs w:val="20"/>
                <w:color w:val="auto"/>
              </w:rPr>
            </w:pPr>
            <w:r>
              <w:rPr>
                <w:rFonts w:ascii="Arial" w:cs="Arial" w:eastAsia="Arial" w:hAnsi="Arial"/>
                <w:sz w:val="8"/>
                <w:szCs w:val="8"/>
                <w:i w:val="1"/>
                <w:iCs w:val="1"/>
                <w:color w:val="auto"/>
              </w:rPr>
              <w:t>Comply365, LLC</w:t>
            </w:r>
          </w:p>
        </w:tc>
        <w:tc>
          <w:tcPr>
            <w:tcW w:w="3300" w:type="dxa"/>
            <w:vAlign w:val="bottom"/>
            <w:shd w:val="clear" w:color="auto" w:fill="DBEEF4"/>
          </w:tcPr>
          <w:p>
            <w:pPr>
              <w:ind w:left="640"/>
              <w:spacing w:after="0"/>
              <w:rPr>
                <w:sz w:val="20"/>
                <w:szCs w:val="20"/>
                <w:color w:val="auto"/>
              </w:rPr>
            </w:pPr>
            <w:r>
              <w:rPr>
                <w:rFonts w:ascii="Arial" w:cs="Arial" w:eastAsia="Arial" w:hAnsi="Arial"/>
                <w:sz w:val="8"/>
                <w:szCs w:val="8"/>
                <w:color w:val="auto"/>
              </w:rPr>
              <w:t>Aerospace &amp; Defense Manufacturing</w:t>
            </w: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44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50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r>
      <w:tr>
        <w:trPr>
          <w:trHeight w:val="120"/>
        </w:trPr>
        <w:tc>
          <w:tcPr>
            <w:tcW w:w="3080" w:type="dxa"/>
            <w:vAlign w:val="bottom"/>
          </w:tcPr>
          <w:p>
            <w:pPr>
              <w:ind w:left="100"/>
              <w:spacing w:after="0"/>
              <w:rPr>
                <w:sz w:val="20"/>
                <w:szCs w:val="20"/>
                <w:color w:val="auto"/>
              </w:rPr>
            </w:pPr>
            <w:r>
              <w:rPr>
                <w:rFonts w:ascii="Arial" w:cs="Arial" w:eastAsia="Arial" w:hAnsi="Arial"/>
                <w:sz w:val="8"/>
                <w:szCs w:val="8"/>
                <w:color w:val="auto"/>
              </w:rPr>
              <w:t>First Lien Debt (ad)</w:t>
            </w:r>
          </w:p>
        </w:tc>
        <w:tc>
          <w:tcPr>
            <w:tcW w:w="3300" w:type="dxa"/>
            <w:vAlign w:val="bottom"/>
          </w:tcPr>
          <w:p>
            <w:pPr>
              <w:ind w:left="2300"/>
              <w:spacing w:after="0"/>
              <w:rPr>
                <w:sz w:val="20"/>
                <w:szCs w:val="20"/>
                <w:color w:val="auto"/>
              </w:rPr>
            </w:pPr>
            <w:r>
              <w:rPr>
                <w:rFonts w:ascii="Arial" w:cs="Arial" w:eastAsia="Arial" w:hAnsi="Arial"/>
                <w:sz w:val="8"/>
                <w:szCs w:val="8"/>
                <w:color w:val="auto"/>
              </w:rPr>
              <w:t>(L + 8.00%) / (1.00%)</w:t>
            </w:r>
          </w:p>
        </w:tc>
        <w:tc>
          <w:tcPr>
            <w:tcW w:w="820" w:type="dxa"/>
            <w:vAlign w:val="bottom"/>
          </w:tcPr>
          <w:p>
            <w:pPr>
              <w:ind w:left="180"/>
              <w:spacing w:after="0"/>
              <w:rPr>
                <w:sz w:val="20"/>
                <w:szCs w:val="20"/>
                <w:color w:val="auto"/>
              </w:rPr>
            </w:pPr>
            <w:r>
              <w:rPr>
                <w:rFonts w:ascii="Arial" w:cs="Arial" w:eastAsia="Arial" w:hAnsi="Arial"/>
                <w:sz w:val="8"/>
                <w:szCs w:val="8"/>
                <w:color w:val="auto"/>
              </w:rPr>
              <w:t>9.00%/0.00%</w:t>
            </w:r>
          </w:p>
        </w:tc>
        <w:tc>
          <w:tcPr>
            <w:tcW w:w="640" w:type="dxa"/>
            <w:vAlign w:val="bottom"/>
          </w:tcPr>
          <w:p>
            <w:pPr>
              <w:ind w:left="120"/>
              <w:spacing w:after="0"/>
              <w:rPr>
                <w:sz w:val="20"/>
                <w:szCs w:val="20"/>
                <w:color w:val="auto"/>
              </w:rPr>
            </w:pPr>
            <w:r>
              <w:rPr>
                <w:rFonts w:ascii="Arial" w:cs="Arial" w:eastAsia="Arial" w:hAnsi="Arial"/>
                <w:sz w:val="8"/>
                <w:szCs w:val="8"/>
                <w:color w:val="auto"/>
              </w:rPr>
              <w:t>12/11/2020</w:t>
            </w:r>
          </w:p>
        </w:tc>
        <w:tc>
          <w:tcPr>
            <w:tcW w:w="720" w:type="dxa"/>
            <w:vAlign w:val="bottom"/>
          </w:tcPr>
          <w:p>
            <w:pPr>
              <w:ind w:left="120"/>
              <w:spacing w:after="0"/>
              <w:rPr>
                <w:sz w:val="20"/>
                <w:szCs w:val="20"/>
                <w:color w:val="auto"/>
              </w:rPr>
            </w:pPr>
            <w:r>
              <w:rPr>
                <w:rFonts w:ascii="Arial" w:cs="Arial" w:eastAsia="Arial" w:hAnsi="Arial"/>
                <w:sz w:val="8"/>
                <w:szCs w:val="8"/>
                <w:color w:val="auto"/>
              </w:rPr>
              <w:t>12/11/2025</w:t>
            </w:r>
          </w:p>
        </w:tc>
        <w:tc>
          <w:tcPr>
            <w:tcW w:w="700" w:type="dxa"/>
            <w:vAlign w:val="bottom"/>
          </w:tcPr>
          <w:p>
            <w:pPr>
              <w:jc w:val="right"/>
              <w:ind w:right="198"/>
              <w:spacing w:after="0"/>
              <w:rPr>
                <w:sz w:val="20"/>
                <w:szCs w:val="20"/>
                <w:color w:val="auto"/>
              </w:rPr>
            </w:pPr>
            <w:r>
              <w:rPr>
                <w:rFonts w:ascii="Arial" w:cs="Arial" w:eastAsia="Arial" w:hAnsi="Arial"/>
                <w:sz w:val="8"/>
                <w:szCs w:val="8"/>
                <w:color w:val="auto"/>
              </w:rPr>
              <w:t>10,000</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9,855</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9,855</w:t>
            </w:r>
          </w:p>
        </w:tc>
        <w:tc>
          <w:tcPr>
            <w:tcW w:w="720" w:type="dxa"/>
            <w:vAlign w:val="bottom"/>
          </w:tcPr>
          <w:p>
            <w:pPr>
              <w:spacing w:after="0"/>
              <w:rPr>
                <w:sz w:val="10"/>
                <w:szCs w:val="10"/>
                <w:color w:val="auto"/>
              </w:rPr>
            </w:pPr>
          </w:p>
        </w:tc>
      </w:tr>
      <w:tr>
        <w:trPr>
          <w:trHeight w:val="133"/>
        </w:trPr>
        <w:tc>
          <w:tcPr>
            <w:tcW w:w="3080" w:type="dxa"/>
            <w:vAlign w:val="bottom"/>
            <w:tcBorders>
              <w:bottom w:val="single" w:sz="8" w:color="DBEEF4"/>
            </w:tcBorders>
            <w:shd w:val="clear" w:color="auto" w:fill="DBEEF4"/>
          </w:tcPr>
          <w:p>
            <w:pPr>
              <w:ind w:left="100"/>
              <w:spacing w:after="0"/>
              <w:rPr>
                <w:sz w:val="20"/>
                <w:szCs w:val="20"/>
                <w:color w:val="auto"/>
              </w:rPr>
            </w:pPr>
            <w:r>
              <w:rPr>
                <w:rFonts w:ascii="Arial" w:cs="Arial" w:eastAsia="Arial" w:hAnsi="Arial"/>
                <w:sz w:val="8"/>
                <w:szCs w:val="8"/>
                <w:color w:val="auto"/>
              </w:rPr>
              <w:t>Common Equity (1,000,000 units)</w:t>
            </w:r>
          </w:p>
        </w:tc>
        <w:tc>
          <w:tcPr>
            <w:tcW w:w="3300" w:type="dxa"/>
            <w:vAlign w:val="bottom"/>
            <w:tcBorders>
              <w:bottom w:val="single" w:sz="8" w:color="DBEEF4"/>
            </w:tcBorders>
            <w:shd w:val="clear" w:color="auto" w:fill="DBEEF4"/>
          </w:tcPr>
          <w:p>
            <w:pPr>
              <w:spacing w:after="0"/>
              <w:rPr>
                <w:sz w:val="11"/>
                <w:szCs w:val="11"/>
                <w:color w:val="auto"/>
              </w:rPr>
            </w:pPr>
          </w:p>
        </w:tc>
        <w:tc>
          <w:tcPr>
            <w:tcW w:w="820" w:type="dxa"/>
            <w:vAlign w:val="bottom"/>
            <w:tcBorders>
              <w:bottom w:val="single" w:sz="8" w:color="DBEEF4"/>
            </w:tcBorders>
            <w:shd w:val="clear" w:color="auto" w:fill="DBEEF4"/>
          </w:tcPr>
          <w:p>
            <w:pPr>
              <w:spacing w:after="0"/>
              <w:rPr>
                <w:sz w:val="11"/>
                <w:szCs w:val="11"/>
                <w:color w:val="auto"/>
              </w:rPr>
            </w:pPr>
          </w:p>
        </w:tc>
        <w:tc>
          <w:tcPr>
            <w:tcW w:w="6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8"/>
                <w:szCs w:val="8"/>
                <w:color w:val="auto"/>
              </w:rPr>
              <w:t>12/11/2020</w:t>
            </w:r>
          </w:p>
        </w:tc>
        <w:tc>
          <w:tcPr>
            <w:tcW w:w="720" w:type="dxa"/>
            <w:vAlign w:val="bottom"/>
            <w:tcBorders>
              <w:bottom w:val="single" w:sz="8" w:color="DBEEF4"/>
            </w:tcBorders>
            <w:shd w:val="clear" w:color="auto" w:fill="DBEEF4"/>
          </w:tcPr>
          <w:p>
            <w:pPr>
              <w:spacing w:after="0"/>
              <w:rPr>
                <w:sz w:val="11"/>
                <w:szCs w:val="11"/>
                <w:color w:val="auto"/>
              </w:rPr>
            </w:pPr>
          </w:p>
        </w:tc>
        <w:tc>
          <w:tcPr>
            <w:tcW w:w="700" w:type="dxa"/>
            <w:vAlign w:val="bottom"/>
            <w:tcBorders>
              <w:bottom w:val="single" w:sz="8" w:color="DBEEF4"/>
            </w:tcBorders>
            <w:shd w:val="clear" w:color="auto" w:fill="DBEEF4"/>
          </w:tcPr>
          <w:p>
            <w:pPr>
              <w:spacing w:after="0"/>
              <w:rPr>
                <w:sz w:val="11"/>
                <w:szCs w:val="11"/>
                <w:color w:val="auto"/>
              </w:rPr>
            </w:pPr>
          </w:p>
        </w:tc>
        <w:tc>
          <w:tcPr>
            <w:tcW w:w="120" w:type="dxa"/>
            <w:vAlign w:val="bottom"/>
            <w:tcBorders>
              <w:bottom w:val="single" w:sz="8" w:color="auto"/>
            </w:tcBorders>
            <w:shd w:val="clear" w:color="auto" w:fill="DBEEF4"/>
          </w:tcPr>
          <w:p>
            <w:pPr>
              <w:spacing w:after="0"/>
              <w:rPr>
                <w:sz w:val="11"/>
                <w:szCs w:val="11"/>
                <w:color w:val="auto"/>
              </w:rPr>
            </w:pPr>
          </w:p>
        </w:tc>
        <w:tc>
          <w:tcPr>
            <w:tcW w:w="44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1,000</w:t>
            </w:r>
          </w:p>
        </w:tc>
        <w:tc>
          <w:tcPr>
            <w:tcW w:w="200" w:type="dxa"/>
            <w:vAlign w:val="bottom"/>
            <w:tcBorders>
              <w:bottom w:val="single" w:sz="8" w:color="DBEEF4"/>
            </w:tcBorders>
            <w:shd w:val="clear" w:color="auto" w:fill="DBEEF4"/>
          </w:tcPr>
          <w:p>
            <w:pPr>
              <w:spacing w:after="0"/>
              <w:rPr>
                <w:sz w:val="11"/>
                <w:szCs w:val="11"/>
                <w:color w:val="auto"/>
              </w:rPr>
            </w:pPr>
          </w:p>
        </w:tc>
        <w:tc>
          <w:tcPr>
            <w:tcW w:w="5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1,000</w:t>
            </w:r>
          </w:p>
        </w:tc>
        <w:tc>
          <w:tcPr>
            <w:tcW w:w="720" w:type="dxa"/>
            <w:vAlign w:val="bottom"/>
            <w:tcBorders>
              <w:bottom w:val="single" w:sz="8" w:color="DBEEF4"/>
            </w:tcBorders>
            <w:shd w:val="clear" w:color="auto" w:fill="DBEEF4"/>
          </w:tcPr>
          <w:p>
            <w:pPr>
              <w:spacing w:after="0"/>
              <w:rPr>
                <w:sz w:val="11"/>
                <w:szCs w:val="11"/>
                <w:color w:val="auto"/>
              </w:rPr>
            </w:pPr>
          </w:p>
        </w:tc>
      </w:tr>
      <w:tr>
        <w:trPr>
          <w:trHeight w:val="113"/>
        </w:trPr>
        <w:tc>
          <w:tcPr>
            <w:tcW w:w="30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10,855</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10,855</w:t>
            </w:r>
          </w:p>
        </w:tc>
        <w:tc>
          <w:tcPr>
            <w:tcW w:w="720" w:type="dxa"/>
            <w:vAlign w:val="bottom"/>
          </w:tcPr>
          <w:p>
            <w:pPr>
              <w:jc w:val="right"/>
              <w:spacing w:after="0"/>
              <w:rPr>
                <w:sz w:val="20"/>
                <w:szCs w:val="20"/>
                <w:color w:val="auto"/>
              </w:rPr>
            </w:pPr>
            <w:r>
              <w:rPr>
                <w:rFonts w:ascii="Arial" w:cs="Arial" w:eastAsia="Arial" w:hAnsi="Arial"/>
                <w:sz w:val="8"/>
                <w:szCs w:val="8"/>
                <w:color w:val="auto"/>
              </w:rPr>
              <w:t>3 %</w:t>
            </w:r>
          </w:p>
        </w:tc>
      </w:tr>
      <w:tr>
        <w:trPr>
          <w:trHeight w:val="134"/>
        </w:trPr>
        <w:tc>
          <w:tcPr>
            <w:tcW w:w="3080" w:type="dxa"/>
            <w:vAlign w:val="bottom"/>
            <w:shd w:val="clear" w:color="auto" w:fill="DBEEF4"/>
          </w:tcPr>
          <w:p>
            <w:pPr>
              <w:ind w:left="20"/>
              <w:spacing w:after="0"/>
              <w:rPr>
                <w:sz w:val="20"/>
                <w:szCs w:val="20"/>
                <w:color w:val="auto"/>
              </w:rPr>
            </w:pPr>
            <w:r>
              <w:rPr>
                <w:rFonts w:ascii="Arial" w:cs="Arial" w:eastAsia="Arial" w:hAnsi="Arial"/>
                <w:sz w:val="8"/>
                <w:szCs w:val="8"/>
                <w:i w:val="1"/>
                <w:iCs w:val="1"/>
                <w:color w:val="auto"/>
              </w:rPr>
              <w:t>CRS Solutions Holdings, LLC (dba CRS Texas)</w:t>
            </w:r>
          </w:p>
        </w:tc>
        <w:tc>
          <w:tcPr>
            <w:tcW w:w="3300" w:type="dxa"/>
            <w:vAlign w:val="bottom"/>
            <w:shd w:val="clear" w:color="auto" w:fill="DBEEF4"/>
          </w:tcPr>
          <w:p>
            <w:pPr>
              <w:ind w:left="640"/>
              <w:spacing w:after="0"/>
              <w:rPr>
                <w:sz w:val="20"/>
                <w:szCs w:val="20"/>
                <w:color w:val="auto"/>
              </w:rPr>
            </w:pPr>
            <w:r>
              <w:rPr>
                <w:rFonts w:ascii="Arial" w:cs="Arial" w:eastAsia="Arial" w:hAnsi="Arial"/>
                <w:sz w:val="8"/>
                <w:szCs w:val="8"/>
                <w:color w:val="auto"/>
              </w:rPr>
              <w:t>Business Services</w:t>
            </w: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44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50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r>
      <w:tr>
        <w:trPr>
          <w:trHeight w:val="120"/>
        </w:trPr>
        <w:tc>
          <w:tcPr>
            <w:tcW w:w="3080" w:type="dxa"/>
            <w:vAlign w:val="bottom"/>
          </w:tcPr>
          <w:p>
            <w:pPr>
              <w:ind w:left="100"/>
              <w:spacing w:after="0"/>
              <w:rPr>
                <w:sz w:val="20"/>
                <w:szCs w:val="20"/>
                <w:color w:val="auto"/>
              </w:rPr>
            </w:pPr>
            <w:r>
              <w:rPr>
                <w:rFonts w:ascii="Arial" w:cs="Arial" w:eastAsia="Arial" w:hAnsi="Arial"/>
                <w:sz w:val="8"/>
                <w:szCs w:val="8"/>
                <w:color w:val="auto"/>
              </w:rPr>
              <w:t>Second Lien Debt</w:t>
            </w:r>
          </w:p>
        </w:tc>
        <w:tc>
          <w:tcPr>
            <w:tcW w:w="3300" w:type="dxa"/>
            <w:vAlign w:val="bottom"/>
          </w:tcPr>
          <w:p>
            <w:pPr>
              <w:spacing w:after="0"/>
              <w:rPr>
                <w:sz w:val="10"/>
                <w:szCs w:val="10"/>
                <w:color w:val="auto"/>
              </w:rPr>
            </w:pPr>
          </w:p>
        </w:tc>
        <w:tc>
          <w:tcPr>
            <w:tcW w:w="820" w:type="dxa"/>
            <w:vAlign w:val="bottom"/>
          </w:tcPr>
          <w:p>
            <w:pPr>
              <w:ind w:left="180"/>
              <w:spacing w:after="0"/>
              <w:rPr>
                <w:sz w:val="20"/>
                <w:szCs w:val="20"/>
                <w:color w:val="auto"/>
              </w:rPr>
            </w:pPr>
            <w:r>
              <w:rPr>
                <w:rFonts w:ascii="Arial" w:cs="Arial" w:eastAsia="Arial" w:hAnsi="Arial"/>
                <w:sz w:val="8"/>
                <w:szCs w:val="8"/>
                <w:color w:val="auto"/>
              </w:rPr>
              <w:t>10.50%/1.50%</w:t>
            </w:r>
          </w:p>
        </w:tc>
        <w:tc>
          <w:tcPr>
            <w:tcW w:w="640" w:type="dxa"/>
            <w:vAlign w:val="bottom"/>
          </w:tcPr>
          <w:p>
            <w:pPr>
              <w:ind w:left="120"/>
              <w:spacing w:after="0"/>
              <w:rPr>
                <w:sz w:val="20"/>
                <w:szCs w:val="20"/>
                <w:color w:val="auto"/>
              </w:rPr>
            </w:pPr>
            <w:r>
              <w:rPr>
                <w:rFonts w:ascii="Arial" w:cs="Arial" w:eastAsia="Arial" w:hAnsi="Arial"/>
                <w:sz w:val="8"/>
                <w:szCs w:val="8"/>
                <w:color w:val="auto"/>
              </w:rPr>
              <w:t>3/14/2018</w:t>
            </w:r>
          </w:p>
        </w:tc>
        <w:tc>
          <w:tcPr>
            <w:tcW w:w="720" w:type="dxa"/>
            <w:vAlign w:val="bottom"/>
          </w:tcPr>
          <w:p>
            <w:pPr>
              <w:ind w:left="120"/>
              <w:spacing w:after="0"/>
              <w:rPr>
                <w:sz w:val="20"/>
                <w:szCs w:val="20"/>
                <w:color w:val="auto"/>
              </w:rPr>
            </w:pPr>
            <w:r>
              <w:rPr>
                <w:rFonts w:ascii="Arial" w:cs="Arial" w:eastAsia="Arial" w:hAnsi="Arial"/>
                <w:sz w:val="8"/>
                <w:szCs w:val="8"/>
                <w:color w:val="auto"/>
              </w:rPr>
              <w:t>4/30/2024</w:t>
            </w:r>
          </w:p>
        </w:tc>
        <w:tc>
          <w:tcPr>
            <w:tcW w:w="700" w:type="dxa"/>
            <w:vAlign w:val="bottom"/>
          </w:tcPr>
          <w:p>
            <w:pPr>
              <w:jc w:val="right"/>
              <w:ind w:right="198"/>
              <w:spacing w:after="0"/>
              <w:rPr>
                <w:sz w:val="20"/>
                <w:szCs w:val="20"/>
                <w:color w:val="auto"/>
              </w:rPr>
            </w:pPr>
            <w:r>
              <w:rPr>
                <w:rFonts w:ascii="Arial" w:cs="Arial" w:eastAsia="Arial" w:hAnsi="Arial"/>
                <w:sz w:val="8"/>
                <w:szCs w:val="8"/>
                <w:color w:val="auto"/>
              </w:rPr>
              <w:t>11,305</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11,270</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11,305</w:t>
            </w:r>
          </w:p>
        </w:tc>
        <w:tc>
          <w:tcPr>
            <w:tcW w:w="720" w:type="dxa"/>
            <w:vAlign w:val="bottom"/>
          </w:tcPr>
          <w:p>
            <w:pPr>
              <w:spacing w:after="0"/>
              <w:rPr>
                <w:sz w:val="10"/>
                <w:szCs w:val="10"/>
                <w:color w:val="auto"/>
              </w:rPr>
            </w:pPr>
          </w:p>
        </w:tc>
      </w:tr>
      <w:tr>
        <w:trPr>
          <w:trHeight w:val="133"/>
        </w:trPr>
        <w:tc>
          <w:tcPr>
            <w:tcW w:w="3080" w:type="dxa"/>
            <w:vAlign w:val="bottom"/>
            <w:tcBorders>
              <w:bottom w:val="single" w:sz="8" w:color="DBEEF4"/>
            </w:tcBorders>
            <w:shd w:val="clear" w:color="auto" w:fill="DBEEF4"/>
          </w:tcPr>
          <w:p>
            <w:pPr>
              <w:ind w:left="100"/>
              <w:spacing w:after="0"/>
              <w:rPr>
                <w:sz w:val="20"/>
                <w:szCs w:val="20"/>
                <w:color w:val="auto"/>
              </w:rPr>
            </w:pPr>
            <w:r>
              <w:rPr>
                <w:rFonts w:ascii="Arial" w:cs="Arial" w:eastAsia="Arial" w:hAnsi="Arial"/>
                <w:sz w:val="8"/>
                <w:szCs w:val="8"/>
                <w:color w:val="auto"/>
              </w:rPr>
              <w:t>Common Equity (450,382 units) (h)(j)</w:t>
            </w:r>
          </w:p>
        </w:tc>
        <w:tc>
          <w:tcPr>
            <w:tcW w:w="3300" w:type="dxa"/>
            <w:vAlign w:val="bottom"/>
            <w:tcBorders>
              <w:bottom w:val="single" w:sz="8" w:color="DBEEF4"/>
            </w:tcBorders>
            <w:shd w:val="clear" w:color="auto" w:fill="DBEEF4"/>
          </w:tcPr>
          <w:p>
            <w:pPr>
              <w:spacing w:after="0"/>
              <w:rPr>
                <w:sz w:val="11"/>
                <w:szCs w:val="11"/>
                <w:color w:val="auto"/>
              </w:rPr>
            </w:pPr>
          </w:p>
        </w:tc>
        <w:tc>
          <w:tcPr>
            <w:tcW w:w="820" w:type="dxa"/>
            <w:vAlign w:val="bottom"/>
            <w:tcBorders>
              <w:bottom w:val="single" w:sz="8" w:color="DBEEF4"/>
            </w:tcBorders>
            <w:shd w:val="clear" w:color="auto" w:fill="DBEEF4"/>
          </w:tcPr>
          <w:p>
            <w:pPr>
              <w:spacing w:after="0"/>
              <w:rPr>
                <w:sz w:val="11"/>
                <w:szCs w:val="11"/>
                <w:color w:val="auto"/>
              </w:rPr>
            </w:pPr>
          </w:p>
        </w:tc>
        <w:tc>
          <w:tcPr>
            <w:tcW w:w="6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8"/>
                <w:szCs w:val="8"/>
                <w:color w:val="auto"/>
              </w:rPr>
              <w:t>3/14/2018</w:t>
            </w:r>
          </w:p>
        </w:tc>
        <w:tc>
          <w:tcPr>
            <w:tcW w:w="720" w:type="dxa"/>
            <w:vAlign w:val="bottom"/>
            <w:tcBorders>
              <w:bottom w:val="single" w:sz="8" w:color="DBEEF4"/>
            </w:tcBorders>
            <w:shd w:val="clear" w:color="auto" w:fill="DBEEF4"/>
          </w:tcPr>
          <w:p>
            <w:pPr>
              <w:spacing w:after="0"/>
              <w:rPr>
                <w:sz w:val="11"/>
                <w:szCs w:val="11"/>
                <w:color w:val="auto"/>
              </w:rPr>
            </w:pPr>
          </w:p>
        </w:tc>
        <w:tc>
          <w:tcPr>
            <w:tcW w:w="700" w:type="dxa"/>
            <w:vAlign w:val="bottom"/>
            <w:tcBorders>
              <w:bottom w:val="single" w:sz="8" w:color="DBEEF4"/>
            </w:tcBorders>
            <w:shd w:val="clear" w:color="auto" w:fill="DBEEF4"/>
          </w:tcPr>
          <w:p>
            <w:pPr>
              <w:spacing w:after="0"/>
              <w:rPr>
                <w:sz w:val="11"/>
                <w:szCs w:val="11"/>
                <w:color w:val="auto"/>
              </w:rPr>
            </w:pPr>
          </w:p>
        </w:tc>
        <w:tc>
          <w:tcPr>
            <w:tcW w:w="120" w:type="dxa"/>
            <w:vAlign w:val="bottom"/>
            <w:tcBorders>
              <w:bottom w:val="single" w:sz="8" w:color="auto"/>
            </w:tcBorders>
            <w:shd w:val="clear" w:color="auto" w:fill="DBEEF4"/>
          </w:tcPr>
          <w:p>
            <w:pPr>
              <w:spacing w:after="0"/>
              <w:rPr>
                <w:sz w:val="11"/>
                <w:szCs w:val="11"/>
                <w:color w:val="auto"/>
              </w:rPr>
            </w:pPr>
          </w:p>
        </w:tc>
        <w:tc>
          <w:tcPr>
            <w:tcW w:w="44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488</w:t>
            </w:r>
          </w:p>
        </w:tc>
        <w:tc>
          <w:tcPr>
            <w:tcW w:w="200" w:type="dxa"/>
            <w:vAlign w:val="bottom"/>
            <w:tcBorders>
              <w:bottom w:val="single" w:sz="8" w:color="DBEEF4"/>
            </w:tcBorders>
            <w:shd w:val="clear" w:color="auto" w:fill="DBEEF4"/>
          </w:tcPr>
          <w:p>
            <w:pPr>
              <w:spacing w:after="0"/>
              <w:rPr>
                <w:sz w:val="11"/>
                <w:szCs w:val="11"/>
                <w:color w:val="auto"/>
              </w:rPr>
            </w:pPr>
          </w:p>
        </w:tc>
        <w:tc>
          <w:tcPr>
            <w:tcW w:w="5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321</w:t>
            </w:r>
          </w:p>
        </w:tc>
        <w:tc>
          <w:tcPr>
            <w:tcW w:w="720" w:type="dxa"/>
            <w:vAlign w:val="bottom"/>
            <w:tcBorders>
              <w:bottom w:val="single" w:sz="8" w:color="DBEEF4"/>
            </w:tcBorders>
            <w:shd w:val="clear" w:color="auto" w:fill="DBEEF4"/>
          </w:tcPr>
          <w:p>
            <w:pPr>
              <w:spacing w:after="0"/>
              <w:rPr>
                <w:sz w:val="11"/>
                <w:szCs w:val="11"/>
                <w:color w:val="auto"/>
              </w:rPr>
            </w:pPr>
          </w:p>
        </w:tc>
      </w:tr>
      <w:tr>
        <w:trPr>
          <w:trHeight w:val="113"/>
        </w:trPr>
        <w:tc>
          <w:tcPr>
            <w:tcW w:w="30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11,758</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11,626</w:t>
            </w:r>
          </w:p>
        </w:tc>
        <w:tc>
          <w:tcPr>
            <w:tcW w:w="720" w:type="dxa"/>
            <w:vAlign w:val="bottom"/>
          </w:tcPr>
          <w:p>
            <w:pPr>
              <w:jc w:val="right"/>
              <w:spacing w:after="0"/>
              <w:rPr>
                <w:sz w:val="20"/>
                <w:szCs w:val="20"/>
                <w:color w:val="auto"/>
              </w:rPr>
            </w:pPr>
            <w:r>
              <w:rPr>
                <w:rFonts w:ascii="Arial" w:cs="Arial" w:eastAsia="Arial" w:hAnsi="Arial"/>
                <w:sz w:val="8"/>
                <w:szCs w:val="8"/>
                <w:color w:val="auto"/>
              </w:rPr>
              <w:t>3 %</w:t>
            </w:r>
          </w:p>
        </w:tc>
      </w:tr>
      <w:tr>
        <w:trPr>
          <w:trHeight w:val="134"/>
        </w:trPr>
        <w:tc>
          <w:tcPr>
            <w:tcW w:w="3080" w:type="dxa"/>
            <w:vAlign w:val="bottom"/>
            <w:shd w:val="clear" w:color="auto" w:fill="DBEEF4"/>
          </w:tcPr>
          <w:p>
            <w:pPr>
              <w:ind w:left="20"/>
              <w:spacing w:after="0"/>
              <w:rPr>
                <w:sz w:val="20"/>
                <w:szCs w:val="20"/>
                <w:color w:val="auto"/>
              </w:rPr>
            </w:pPr>
            <w:r>
              <w:rPr>
                <w:rFonts w:ascii="Arial" w:cs="Arial" w:eastAsia="Arial" w:hAnsi="Arial"/>
                <w:sz w:val="8"/>
                <w:szCs w:val="8"/>
                <w:i w:val="1"/>
                <w:iCs w:val="1"/>
                <w:color w:val="auto"/>
              </w:rPr>
              <w:t>Dataguise, Inc.</w:t>
            </w:r>
          </w:p>
        </w:tc>
        <w:tc>
          <w:tcPr>
            <w:tcW w:w="3300" w:type="dxa"/>
            <w:vAlign w:val="bottom"/>
            <w:shd w:val="clear" w:color="auto" w:fill="DBEEF4"/>
          </w:tcPr>
          <w:p>
            <w:pPr>
              <w:ind w:left="640"/>
              <w:spacing w:after="0"/>
              <w:rPr>
                <w:sz w:val="20"/>
                <w:szCs w:val="20"/>
                <w:color w:val="auto"/>
              </w:rPr>
            </w:pPr>
            <w:r>
              <w:rPr>
                <w:rFonts w:ascii="Arial" w:cs="Arial" w:eastAsia="Arial" w:hAnsi="Arial"/>
                <w:sz w:val="8"/>
                <w:szCs w:val="8"/>
                <w:color w:val="auto"/>
              </w:rPr>
              <w:t>Information Technology Services</w:t>
            </w: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44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50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r>
      <w:tr>
        <w:trPr>
          <w:trHeight w:val="120"/>
        </w:trPr>
        <w:tc>
          <w:tcPr>
            <w:tcW w:w="3080" w:type="dxa"/>
            <w:vAlign w:val="bottom"/>
          </w:tcPr>
          <w:p>
            <w:pPr>
              <w:ind w:left="100"/>
              <w:spacing w:after="0"/>
              <w:rPr>
                <w:sz w:val="20"/>
                <w:szCs w:val="20"/>
                <w:color w:val="auto"/>
              </w:rPr>
            </w:pPr>
            <w:r>
              <w:rPr>
                <w:rFonts w:ascii="Arial" w:cs="Arial" w:eastAsia="Arial" w:hAnsi="Arial"/>
                <w:sz w:val="8"/>
                <w:szCs w:val="8"/>
                <w:color w:val="auto"/>
              </w:rPr>
              <w:t>First Lien Debt (j)</w:t>
            </w:r>
          </w:p>
        </w:tc>
        <w:tc>
          <w:tcPr>
            <w:tcW w:w="3300" w:type="dxa"/>
            <w:vAlign w:val="bottom"/>
          </w:tcPr>
          <w:p>
            <w:pPr>
              <w:spacing w:after="0"/>
              <w:rPr>
                <w:sz w:val="10"/>
                <w:szCs w:val="10"/>
                <w:color w:val="auto"/>
              </w:rPr>
            </w:pPr>
          </w:p>
        </w:tc>
        <w:tc>
          <w:tcPr>
            <w:tcW w:w="820" w:type="dxa"/>
            <w:vAlign w:val="bottom"/>
          </w:tcPr>
          <w:p>
            <w:pPr>
              <w:ind w:left="180"/>
              <w:spacing w:after="0"/>
              <w:rPr>
                <w:sz w:val="20"/>
                <w:szCs w:val="20"/>
                <w:color w:val="auto"/>
              </w:rPr>
            </w:pPr>
            <w:r>
              <w:rPr>
                <w:rFonts w:ascii="Arial" w:cs="Arial" w:eastAsia="Arial" w:hAnsi="Arial"/>
                <w:sz w:val="8"/>
                <w:szCs w:val="8"/>
                <w:color w:val="auto"/>
              </w:rPr>
              <w:t>11.00%/0.00%</w:t>
            </w:r>
          </w:p>
        </w:tc>
        <w:tc>
          <w:tcPr>
            <w:tcW w:w="640" w:type="dxa"/>
            <w:vAlign w:val="bottom"/>
          </w:tcPr>
          <w:p>
            <w:pPr>
              <w:ind w:left="120"/>
              <w:spacing w:after="0"/>
              <w:rPr>
                <w:sz w:val="20"/>
                <w:szCs w:val="20"/>
                <w:color w:val="auto"/>
              </w:rPr>
            </w:pPr>
            <w:r>
              <w:rPr>
                <w:rFonts w:ascii="Arial" w:cs="Arial" w:eastAsia="Arial" w:hAnsi="Arial"/>
                <w:sz w:val="8"/>
                <w:szCs w:val="8"/>
                <w:color w:val="auto"/>
              </w:rPr>
              <w:t>12/31/2020</w:t>
            </w:r>
          </w:p>
        </w:tc>
        <w:tc>
          <w:tcPr>
            <w:tcW w:w="720" w:type="dxa"/>
            <w:vAlign w:val="bottom"/>
          </w:tcPr>
          <w:p>
            <w:pPr>
              <w:ind w:left="120"/>
              <w:spacing w:after="0"/>
              <w:rPr>
                <w:sz w:val="20"/>
                <w:szCs w:val="20"/>
                <w:color w:val="auto"/>
              </w:rPr>
            </w:pPr>
            <w:r>
              <w:rPr>
                <w:rFonts w:ascii="Arial" w:cs="Arial" w:eastAsia="Arial" w:hAnsi="Arial"/>
                <w:sz w:val="8"/>
                <w:szCs w:val="8"/>
                <w:color w:val="auto"/>
              </w:rPr>
              <w:t>12/31/2023</w:t>
            </w:r>
          </w:p>
        </w:tc>
        <w:tc>
          <w:tcPr>
            <w:tcW w:w="700" w:type="dxa"/>
            <w:vAlign w:val="bottom"/>
          </w:tcPr>
          <w:p>
            <w:pPr>
              <w:jc w:val="right"/>
              <w:ind w:right="198"/>
              <w:spacing w:after="0"/>
              <w:rPr>
                <w:sz w:val="20"/>
                <w:szCs w:val="20"/>
                <w:color w:val="auto"/>
              </w:rPr>
            </w:pPr>
            <w:r>
              <w:rPr>
                <w:rFonts w:ascii="Arial" w:cs="Arial" w:eastAsia="Arial" w:hAnsi="Arial"/>
                <w:sz w:val="8"/>
                <w:szCs w:val="8"/>
                <w:color w:val="auto"/>
              </w:rPr>
              <w:t>20,000</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19,900</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19,900</w:t>
            </w:r>
          </w:p>
        </w:tc>
        <w:tc>
          <w:tcPr>
            <w:tcW w:w="720" w:type="dxa"/>
            <w:vAlign w:val="bottom"/>
          </w:tcPr>
          <w:p>
            <w:pPr>
              <w:spacing w:after="0"/>
              <w:rPr>
                <w:sz w:val="10"/>
                <w:szCs w:val="10"/>
                <w:color w:val="auto"/>
              </w:rPr>
            </w:pPr>
          </w:p>
        </w:tc>
      </w:tr>
      <w:tr>
        <w:trPr>
          <w:trHeight w:val="133"/>
        </w:trPr>
        <w:tc>
          <w:tcPr>
            <w:tcW w:w="3080" w:type="dxa"/>
            <w:vAlign w:val="bottom"/>
            <w:tcBorders>
              <w:bottom w:val="single" w:sz="8" w:color="DBEEF4"/>
            </w:tcBorders>
            <w:shd w:val="clear" w:color="auto" w:fill="DBEEF4"/>
          </w:tcPr>
          <w:p>
            <w:pPr>
              <w:ind w:left="100"/>
              <w:spacing w:after="0"/>
              <w:rPr>
                <w:sz w:val="20"/>
                <w:szCs w:val="20"/>
                <w:color w:val="auto"/>
              </w:rPr>
            </w:pPr>
            <w:r>
              <w:rPr>
                <w:rFonts w:ascii="Arial" w:cs="Arial" w:eastAsia="Arial" w:hAnsi="Arial"/>
                <w:sz w:val="8"/>
                <w:szCs w:val="8"/>
                <w:color w:val="auto"/>
              </w:rPr>
              <w:t>Common Equity (909 shares) (j)</w:t>
            </w:r>
          </w:p>
        </w:tc>
        <w:tc>
          <w:tcPr>
            <w:tcW w:w="3300" w:type="dxa"/>
            <w:vAlign w:val="bottom"/>
            <w:tcBorders>
              <w:bottom w:val="single" w:sz="8" w:color="DBEEF4"/>
            </w:tcBorders>
            <w:shd w:val="clear" w:color="auto" w:fill="DBEEF4"/>
          </w:tcPr>
          <w:p>
            <w:pPr>
              <w:spacing w:after="0"/>
              <w:rPr>
                <w:sz w:val="11"/>
                <w:szCs w:val="11"/>
                <w:color w:val="auto"/>
              </w:rPr>
            </w:pPr>
          </w:p>
        </w:tc>
        <w:tc>
          <w:tcPr>
            <w:tcW w:w="820" w:type="dxa"/>
            <w:vAlign w:val="bottom"/>
            <w:tcBorders>
              <w:bottom w:val="single" w:sz="8" w:color="DBEEF4"/>
            </w:tcBorders>
            <w:shd w:val="clear" w:color="auto" w:fill="DBEEF4"/>
          </w:tcPr>
          <w:p>
            <w:pPr>
              <w:spacing w:after="0"/>
              <w:rPr>
                <w:sz w:val="11"/>
                <w:szCs w:val="11"/>
                <w:color w:val="auto"/>
              </w:rPr>
            </w:pPr>
          </w:p>
        </w:tc>
        <w:tc>
          <w:tcPr>
            <w:tcW w:w="6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8"/>
                <w:szCs w:val="8"/>
                <w:color w:val="auto"/>
              </w:rPr>
              <w:t>12/31/2020</w:t>
            </w:r>
          </w:p>
        </w:tc>
        <w:tc>
          <w:tcPr>
            <w:tcW w:w="720" w:type="dxa"/>
            <w:vAlign w:val="bottom"/>
            <w:tcBorders>
              <w:bottom w:val="single" w:sz="8" w:color="DBEEF4"/>
            </w:tcBorders>
            <w:shd w:val="clear" w:color="auto" w:fill="DBEEF4"/>
          </w:tcPr>
          <w:p>
            <w:pPr>
              <w:spacing w:after="0"/>
              <w:rPr>
                <w:sz w:val="11"/>
                <w:szCs w:val="11"/>
                <w:color w:val="auto"/>
              </w:rPr>
            </w:pPr>
          </w:p>
        </w:tc>
        <w:tc>
          <w:tcPr>
            <w:tcW w:w="700" w:type="dxa"/>
            <w:vAlign w:val="bottom"/>
            <w:tcBorders>
              <w:bottom w:val="single" w:sz="8" w:color="DBEEF4"/>
            </w:tcBorders>
            <w:shd w:val="clear" w:color="auto" w:fill="DBEEF4"/>
          </w:tcPr>
          <w:p>
            <w:pPr>
              <w:spacing w:after="0"/>
              <w:rPr>
                <w:sz w:val="11"/>
                <w:szCs w:val="11"/>
                <w:color w:val="auto"/>
              </w:rPr>
            </w:pPr>
          </w:p>
        </w:tc>
        <w:tc>
          <w:tcPr>
            <w:tcW w:w="120" w:type="dxa"/>
            <w:vAlign w:val="bottom"/>
            <w:tcBorders>
              <w:bottom w:val="single" w:sz="8" w:color="auto"/>
            </w:tcBorders>
            <w:shd w:val="clear" w:color="auto" w:fill="DBEEF4"/>
          </w:tcPr>
          <w:p>
            <w:pPr>
              <w:spacing w:after="0"/>
              <w:rPr>
                <w:sz w:val="11"/>
                <w:szCs w:val="11"/>
                <w:color w:val="auto"/>
              </w:rPr>
            </w:pPr>
          </w:p>
        </w:tc>
        <w:tc>
          <w:tcPr>
            <w:tcW w:w="44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1,500</w:t>
            </w:r>
          </w:p>
        </w:tc>
        <w:tc>
          <w:tcPr>
            <w:tcW w:w="200" w:type="dxa"/>
            <w:vAlign w:val="bottom"/>
            <w:tcBorders>
              <w:bottom w:val="single" w:sz="8" w:color="DBEEF4"/>
            </w:tcBorders>
            <w:shd w:val="clear" w:color="auto" w:fill="DBEEF4"/>
          </w:tcPr>
          <w:p>
            <w:pPr>
              <w:spacing w:after="0"/>
              <w:rPr>
                <w:sz w:val="11"/>
                <w:szCs w:val="11"/>
                <w:color w:val="auto"/>
              </w:rPr>
            </w:pPr>
          </w:p>
        </w:tc>
        <w:tc>
          <w:tcPr>
            <w:tcW w:w="5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1,500</w:t>
            </w:r>
          </w:p>
        </w:tc>
        <w:tc>
          <w:tcPr>
            <w:tcW w:w="720" w:type="dxa"/>
            <w:vAlign w:val="bottom"/>
            <w:tcBorders>
              <w:bottom w:val="single" w:sz="8" w:color="DBEEF4"/>
            </w:tcBorders>
            <w:shd w:val="clear" w:color="auto" w:fill="DBEEF4"/>
          </w:tcPr>
          <w:p>
            <w:pPr>
              <w:spacing w:after="0"/>
              <w:rPr>
                <w:sz w:val="11"/>
                <w:szCs w:val="11"/>
                <w:color w:val="auto"/>
              </w:rPr>
            </w:pPr>
          </w:p>
        </w:tc>
      </w:tr>
      <w:tr>
        <w:trPr>
          <w:trHeight w:val="113"/>
        </w:trPr>
        <w:tc>
          <w:tcPr>
            <w:tcW w:w="30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21,400</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21,400</w:t>
            </w:r>
          </w:p>
        </w:tc>
        <w:tc>
          <w:tcPr>
            <w:tcW w:w="720" w:type="dxa"/>
            <w:vAlign w:val="bottom"/>
          </w:tcPr>
          <w:p>
            <w:pPr>
              <w:jc w:val="right"/>
              <w:spacing w:after="0"/>
              <w:rPr>
                <w:sz w:val="20"/>
                <w:szCs w:val="20"/>
                <w:color w:val="auto"/>
              </w:rPr>
            </w:pPr>
            <w:r>
              <w:rPr>
                <w:rFonts w:ascii="Arial" w:cs="Arial" w:eastAsia="Arial" w:hAnsi="Arial"/>
                <w:sz w:val="8"/>
                <w:szCs w:val="8"/>
                <w:color w:val="auto"/>
              </w:rPr>
              <w:t>5 %</w:t>
            </w:r>
          </w:p>
        </w:tc>
      </w:tr>
      <w:tr>
        <w:trPr>
          <w:trHeight w:val="134"/>
        </w:trPr>
        <w:tc>
          <w:tcPr>
            <w:tcW w:w="3080" w:type="dxa"/>
            <w:vAlign w:val="bottom"/>
            <w:shd w:val="clear" w:color="auto" w:fill="DBEEF4"/>
          </w:tcPr>
          <w:p>
            <w:pPr>
              <w:ind w:left="20"/>
              <w:spacing w:after="0"/>
              <w:rPr>
                <w:sz w:val="20"/>
                <w:szCs w:val="20"/>
                <w:color w:val="auto"/>
              </w:rPr>
            </w:pPr>
            <w:r>
              <w:rPr>
                <w:rFonts w:ascii="Arial" w:cs="Arial" w:eastAsia="Arial" w:hAnsi="Arial"/>
                <w:sz w:val="8"/>
                <w:szCs w:val="8"/>
                <w:i w:val="1"/>
                <w:iCs w:val="1"/>
                <w:color w:val="auto"/>
              </w:rPr>
              <w:t>Diversified Search LLC</w:t>
            </w:r>
          </w:p>
        </w:tc>
        <w:tc>
          <w:tcPr>
            <w:tcW w:w="3300" w:type="dxa"/>
            <w:vAlign w:val="bottom"/>
            <w:shd w:val="clear" w:color="auto" w:fill="DBEEF4"/>
          </w:tcPr>
          <w:p>
            <w:pPr>
              <w:ind w:left="640"/>
              <w:spacing w:after="0"/>
              <w:rPr>
                <w:sz w:val="20"/>
                <w:szCs w:val="20"/>
                <w:color w:val="auto"/>
              </w:rPr>
            </w:pPr>
            <w:r>
              <w:rPr>
                <w:rFonts w:ascii="Arial" w:cs="Arial" w:eastAsia="Arial" w:hAnsi="Arial"/>
                <w:sz w:val="8"/>
                <w:szCs w:val="8"/>
                <w:color w:val="auto"/>
              </w:rPr>
              <w:t>Business Services</w:t>
            </w: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44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50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r>
      <w:tr>
        <w:trPr>
          <w:trHeight w:val="120"/>
        </w:trPr>
        <w:tc>
          <w:tcPr>
            <w:tcW w:w="3080" w:type="dxa"/>
            <w:vAlign w:val="bottom"/>
          </w:tcPr>
          <w:p>
            <w:pPr>
              <w:ind w:left="100"/>
              <w:spacing w:after="0"/>
              <w:rPr>
                <w:sz w:val="20"/>
                <w:szCs w:val="20"/>
                <w:color w:val="auto"/>
              </w:rPr>
            </w:pPr>
            <w:r>
              <w:rPr>
                <w:rFonts w:ascii="Arial" w:cs="Arial" w:eastAsia="Arial" w:hAnsi="Arial"/>
                <w:sz w:val="8"/>
                <w:szCs w:val="8"/>
                <w:color w:val="auto"/>
              </w:rPr>
              <w:t>First Lien Debt (k)(r)</w:t>
            </w:r>
          </w:p>
        </w:tc>
        <w:tc>
          <w:tcPr>
            <w:tcW w:w="3300" w:type="dxa"/>
            <w:vAlign w:val="bottom"/>
          </w:tcPr>
          <w:p>
            <w:pPr>
              <w:ind w:left="2300"/>
              <w:spacing w:after="0"/>
              <w:rPr>
                <w:sz w:val="20"/>
                <w:szCs w:val="20"/>
                <w:color w:val="auto"/>
              </w:rPr>
            </w:pPr>
            <w:r>
              <w:rPr>
                <w:rFonts w:ascii="Arial" w:cs="Arial" w:eastAsia="Arial" w:hAnsi="Arial"/>
                <w:sz w:val="8"/>
                <w:szCs w:val="8"/>
                <w:color w:val="auto"/>
              </w:rPr>
              <w:t>(L + 8.00%) / (1.75%)</w:t>
            </w:r>
          </w:p>
        </w:tc>
        <w:tc>
          <w:tcPr>
            <w:tcW w:w="820" w:type="dxa"/>
            <w:vAlign w:val="bottom"/>
          </w:tcPr>
          <w:p>
            <w:pPr>
              <w:ind w:left="180"/>
              <w:spacing w:after="0"/>
              <w:rPr>
                <w:sz w:val="20"/>
                <w:szCs w:val="20"/>
                <w:color w:val="auto"/>
              </w:rPr>
            </w:pPr>
            <w:r>
              <w:rPr>
                <w:rFonts w:ascii="Arial" w:cs="Arial" w:eastAsia="Arial" w:hAnsi="Arial"/>
                <w:sz w:val="8"/>
                <w:szCs w:val="8"/>
                <w:color w:val="auto"/>
              </w:rPr>
              <w:t>9.75%/0.00%</w:t>
            </w:r>
          </w:p>
        </w:tc>
        <w:tc>
          <w:tcPr>
            <w:tcW w:w="640" w:type="dxa"/>
            <w:vAlign w:val="bottom"/>
          </w:tcPr>
          <w:p>
            <w:pPr>
              <w:ind w:left="120"/>
              <w:spacing w:after="0"/>
              <w:rPr>
                <w:sz w:val="20"/>
                <w:szCs w:val="20"/>
                <w:color w:val="auto"/>
              </w:rPr>
            </w:pPr>
            <w:r>
              <w:rPr>
                <w:rFonts w:ascii="Arial" w:cs="Arial" w:eastAsia="Arial" w:hAnsi="Arial"/>
                <w:sz w:val="8"/>
                <w:szCs w:val="8"/>
                <w:color w:val="auto"/>
              </w:rPr>
              <w:t>2/7/2019</w:t>
            </w:r>
          </w:p>
        </w:tc>
        <w:tc>
          <w:tcPr>
            <w:tcW w:w="720" w:type="dxa"/>
            <w:vAlign w:val="bottom"/>
          </w:tcPr>
          <w:p>
            <w:pPr>
              <w:ind w:left="120"/>
              <w:spacing w:after="0"/>
              <w:rPr>
                <w:sz w:val="20"/>
                <w:szCs w:val="20"/>
                <w:color w:val="auto"/>
              </w:rPr>
            </w:pPr>
            <w:r>
              <w:rPr>
                <w:rFonts w:ascii="Arial" w:cs="Arial" w:eastAsia="Arial" w:hAnsi="Arial"/>
                <w:sz w:val="8"/>
                <w:szCs w:val="8"/>
                <w:color w:val="auto"/>
              </w:rPr>
              <w:t>2/7/2024</w:t>
            </w:r>
          </w:p>
        </w:tc>
        <w:tc>
          <w:tcPr>
            <w:tcW w:w="700" w:type="dxa"/>
            <w:vAlign w:val="bottom"/>
          </w:tcPr>
          <w:p>
            <w:pPr>
              <w:jc w:val="right"/>
              <w:ind w:right="198"/>
              <w:spacing w:after="0"/>
              <w:rPr>
                <w:sz w:val="20"/>
                <w:szCs w:val="20"/>
                <w:color w:val="auto"/>
              </w:rPr>
            </w:pPr>
            <w:r>
              <w:rPr>
                <w:rFonts w:ascii="Arial" w:cs="Arial" w:eastAsia="Arial" w:hAnsi="Arial"/>
                <w:sz w:val="8"/>
                <w:szCs w:val="8"/>
                <w:color w:val="auto"/>
              </w:rPr>
              <w:t>17,355</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17,159</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17,355</w:t>
            </w:r>
          </w:p>
        </w:tc>
        <w:tc>
          <w:tcPr>
            <w:tcW w:w="720" w:type="dxa"/>
            <w:vAlign w:val="bottom"/>
          </w:tcPr>
          <w:p>
            <w:pPr>
              <w:spacing w:after="0"/>
              <w:rPr>
                <w:sz w:val="10"/>
                <w:szCs w:val="10"/>
                <w:color w:val="auto"/>
              </w:rPr>
            </w:pPr>
          </w:p>
        </w:tc>
      </w:tr>
      <w:tr>
        <w:trPr>
          <w:trHeight w:val="133"/>
        </w:trPr>
        <w:tc>
          <w:tcPr>
            <w:tcW w:w="3080" w:type="dxa"/>
            <w:vAlign w:val="bottom"/>
            <w:tcBorders>
              <w:bottom w:val="single" w:sz="8" w:color="DBEEF4"/>
            </w:tcBorders>
            <w:shd w:val="clear" w:color="auto" w:fill="DBEEF4"/>
          </w:tcPr>
          <w:p>
            <w:pPr>
              <w:ind w:left="100"/>
              <w:spacing w:after="0"/>
              <w:rPr>
                <w:sz w:val="20"/>
                <w:szCs w:val="20"/>
                <w:color w:val="auto"/>
              </w:rPr>
            </w:pPr>
            <w:r>
              <w:rPr>
                <w:rFonts w:ascii="Arial" w:cs="Arial" w:eastAsia="Arial" w:hAnsi="Arial"/>
                <w:sz w:val="8"/>
                <w:szCs w:val="8"/>
                <w:color w:val="auto"/>
              </w:rPr>
              <w:t>Common Equity (573 units) (h)(j)</w:t>
            </w:r>
          </w:p>
        </w:tc>
        <w:tc>
          <w:tcPr>
            <w:tcW w:w="3300" w:type="dxa"/>
            <w:vAlign w:val="bottom"/>
            <w:tcBorders>
              <w:bottom w:val="single" w:sz="8" w:color="DBEEF4"/>
            </w:tcBorders>
            <w:shd w:val="clear" w:color="auto" w:fill="DBEEF4"/>
          </w:tcPr>
          <w:p>
            <w:pPr>
              <w:spacing w:after="0"/>
              <w:rPr>
                <w:sz w:val="11"/>
                <w:szCs w:val="11"/>
                <w:color w:val="auto"/>
              </w:rPr>
            </w:pPr>
          </w:p>
        </w:tc>
        <w:tc>
          <w:tcPr>
            <w:tcW w:w="820" w:type="dxa"/>
            <w:vAlign w:val="bottom"/>
            <w:tcBorders>
              <w:bottom w:val="single" w:sz="8" w:color="DBEEF4"/>
            </w:tcBorders>
            <w:shd w:val="clear" w:color="auto" w:fill="DBEEF4"/>
          </w:tcPr>
          <w:p>
            <w:pPr>
              <w:spacing w:after="0"/>
              <w:rPr>
                <w:sz w:val="11"/>
                <w:szCs w:val="11"/>
                <w:color w:val="auto"/>
              </w:rPr>
            </w:pPr>
          </w:p>
        </w:tc>
        <w:tc>
          <w:tcPr>
            <w:tcW w:w="6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8"/>
                <w:szCs w:val="8"/>
                <w:color w:val="auto"/>
              </w:rPr>
              <w:t>2/7/2019</w:t>
            </w:r>
          </w:p>
        </w:tc>
        <w:tc>
          <w:tcPr>
            <w:tcW w:w="720" w:type="dxa"/>
            <w:vAlign w:val="bottom"/>
            <w:tcBorders>
              <w:bottom w:val="single" w:sz="8" w:color="DBEEF4"/>
            </w:tcBorders>
            <w:shd w:val="clear" w:color="auto" w:fill="DBEEF4"/>
          </w:tcPr>
          <w:p>
            <w:pPr>
              <w:spacing w:after="0"/>
              <w:rPr>
                <w:sz w:val="11"/>
                <w:szCs w:val="11"/>
                <w:color w:val="auto"/>
              </w:rPr>
            </w:pPr>
          </w:p>
        </w:tc>
        <w:tc>
          <w:tcPr>
            <w:tcW w:w="700" w:type="dxa"/>
            <w:vAlign w:val="bottom"/>
            <w:tcBorders>
              <w:bottom w:val="single" w:sz="8" w:color="DBEEF4"/>
            </w:tcBorders>
            <w:shd w:val="clear" w:color="auto" w:fill="DBEEF4"/>
          </w:tcPr>
          <w:p>
            <w:pPr>
              <w:spacing w:after="0"/>
              <w:rPr>
                <w:sz w:val="11"/>
                <w:szCs w:val="11"/>
                <w:color w:val="auto"/>
              </w:rPr>
            </w:pPr>
          </w:p>
        </w:tc>
        <w:tc>
          <w:tcPr>
            <w:tcW w:w="120" w:type="dxa"/>
            <w:vAlign w:val="bottom"/>
            <w:tcBorders>
              <w:bottom w:val="single" w:sz="8" w:color="auto"/>
            </w:tcBorders>
            <w:shd w:val="clear" w:color="auto" w:fill="DBEEF4"/>
          </w:tcPr>
          <w:p>
            <w:pPr>
              <w:spacing w:after="0"/>
              <w:rPr>
                <w:sz w:val="11"/>
                <w:szCs w:val="11"/>
                <w:color w:val="auto"/>
              </w:rPr>
            </w:pPr>
          </w:p>
        </w:tc>
        <w:tc>
          <w:tcPr>
            <w:tcW w:w="44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593</w:t>
            </w:r>
          </w:p>
        </w:tc>
        <w:tc>
          <w:tcPr>
            <w:tcW w:w="200" w:type="dxa"/>
            <w:vAlign w:val="bottom"/>
            <w:tcBorders>
              <w:bottom w:val="single" w:sz="8" w:color="DBEEF4"/>
            </w:tcBorders>
            <w:shd w:val="clear" w:color="auto" w:fill="DBEEF4"/>
          </w:tcPr>
          <w:p>
            <w:pPr>
              <w:spacing w:after="0"/>
              <w:rPr>
                <w:sz w:val="11"/>
                <w:szCs w:val="11"/>
                <w:color w:val="auto"/>
              </w:rPr>
            </w:pPr>
          </w:p>
        </w:tc>
        <w:tc>
          <w:tcPr>
            <w:tcW w:w="5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494</w:t>
            </w:r>
          </w:p>
        </w:tc>
        <w:tc>
          <w:tcPr>
            <w:tcW w:w="720" w:type="dxa"/>
            <w:vAlign w:val="bottom"/>
            <w:tcBorders>
              <w:bottom w:val="single" w:sz="8" w:color="DBEEF4"/>
            </w:tcBorders>
            <w:shd w:val="clear" w:color="auto" w:fill="DBEEF4"/>
          </w:tcPr>
          <w:p>
            <w:pPr>
              <w:spacing w:after="0"/>
              <w:rPr>
                <w:sz w:val="11"/>
                <w:szCs w:val="11"/>
                <w:color w:val="auto"/>
              </w:rPr>
            </w:pPr>
          </w:p>
        </w:tc>
      </w:tr>
      <w:tr>
        <w:trPr>
          <w:trHeight w:val="113"/>
        </w:trPr>
        <w:tc>
          <w:tcPr>
            <w:tcW w:w="30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17,752</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17,849</w:t>
            </w:r>
          </w:p>
        </w:tc>
        <w:tc>
          <w:tcPr>
            <w:tcW w:w="720" w:type="dxa"/>
            <w:vAlign w:val="bottom"/>
          </w:tcPr>
          <w:p>
            <w:pPr>
              <w:jc w:val="right"/>
              <w:spacing w:after="0"/>
              <w:rPr>
                <w:sz w:val="20"/>
                <w:szCs w:val="20"/>
                <w:color w:val="auto"/>
              </w:rPr>
            </w:pPr>
            <w:r>
              <w:rPr>
                <w:rFonts w:ascii="Arial" w:cs="Arial" w:eastAsia="Arial" w:hAnsi="Arial"/>
                <w:sz w:val="8"/>
                <w:szCs w:val="8"/>
                <w:color w:val="auto"/>
              </w:rPr>
              <w:t>4 %</w:t>
            </w:r>
          </w:p>
        </w:tc>
      </w:tr>
      <w:tr>
        <w:trPr>
          <w:trHeight w:val="134"/>
        </w:trPr>
        <w:tc>
          <w:tcPr>
            <w:tcW w:w="3080" w:type="dxa"/>
            <w:vAlign w:val="bottom"/>
            <w:shd w:val="clear" w:color="auto" w:fill="DBEEF4"/>
          </w:tcPr>
          <w:p>
            <w:pPr>
              <w:ind w:left="20"/>
              <w:spacing w:after="0"/>
              <w:rPr>
                <w:sz w:val="20"/>
                <w:szCs w:val="20"/>
                <w:color w:val="auto"/>
              </w:rPr>
            </w:pPr>
            <w:r>
              <w:rPr>
                <w:rFonts w:ascii="Arial" w:cs="Arial" w:eastAsia="Arial" w:hAnsi="Arial"/>
                <w:sz w:val="8"/>
                <w:szCs w:val="8"/>
                <w:i w:val="1"/>
                <w:iCs w:val="1"/>
                <w:color w:val="auto"/>
              </w:rPr>
              <w:t>EBL, LLC (EbLens)</w:t>
            </w:r>
          </w:p>
        </w:tc>
        <w:tc>
          <w:tcPr>
            <w:tcW w:w="3300" w:type="dxa"/>
            <w:vAlign w:val="bottom"/>
            <w:shd w:val="clear" w:color="auto" w:fill="DBEEF4"/>
          </w:tcPr>
          <w:p>
            <w:pPr>
              <w:ind w:left="640"/>
              <w:spacing w:after="0"/>
              <w:rPr>
                <w:sz w:val="20"/>
                <w:szCs w:val="20"/>
                <w:color w:val="auto"/>
              </w:rPr>
            </w:pPr>
            <w:r>
              <w:rPr>
                <w:rFonts w:ascii="Arial" w:cs="Arial" w:eastAsia="Arial" w:hAnsi="Arial"/>
                <w:sz w:val="8"/>
                <w:szCs w:val="8"/>
                <w:color w:val="auto"/>
              </w:rPr>
              <w:t>Retail</w:t>
            </w: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44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50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r>
      <w:tr>
        <w:trPr>
          <w:trHeight w:val="120"/>
        </w:trPr>
        <w:tc>
          <w:tcPr>
            <w:tcW w:w="3080" w:type="dxa"/>
            <w:vAlign w:val="bottom"/>
          </w:tcPr>
          <w:p>
            <w:pPr>
              <w:ind w:left="100"/>
              <w:spacing w:after="0"/>
              <w:rPr>
                <w:sz w:val="20"/>
                <w:szCs w:val="20"/>
                <w:color w:val="auto"/>
              </w:rPr>
            </w:pPr>
            <w:r>
              <w:rPr>
                <w:rFonts w:ascii="Arial" w:cs="Arial" w:eastAsia="Arial" w:hAnsi="Arial"/>
                <w:sz w:val="8"/>
                <w:szCs w:val="8"/>
                <w:color w:val="auto"/>
              </w:rPr>
              <w:t>Second Lien Debt (j)(p)</w:t>
            </w:r>
          </w:p>
        </w:tc>
        <w:tc>
          <w:tcPr>
            <w:tcW w:w="3300" w:type="dxa"/>
            <w:vAlign w:val="bottom"/>
          </w:tcPr>
          <w:p>
            <w:pPr>
              <w:spacing w:after="0"/>
              <w:rPr>
                <w:sz w:val="10"/>
                <w:szCs w:val="10"/>
                <w:color w:val="auto"/>
              </w:rPr>
            </w:pPr>
          </w:p>
        </w:tc>
        <w:tc>
          <w:tcPr>
            <w:tcW w:w="820" w:type="dxa"/>
            <w:vAlign w:val="bottom"/>
          </w:tcPr>
          <w:p>
            <w:pPr>
              <w:ind w:left="180"/>
              <w:spacing w:after="0"/>
              <w:rPr>
                <w:sz w:val="20"/>
                <w:szCs w:val="20"/>
                <w:color w:val="auto"/>
              </w:rPr>
            </w:pPr>
            <w:r>
              <w:rPr>
                <w:rFonts w:ascii="Arial" w:cs="Arial" w:eastAsia="Arial" w:hAnsi="Arial"/>
                <w:sz w:val="8"/>
                <w:szCs w:val="8"/>
                <w:color w:val="auto"/>
              </w:rPr>
              <w:t>12.00%/1.00%</w:t>
            </w:r>
          </w:p>
        </w:tc>
        <w:tc>
          <w:tcPr>
            <w:tcW w:w="640" w:type="dxa"/>
            <w:vAlign w:val="bottom"/>
          </w:tcPr>
          <w:p>
            <w:pPr>
              <w:ind w:left="120"/>
              <w:spacing w:after="0"/>
              <w:rPr>
                <w:sz w:val="20"/>
                <w:szCs w:val="20"/>
                <w:color w:val="auto"/>
              </w:rPr>
            </w:pPr>
            <w:r>
              <w:rPr>
                <w:rFonts w:ascii="Arial" w:cs="Arial" w:eastAsia="Arial" w:hAnsi="Arial"/>
                <w:sz w:val="8"/>
                <w:szCs w:val="8"/>
                <w:color w:val="auto"/>
              </w:rPr>
              <w:t>7/13/2017</w:t>
            </w:r>
          </w:p>
        </w:tc>
        <w:tc>
          <w:tcPr>
            <w:tcW w:w="720" w:type="dxa"/>
            <w:vAlign w:val="bottom"/>
          </w:tcPr>
          <w:p>
            <w:pPr>
              <w:ind w:left="120"/>
              <w:spacing w:after="0"/>
              <w:rPr>
                <w:sz w:val="20"/>
                <w:szCs w:val="20"/>
                <w:color w:val="auto"/>
              </w:rPr>
            </w:pPr>
            <w:r>
              <w:rPr>
                <w:rFonts w:ascii="Arial" w:cs="Arial" w:eastAsia="Arial" w:hAnsi="Arial"/>
                <w:sz w:val="8"/>
                <w:szCs w:val="8"/>
                <w:color w:val="auto"/>
              </w:rPr>
              <w:t>1/13/2023</w:t>
            </w:r>
          </w:p>
        </w:tc>
        <w:tc>
          <w:tcPr>
            <w:tcW w:w="700" w:type="dxa"/>
            <w:vAlign w:val="bottom"/>
          </w:tcPr>
          <w:p>
            <w:pPr>
              <w:jc w:val="right"/>
              <w:ind w:right="198"/>
              <w:spacing w:after="0"/>
              <w:rPr>
                <w:sz w:val="20"/>
                <w:szCs w:val="20"/>
                <w:color w:val="auto"/>
              </w:rPr>
            </w:pPr>
            <w:r>
              <w:rPr>
                <w:rFonts w:ascii="Arial" w:cs="Arial" w:eastAsia="Arial" w:hAnsi="Arial"/>
                <w:sz w:val="8"/>
                <w:szCs w:val="8"/>
                <w:color w:val="auto"/>
              </w:rPr>
              <w:t>9,253</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9,214</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5,454</w:t>
            </w:r>
          </w:p>
        </w:tc>
        <w:tc>
          <w:tcPr>
            <w:tcW w:w="720" w:type="dxa"/>
            <w:vAlign w:val="bottom"/>
          </w:tcPr>
          <w:p>
            <w:pPr>
              <w:spacing w:after="0"/>
              <w:rPr>
                <w:sz w:val="10"/>
                <w:szCs w:val="10"/>
                <w:color w:val="auto"/>
              </w:rPr>
            </w:pPr>
          </w:p>
        </w:tc>
      </w:tr>
      <w:tr>
        <w:trPr>
          <w:trHeight w:val="133"/>
        </w:trPr>
        <w:tc>
          <w:tcPr>
            <w:tcW w:w="3080" w:type="dxa"/>
            <w:vAlign w:val="bottom"/>
            <w:tcBorders>
              <w:bottom w:val="single" w:sz="8" w:color="DBEEF4"/>
            </w:tcBorders>
            <w:shd w:val="clear" w:color="auto" w:fill="DBEEF4"/>
          </w:tcPr>
          <w:p>
            <w:pPr>
              <w:ind w:left="100"/>
              <w:spacing w:after="0"/>
              <w:rPr>
                <w:sz w:val="20"/>
                <w:szCs w:val="20"/>
                <w:color w:val="auto"/>
              </w:rPr>
            </w:pPr>
            <w:r>
              <w:rPr>
                <w:rFonts w:ascii="Arial" w:cs="Arial" w:eastAsia="Arial" w:hAnsi="Arial"/>
                <w:sz w:val="8"/>
                <w:szCs w:val="8"/>
                <w:color w:val="auto"/>
              </w:rPr>
              <w:t>Common Equity (75,000 units) (j)</w:t>
            </w:r>
          </w:p>
        </w:tc>
        <w:tc>
          <w:tcPr>
            <w:tcW w:w="3300" w:type="dxa"/>
            <w:vAlign w:val="bottom"/>
            <w:tcBorders>
              <w:bottom w:val="single" w:sz="8" w:color="DBEEF4"/>
            </w:tcBorders>
            <w:shd w:val="clear" w:color="auto" w:fill="DBEEF4"/>
          </w:tcPr>
          <w:p>
            <w:pPr>
              <w:spacing w:after="0"/>
              <w:rPr>
                <w:sz w:val="11"/>
                <w:szCs w:val="11"/>
                <w:color w:val="auto"/>
              </w:rPr>
            </w:pPr>
          </w:p>
        </w:tc>
        <w:tc>
          <w:tcPr>
            <w:tcW w:w="820" w:type="dxa"/>
            <w:vAlign w:val="bottom"/>
            <w:tcBorders>
              <w:bottom w:val="single" w:sz="8" w:color="DBEEF4"/>
            </w:tcBorders>
            <w:shd w:val="clear" w:color="auto" w:fill="DBEEF4"/>
          </w:tcPr>
          <w:p>
            <w:pPr>
              <w:spacing w:after="0"/>
              <w:rPr>
                <w:sz w:val="11"/>
                <w:szCs w:val="11"/>
                <w:color w:val="auto"/>
              </w:rPr>
            </w:pPr>
          </w:p>
        </w:tc>
        <w:tc>
          <w:tcPr>
            <w:tcW w:w="6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8"/>
                <w:szCs w:val="8"/>
                <w:color w:val="auto"/>
              </w:rPr>
              <w:t>7/13/2017</w:t>
            </w:r>
          </w:p>
        </w:tc>
        <w:tc>
          <w:tcPr>
            <w:tcW w:w="720" w:type="dxa"/>
            <w:vAlign w:val="bottom"/>
            <w:tcBorders>
              <w:bottom w:val="single" w:sz="8" w:color="DBEEF4"/>
            </w:tcBorders>
            <w:shd w:val="clear" w:color="auto" w:fill="DBEEF4"/>
          </w:tcPr>
          <w:p>
            <w:pPr>
              <w:spacing w:after="0"/>
              <w:rPr>
                <w:sz w:val="11"/>
                <w:szCs w:val="11"/>
                <w:color w:val="auto"/>
              </w:rPr>
            </w:pPr>
          </w:p>
        </w:tc>
        <w:tc>
          <w:tcPr>
            <w:tcW w:w="700" w:type="dxa"/>
            <w:vAlign w:val="bottom"/>
            <w:tcBorders>
              <w:bottom w:val="single" w:sz="8" w:color="DBEEF4"/>
            </w:tcBorders>
            <w:shd w:val="clear" w:color="auto" w:fill="DBEEF4"/>
          </w:tcPr>
          <w:p>
            <w:pPr>
              <w:spacing w:after="0"/>
              <w:rPr>
                <w:sz w:val="11"/>
                <w:szCs w:val="11"/>
                <w:color w:val="auto"/>
              </w:rPr>
            </w:pPr>
          </w:p>
        </w:tc>
        <w:tc>
          <w:tcPr>
            <w:tcW w:w="120" w:type="dxa"/>
            <w:vAlign w:val="bottom"/>
            <w:tcBorders>
              <w:bottom w:val="single" w:sz="8" w:color="auto"/>
            </w:tcBorders>
            <w:shd w:val="clear" w:color="auto" w:fill="DBEEF4"/>
          </w:tcPr>
          <w:p>
            <w:pPr>
              <w:spacing w:after="0"/>
              <w:rPr>
                <w:sz w:val="11"/>
                <w:szCs w:val="11"/>
                <w:color w:val="auto"/>
              </w:rPr>
            </w:pPr>
          </w:p>
        </w:tc>
        <w:tc>
          <w:tcPr>
            <w:tcW w:w="44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750</w:t>
            </w:r>
          </w:p>
        </w:tc>
        <w:tc>
          <w:tcPr>
            <w:tcW w:w="200" w:type="dxa"/>
            <w:vAlign w:val="bottom"/>
            <w:tcBorders>
              <w:bottom w:val="single" w:sz="8" w:color="DBEEF4"/>
            </w:tcBorders>
            <w:shd w:val="clear" w:color="auto" w:fill="DBEEF4"/>
          </w:tcPr>
          <w:p>
            <w:pPr>
              <w:spacing w:after="0"/>
              <w:rPr>
                <w:sz w:val="11"/>
                <w:szCs w:val="11"/>
                <w:color w:val="auto"/>
              </w:rPr>
            </w:pPr>
          </w:p>
        </w:tc>
        <w:tc>
          <w:tcPr>
            <w:tcW w:w="5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w:t>
            </w:r>
          </w:p>
        </w:tc>
        <w:tc>
          <w:tcPr>
            <w:tcW w:w="720" w:type="dxa"/>
            <w:vAlign w:val="bottom"/>
            <w:tcBorders>
              <w:bottom w:val="single" w:sz="8" w:color="DBEEF4"/>
            </w:tcBorders>
            <w:shd w:val="clear" w:color="auto" w:fill="DBEEF4"/>
          </w:tcPr>
          <w:p>
            <w:pPr>
              <w:spacing w:after="0"/>
              <w:rPr>
                <w:sz w:val="11"/>
                <w:szCs w:val="11"/>
                <w:color w:val="auto"/>
              </w:rPr>
            </w:pPr>
          </w:p>
        </w:tc>
      </w:tr>
      <w:tr>
        <w:trPr>
          <w:trHeight w:val="113"/>
        </w:trPr>
        <w:tc>
          <w:tcPr>
            <w:tcW w:w="30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9,964</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5,454</w:t>
            </w:r>
          </w:p>
        </w:tc>
        <w:tc>
          <w:tcPr>
            <w:tcW w:w="720" w:type="dxa"/>
            <w:vAlign w:val="bottom"/>
          </w:tcPr>
          <w:p>
            <w:pPr>
              <w:jc w:val="right"/>
              <w:spacing w:after="0"/>
              <w:rPr>
                <w:sz w:val="20"/>
                <w:szCs w:val="20"/>
                <w:color w:val="auto"/>
              </w:rPr>
            </w:pPr>
            <w:r>
              <w:rPr>
                <w:rFonts w:ascii="Arial" w:cs="Arial" w:eastAsia="Arial" w:hAnsi="Arial"/>
                <w:sz w:val="8"/>
                <w:szCs w:val="8"/>
                <w:color w:val="auto"/>
              </w:rPr>
              <w:t>1 %</w:t>
            </w:r>
          </w:p>
        </w:tc>
      </w:tr>
      <w:tr>
        <w:trPr>
          <w:trHeight w:val="134"/>
        </w:trPr>
        <w:tc>
          <w:tcPr>
            <w:tcW w:w="3080" w:type="dxa"/>
            <w:vAlign w:val="bottom"/>
            <w:shd w:val="clear" w:color="auto" w:fill="DBEEF4"/>
          </w:tcPr>
          <w:p>
            <w:pPr>
              <w:ind w:left="20"/>
              <w:spacing w:after="0"/>
              <w:rPr>
                <w:sz w:val="20"/>
                <w:szCs w:val="20"/>
                <w:color w:val="auto"/>
              </w:rPr>
            </w:pPr>
            <w:r>
              <w:rPr>
                <w:rFonts w:ascii="Arial" w:cs="Arial" w:eastAsia="Arial" w:hAnsi="Arial"/>
                <w:sz w:val="8"/>
                <w:szCs w:val="8"/>
                <w:i w:val="1"/>
                <w:iCs w:val="1"/>
                <w:color w:val="auto"/>
              </w:rPr>
              <w:t>ECM Industries, LLC</w:t>
            </w:r>
          </w:p>
        </w:tc>
        <w:tc>
          <w:tcPr>
            <w:tcW w:w="3300" w:type="dxa"/>
            <w:vAlign w:val="bottom"/>
            <w:shd w:val="clear" w:color="auto" w:fill="DBEEF4"/>
          </w:tcPr>
          <w:p>
            <w:pPr>
              <w:ind w:left="640"/>
              <w:spacing w:after="0"/>
              <w:rPr>
                <w:sz w:val="20"/>
                <w:szCs w:val="20"/>
                <w:color w:val="auto"/>
              </w:rPr>
            </w:pPr>
            <w:r>
              <w:rPr>
                <w:rFonts w:ascii="Arial" w:cs="Arial" w:eastAsia="Arial" w:hAnsi="Arial"/>
                <w:sz w:val="8"/>
                <w:szCs w:val="8"/>
                <w:color w:val="auto"/>
              </w:rPr>
              <w:t>Component Manufacturing</w:t>
            </w: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44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50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r>
      <w:tr>
        <w:trPr>
          <w:trHeight w:val="120"/>
        </w:trPr>
        <w:tc>
          <w:tcPr>
            <w:tcW w:w="3080" w:type="dxa"/>
            <w:vAlign w:val="bottom"/>
          </w:tcPr>
          <w:p>
            <w:pPr>
              <w:ind w:left="100"/>
              <w:spacing w:after="0"/>
              <w:rPr>
                <w:sz w:val="20"/>
                <w:szCs w:val="20"/>
                <w:color w:val="auto"/>
              </w:rPr>
            </w:pPr>
            <w:r>
              <w:rPr>
                <w:rFonts w:ascii="Arial" w:cs="Arial" w:eastAsia="Arial" w:hAnsi="Arial"/>
                <w:sz w:val="8"/>
                <w:szCs w:val="8"/>
                <w:color w:val="auto"/>
              </w:rPr>
              <w:t>Subordinated Debt (j)</w:t>
            </w:r>
          </w:p>
        </w:tc>
        <w:tc>
          <w:tcPr>
            <w:tcW w:w="3300" w:type="dxa"/>
            <w:vAlign w:val="bottom"/>
          </w:tcPr>
          <w:p>
            <w:pPr>
              <w:spacing w:after="0"/>
              <w:rPr>
                <w:sz w:val="10"/>
                <w:szCs w:val="10"/>
                <w:color w:val="auto"/>
              </w:rPr>
            </w:pPr>
          </w:p>
        </w:tc>
        <w:tc>
          <w:tcPr>
            <w:tcW w:w="820" w:type="dxa"/>
            <w:vAlign w:val="bottom"/>
          </w:tcPr>
          <w:p>
            <w:pPr>
              <w:ind w:left="180"/>
              <w:spacing w:after="0"/>
              <w:rPr>
                <w:sz w:val="20"/>
                <w:szCs w:val="20"/>
                <w:color w:val="auto"/>
              </w:rPr>
            </w:pPr>
            <w:r>
              <w:rPr>
                <w:rFonts w:ascii="Arial" w:cs="Arial" w:eastAsia="Arial" w:hAnsi="Arial"/>
                <w:sz w:val="8"/>
                <w:szCs w:val="8"/>
                <w:color w:val="auto"/>
              </w:rPr>
              <w:t>11.50%/0.00%</w:t>
            </w:r>
          </w:p>
        </w:tc>
        <w:tc>
          <w:tcPr>
            <w:tcW w:w="640" w:type="dxa"/>
            <w:vAlign w:val="bottom"/>
          </w:tcPr>
          <w:p>
            <w:pPr>
              <w:ind w:left="120"/>
              <w:spacing w:after="0"/>
              <w:rPr>
                <w:sz w:val="20"/>
                <w:szCs w:val="20"/>
                <w:color w:val="auto"/>
              </w:rPr>
            </w:pPr>
            <w:r>
              <w:rPr>
                <w:rFonts w:ascii="Arial" w:cs="Arial" w:eastAsia="Arial" w:hAnsi="Arial"/>
                <w:sz w:val="8"/>
                <w:szCs w:val="8"/>
                <w:color w:val="auto"/>
              </w:rPr>
              <w:t>4/30/2020</w:t>
            </w:r>
          </w:p>
        </w:tc>
        <w:tc>
          <w:tcPr>
            <w:tcW w:w="720" w:type="dxa"/>
            <w:vAlign w:val="bottom"/>
          </w:tcPr>
          <w:p>
            <w:pPr>
              <w:ind w:left="120"/>
              <w:spacing w:after="0"/>
              <w:rPr>
                <w:sz w:val="20"/>
                <w:szCs w:val="20"/>
                <w:color w:val="auto"/>
              </w:rPr>
            </w:pPr>
            <w:r>
              <w:rPr>
                <w:rFonts w:ascii="Arial" w:cs="Arial" w:eastAsia="Arial" w:hAnsi="Arial"/>
                <w:sz w:val="8"/>
                <w:szCs w:val="8"/>
                <w:color w:val="auto"/>
              </w:rPr>
              <w:t>5/23/2026</w:t>
            </w:r>
          </w:p>
        </w:tc>
        <w:tc>
          <w:tcPr>
            <w:tcW w:w="700" w:type="dxa"/>
            <w:vAlign w:val="bottom"/>
          </w:tcPr>
          <w:p>
            <w:pPr>
              <w:jc w:val="right"/>
              <w:ind w:right="198"/>
              <w:spacing w:after="0"/>
              <w:rPr>
                <w:sz w:val="20"/>
                <w:szCs w:val="20"/>
                <w:color w:val="auto"/>
              </w:rPr>
            </w:pPr>
            <w:r>
              <w:rPr>
                <w:rFonts w:ascii="Arial" w:cs="Arial" w:eastAsia="Arial" w:hAnsi="Arial"/>
                <w:sz w:val="8"/>
                <w:szCs w:val="8"/>
                <w:color w:val="auto"/>
              </w:rPr>
              <w:t>11,500</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11,295</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11,500</w:t>
            </w:r>
          </w:p>
        </w:tc>
        <w:tc>
          <w:tcPr>
            <w:tcW w:w="720" w:type="dxa"/>
            <w:vAlign w:val="bottom"/>
          </w:tcPr>
          <w:p>
            <w:pPr>
              <w:spacing w:after="0"/>
              <w:rPr>
                <w:sz w:val="10"/>
                <w:szCs w:val="10"/>
                <w:color w:val="auto"/>
              </w:rPr>
            </w:pPr>
          </w:p>
        </w:tc>
      </w:tr>
      <w:tr>
        <w:trPr>
          <w:trHeight w:val="133"/>
        </w:trPr>
        <w:tc>
          <w:tcPr>
            <w:tcW w:w="3080" w:type="dxa"/>
            <w:vAlign w:val="bottom"/>
            <w:tcBorders>
              <w:bottom w:val="single" w:sz="8" w:color="DBEEF4"/>
            </w:tcBorders>
            <w:shd w:val="clear" w:color="auto" w:fill="DBEEF4"/>
          </w:tcPr>
          <w:p>
            <w:pPr>
              <w:ind w:left="100"/>
              <w:spacing w:after="0"/>
              <w:rPr>
                <w:sz w:val="20"/>
                <w:szCs w:val="20"/>
                <w:color w:val="auto"/>
              </w:rPr>
            </w:pPr>
            <w:r>
              <w:rPr>
                <w:rFonts w:ascii="Arial" w:cs="Arial" w:eastAsia="Arial" w:hAnsi="Arial"/>
                <w:sz w:val="8"/>
                <w:szCs w:val="8"/>
                <w:color w:val="auto"/>
              </w:rPr>
              <w:t>Common Equity (1,000,000 units) (h)(j)</w:t>
            </w:r>
          </w:p>
        </w:tc>
        <w:tc>
          <w:tcPr>
            <w:tcW w:w="3300" w:type="dxa"/>
            <w:vAlign w:val="bottom"/>
            <w:tcBorders>
              <w:bottom w:val="single" w:sz="8" w:color="DBEEF4"/>
            </w:tcBorders>
            <w:shd w:val="clear" w:color="auto" w:fill="DBEEF4"/>
          </w:tcPr>
          <w:p>
            <w:pPr>
              <w:spacing w:after="0"/>
              <w:rPr>
                <w:sz w:val="11"/>
                <w:szCs w:val="11"/>
                <w:color w:val="auto"/>
              </w:rPr>
            </w:pPr>
          </w:p>
        </w:tc>
        <w:tc>
          <w:tcPr>
            <w:tcW w:w="820" w:type="dxa"/>
            <w:vAlign w:val="bottom"/>
            <w:tcBorders>
              <w:bottom w:val="single" w:sz="8" w:color="DBEEF4"/>
            </w:tcBorders>
            <w:shd w:val="clear" w:color="auto" w:fill="DBEEF4"/>
          </w:tcPr>
          <w:p>
            <w:pPr>
              <w:spacing w:after="0"/>
              <w:rPr>
                <w:sz w:val="11"/>
                <w:szCs w:val="11"/>
                <w:color w:val="auto"/>
              </w:rPr>
            </w:pPr>
          </w:p>
        </w:tc>
        <w:tc>
          <w:tcPr>
            <w:tcW w:w="6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8"/>
                <w:szCs w:val="8"/>
                <w:color w:val="auto"/>
              </w:rPr>
              <w:t>4/30/2020</w:t>
            </w:r>
          </w:p>
        </w:tc>
        <w:tc>
          <w:tcPr>
            <w:tcW w:w="720" w:type="dxa"/>
            <w:vAlign w:val="bottom"/>
            <w:tcBorders>
              <w:bottom w:val="single" w:sz="8" w:color="DBEEF4"/>
            </w:tcBorders>
            <w:shd w:val="clear" w:color="auto" w:fill="DBEEF4"/>
          </w:tcPr>
          <w:p>
            <w:pPr>
              <w:spacing w:after="0"/>
              <w:rPr>
                <w:sz w:val="11"/>
                <w:szCs w:val="11"/>
                <w:color w:val="auto"/>
              </w:rPr>
            </w:pPr>
          </w:p>
        </w:tc>
        <w:tc>
          <w:tcPr>
            <w:tcW w:w="700" w:type="dxa"/>
            <w:vAlign w:val="bottom"/>
            <w:tcBorders>
              <w:bottom w:val="single" w:sz="8" w:color="DBEEF4"/>
            </w:tcBorders>
            <w:shd w:val="clear" w:color="auto" w:fill="DBEEF4"/>
          </w:tcPr>
          <w:p>
            <w:pPr>
              <w:spacing w:after="0"/>
              <w:rPr>
                <w:sz w:val="11"/>
                <w:szCs w:val="11"/>
                <w:color w:val="auto"/>
              </w:rPr>
            </w:pPr>
          </w:p>
        </w:tc>
        <w:tc>
          <w:tcPr>
            <w:tcW w:w="120" w:type="dxa"/>
            <w:vAlign w:val="bottom"/>
            <w:tcBorders>
              <w:bottom w:val="single" w:sz="8" w:color="auto"/>
            </w:tcBorders>
            <w:shd w:val="clear" w:color="auto" w:fill="DBEEF4"/>
          </w:tcPr>
          <w:p>
            <w:pPr>
              <w:spacing w:after="0"/>
              <w:rPr>
                <w:sz w:val="11"/>
                <w:szCs w:val="11"/>
                <w:color w:val="auto"/>
              </w:rPr>
            </w:pPr>
          </w:p>
        </w:tc>
        <w:tc>
          <w:tcPr>
            <w:tcW w:w="44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1,000</w:t>
            </w:r>
          </w:p>
        </w:tc>
        <w:tc>
          <w:tcPr>
            <w:tcW w:w="200" w:type="dxa"/>
            <w:vAlign w:val="bottom"/>
            <w:tcBorders>
              <w:bottom w:val="single" w:sz="8" w:color="DBEEF4"/>
            </w:tcBorders>
            <w:shd w:val="clear" w:color="auto" w:fill="DBEEF4"/>
          </w:tcPr>
          <w:p>
            <w:pPr>
              <w:spacing w:after="0"/>
              <w:rPr>
                <w:sz w:val="11"/>
                <w:szCs w:val="11"/>
                <w:color w:val="auto"/>
              </w:rPr>
            </w:pPr>
          </w:p>
        </w:tc>
        <w:tc>
          <w:tcPr>
            <w:tcW w:w="5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1,562</w:t>
            </w:r>
          </w:p>
        </w:tc>
        <w:tc>
          <w:tcPr>
            <w:tcW w:w="720" w:type="dxa"/>
            <w:vAlign w:val="bottom"/>
            <w:tcBorders>
              <w:bottom w:val="single" w:sz="8" w:color="DBEEF4"/>
            </w:tcBorders>
            <w:shd w:val="clear" w:color="auto" w:fill="DBEEF4"/>
          </w:tcPr>
          <w:p>
            <w:pPr>
              <w:spacing w:after="0"/>
              <w:rPr>
                <w:sz w:val="11"/>
                <w:szCs w:val="11"/>
                <w:color w:val="auto"/>
              </w:rPr>
            </w:pPr>
          </w:p>
        </w:tc>
      </w:tr>
      <w:tr>
        <w:trPr>
          <w:trHeight w:val="113"/>
        </w:trPr>
        <w:tc>
          <w:tcPr>
            <w:tcW w:w="30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12,295</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13,062</w:t>
            </w:r>
          </w:p>
        </w:tc>
        <w:tc>
          <w:tcPr>
            <w:tcW w:w="720" w:type="dxa"/>
            <w:vAlign w:val="bottom"/>
          </w:tcPr>
          <w:p>
            <w:pPr>
              <w:jc w:val="right"/>
              <w:spacing w:after="0"/>
              <w:rPr>
                <w:sz w:val="20"/>
                <w:szCs w:val="20"/>
                <w:color w:val="auto"/>
              </w:rPr>
            </w:pPr>
            <w:r>
              <w:rPr>
                <w:rFonts w:ascii="Arial" w:cs="Arial" w:eastAsia="Arial" w:hAnsi="Arial"/>
                <w:sz w:val="8"/>
                <w:szCs w:val="8"/>
                <w:color w:val="auto"/>
              </w:rPr>
              <w:t>3 %</w:t>
            </w:r>
          </w:p>
        </w:tc>
      </w:tr>
      <w:tr>
        <w:trPr>
          <w:trHeight w:val="134"/>
        </w:trPr>
        <w:tc>
          <w:tcPr>
            <w:tcW w:w="3080" w:type="dxa"/>
            <w:vAlign w:val="bottom"/>
            <w:shd w:val="clear" w:color="auto" w:fill="DBEEF4"/>
          </w:tcPr>
          <w:p>
            <w:pPr>
              <w:ind w:left="20"/>
              <w:spacing w:after="0"/>
              <w:rPr>
                <w:sz w:val="20"/>
                <w:szCs w:val="20"/>
                <w:color w:val="auto"/>
              </w:rPr>
            </w:pPr>
            <w:r>
              <w:rPr>
                <w:rFonts w:ascii="Arial" w:cs="Arial" w:eastAsia="Arial" w:hAnsi="Arial"/>
                <w:sz w:val="8"/>
                <w:szCs w:val="8"/>
                <w:i w:val="1"/>
                <w:iCs w:val="1"/>
                <w:color w:val="auto"/>
              </w:rPr>
              <w:t>Elements Brands, LLC</w:t>
            </w:r>
          </w:p>
        </w:tc>
        <w:tc>
          <w:tcPr>
            <w:tcW w:w="3300" w:type="dxa"/>
            <w:vAlign w:val="bottom"/>
            <w:shd w:val="clear" w:color="auto" w:fill="DBEEF4"/>
          </w:tcPr>
          <w:p>
            <w:pPr>
              <w:ind w:left="640"/>
              <w:spacing w:after="0"/>
              <w:rPr>
                <w:sz w:val="20"/>
                <w:szCs w:val="20"/>
                <w:color w:val="auto"/>
              </w:rPr>
            </w:pPr>
            <w:r>
              <w:rPr>
                <w:rFonts w:ascii="Arial" w:cs="Arial" w:eastAsia="Arial" w:hAnsi="Arial"/>
                <w:sz w:val="8"/>
                <w:szCs w:val="8"/>
                <w:color w:val="auto"/>
              </w:rPr>
              <w:t>Consumer Products</w:t>
            </w: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44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50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r>
      <w:tr>
        <w:trPr>
          <w:trHeight w:val="120"/>
        </w:trPr>
        <w:tc>
          <w:tcPr>
            <w:tcW w:w="3080" w:type="dxa"/>
            <w:vAlign w:val="bottom"/>
          </w:tcPr>
          <w:p>
            <w:pPr>
              <w:ind w:left="100"/>
              <w:spacing w:after="0"/>
              <w:rPr>
                <w:sz w:val="20"/>
                <w:szCs w:val="20"/>
                <w:color w:val="auto"/>
              </w:rPr>
            </w:pPr>
            <w:r>
              <w:rPr>
                <w:rFonts w:ascii="Arial" w:cs="Arial" w:eastAsia="Arial" w:hAnsi="Arial"/>
                <w:sz w:val="8"/>
                <w:szCs w:val="8"/>
                <w:color w:val="auto"/>
              </w:rPr>
              <w:t>First Lien Debt</w:t>
            </w:r>
          </w:p>
        </w:tc>
        <w:tc>
          <w:tcPr>
            <w:tcW w:w="3300" w:type="dxa"/>
            <w:vAlign w:val="bottom"/>
          </w:tcPr>
          <w:p>
            <w:pPr>
              <w:spacing w:after="0"/>
              <w:rPr>
                <w:sz w:val="10"/>
                <w:szCs w:val="10"/>
                <w:color w:val="auto"/>
              </w:rPr>
            </w:pPr>
          </w:p>
        </w:tc>
        <w:tc>
          <w:tcPr>
            <w:tcW w:w="820" w:type="dxa"/>
            <w:vAlign w:val="bottom"/>
          </w:tcPr>
          <w:p>
            <w:pPr>
              <w:ind w:left="180"/>
              <w:spacing w:after="0"/>
              <w:rPr>
                <w:sz w:val="20"/>
                <w:szCs w:val="20"/>
                <w:color w:val="auto"/>
              </w:rPr>
            </w:pPr>
            <w:r>
              <w:rPr>
                <w:rFonts w:ascii="Arial" w:cs="Arial" w:eastAsia="Arial" w:hAnsi="Arial"/>
                <w:sz w:val="8"/>
                <w:szCs w:val="8"/>
                <w:color w:val="auto"/>
              </w:rPr>
              <w:t>12.25%/0.00%</w:t>
            </w:r>
          </w:p>
        </w:tc>
        <w:tc>
          <w:tcPr>
            <w:tcW w:w="640" w:type="dxa"/>
            <w:vAlign w:val="bottom"/>
          </w:tcPr>
          <w:p>
            <w:pPr>
              <w:ind w:left="120"/>
              <w:spacing w:after="0"/>
              <w:rPr>
                <w:sz w:val="20"/>
                <w:szCs w:val="20"/>
                <w:color w:val="auto"/>
              </w:rPr>
            </w:pPr>
            <w:r>
              <w:rPr>
                <w:rFonts w:ascii="Arial" w:cs="Arial" w:eastAsia="Arial" w:hAnsi="Arial"/>
                <w:sz w:val="8"/>
                <w:szCs w:val="8"/>
                <w:color w:val="auto"/>
              </w:rPr>
              <w:t>12/31/2020</w:t>
            </w:r>
          </w:p>
        </w:tc>
        <w:tc>
          <w:tcPr>
            <w:tcW w:w="720" w:type="dxa"/>
            <w:vAlign w:val="bottom"/>
          </w:tcPr>
          <w:p>
            <w:pPr>
              <w:ind w:left="120"/>
              <w:spacing w:after="0"/>
              <w:rPr>
                <w:sz w:val="20"/>
                <w:szCs w:val="20"/>
                <w:color w:val="auto"/>
              </w:rPr>
            </w:pPr>
            <w:r>
              <w:rPr>
                <w:rFonts w:ascii="Arial" w:cs="Arial" w:eastAsia="Arial" w:hAnsi="Arial"/>
                <w:sz w:val="8"/>
                <w:szCs w:val="8"/>
                <w:color w:val="auto"/>
              </w:rPr>
              <w:t>12/31/2025</w:t>
            </w:r>
          </w:p>
        </w:tc>
        <w:tc>
          <w:tcPr>
            <w:tcW w:w="700" w:type="dxa"/>
            <w:vAlign w:val="bottom"/>
          </w:tcPr>
          <w:p>
            <w:pPr>
              <w:jc w:val="right"/>
              <w:ind w:right="198"/>
              <w:spacing w:after="0"/>
              <w:rPr>
                <w:sz w:val="20"/>
                <w:szCs w:val="20"/>
                <w:color w:val="auto"/>
              </w:rPr>
            </w:pPr>
            <w:r>
              <w:rPr>
                <w:rFonts w:ascii="Arial" w:cs="Arial" w:eastAsia="Arial" w:hAnsi="Arial"/>
                <w:sz w:val="8"/>
                <w:szCs w:val="8"/>
                <w:color w:val="auto"/>
              </w:rPr>
              <w:t>6,000</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5,967</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5,967</w:t>
            </w:r>
          </w:p>
        </w:tc>
        <w:tc>
          <w:tcPr>
            <w:tcW w:w="720" w:type="dxa"/>
            <w:vAlign w:val="bottom"/>
          </w:tcPr>
          <w:p>
            <w:pPr>
              <w:spacing w:after="0"/>
              <w:rPr>
                <w:sz w:val="10"/>
                <w:szCs w:val="10"/>
                <w:color w:val="auto"/>
              </w:rPr>
            </w:pPr>
          </w:p>
        </w:tc>
      </w:tr>
      <w:tr>
        <w:trPr>
          <w:trHeight w:val="153"/>
        </w:trPr>
        <w:tc>
          <w:tcPr>
            <w:tcW w:w="3080" w:type="dxa"/>
            <w:vAlign w:val="bottom"/>
            <w:tcBorders>
              <w:bottom w:val="single" w:sz="8" w:color="DBEEF4"/>
            </w:tcBorders>
            <w:shd w:val="clear" w:color="auto" w:fill="DBEEF4"/>
          </w:tcPr>
          <w:p>
            <w:pPr>
              <w:ind w:left="100"/>
              <w:spacing w:after="0"/>
              <w:rPr>
                <w:sz w:val="20"/>
                <w:szCs w:val="20"/>
                <w:color w:val="auto"/>
              </w:rPr>
            </w:pPr>
            <w:r>
              <w:rPr>
                <w:rFonts w:ascii="Arial" w:cs="Arial" w:eastAsia="Arial" w:hAnsi="Arial"/>
                <w:sz w:val="8"/>
                <w:szCs w:val="8"/>
                <w:color w:val="auto"/>
              </w:rPr>
              <w:t>Revolving Loan ($838 unfunded commitment) (i)(j)</w:t>
            </w:r>
          </w:p>
        </w:tc>
        <w:tc>
          <w:tcPr>
            <w:tcW w:w="3300" w:type="dxa"/>
            <w:vAlign w:val="bottom"/>
            <w:tcBorders>
              <w:bottom w:val="single" w:sz="8" w:color="DBEEF4"/>
            </w:tcBorders>
            <w:shd w:val="clear" w:color="auto" w:fill="DBEEF4"/>
          </w:tcPr>
          <w:p>
            <w:pPr>
              <w:spacing w:after="0"/>
              <w:rPr>
                <w:sz w:val="13"/>
                <w:szCs w:val="13"/>
                <w:color w:val="auto"/>
              </w:rPr>
            </w:pPr>
          </w:p>
        </w:tc>
        <w:tc>
          <w:tcPr>
            <w:tcW w:w="820" w:type="dxa"/>
            <w:vAlign w:val="bottom"/>
            <w:tcBorders>
              <w:bottom w:val="single" w:sz="8" w:color="DBEEF4"/>
            </w:tcBorders>
            <w:shd w:val="clear" w:color="auto" w:fill="DBEEF4"/>
          </w:tcPr>
          <w:p>
            <w:pPr>
              <w:ind w:left="180"/>
              <w:spacing w:after="0"/>
              <w:rPr>
                <w:sz w:val="20"/>
                <w:szCs w:val="20"/>
                <w:color w:val="auto"/>
              </w:rPr>
            </w:pPr>
            <w:r>
              <w:rPr>
                <w:rFonts w:ascii="Arial" w:cs="Arial" w:eastAsia="Arial" w:hAnsi="Arial"/>
                <w:sz w:val="8"/>
                <w:szCs w:val="8"/>
                <w:color w:val="auto"/>
              </w:rPr>
              <w:t>12.25%/0.00%</w:t>
            </w:r>
          </w:p>
        </w:tc>
        <w:tc>
          <w:tcPr>
            <w:tcW w:w="6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8"/>
                <w:szCs w:val="8"/>
                <w:color w:val="auto"/>
              </w:rPr>
              <w:t>12/31/2020</w:t>
            </w:r>
          </w:p>
        </w:tc>
        <w:tc>
          <w:tcPr>
            <w:tcW w:w="72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8"/>
                <w:szCs w:val="8"/>
                <w:color w:val="auto"/>
              </w:rPr>
              <w:t>12/31/2025</w:t>
            </w:r>
          </w:p>
        </w:tc>
        <w:tc>
          <w:tcPr>
            <w:tcW w:w="700" w:type="dxa"/>
            <w:vAlign w:val="bottom"/>
            <w:tcBorders>
              <w:bottom w:val="single" w:sz="8" w:color="DBEEF4"/>
            </w:tcBorders>
            <w:shd w:val="clear" w:color="auto" w:fill="DBEEF4"/>
          </w:tcPr>
          <w:p>
            <w:pPr>
              <w:jc w:val="right"/>
              <w:ind w:right="198"/>
              <w:spacing w:after="0"/>
              <w:rPr>
                <w:sz w:val="20"/>
                <w:szCs w:val="20"/>
                <w:color w:val="auto"/>
              </w:rPr>
            </w:pPr>
            <w:r>
              <w:rPr>
                <w:rFonts w:ascii="Arial" w:cs="Arial" w:eastAsia="Arial" w:hAnsi="Arial"/>
                <w:sz w:val="8"/>
                <w:szCs w:val="8"/>
                <w:color w:val="auto"/>
              </w:rPr>
              <w:t>2,162</w:t>
            </w:r>
          </w:p>
        </w:tc>
        <w:tc>
          <w:tcPr>
            <w:tcW w:w="120" w:type="dxa"/>
            <w:vAlign w:val="bottom"/>
            <w:tcBorders>
              <w:bottom w:val="single" w:sz="8" w:color="auto"/>
            </w:tcBorders>
            <w:shd w:val="clear" w:color="auto" w:fill="DBEEF4"/>
          </w:tcPr>
          <w:p>
            <w:pPr>
              <w:spacing w:after="0"/>
              <w:rPr>
                <w:sz w:val="13"/>
                <w:szCs w:val="13"/>
                <w:color w:val="auto"/>
              </w:rPr>
            </w:pPr>
          </w:p>
        </w:tc>
        <w:tc>
          <w:tcPr>
            <w:tcW w:w="44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2,146</w:t>
            </w:r>
          </w:p>
        </w:tc>
        <w:tc>
          <w:tcPr>
            <w:tcW w:w="200" w:type="dxa"/>
            <w:vAlign w:val="bottom"/>
            <w:tcBorders>
              <w:bottom w:val="single" w:sz="8" w:color="DBEEF4"/>
            </w:tcBorders>
            <w:shd w:val="clear" w:color="auto" w:fill="DBEEF4"/>
          </w:tcPr>
          <w:p>
            <w:pPr>
              <w:spacing w:after="0"/>
              <w:rPr>
                <w:sz w:val="13"/>
                <w:szCs w:val="13"/>
                <w:color w:val="auto"/>
              </w:rPr>
            </w:pPr>
          </w:p>
        </w:tc>
        <w:tc>
          <w:tcPr>
            <w:tcW w:w="5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2,146</w:t>
            </w:r>
          </w:p>
        </w:tc>
        <w:tc>
          <w:tcPr>
            <w:tcW w:w="720" w:type="dxa"/>
            <w:vAlign w:val="bottom"/>
            <w:tcBorders>
              <w:bottom w:val="single" w:sz="8" w:color="DBEEF4"/>
            </w:tcBorders>
            <w:shd w:val="clear" w:color="auto" w:fill="DBEEF4"/>
          </w:tcPr>
          <w:p>
            <w:pPr>
              <w:spacing w:after="0"/>
              <w:rPr>
                <w:sz w:val="13"/>
                <w:szCs w:val="13"/>
                <w:color w:val="auto"/>
              </w:rPr>
            </w:pPr>
          </w:p>
        </w:tc>
      </w:tr>
      <w:tr>
        <w:trPr>
          <w:trHeight w:val="106"/>
        </w:trPr>
        <w:tc>
          <w:tcPr>
            <w:tcW w:w="30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8,113</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8,113</w:t>
            </w:r>
          </w:p>
        </w:tc>
        <w:tc>
          <w:tcPr>
            <w:tcW w:w="720" w:type="dxa"/>
            <w:vAlign w:val="bottom"/>
          </w:tcPr>
          <w:p>
            <w:pPr>
              <w:jc w:val="right"/>
              <w:spacing w:after="0"/>
              <w:rPr>
                <w:sz w:val="20"/>
                <w:szCs w:val="20"/>
                <w:color w:val="auto"/>
              </w:rPr>
            </w:pPr>
            <w:r>
              <w:rPr>
                <w:rFonts w:ascii="Arial" w:cs="Arial" w:eastAsia="Arial" w:hAnsi="Arial"/>
                <w:sz w:val="8"/>
                <w:szCs w:val="8"/>
                <w:color w:val="auto"/>
              </w:rPr>
              <w:t>2 %</w:t>
            </w:r>
          </w:p>
        </w:tc>
      </w:tr>
      <w:tr>
        <w:trPr>
          <w:trHeight w:val="134"/>
        </w:trPr>
        <w:tc>
          <w:tcPr>
            <w:tcW w:w="3080" w:type="dxa"/>
            <w:vAlign w:val="bottom"/>
            <w:shd w:val="clear" w:color="auto" w:fill="DBEEF4"/>
          </w:tcPr>
          <w:p>
            <w:pPr>
              <w:ind w:left="20"/>
              <w:spacing w:after="0"/>
              <w:rPr>
                <w:sz w:val="20"/>
                <w:szCs w:val="20"/>
                <w:color w:val="auto"/>
              </w:rPr>
            </w:pPr>
            <w:r>
              <w:rPr>
                <w:rFonts w:ascii="Arial" w:cs="Arial" w:eastAsia="Arial" w:hAnsi="Arial"/>
                <w:sz w:val="8"/>
                <w:szCs w:val="8"/>
                <w:i w:val="1"/>
                <w:iCs w:val="1"/>
                <w:color w:val="auto"/>
              </w:rPr>
              <w:t>French Transit, LLC</w:t>
            </w:r>
          </w:p>
        </w:tc>
        <w:tc>
          <w:tcPr>
            <w:tcW w:w="3300" w:type="dxa"/>
            <w:vAlign w:val="bottom"/>
            <w:shd w:val="clear" w:color="auto" w:fill="DBEEF4"/>
          </w:tcPr>
          <w:p>
            <w:pPr>
              <w:ind w:left="640"/>
              <w:spacing w:after="0"/>
              <w:rPr>
                <w:sz w:val="20"/>
                <w:szCs w:val="20"/>
                <w:color w:val="auto"/>
              </w:rPr>
            </w:pPr>
            <w:r>
              <w:rPr>
                <w:rFonts w:ascii="Arial" w:cs="Arial" w:eastAsia="Arial" w:hAnsi="Arial"/>
                <w:sz w:val="8"/>
                <w:szCs w:val="8"/>
                <w:color w:val="auto"/>
              </w:rPr>
              <w:t>Consumer Products</w:t>
            </w: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44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50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r>
      <w:tr>
        <w:trPr>
          <w:trHeight w:val="120"/>
        </w:trPr>
        <w:tc>
          <w:tcPr>
            <w:tcW w:w="3080" w:type="dxa"/>
            <w:vAlign w:val="bottom"/>
          </w:tcPr>
          <w:p>
            <w:pPr>
              <w:ind w:left="100"/>
              <w:spacing w:after="0"/>
              <w:rPr>
                <w:sz w:val="20"/>
                <w:szCs w:val="20"/>
                <w:color w:val="auto"/>
              </w:rPr>
            </w:pPr>
            <w:r>
              <w:rPr>
                <w:rFonts w:ascii="Arial" w:cs="Arial" w:eastAsia="Arial" w:hAnsi="Arial"/>
                <w:sz w:val="8"/>
                <w:szCs w:val="8"/>
                <w:color w:val="auto"/>
              </w:rPr>
              <w:t>First Lien Debt (j)</w:t>
            </w:r>
          </w:p>
        </w:tc>
        <w:tc>
          <w:tcPr>
            <w:tcW w:w="3300" w:type="dxa"/>
            <w:vAlign w:val="bottom"/>
          </w:tcPr>
          <w:p>
            <w:pPr>
              <w:ind w:left="2300"/>
              <w:spacing w:after="0"/>
              <w:rPr>
                <w:sz w:val="20"/>
                <w:szCs w:val="20"/>
                <w:color w:val="auto"/>
              </w:rPr>
            </w:pPr>
            <w:r>
              <w:rPr>
                <w:rFonts w:ascii="Arial" w:cs="Arial" w:eastAsia="Arial" w:hAnsi="Arial"/>
                <w:sz w:val="8"/>
                <w:szCs w:val="8"/>
                <w:color w:val="auto"/>
              </w:rPr>
              <w:t>(L + 10.00%) / (2.25%)</w:t>
            </w:r>
          </w:p>
        </w:tc>
        <w:tc>
          <w:tcPr>
            <w:tcW w:w="820" w:type="dxa"/>
            <w:vAlign w:val="bottom"/>
          </w:tcPr>
          <w:p>
            <w:pPr>
              <w:ind w:left="180"/>
              <w:spacing w:after="0"/>
              <w:rPr>
                <w:sz w:val="20"/>
                <w:szCs w:val="20"/>
                <w:color w:val="auto"/>
              </w:rPr>
            </w:pPr>
            <w:r>
              <w:rPr>
                <w:rFonts w:ascii="Arial" w:cs="Arial" w:eastAsia="Arial" w:hAnsi="Arial"/>
                <w:sz w:val="8"/>
                <w:szCs w:val="8"/>
                <w:color w:val="auto"/>
              </w:rPr>
              <w:t>12.25%/0.00%</w:t>
            </w:r>
          </w:p>
        </w:tc>
        <w:tc>
          <w:tcPr>
            <w:tcW w:w="640" w:type="dxa"/>
            <w:vAlign w:val="bottom"/>
          </w:tcPr>
          <w:p>
            <w:pPr>
              <w:ind w:left="120"/>
              <w:spacing w:after="0"/>
              <w:rPr>
                <w:sz w:val="20"/>
                <w:szCs w:val="20"/>
                <w:color w:val="auto"/>
              </w:rPr>
            </w:pPr>
            <w:r>
              <w:rPr>
                <w:rFonts w:ascii="Arial" w:cs="Arial" w:eastAsia="Arial" w:hAnsi="Arial"/>
                <w:sz w:val="8"/>
                <w:szCs w:val="8"/>
                <w:color w:val="auto"/>
              </w:rPr>
              <w:t>6/21/2019</w:t>
            </w:r>
          </w:p>
        </w:tc>
        <w:tc>
          <w:tcPr>
            <w:tcW w:w="720" w:type="dxa"/>
            <w:vAlign w:val="bottom"/>
          </w:tcPr>
          <w:p>
            <w:pPr>
              <w:ind w:left="120"/>
              <w:spacing w:after="0"/>
              <w:rPr>
                <w:sz w:val="20"/>
                <w:szCs w:val="20"/>
                <w:color w:val="auto"/>
              </w:rPr>
            </w:pPr>
            <w:r>
              <w:rPr>
                <w:rFonts w:ascii="Arial" w:cs="Arial" w:eastAsia="Arial" w:hAnsi="Arial"/>
                <w:sz w:val="8"/>
                <w:szCs w:val="8"/>
                <w:color w:val="auto"/>
              </w:rPr>
              <w:t>6/21/2024</w:t>
            </w:r>
          </w:p>
        </w:tc>
        <w:tc>
          <w:tcPr>
            <w:tcW w:w="700" w:type="dxa"/>
            <w:vAlign w:val="bottom"/>
          </w:tcPr>
          <w:p>
            <w:pPr>
              <w:jc w:val="right"/>
              <w:ind w:right="198"/>
              <w:spacing w:after="0"/>
              <w:rPr>
                <w:sz w:val="20"/>
                <w:szCs w:val="20"/>
                <w:color w:val="auto"/>
              </w:rPr>
            </w:pPr>
            <w:r>
              <w:rPr>
                <w:rFonts w:ascii="Arial" w:cs="Arial" w:eastAsia="Arial" w:hAnsi="Arial"/>
                <w:sz w:val="8"/>
                <w:szCs w:val="8"/>
                <w:color w:val="auto"/>
              </w:rPr>
              <w:t>4,116</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4,088</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4,116</w:t>
            </w:r>
          </w:p>
        </w:tc>
        <w:tc>
          <w:tcPr>
            <w:tcW w:w="720" w:type="dxa"/>
            <w:vAlign w:val="bottom"/>
          </w:tcPr>
          <w:p>
            <w:pPr>
              <w:jc w:val="right"/>
              <w:spacing w:after="0"/>
              <w:rPr>
                <w:sz w:val="20"/>
                <w:szCs w:val="20"/>
                <w:color w:val="auto"/>
              </w:rPr>
            </w:pPr>
            <w:r>
              <w:rPr>
                <w:rFonts w:ascii="Arial" w:cs="Arial" w:eastAsia="Arial" w:hAnsi="Arial"/>
                <w:sz w:val="8"/>
                <w:szCs w:val="8"/>
                <w:color w:val="auto"/>
              </w:rPr>
              <w:t>1 %</w:t>
            </w:r>
          </w:p>
        </w:tc>
      </w:tr>
      <w:tr>
        <w:trPr>
          <w:trHeight w:val="134"/>
        </w:trPr>
        <w:tc>
          <w:tcPr>
            <w:tcW w:w="3080" w:type="dxa"/>
            <w:vAlign w:val="bottom"/>
            <w:shd w:val="clear" w:color="auto" w:fill="DBEEF4"/>
          </w:tcPr>
          <w:p>
            <w:pPr>
              <w:spacing w:after="0"/>
              <w:rPr>
                <w:sz w:val="11"/>
                <w:szCs w:val="11"/>
                <w:color w:val="auto"/>
              </w:rPr>
            </w:pPr>
          </w:p>
        </w:tc>
        <w:tc>
          <w:tcPr>
            <w:tcW w:w="3300" w:type="dxa"/>
            <w:vAlign w:val="bottom"/>
            <w:shd w:val="clear" w:color="auto" w:fill="DBEEF4"/>
          </w:tcPr>
          <w:p>
            <w:pPr>
              <w:spacing w:after="0"/>
              <w:rPr>
                <w:sz w:val="11"/>
                <w:szCs w:val="11"/>
                <w:color w:val="auto"/>
              </w:rPr>
            </w:pP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44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50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r>
      <w:tr>
        <w:trPr>
          <w:trHeight w:val="120"/>
        </w:trPr>
        <w:tc>
          <w:tcPr>
            <w:tcW w:w="3080" w:type="dxa"/>
            <w:vAlign w:val="bottom"/>
          </w:tcPr>
          <w:p>
            <w:pPr>
              <w:ind w:left="20"/>
              <w:spacing w:after="0"/>
              <w:rPr>
                <w:sz w:val="20"/>
                <w:szCs w:val="20"/>
                <w:color w:val="auto"/>
              </w:rPr>
            </w:pPr>
            <w:r>
              <w:rPr>
                <w:rFonts w:ascii="Arial" w:cs="Arial" w:eastAsia="Arial" w:hAnsi="Arial"/>
                <w:sz w:val="8"/>
                <w:szCs w:val="8"/>
                <w:i w:val="1"/>
                <w:iCs w:val="1"/>
                <w:color w:val="auto"/>
              </w:rPr>
              <w:t>Global Plasma Solutions, Inc.</w:t>
            </w:r>
          </w:p>
        </w:tc>
        <w:tc>
          <w:tcPr>
            <w:tcW w:w="3300" w:type="dxa"/>
            <w:vAlign w:val="bottom"/>
          </w:tcPr>
          <w:p>
            <w:pPr>
              <w:ind w:left="640"/>
              <w:spacing w:after="0"/>
              <w:rPr>
                <w:sz w:val="20"/>
                <w:szCs w:val="20"/>
                <w:color w:val="auto"/>
              </w:rPr>
            </w:pPr>
            <w:r>
              <w:rPr>
                <w:rFonts w:ascii="Arial" w:cs="Arial" w:eastAsia="Arial" w:hAnsi="Arial"/>
                <w:sz w:val="8"/>
                <w:szCs w:val="8"/>
                <w:color w:val="auto"/>
              </w:rPr>
              <w:t>Component Manufacturing</w:t>
            </w: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34"/>
        </w:trPr>
        <w:tc>
          <w:tcPr>
            <w:tcW w:w="3080" w:type="dxa"/>
            <w:vAlign w:val="bottom"/>
            <w:shd w:val="clear" w:color="auto" w:fill="DBEEF4"/>
          </w:tcPr>
          <w:p>
            <w:pPr>
              <w:ind w:left="100"/>
              <w:spacing w:after="0"/>
              <w:rPr>
                <w:sz w:val="20"/>
                <w:szCs w:val="20"/>
                <w:color w:val="auto"/>
              </w:rPr>
            </w:pPr>
            <w:r>
              <w:rPr>
                <w:rFonts w:ascii="Arial" w:cs="Arial" w:eastAsia="Arial" w:hAnsi="Arial"/>
                <w:sz w:val="8"/>
                <w:szCs w:val="8"/>
                <w:color w:val="auto"/>
              </w:rPr>
              <w:t>Common Equity (947 shares) (j)</w:t>
            </w:r>
          </w:p>
        </w:tc>
        <w:tc>
          <w:tcPr>
            <w:tcW w:w="3300" w:type="dxa"/>
            <w:vAlign w:val="bottom"/>
            <w:shd w:val="clear" w:color="auto" w:fill="DBEEF4"/>
          </w:tcPr>
          <w:p>
            <w:pPr>
              <w:spacing w:after="0"/>
              <w:rPr>
                <w:sz w:val="11"/>
                <w:szCs w:val="11"/>
                <w:color w:val="auto"/>
              </w:rPr>
            </w:pP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ind w:left="120"/>
              <w:spacing w:after="0"/>
              <w:rPr>
                <w:sz w:val="20"/>
                <w:szCs w:val="20"/>
                <w:color w:val="auto"/>
              </w:rPr>
            </w:pPr>
            <w:r>
              <w:rPr>
                <w:rFonts w:ascii="Arial" w:cs="Arial" w:eastAsia="Arial" w:hAnsi="Arial"/>
                <w:sz w:val="8"/>
                <w:szCs w:val="8"/>
                <w:color w:val="auto"/>
              </w:rPr>
              <w:t>9/21/2018</w:t>
            </w: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w:t>
            </w:r>
          </w:p>
        </w:tc>
        <w:tc>
          <w:tcPr>
            <w:tcW w:w="700" w:type="dxa"/>
            <w:vAlign w:val="bottom"/>
            <w:gridSpan w:val="2"/>
            <w:shd w:val="clear" w:color="auto" w:fill="DBEEF4"/>
          </w:tcPr>
          <w:p>
            <w:pPr>
              <w:jc w:val="right"/>
              <w:spacing w:after="0"/>
              <w:rPr>
                <w:sz w:val="20"/>
                <w:szCs w:val="20"/>
                <w:color w:val="auto"/>
              </w:rPr>
            </w:pPr>
            <w:r>
              <w:rPr>
                <w:rFonts w:ascii="Arial" w:cs="Arial" w:eastAsia="Arial" w:hAnsi="Arial"/>
                <w:sz w:val="8"/>
                <w:szCs w:val="8"/>
                <w:color w:val="auto"/>
              </w:rPr>
              <w:t>9,995</w:t>
            </w:r>
          </w:p>
        </w:tc>
        <w:tc>
          <w:tcPr>
            <w:tcW w:w="720" w:type="dxa"/>
            <w:vAlign w:val="bottom"/>
            <w:shd w:val="clear" w:color="auto" w:fill="DBEEF4"/>
          </w:tcPr>
          <w:p>
            <w:pPr>
              <w:jc w:val="right"/>
              <w:spacing w:after="0"/>
              <w:rPr>
                <w:sz w:val="20"/>
                <w:szCs w:val="20"/>
                <w:color w:val="auto"/>
              </w:rPr>
            </w:pPr>
            <w:r>
              <w:rPr>
                <w:rFonts w:ascii="Arial" w:cs="Arial" w:eastAsia="Arial" w:hAnsi="Arial"/>
                <w:sz w:val="8"/>
                <w:szCs w:val="8"/>
                <w:color w:val="auto"/>
              </w:rPr>
              <w:t>2 %</w:t>
            </w:r>
          </w:p>
        </w:tc>
      </w:tr>
      <w:tr>
        <w:trPr>
          <w:trHeight w:val="127"/>
        </w:trPr>
        <w:tc>
          <w:tcPr>
            <w:tcW w:w="308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7"/>
        </w:trPr>
        <w:tc>
          <w:tcPr>
            <w:tcW w:w="3080" w:type="dxa"/>
            <w:vAlign w:val="bottom"/>
            <w:shd w:val="clear" w:color="auto" w:fill="DBEEF4"/>
          </w:tcPr>
          <w:p>
            <w:pPr>
              <w:ind w:left="20"/>
              <w:spacing w:after="0"/>
              <w:rPr>
                <w:sz w:val="20"/>
                <w:szCs w:val="20"/>
                <w:color w:val="auto"/>
              </w:rPr>
            </w:pPr>
            <w:r>
              <w:rPr>
                <w:rFonts w:ascii="Arial" w:cs="Arial" w:eastAsia="Arial" w:hAnsi="Arial"/>
                <w:sz w:val="8"/>
                <w:szCs w:val="8"/>
                <w:i w:val="1"/>
                <w:iCs w:val="1"/>
                <w:color w:val="auto"/>
              </w:rPr>
              <w:t>Gurobi Optimization, LLC</w:t>
            </w:r>
          </w:p>
        </w:tc>
        <w:tc>
          <w:tcPr>
            <w:tcW w:w="3300" w:type="dxa"/>
            <w:vAlign w:val="bottom"/>
            <w:shd w:val="clear" w:color="auto" w:fill="DBEEF4"/>
          </w:tcPr>
          <w:p>
            <w:pPr>
              <w:ind w:left="640"/>
              <w:spacing w:after="0"/>
              <w:rPr>
                <w:sz w:val="20"/>
                <w:szCs w:val="20"/>
                <w:color w:val="auto"/>
              </w:rPr>
            </w:pPr>
            <w:r>
              <w:rPr>
                <w:rFonts w:ascii="Arial" w:cs="Arial" w:eastAsia="Arial" w:hAnsi="Arial"/>
                <w:sz w:val="8"/>
                <w:szCs w:val="8"/>
                <w:color w:val="auto"/>
              </w:rPr>
              <w:t>Information Technology Services</w:t>
            </w: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44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50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r>
      <w:tr>
        <w:trPr>
          <w:trHeight w:val="120"/>
        </w:trPr>
        <w:tc>
          <w:tcPr>
            <w:tcW w:w="3080" w:type="dxa"/>
            <w:vAlign w:val="bottom"/>
          </w:tcPr>
          <w:p>
            <w:pPr>
              <w:ind w:left="100"/>
              <w:spacing w:after="0"/>
              <w:rPr>
                <w:sz w:val="20"/>
                <w:szCs w:val="20"/>
                <w:color w:val="auto"/>
              </w:rPr>
            </w:pPr>
            <w:r>
              <w:rPr>
                <w:rFonts w:ascii="Arial" w:cs="Arial" w:eastAsia="Arial" w:hAnsi="Arial"/>
                <w:sz w:val="8"/>
                <w:szCs w:val="8"/>
                <w:color w:val="auto"/>
              </w:rPr>
              <w:t>Common Equity (3 shares)</w:t>
            </w:r>
          </w:p>
        </w:tc>
        <w:tc>
          <w:tcPr>
            <w:tcW w:w="3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8"/>
                <w:szCs w:val="8"/>
                <w:color w:val="auto"/>
              </w:rPr>
              <w:t>12/19/2017</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592</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1,660</w:t>
            </w:r>
          </w:p>
        </w:tc>
        <w:tc>
          <w:tcPr>
            <w:tcW w:w="720" w:type="dxa"/>
            <w:vAlign w:val="bottom"/>
          </w:tcPr>
          <w:p>
            <w:pPr>
              <w:jc w:val="right"/>
              <w:spacing w:after="0"/>
              <w:rPr>
                <w:sz w:val="20"/>
                <w:szCs w:val="20"/>
                <w:color w:val="auto"/>
              </w:rPr>
            </w:pPr>
            <w:r>
              <w:rPr>
                <w:rFonts w:ascii="Arial" w:cs="Arial" w:eastAsia="Arial" w:hAnsi="Arial"/>
                <w:sz w:val="8"/>
                <w:szCs w:val="8"/>
                <w:color w:val="auto"/>
              </w:rPr>
              <w:t>0 %</w:t>
            </w:r>
          </w:p>
        </w:tc>
      </w:tr>
      <w:tr>
        <w:trPr>
          <w:trHeight w:val="134"/>
        </w:trPr>
        <w:tc>
          <w:tcPr>
            <w:tcW w:w="3080" w:type="dxa"/>
            <w:vAlign w:val="bottom"/>
            <w:shd w:val="clear" w:color="auto" w:fill="DBEEF4"/>
          </w:tcPr>
          <w:p>
            <w:pPr>
              <w:spacing w:after="0"/>
              <w:rPr>
                <w:sz w:val="11"/>
                <w:szCs w:val="11"/>
                <w:color w:val="auto"/>
              </w:rPr>
            </w:pPr>
          </w:p>
        </w:tc>
        <w:tc>
          <w:tcPr>
            <w:tcW w:w="3300" w:type="dxa"/>
            <w:vAlign w:val="bottom"/>
            <w:shd w:val="clear" w:color="auto" w:fill="DBEEF4"/>
          </w:tcPr>
          <w:p>
            <w:pPr>
              <w:spacing w:after="0"/>
              <w:rPr>
                <w:sz w:val="11"/>
                <w:szCs w:val="11"/>
                <w:color w:val="auto"/>
              </w:rPr>
            </w:pP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44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50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r>
      <w:tr>
        <w:trPr>
          <w:trHeight w:val="120"/>
        </w:trPr>
        <w:tc>
          <w:tcPr>
            <w:tcW w:w="3080" w:type="dxa"/>
            <w:vAlign w:val="bottom"/>
          </w:tcPr>
          <w:p>
            <w:pPr>
              <w:ind w:left="20"/>
              <w:spacing w:after="0"/>
              <w:rPr>
                <w:sz w:val="20"/>
                <w:szCs w:val="20"/>
                <w:color w:val="auto"/>
              </w:rPr>
            </w:pPr>
            <w:r>
              <w:rPr>
                <w:rFonts w:ascii="Arial" w:cs="Arial" w:eastAsia="Arial" w:hAnsi="Arial"/>
                <w:sz w:val="8"/>
                <w:szCs w:val="8"/>
                <w:i w:val="1"/>
                <w:iCs w:val="1"/>
                <w:color w:val="auto"/>
              </w:rPr>
              <w:t>Haematologic Technologies, Inc.</w:t>
            </w:r>
          </w:p>
        </w:tc>
        <w:tc>
          <w:tcPr>
            <w:tcW w:w="3300" w:type="dxa"/>
            <w:vAlign w:val="bottom"/>
          </w:tcPr>
          <w:p>
            <w:pPr>
              <w:ind w:left="640"/>
              <w:spacing w:after="0"/>
              <w:rPr>
                <w:sz w:val="20"/>
                <w:szCs w:val="20"/>
                <w:color w:val="auto"/>
              </w:rPr>
            </w:pPr>
            <w:r>
              <w:rPr>
                <w:rFonts w:ascii="Arial" w:cs="Arial" w:eastAsia="Arial" w:hAnsi="Arial"/>
                <w:sz w:val="8"/>
                <w:szCs w:val="8"/>
                <w:color w:val="auto"/>
              </w:rPr>
              <w:t>Healthcare Services</w:t>
            </w: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34"/>
        </w:trPr>
        <w:tc>
          <w:tcPr>
            <w:tcW w:w="3080" w:type="dxa"/>
            <w:vAlign w:val="bottom"/>
            <w:shd w:val="clear" w:color="auto" w:fill="DBEEF4"/>
          </w:tcPr>
          <w:p>
            <w:pPr>
              <w:ind w:left="100"/>
              <w:spacing w:after="0"/>
              <w:rPr>
                <w:sz w:val="20"/>
                <w:szCs w:val="20"/>
                <w:color w:val="auto"/>
              </w:rPr>
            </w:pPr>
            <w:r>
              <w:rPr>
                <w:rFonts w:ascii="Arial" w:cs="Arial" w:eastAsia="Arial" w:hAnsi="Arial"/>
                <w:sz w:val="8"/>
                <w:szCs w:val="8"/>
                <w:color w:val="auto"/>
              </w:rPr>
              <w:t>First Lien Debt (x)</w:t>
            </w:r>
          </w:p>
        </w:tc>
        <w:tc>
          <w:tcPr>
            <w:tcW w:w="3300" w:type="dxa"/>
            <w:vAlign w:val="bottom"/>
            <w:shd w:val="clear" w:color="auto" w:fill="DBEEF4"/>
          </w:tcPr>
          <w:p>
            <w:pPr>
              <w:ind w:left="2300"/>
              <w:spacing w:after="0"/>
              <w:rPr>
                <w:sz w:val="20"/>
                <w:szCs w:val="20"/>
                <w:color w:val="auto"/>
              </w:rPr>
            </w:pPr>
            <w:r>
              <w:rPr>
                <w:rFonts w:ascii="Arial" w:cs="Arial" w:eastAsia="Arial" w:hAnsi="Arial"/>
                <w:sz w:val="8"/>
                <w:szCs w:val="8"/>
                <w:color w:val="auto"/>
              </w:rPr>
              <w:t>(L + 8.25%) / (2.00%)</w:t>
            </w:r>
          </w:p>
        </w:tc>
        <w:tc>
          <w:tcPr>
            <w:tcW w:w="820" w:type="dxa"/>
            <w:vAlign w:val="bottom"/>
            <w:shd w:val="clear" w:color="auto" w:fill="DBEEF4"/>
          </w:tcPr>
          <w:p>
            <w:pPr>
              <w:ind w:left="180"/>
              <w:spacing w:after="0"/>
              <w:rPr>
                <w:sz w:val="20"/>
                <w:szCs w:val="20"/>
                <w:color w:val="auto"/>
              </w:rPr>
            </w:pPr>
            <w:r>
              <w:rPr>
                <w:rFonts w:ascii="Arial" w:cs="Arial" w:eastAsia="Arial" w:hAnsi="Arial"/>
                <w:sz w:val="8"/>
                <w:szCs w:val="8"/>
                <w:color w:val="auto"/>
              </w:rPr>
              <w:t>10.25%/0.00%</w:t>
            </w:r>
          </w:p>
        </w:tc>
        <w:tc>
          <w:tcPr>
            <w:tcW w:w="640" w:type="dxa"/>
            <w:vAlign w:val="bottom"/>
            <w:shd w:val="clear" w:color="auto" w:fill="DBEEF4"/>
          </w:tcPr>
          <w:p>
            <w:pPr>
              <w:ind w:left="120"/>
              <w:spacing w:after="0"/>
              <w:rPr>
                <w:sz w:val="20"/>
                <w:szCs w:val="20"/>
                <w:color w:val="auto"/>
              </w:rPr>
            </w:pPr>
            <w:r>
              <w:rPr>
                <w:rFonts w:ascii="Arial" w:cs="Arial" w:eastAsia="Arial" w:hAnsi="Arial"/>
                <w:sz w:val="8"/>
                <w:szCs w:val="8"/>
                <w:color w:val="auto"/>
              </w:rPr>
              <w:t>10/11/2019</w:t>
            </w:r>
          </w:p>
        </w:tc>
        <w:tc>
          <w:tcPr>
            <w:tcW w:w="720" w:type="dxa"/>
            <w:vAlign w:val="bottom"/>
            <w:shd w:val="clear" w:color="auto" w:fill="DBEEF4"/>
          </w:tcPr>
          <w:p>
            <w:pPr>
              <w:ind w:left="120"/>
              <w:spacing w:after="0"/>
              <w:rPr>
                <w:sz w:val="20"/>
                <w:szCs w:val="20"/>
                <w:color w:val="auto"/>
              </w:rPr>
            </w:pPr>
            <w:r>
              <w:rPr>
                <w:rFonts w:ascii="Arial" w:cs="Arial" w:eastAsia="Arial" w:hAnsi="Arial"/>
                <w:sz w:val="8"/>
                <w:szCs w:val="8"/>
                <w:color w:val="auto"/>
              </w:rPr>
              <w:t>10/11/2024</w:t>
            </w:r>
          </w:p>
        </w:tc>
        <w:tc>
          <w:tcPr>
            <w:tcW w:w="700" w:type="dxa"/>
            <w:vAlign w:val="bottom"/>
            <w:shd w:val="clear" w:color="auto" w:fill="DBEEF4"/>
          </w:tcPr>
          <w:p>
            <w:pPr>
              <w:jc w:val="right"/>
              <w:ind w:right="198"/>
              <w:spacing w:after="0"/>
              <w:rPr>
                <w:sz w:val="20"/>
                <w:szCs w:val="20"/>
                <w:color w:val="auto"/>
              </w:rPr>
            </w:pPr>
            <w:r>
              <w:rPr>
                <w:rFonts w:ascii="Arial" w:cs="Arial" w:eastAsia="Arial" w:hAnsi="Arial"/>
                <w:sz w:val="8"/>
                <w:szCs w:val="8"/>
                <w:color w:val="auto"/>
              </w:rPr>
              <w:t>5,500</w:t>
            </w:r>
          </w:p>
        </w:tc>
        <w:tc>
          <w:tcPr>
            <w:tcW w:w="120" w:type="dxa"/>
            <w:vAlign w:val="bottom"/>
            <w:shd w:val="clear" w:color="auto" w:fill="DBEEF4"/>
          </w:tcPr>
          <w:p>
            <w:pPr>
              <w:spacing w:after="0"/>
              <w:rPr>
                <w:sz w:val="11"/>
                <w:szCs w:val="11"/>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5,469</w:t>
            </w:r>
          </w:p>
        </w:tc>
        <w:tc>
          <w:tcPr>
            <w:tcW w:w="700" w:type="dxa"/>
            <w:vAlign w:val="bottom"/>
            <w:gridSpan w:val="2"/>
            <w:shd w:val="clear" w:color="auto" w:fill="DBEEF4"/>
          </w:tcPr>
          <w:p>
            <w:pPr>
              <w:jc w:val="right"/>
              <w:spacing w:after="0"/>
              <w:rPr>
                <w:sz w:val="20"/>
                <w:szCs w:val="20"/>
                <w:color w:val="auto"/>
              </w:rPr>
            </w:pPr>
            <w:r>
              <w:rPr>
                <w:rFonts w:ascii="Arial" w:cs="Arial" w:eastAsia="Arial" w:hAnsi="Arial"/>
                <w:sz w:val="8"/>
                <w:szCs w:val="8"/>
                <w:color w:val="auto"/>
              </w:rPr>
              <w:t>5,500</w:t>
            </w:r>
          </w:p>
        </w:tc>
        <w:tc>
          <w:tcPr>
            <w:tcW w:w="720" w:type="dxa"/>
            <w:vAlign w:val="bottom"/>
            <w:shd w:val="clear" w:color="auto" w:fill="DBEEF4"/>
          </w:tcPr>
          <w:p>
            <w:pPr>
              <w:spacing w:after="0"/>
              <w:rPr>
                <w:sz w:val="11"/>
                <w:szCs w:val="11"/>
                <w:color w:val="auto"/>
              </w:rPr>
            </w:pPr>
          </w:p>
        </w:tc>
      </w:tr>
      <w:tr>
        <w:trPr>
          <w:trHeight w:val="126"/>
        </w:trPr>
        <w:tc>
          <w:tcPr>
            <w:tcW w:w="3080" w:type="dxa"/>
            <w:vAlign w:val="bottom"/>
          </w:tcPr>
          <w:p>
            <w:pPr>
              <w:ind w:left="100"/>
              <w:spacing w:after="0"/>
              <w:rPr>
                <w:sz w:val="20"/>
                <w:szCs w:val="20"/>
                <w:color w:val="auto"/>
              </w:rPr>
            </w:pPr>
            <w:r>
              <w:rPr>
                <w:rFonts w:ascii="Arial" w:cs="Arial" w:eastAsia="Arial" w:hAnsi="Arial"/>
                <w:sz w:val="8"/>
                <w:szCs w:val="8"/>
                <w:color w:val="auto"/>
              </w:rPr>
              <w:t>Common Equity (549 units) (h)(j)</w:t>
            </w:r>
          </w:p>
        </w:tc>
        <w:tc>
          <w:tcPr>
            <w:tcW w:w="3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8"/>
                <w:szCs w:val="8"/>
                <w:color w:val="auto"/>
              </w:rPr>
              <w:t>10/11/2019</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549</w:t>
            </w:r>
          </w:p>
        </w:tc>
        <w:tc>
          <w:tcPr>
            <w:tcW w:w="200" w:type="dxa"/>
            <w:vAlign w:val="bottom"/>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255</w:t>
            </w:r>
          </w:p>
        </w:tc>
        <w:tc>
          <w:tcPr>
            <w:tcW w:w="720" w:type="dxa"/>
            <w:vAlign w:val="bottom"/>
          </w:tcPr>
          <w:p>
            <w:pPr>
              <w:spacing w:after="0"/>
              <w:rPr>
                <w:sz w:val="10"/>
                <w:szCs w:val="10"/>
                <w:color w:val="auto"/>
              </w:rPr>
            </w:pPr>
          </w:p>
        </w:tc>
      </w:tr>
      <w:tr>
        <w:trPr>
          <w:trHeight w:val="120"/>
        </w:trPr>
        <w:tc>
          <w:tcPr>
            <w:tcW w:w="3080" w:type="dxa"/>
            <w:vAlign w:val="bottom"/>
            <w:shd w:val="clear" w:color="auto" w:fill="DBEEF4"/>
          </w:tcPr>
          <w:p>
            <w:pPr>
              <w:spacing w:after="0"/>
              <w:rPr>
                <w:sz w:val="10"/>
                <w:szCs w:val="10"/>
                <w:color w:val="auto"/>
              </w:rPr>
            </w:pPr>
          </w:p>
        </w:tc>
        <w:tc>
          <w:tcPr>
            <w:tcW w:w="3300" w:type="dxa"/>
            <w:vAlign w:val="bottom"/>
            <w:shd w:val="clear" w:color="auto" w:fill="DBEEF4"/>
          </w:tcPr>
          <w:p>
            <w:pPr>
              <w:spacing w:after="0"/>
              <w:rPr>
                <w:sz w:val="10"/>
                <w:szCs w:val="10"/>
                <w:color w:val="auto"/>
              </w:rPr>
            </w:pPr>
          </w:p>
        </w:tc>
        <w:tc>
          <w:tcPr>
            <w:tcW w:w="820" w:type="dxa"/>
            <w:vAlign w:val="bottom"/>
            <w:shd w:val="clear" w:color="auto" w:fill="DBEEF4"/>
          </w:tcPr>
          <w:p>
            <w:pPr>
              <w:spacing w:after="0"/>
              <w:rPr>
                <w:sz w:val="10"/>
                <w:szCs w:val="10"/>
                <w:color w:val="auto"/>
              </w:rPr>
            </w:pPr>
          </w:p>
        </w:tc>
        <w:tc>
          <w:tcPr>
            <w:tcW w:w="640" w:type="dxa"/>
            <w:vAlign w:val="bottom"/>
            <w:shd w:val="clear" w:color="auto" w:fill="DBEEF4"/>
          </w:tcPr>
          <w:p>
            <w:pPr>
              <w:spacing w:after="0"/>
              <w:rPr>
                <w:sz w:val="10"/>
                <w:szCs w:val="10"/>
                <w:color w:val="auto"/>
              </w:rPr>
            </w:pPr>
          </w:p>
        </w:tc>
        <w:tc>
          <w:tcPr>
            <w:tcW w:w="720" w:type="dxa"/>
            <w:vAlign w:val="bottom"/>
            <w:shd w:val="clear" w:color="auto" w:fill="DBEEF4"/>
          </w:tcPr>
          <w:p>
            <w:pPr>
              <w:spacing w:after="0"/>
              <w:rPr>
                <w:sz w:val="10"/>
                <w:szCs w:val="10"/>
                <w:color w:val="auto"/>
              </w:rPr>
            </w:pPr>
          </w:p>
        </w:tc>
        <w:tc>
          <w:tcPr>
            <w:tcW w:w="700" w:type="dxa"/>
            <w:vAlign w:val="bottom"/>
            <w:shd w:val="clear" w:color="auto" w:fill="DBEEF4"/>
          </w:tcPr>
          <w:p>
            <w:pPr>
              <w:spacing w:after="0"/>
              <w:rPr>
                <w:sz w:val="10"/>
                <w:szCs w:val="10"/>
                <w:color w:val="auto"/>
              </w:rPr>
            </w:pPr>
          </w:p>
        </w:tc>
        <w:tc>
          <w:tcPr>
            <w:tcW w:w="120" w:type="dxa"/>
            <w:vAlign w:val="bottom"/>
            <w:shd w:val="clear" w:color="auto" w:fill="DBEEF4"/>
          </w:tcPr>
          <w:p>
            <w:pPr>
              <w:spacing w:after="0"/>
              <w:rPr>
                <w:sz w:val="10"/>
                <w:szCs w:val="10"/>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6,018</w:t>
            </w:r>
          </w:p>
        </w:tc>
        <w:tc>
          <w:tcPr>
            <w:tcW w:w="700" w:type="dxa"/>
            <w:vAlign w:val="bottom"/>
            <w:gridSpan w:val="2"/>
            <w:shd w:val="clear" w:color="auto" w:fill="DBEEF4"/>
          </w:tcPr>
          <w:p>
            <w:pPr>
              <w:jc w:val="right"/>
              <w:spacing w:after="0"/>
              <w:rPr>
                <w:sz w:val="20"/>
                <w:szCs w:val="20"/>
                <w:color w:val="auto"/>
              </w:rPr>
            </w:pPr>
            <w:r>
              <w:rPr>
                <w:rFonts w:ascii="Arial" w:cs="Arial" w:eastAsia="Arial" w:hAnsi="Arial"/>
                <w:sz w:val="8"/>
                <w:szCs w:val="8"/>
                <w:color w:val="auto"/>
              </w:rPr>
              <w:t>5,755</w:t>
            </w:r>
          </w:p>
        </w:tc>
        <w:tc>
          <w:tcPr>
            <w:tcW w:w="720" w:type="dxa"/>
            <w:vAlign w:val="bottom"/>
            <w:shd w:val="clear" w:color="auto" w:fill="DBEEF4"/>
          </w:tcPr>
          <w:p>
            <w:pPr>
              <w:jc w:val="right"/>
              <w:spacing w:after="0"/>
              <w:rPr>
                <w:sz w:val="20"/>
                <w:szCs w:val="20"/>
                <w:color w:val="auto"/>
              </w:rPr>
            </w:pPr>
            <w:r>
              <w:rPr>
                <w:rFonts w:ascii="Arial" w:cs="Arial" w:eastAsia="Arial" w:hAnsi="Arial"/>
                <w:sz w:val="8"/>
                <w:szCs w:val="8"/>
                <w:color w:val="auto"/>
              </w:rPr>
              <w:t>1 %</w:t>
            </w:r>
          </w:p>
        </w:tc>
      </w:tr>
      <w:tr>
        <w:trPr>
          <w:trHeight w:val="120"/>
        </w:trPr>
        <w:tc>
          <w:tcPr>
            <w:tcW w:w="3080" w:type="dxa"/>
            <w:vAlign w:val="bottom"/>
          </w:tcPr>
          <w:p>
            <w:pPr>
              <w:ind w:left="20"/>
              <w:spacing w:after="0"/>
              <w:rPr>
                <w:sz w:val="20"/>
                <w:szCs w:val="20"/>
                <w:color w:val="auto"/>
              </w:rPr>
            </w:pPr>
            <w:r>
              <w:rPr>
                <w:rFonts w:ascii="Arial" w:cs="Arial" w:eastAsia="Arial" w:hAnsi="Arial"/>
                <w:sz w:val="8"/>
                <w:szCs w:val="8"/>
                <w:i w:val="1"/>
                <w:iCs w:val="1"/>
                <w:color w:val="auto"/>
              </w:rPr>
              <w:t>Hallmark Health Care Solutions, Inc.</w:t>
            </w:r>
          </w:p>
        </w:tc>
        <w:tc>
          <w:tcPr>
            <w:tcW w:w="3300" w:type="dxa"/>
            <w:vAlign w:val="bottom"/>
          </w:tcPr>
          <w:p>
            <w:pPr>
              <w:ind w:left="640"/>
              <w:spacing w:after="0"/>
              <w:rPr>
                <w:sz w:val="20"/>
                <w:szCs w:val="20"/>
                <w:color w:val="auto"/>
              </w:rPr>
            </w:pPr>
            <w:r>
              <w:rPr>
                <w:rFonts w:ascii="Arial" w:cs="Arial" w:eastAsia="Arial" w:hAnsi="Arial"/>
                <w:sz w:val="8"/>
                <w:szCs w:val="8"/>
                <w:color w:val="auto"/>
              </w:rPr>
              <w:t>Healthcare Services</w:t>
            </w: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34"/>
        </w:trPr>
        <w:tc>
          <w:tcPr>
            <w:tcW w:w="3080" w:type="dxa"/>
            <w:vAlign w:val="bottom"/>
            <w:shd w:val="clear" w:color="auto" w:fill="DBEEF4"/>
          </w:tcPr>
          <w:p>
            <w:pPr>
              <w:ind w:left="100"/>
              <w:spacing w:after="0"/>
              <w:rPr>
                <w:sz w:val="20"/>
                <w:szCs w:val="20"/>
                <w:color w:val="auto"/>
              </w:rPr>
            </w:pPr>
            <w:r>
              <w:rPr>
                <w:rFonts w:ascii="Arial" w:cs="Arial" w:eastAsia="Arial" w:hAnsi="Arial"/>
                <w:sz w:val="8"/>
                <w:szCs w:val="8"/>
                <w:color w:val="auto"/>
              </w:rPr>
              <w:t>First Lien Debt (j)(ae)</w:t>
            </w:r>
          </w:p>
        </w:tc>
        <w:tc>
          <w:tcPr>
            <w:tcW w:w="3300" w:type="dxa"/>
            <w:vAlign w:val="bottom"/>
            <w:shd w:val="clear" w:color="auto" w:fill="DBEEF4"/>
          </w:tcPr>
          <w:p>
            <w:pPr>
              <w:ind w:left="2300"/>
              <w:spacing w:after="0"/>
              <w:rPr>
                <w:sz w:val="20"/>
                <w:szCs w:val="20"/>
                <w:color w:val="auto"/>
              </w:rPr>
            </w:pPr>
            <w:r>
              <w:rPr>
                <w:rFonts w:ascii="Arial" w:cs="Arial" w:eastAsia="Arial" w:hAnsi="Arial"/>
                <w:sz w:val="8"/>
                <w:szCs w:val="8"/>
                <w:color w:val="auto"/>
              </w:rPr>
              <w:t>(L + 7.25%) / (1.50%)</w:t>
            </w:r>
          </w:p>
        </w:tc>
        <w:tc>
          <w:tcPr>
            <w:tcW w:w="820" w:type="dxa"/>
            <w:vAlign w:val="bottom"/>
            <w:shd w:val="clear" w:color="auto" w:fill="DBEEF4"/>
          </w:tcPr>
          <w:p>
            <w:pPr>
              <w:ind w:left="180"/>
              <w:spacing w:after="0"/>
              <w:rPr>
                <w:sz w:val="20"/>
                <w:szCs w:val="20"/>
                <w:color w:val="auto"/>
              </w:rPr>
            </w:pPr>
            <w:r>
              <w:rPr>
                <w:rFonts w:ascii="Arial" w:cs="Arial" w:eastAsia="Arial" w:hAnsi="Arial"/>
                <w:sz w:val="8"/>
                <w:szCs w:val="8"/>
                <w:color w:val="auto"/>
              </w:rPr>
              <w:t>8.75%/0.00%</w:t>
            </w:r>
          </w:p>
        </w:tc>
        <w:tc>
          <w:tcPr>
            <w:tcW w:w="640" w:type="dxa"/>
            <w:vAlign w:val="bottom"/>
            <w:shd w:val="clear" w:color="auto" w:fill="DBEEF4"/>
          </w:tcPr>
          <w:p>
            <w:pPr>
              <w:ind w:left="120"/>
              <w:spacing w:after="0"/>
              <w:rPr>
                <w:sz w:val="20"/>
                <w:szCs w:val="20"/>
                <w:color w:val="auto"/>
              </w:rPr>
            </w:pPr>
            <w:r>
              <w:rPr>
                <w:rFonts w:ascii="Arial" w:cs="Arial" w:eastAsia="Arial" w:hAnsi="Arial"/>
                <w:sz w:val="8"/>
                <w:szCs w:val="8"/>
                <w:color w:val="auto"/>
              </w:rPr>
              <w:t>12/4/2020</w:t>
            </w:r>
          </w:p>
        </w:tc>
        <w:tc>
          <w:tcPr>
            <w:tcW w:w="720" w:type="dxa"/>
            <w:vAlign w:val="bottom"/>
            <w:shd w:val="clear" w:color="auto" w:fill="DBEEF4"/>
          </w:tcPr>
          <w:p>
            <w:pPr>
              <w:ind w:left="120"/>
              <w:spacing w:after="0"/>
              <w:rPr>
                <w:sz w:val="20"/>
                <w:szCs w:val="20"/>
                <w:color w:val="auto"/>
              </w:rPr>
            </w:pPr>
            <w:r>
              <w:rPr>
                <w:rFonts w:ascii="Arial" w:cs="Arial" w:eastAsia="Arial" w:hAnsi="Arial"/>
                <w:sz w:val="8"/>
                <w:szCs w:val="8"/>
                <w:color w:val="auto"/>
              </w:rPr>
              <w:t>12/4/2025</w:t>
            </w:r>
          </w:p>
        </w:tc>
        <w:tc>
          <w:tcPr>
            <w:tcW w:w="700" w:type="dxa"/>
            <w:vAlign w:val="bottom"/>
            <w:shd w:val="clear" w:color="auto" w:fill="DBEEF4"/>
          </w:tcPr>
          <w:p>
            <w:pPr>
              <w:jc w:val="right"/>
              <w:ind w:right="198"/>
              <w:spacing w:after="0"/>
              <w:rPr>
                <w:sz w:val="20"/>
                <w:szCs w:val="20"/>
                <w:color w:val="auto"/>
              </w:rPr>
            </w:pPr>
            <w:r>
              <w:rPr>
                <w:rFonts w:ascii="Arial" w:cs="Arial" w:eastAsia="Arial" w:hAnsi="Arial"/>
                <w:sz w:val="8"/>
                <w:szCs w:val="8"/>
                <w:color w:val="auto"/>
              </w:rPr>
              <w:t>8,500</w:t>
            </w:r>
          </w:p>
        </w:tc>
        <w:tc>
          <w:tcPr>
            <w:tcW w:w="120" w:type="dxa"/>
            <w:vAlign w:val="bottom"/>
            <w:shd w:val="clear" w:color="auto" w:fill="DBEEF4"/>
          </w:tcPr>
          <w:p>
            <w:pPr>
              <w:spacing w:after="0"/>
              <w:rPr>
                <w:sz w:val="11"/>
                <w:szCs w:val="11"/>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8,437</w:t>
            </w:r>
          </w:p>
        </w:tc>
        <w:tc>
          <w:tcPr>
            <w:tcW w:w="700" w:type="dxa"/>
            <w:vAlign w:val="bottom"/>
            <w:gridSpan w:val="2"/>
            <w:shd w:val="clear" w:color="auto" w:fill="DBEEF4"/>
          </w:tcPr>
          <w:p>
            <w:pPr>
              <w:jc w:val="right"/>
              <w:spacing w:after="0"/>
              <w:rPr>
                <w:sz w:val="20"/>
                <w:szCs w:val="20"/>
                <w:color w:val="auto"/>
              </w:rPr>
            </w:pPr>
            <w:r>
              <w:rPr>
                <w:rFonts w:ascii="Arial" w:cs="Arial" w:eastAsia="Arial" w:hAnsi="Arial"/>
                <w:sz w:val="8"/>
                <w:szCs w:val="8"/>
                <w:color w:val="auto"/>
              </w:rPr>
              <w:t>8,437</w:t>
            </w:r>
          </w:p>
        </w:tc>
        <w:tc>
          <w:tcPr>
            <w:tcW w:w="720" w:type="dxa"/>
            <w:vAlign w:val="bottom"/>
            <w:shd w:val="clear" w:color="auto" w:fill="DBEEF4"/>
          </w:tcPr>
          <w:p>
            <w:pPr>
              <w:spacing w:after="0"/>
              <w:rPr>
                <w:sz w:val="11"/>
                <w:szCs w:val="11"/>
                <w:color w:val="auto"/>
              </w:rPr>
            </w:pPr>
          </w:p>
        </w:tc>
      </w:tr>
      <w:tr>
        <w:trPr>
          <w:trHeight w:val="126"/>
        </w:trPr>
        <w:tc>
          <w:tcPr>
            <w:tcW w:w="3080" w:type="dxa"/>
            <w:vAlign w:val="bottom"/>
          </w:tcPr>
          <w:p>
            <w:pPr>
              <w:ind w:left="100"/>
              <w:spacing w:after="0"/>
              <w:rPr>
                <w:sz w:val="20"/>
                <w:szCs w:val="20"/>
                <w:color w:val="auto"/>
              </w:rPr>
            </w:pPr>
            <w:r>
              <w:rPr>
                <w:rFonts w:ascii="Arial" w:cs="Arial" w:eastAsia="Arial" w:hAnsi="Arial"/>
                <w:sz w:val="8"/>
                <w:szCs w:val="8"/>
                <w:color w:val="auto"/>
              </w:rPr>
              <w:t>Common Equity (750,000 units) (j)</w:t>
            </w:r>
          </w:p>
        </w:tc>
        <w:tc>
          <w:tcPr>
            <w:tcW w:w="3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8"/>
                <w:szCs w:val="8"/>
                <w:color w:val="auto"/>
              </w:rPr>
              <w:t>12/4/2020</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750</w:t>
            </w:r>
          </w:p>
        </w:tc>
        <w:tc>
          <w:tcPr>
            <w:tcW w:w="200" w:type="dxa"/>
            <w:vAlign w:val="bottom"/>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750</w:t>
            </w:r>
          </w:p>
        </w:tc>
        <w:tc>
          <w:tcPr>
            <w:tcW w:w="720" w:type="dxa"/>
            <w:vAlign w:val="bottom"/>
          </w:tcPr>
          <w:p>
            <w:pPr>
              <w:spacing w:after="0"/>
              <w:rPr>
                <w:sz w:val="10"/>
                <w:szCs w:val="10"/>
                <w:color w:val="auto"/>
              </w:rPr>
            </w:pPr>
          </w:p>
        </w:tc>
      </w:tr>
      <w:tr>
        <w:trPr>
          <w:trHeight w:val="120"/>
        </w:trPr>
        <w:tc>
          <w:tcPr>
            <w:tcW w:w="3080" w:type="dxa"/>
            <w:vAlign w:val="bottom"/>
            <w:shd w:val="clear" w:color="auto" w:fill="DBEEF4"/>
          </w:tcPr>
          <w:p>
            <w:pPr>
              <w:spacing w:after="0"/>
              <w:rPr>
                <w:sz w:val="10"/>
                <w:szCs w:val="10"/>
                <w:color w:val="auto"/>
              </w:rPr>
            </w:pPr>
          </w:p>
        </w:tc>
        <w:tc>
          <w:tcPr>
            <w:tcW w:w="3300" w:type="dxa"/>
            <w:vAlign w:val="bottom"/>
            <w:shd w:val="clear" w:color="auto" w:fill="DBEEF4"/>
          </w:tcPr>
          <w:p>
            <w:pPr>
              <w:spacing w:after="0"/>
              <w:rPr>
                <w:sz w:val="10"/>
                <w:szCs w:val="10"/>
                <w:color w:val="auto"/>
              </w:rPr>
            </w:pPr>
          </w:p>
        </w:tc>
        <w:tc>
          <w:tcPr>
            <w:tcW w:w="820" w:type="dxa"/>
            <w:vAlign w:val="bottom"/>
            <w:shd w:val="clear" w:color="auto" w:fill="DBEEF4"/>
          </w:tcPr>
          <w:p>
            <w:pPr>
              <w:spacing w:after="0"/>
              <w:rPr>
                <w:sz w:val="10"/>
                <w:szCs w:val="10"/>
                <w:color w:val="auto"/>
              </w:rPr>
            </w:pPr>
          </w:p>
        </w:tc>
        <w:tc>
          <w:tcPr>
            <w:tcW w:w="640" w:type="dxa"/>
            <w:vAlign w:val="bottom"/>
            <w:shd w:val="clear" w:color="auto" w:fill="DBEEF4"/>
          </w:tcPr>
          <w:p>
            <w:pPr>
              <w:spacing w:after="0"/>
              <w:rPr>
                <w:sz w:val="10"/>
                <w:szCs w:val="10"/>
                <w:color w:val="auto"/>
              </w:rPr>
            </w:pPr>
          </w:p>
        </w:tc>
        <w:tc>
          <w:tcPr>
            <w:tcW w:w="720" w:type="dxa"/>
            <w:vAlign w:val="bottom"/>
            <w:shd w:val="clear" w:color="auto" w:fill="DBEEF4"/>
          </w:tcPr>
          <w:p>
            <w:pPr>
              <w:spacing w:after="0"/>
              <w:rPr>
                <w:sz w:val="10"/>
                <w:szCs w:val="10"/>
                <w:color w:val="auto"/>
              </w:rPr>
            </w:pPr>
          </w:p>
        </w:tc>
        <w:tc>
          <w:tcPr>
            <w:tcW w:w="700" w:type="dxa"/>
            <w:vAlign w:val="bottom"/>
            <w:shd w:val="clear" w:color="auto" w:fill="DBEEF4"/>
          </w:tcPr>
          <w:p>
            <w:pPr>
              <w:spacing w:after="0"/>
              <w:rPr>
                <w:sz w:val="10"/>
                <w:szCs w:val="10"/>
                <w:color w:val="auto"/>
              </w:rPr>
            </w:pPr>
          </w:p>
        </w:tc>
        <w:tc>
          <w:tcPr>
            <w:tcW w:w="120" w:type="dxa"/>
            <w:vAlign w:val="bottom"/>
            <w:shd w:val="clear" w:color="auto" w:fill="DBEEF4"/>
          </w:tcPr>
          <w:p>
            <w:pPr>
              <w:spacing w:after="0"/>
              <w:rPr>
                <w:sz w:val="10"/>
                <w:szCs w:val="10"/>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9,187</w:t>
            </w:r>
          </w:p>
        </w:tc>
        <w:tc>
          <w:tcPr>
            <w:tcW w:w="700" w:type="dxa"/>
            <w:vAlign w:val="bottom"/>
            <w:gridSpan w:val="2"/>
            <w:shd w:val="clear" w:color="auto" w:fill="DBEEF4"/>
          </w:tcPr>
          <w:p>
            <w:pPr>
              <w:jc w:val="right"/>
              <w:spacing w:after="0"/>
              <w:rPr>
                <w:sz w:val="20"/>
                <w:szCs w:val="20"/>
                <w:color w:val="auto"/>
              </w:rPr>
            </w:pPr>
            <w:r>
              <w:rPr>
                <w:rFonts w:ascii="Arial" w:cs="Arial" w:eastAsia="Arial" w:hAnsi="Arial"/>
                <w:sz w:val="8"/>
                <w:szCs w:val="8"/>
                <w:color w:val="auto"/>
              </w:rPr>
              <w:t>9,187</w:t>
            </w:r>
          </w:p>
        </w:tc>
        <w:tc>
          <w:tcPr>
            <w:tcW w:w="720" w:type="dxa"/>
            <w:vAlign w:val="bottom"/>
            <w:shd w:val="clear" w:color="auto" w:fill="DBEEF4"/>
          </w:tcPr>
          <w:p>
            <w:pPr>
              <w:jc w:val="right"/>
              <w:spacing w:after="0"/>
              <w:rPr>
                <w:sz w:val="20"/>
                <w:szCs w:val="20"/>
                <w:color w:val="auto"/>
              </w:rPr>
            </w:pPr>
            <w:r>
              <w:rPr>
                <w:rFonts w:ascii="Arial" w:cs="Arial" w:eastAsia="Arial" w:hAnsi="Arial"/>
                <w:sz w:val="8"/>
                <w:szCs w:val="8"/>
                <w:color w:val="auto"/>
              </w:rPr>
              <w:t>2 %</w:t>
            </w:r>
          </w:p>
        </w:tc>
      </w:tr>
      <w:tr>
        <w:trPr>
          <w:trHeight w:val="120"/>
        </w:trPr>
        <w:tc>
          <w:tcPr>
            <w:tcW w:w="3080" w:type="dxa"/>
            <w:vAlign w:val="bottom"/>
          </w:tcPr>
          <w:p>
            <w:pPr>
              <w:ind w:left="20"/>
              <w:spacing w:after="0"/>
              <w:rPr>
                <w:sz w:val="20"/>
                <w:szCs w:val="20"/>
                <w:color w:val="auto"/>
              </w:rPr>
            </w:pPr>
            <w:r>
              <w:rPr>
                <w:rFonts w:ascii="Arial" w:cs="Arial" w:eastAsia="Arial" w:hAnsi="Arial"/>
                <w:sz w:val="8"/>
                <w:szCs w:val="8"/>
                <w:i w:val="1"/>
                <w:iCs w:val="1"/>
                <w:color w:val="auto"/>
              </w:rPr>
              <w:t>Healthfuse, LLC</w:t>
            </w:r>
          </w:p>
        </w:tc>
        <w:tc>
          <w:tcPr>
            <w:tcW w:w="3300" w:type="dxa"/>
            <w:vAlign w:val="bottom"/>
          </w:tcPr>
          <w:p>
            <w:pPr>
              <w:ind w:left="640"/>
              <w:spacing w:after="0"/>
              <w:rPr>
                <w:sz w:val="20"/>
                <w:szCs w:val="20"/>
                <w:color w:val="auto"/>
              </w:rPr>
            </w:pPr>
            <w:r>
              <w:rPr>
                <w:rFonts w:ascii="Arial" w:cs="Arial" w:eastAsia="Arial" w:hAnsi="Arial"/>
                <w:sz w:val="8"/>
                <w:szCs w:val="8"/>
                <w:color w:val="auto"/>
              </w:rPr>
              <w:t>Healthcare Services</w:t>
            </w: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34"/>
        </w:trPr>
        <w:tc>
          <w:tcPr>
            <w:tcW w:w="3080" w:type="dxa"/>
            <w:vAlign w:val="bottom"/>
            <w:shd w:val="clear" w:color="auto" w:fill="DBEEF4"/>
          </w:tcPr>
          <w:p>
            <w:pPr>
              <w:ind w:left="100"/>
              <w:spacing w:after="0"/>
              <w:rPr>
                <w:sz w:val="20"/>
                <w:szCs w:val="20"/>
                <w:color w:val="auto"/>
              </w:rPr>
            </w:pPr>
            <w:r>
              <w:rPr>
                <w:rFonts w:ascii="Arial" w:cs="Arial" w:eastAsia="Arial" w:hAnsi="Arial"/>
                <w:sz w:val="8"/>
                <w:szCs w:val="8"/>
                <w:color w:val="auto"/>
              </w:rPr>
              <w:t>First Lien Debt (af)</w:t>
            </w:r>
          </w:p>
        </w:tc>
        <w:tc>
          <w:tcPr>
            <w:tcW w:w="3300" w:type="dxa"/>
            <w:vAlign w:val="bottom"/>
            <w:shd w:val="clear" w:color="auto" w:fill="DBEEF4"/>
          </w:tcPr>
          <w:p>
            <w:pPr>
              <w:ind w:left="2300"/>
              <w:spacing w:after="0"/>
              <w:rPr>
                <w:sz w:val="20"/>
                <w:szCs w:val="20"/>
                <w:color w:val="auto"/>
              </w:rPr>
            </w:pPr>
            <w:r>
              <w:rPr>
                <w:rFonts w:ascii="Arial" w:cs="Arial" w:eastAsia="Arial" w:hAnsi="Arial"/>
                <w:sz w:val="8"/>
                <w:szCs w:val="8"/>
                <w:color w:val="auto"/>
              </w:rPr>
              <w:t>(L + 7.25%) / (1.00%)</w:t>
            </w:r>
          </w:p>
        </w:tc>
        <w:tc>
          <w:tcPr>
            <w:tcW w:w="820" w:type="dxa"/>
            <w:vAlign w:val="bottom"/>
            <w:shd w:val="clear" w:color="auto" w:fill="DBEEF4"/>
          </w:tcPr>
          <w:p>
            <w:pPr>
              <w:ind w:left="180"/>
              <w:spacing w:after="0"/>
              <w:rPr>
                <w:sz w:val="20"/>
                <w:szCs w:val="20"/>
                <w:color w:val="auto"/>
              </w:rPr>
            </w:pPr>
            <w:r>
              <w:rPr>
                <w:rFonts w:ascii="Arial" w:cs="Arial" w:eastAsia="Arial" w:hAnsi="Arial"/>
                <w:sz w:val="8"/>
                <w:szCs w:val="8"/>
                <w:color w:val="auto"/>
              </w:rPr>
              <w:t>8.25%/0.00%</w:t>
            </w:r>
          </w:p>
        </w:tc>
        <w:tc>
          <w:tcPr>
            <w:tcW w:w="640" w:type="dxa"/>
            <w:vAlign w:val="bottom"/>
            <w:shd w:val="clear" w:color="auto" w:fill="DBEEF4"/>
          </w:tcPr>
          <w:p>
            <w:pPr>
              <w:ind w:left="120"/>
              <w:spacing w:after="0"/>
              <w:rPr>
                <w:sz w:val="20"/>
                <w:szCs w:val="20"/>
                <w:color w:val="auto"/>
              </w:rPr>
            </w:pPr>
            <w:r>
              <w:rPr>
                <w:rFonts w:ascii="Arial" w:cs="Arial" w:eastAsia="Arial" w:hAnsi="Arial"/>
                <w:sz w:val="8"/>
                <w:szCs w:val="8"/>
                <w:color w:val="auto"/>
              </w:rPr>
              <w:t>11/13/2020</w:t>
            </w:r>
          </w:p>
        </w:tc>
        <w:tc>
          <w:tcPr>
            <w:tcW w:w="720" w:type="dxa"/>
            <w:vAlign w:val="bottom"/>
            <w:shd w:val="clear" w:color="auto" w:fill="DBEEF4"/>
          </w:tcPr>
          <w:p>
            <w:pPr>
              <w:ind w:left="120"/>
              <w:spacing w:after="0"/>
              <w:rPr>
                <w:sz w:val="20"/>
                <w:szCs w:val="20"/>
                <w:color w:val="auto"/>
              </w:rPr>
            </w:pPr>
            <w:r>
              <w:rPr>
                <w:rFonts w:ascii="Arial" w:cs="Arial" w:eastAsia="Arial" w:hAnsi="Arial"/>
                <w:sz w:val="8"/>
                <w:szCs w:val="8"/>
                <w:color w:val="auto"/>
              </w:rPr>
              <w:t>11/13/2025</w:t>
            </w:r>
          </w:p>
        </w:tc>
        <w:tc>
          <w:tcPr>
            <w:tcW w:w="700" w:type="dxa"/>
            <w:vAlign w:val="bottom"/>
            <w:shd w:val="clear" w:color="auto" w:fill="DBEEF4"/>
          </w:tcPr>
          <w:p>
            <w:pPr>
              <w:jc w:val="right"/>
              <w:ind w:right="198"/>
              <w:spacing w:after="0"/>
              <w:rPr>
                <w:sz w:val="20"/>
                <w:szCs w:val="20"/>
                <w:color w:val="auto"/>
              </w:rPr>
            </w:pPr>
            <w:r>
              <w:rPr>
                <w:rFonts w:ascii="Arial" w:cs="Arial" w:eastAsia="Arial" w:hAnsi="Arial"/>
                <w:sz w:val="8"/>
                <w:szCs w:val="8"/>
                <w:color w:val="auto"/>
              </w:rPr>
              <w:t>6,000</w:t>
            </w:r>
          </w:p>
        </w:tc>
        <w:tc>
          <w:tcPr>
            <w:tcW w:w="120" w:type="dxa"/>
            <w:vAlign w:val="bottom"/>
            <w:shd w:val="clear" w:color="auto" w:fill="DBEEF4"/>
          </w:tcPr>
          <w:p>
            <w:pPr>
              <w:spacing w:after="0"/>
              <w:rPr>
                <w:sz w:val="11"/>
                <w:szCs w:val="11"/>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5,960</w:t>
            </w:r>
          </w:p>
        </w:tc>
        <w:tc>
          <w:tcPr>
            <w:tcW w:w="700" w:type="dxa"/>
            <w:vAlign w:val="bottom"/>
            <w:gridSpan w:val="2"/>
            <w:shd w:val="clear" w:color="auto" w:fill="DBEEF4"/>
          </w:tcPr>
          <w:p>
            <w:pPr>
              <w:jc w:val="right"/>
              <w:spacing w:after="0"/>
              <w:rPr>
                <w:sz w:val="20"/>
                <w:szCs w:val="20"/>
                <w:color w:val="auto"/>
              </w:rPr>
            </w:pPr>
            <w:r>
              <w:rPr>
                <w:rFonts w:ascii="Arial" w:cs="Arial" w:eastAsia="Arial" w:hAnsi="Arial"/>
                <w:sz w:val="8"/>
                <w:szCs w:val="8"/>
                <w:color w:val="auto"/>
              </w:rPr>
              <w:t>5,960</w:t>
            </w:r>
          </w:p>
        </w:tc>
        <w:tc>
          <w:tcPr>
            <w:tcW w:w="720" w:type="dxa"/>
            <w:vAlign w:val="bottom"/>
            <w:shd w:val="clear" w:color="auto" w:fill="DBEEF4"/>
          </w:tcPr>
          <w:p>
            <w:pPr>
              <w:spacing w:after="0"/>
              <w:rPr>
                <w:sz w:val="11"/>
                <w:szCs w:val="11"/>
                <w:color w:val="auto"/>
              </w:rPr>
            </w:pPr>
          </w:p>
        </w:tc>
      </w:tr>
      <w:tr>
        <w:trPr>
          <w:trHeight w:val="126"/>
        </w:trPr>
        <w:tc>
          <w:tcPr>
            <w:tcW w:w="3080" w:type="dxa"/>
            <w:vAlign w:val="bottom"/>
          </w:tcPr>
          <w:p>
            <w:pPr>
              <w:ind w:left="100"/>
              <w:spacing w:after="0"/>
              <w:rPr>
                <w:sz w:val="20"/>
                <w:szCs w:val="20"/>
                <w:color w:val="auto"/>
              </w:rPr>
            </w:pPr>
            <w:r>
              <w:rPr>
                <w:rFonts w:ascii="Arial" w:cs="Arial" w:eastAsia="Arial" w:hAnsi="Arial"/>
                <w:sz w:val="8"/>
                <w:szCs w:val="8"/>
                <w:color w:val="auto"/>
              </w:rPr>
              <w:t>Preferred Equity (197,980 units)</w:t>
            </w:r>
          </w:p>
        </w:tc>
        <w:tc>
          <w:tcPr>
            <w:tcW w:w="3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8"/>
                <w:szCs w:val="8"/>
                <w:color w:val="auto"/>
              </w:rPr>
              <w:t>11/13/2020</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750</w:t>
            </w:r>
          </w:p>
        </w:tc>
        <w:tc>
          <w:tcPr>
            <w:tcW w:w="200" w:type="dxa"/>
            <w:vAlign w:val="bottom"/>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750</w:t>
            </w:r>
          </w:p>
        </w:tc>
        <w:tc>
          <w:tcPr>
            <w:tcW w:w="720" w:type="dxa"/>
            <w:vAlign w:val="bottom"/>
          </w:tcPr>
          <w:p>
            <w:pPr>
              <w:spacing w:after="0"/>
              <w:rPr>
                <w:sz w:val="10"/>
                <w:szCs w:val="10"/>
                <w:color w:val="auto"/>
              </w:rPr>
            </w:pPr>
          </w:p>
        </w:tc>
      </w:tr>
      <w:tr>
        <w:trPr>
          <w:trHeight w:val="120"/>
        </w:trPr>
        <w:tc>
          <w:tcPr>
            <w:tcW w:w="3080" w:type="dxa"/>
            <w:vAlign w:val="bottom"/>
            <w:shd w:val="clear" w:color="auto" w:fill="DBEEF4"/>
          </w:tcPr>
          <w:p>
            <w:pPr>
              <w:spacing w:after="0"/>
              <w:rPr>
                <w:sz w:val="10"/>
                <w:szCs w:val="10"/>
                <w:color w:val="auto"/>
              </w:rPr>
            </w:pPr>
          </w:p>
        </w:tc>
        <w:tc>
          <w:tcPr>
            <w:tcW w:w="3300" w:type="dxa"/>
            <w:vAlign w:val="bottom"/>
            <w:shd w:val="clear" w:color="auto" w:fill="DBEEF4"/>
          </w:tcPr>
          <w:p>
            <w:pPr>
              <w:spacing w:after="0"/>
              <w:rPr>
                <w:sz w:val="10"/>
                <w:szCs w:val="10"/>
                <w:color w:val="auto"/>
              </w:rPr>
            </w:pPr>
          </w:p>
        </w:tc>
        <w:tc>
          <w:tcPr>
            <w:tcW w:w="820" w:type="dxa"/>
            <w:vAlign w:val="bottom"/>
            <w:shd w:val="clear" w:color="auto" w:fill="DBEEF4"/>
          </w:tcPr>
          <w:p>
            <w:pPr>
              <w:spacing w:after="0"/>
              <w:rPr>
                <w:sz w:val="10"/>
                <w:szCs w:val="10"/>
                <w:color w:val="auto"/>
              </w:rPr>
            </w:pPr>
          </w:p>
        </w:tc>
        <w:tc>
          <w:tcPr>
            <w:tcW w:w="640" w:type="dxa"/>
            <w:vAlign w:val="bottom"/>
            <w:shd w:val="clear" w:color="auto" w:fill="DBEEF4"/>
          </w:tcPr>
          <w:p>
            <w:pPr>
              <w:spacing w:after="0"/>
              <w:rPr>
                <w:sz w:val="10"/>
                <w:szCs w:val="10"/>
                <w:color w:val="auto"/>
              </w:rPr>
            </w:pPr>
          </w:p>
        </w:tc>
        <w:tc>
          <w:tcPr>
            <w:tcW w:w="720" w:type="dxa"/>
            <w:vAlign w:val="bottom"/>
            <w:shd w:val="clear" w:color="auto" w:fill="DBEEF4"/>
          </w:tcPr>
          <w:p>
            <w:pPr>
              <w:spacing w:after="0"/>
              <w:rPr>
                <w:sz w:val="10"/>
                <w:szCs w:val="10"/>
                <w:color w:val="auto"/>
              </w:rPr>
            </w:pPr>
          </w:p>
        </w:tc>
        <w:tc>
          <w:tcPr>
            <w:tcW w:w="700" w:type="dxa"/>
            <w:vAlign w:val="bottom"/>
            <w:shd w:val="clear" w:color="auto" w:fill="DBEEF4"/>
          </w:tcPr>
          <w:p>
            <w:pPr>
              <w:spacing w:after="0"/>
              <w:rPr>
                <w:sz w:val="10"/>
                <w:szCs w:val="10"/>
                <w:color w:val="auto"/>
              </w:rPr>
            </w:pPr>
          </w:p>
        </w:tc>
        <w:tc>
          <w:tcPr>
            <w:tcW w:w="120" w:type="dxa"/>
            <w:vAlign w:val="bottom"/>
            <w:shd w:val="clear" w:color="auto" w:fill="DBEEF4"/>
          </w:tcPr>
          <w:p>
            <w:pPr>
              <w:spacing w:after="0"/>
              <w:rPr>
                <w:sz w:val="10"/>
                <w:szCs w:val="10"/>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6,710</w:t>
            </w:r>
          </w:p>
        </w:tc>
        <w:tc>
          <w:tcPr>
            <w:tcW w:w="700" w:type="dxa"/>
            <w:vAlign w:val="bottom"/>
            <w:gridSpan w:val="2"/>
            <w:shd w:val="clear" w:color="auto" w:fill="DBEEF4"/>
          </w:tcPr>
          <w:p>
            <w:pPr>
              <w:jc w:val="right"/>
              <w:spacing w:after="0"/>
              <w:rPr>
                <w:sz w:val="20"/>
                <w:szCs w:val="20"/>
                <w:color w:val="auto"/>
              </w:rPr>
            </w:pPr>
            <w:r>
              <w:rPr>
                <w:rFonts w:ascii="Arial" w:cs="Arial" w:eastAsia="Arial" w:hAnsi="Arial"/>
                <w:sz w:val="8"/>
                <w:szCs w:val="8"/>
                <w:color w:val="auto"/>
              </w:rPr>
              <w:t>6,710</w:t>
            </w:r>
          </w:p>
        </w:tc>
        <w:tc>
          <w:tcPr>
            <w:tcW w:w="720" w:type="dxa"/>
            <w:vAlign w:val="bottom"/>
            <w:shd w:val="clear" w:color="auto" w:fill="DBEEF4"/>
          </w:tcPr>
          <w:p>
            <w:pPr>
              <w:jc w:val="right"/>
              <w:spacing w:after="0"/>
              <w:rPr>
                <w:sz w:val="20"/>
                <w:szCs w:val="20"/>
                <w:color w:val="auto"/>
              </w:rPr>
            </w:pPr>
            <w:r>
              <w:rPr>
                <w:rFonts w:ascii="Arial" w:cs="Arial" w:eastAsia="Arial" w:hAnsi="Arial"/>
                <w:sz w:val="8"/>
                <w:szCs w:val="8"/>
                <w:color w:val="auto"/>
              </w:rPr>
              <w:t>2 %</w:t>
            </w:r>
          </w:p>
        </w:tc>
      </w:tr>
      <w:tr>
        <w:trPr>
          <w:trHeight w:val="120"/>
        </w:trPr>
        <w:tc>
          <w:tcPr>
            <w:tcW w:w="3080" w:type="dxa"/>
            <w:vAlign w:val="bottom"/>
          </w:tcPr>
          <w:p>
            <w:pPr>
              <w:ind w:left="20"/>
              <w:spacing w:after="0"/>
              <w:rPr>
                <w:sz w:val="20"/>
                <w:szCs w:val="20"/>
                <w:color w:val="auto"/>
              </w:rPr>
            </w:pPr>
            <w:r>
              <w:rPr>
                <w:rFonts w:ascii="Arial" w:cs="Arial" w:eastAsia="Arial" w:hAnsi="Arial"/>
                <w:sz w:val="8"/>
                <w:szCs w:val="8"/>
                <w:i w:val="1"/>
                <w:iCs w:val="1"/>
                <w:color w:val="auto"/>
              </w:rPr>
              <w:t>Hilco Plastics Holdings, LLC (dba Hilco Technologies)</w:t>
            </w:r>
          </w:p>
        </w:tc>
        <w:tc>
          <w:tcPr>
            <w:tcW w:w="3300" w:type="dxa"/>
            <w:vAlign w:val="bottom"/>
          </w:tcPr>
          <w:p>
            <w:pPr>
              <w:ind w:left="640"/>
              <w:spacing w:after="0"/>
              <w:rPr>
                <w:sz w:val="20"/>
                <w:szCs w:val="20"/>
                <w:color w:val="auto"/>
              </w:rPr>
            </w:pPr>
            <w:r>
              <w:rPr>
                <w:rFonts w:ascii="Arial" w:cs="Arial" w:eastAsia="Arial" w:hAnsi="Arial"/>
                <w:sz w:val="8"/>
                <w:szCs w:val="8"/>
                <w:color w:val="auto"/>
              </w:rPr>
              <w:t>Component Manufacturing</w:t>
            </w: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34"/>
        </w:trPr>
        <w:tc>
          <w:tcPr>
            <w:tcW w:w="3080" w:type="dxa"/>
            <w:vAlign w:val="bottom"/>
            <w:shd w:val="clear" w:color="auto" w:fill="DBEEF4"/>
          </w:tcPr>
          <w:p>
            <w:pPr>
              <w:ind w:left="100"/>
              <w:spacing w:after="0"/>
              <w:rPr>
                <w:sz w:val="20"/>
                <w:szCs w:val="20"/>
                <w:color w:val="auto"/>
              </w:rPr>
            </w:pPr>
            <w:r>
              <w:rPr>
                <w:rFonts w:ascii="Arial" w:cs="Arial" w:eastAsia="Arial" w:hAnsi="Arial"/>
                <w:sz w:val="8"/>
                <w:szCs w:val="8"/>
                <w:color w:val="auto"/>
              </w:rPr>
              <w:t>Second Lien Debt (j)</w:t>
            </w:r>
          </w:p>
        </w:tc>
        <w:tc>
          <w:tcPr>
            <w:tcW w:w="3300" w:type="dxa"/>
            <w:vAlign w:val="bottom"/>
            <w:shd w:val="clear" w:color="auto" w:fill="DBEEF4"/>
          </w:tcPr>
          <w:p>
            <w:pPr>
              <w:spacing w:after="0"/>
              <w:rPr>
                <w:sz w:val="11"/>
                <w:szCs w:val="11"/>
                <w:color w:val="auto"/>
              </w:rPr>
            </w:pPr>
          </w:p>
        </w:tc>
        <w:tc>
          <w:tcPr>
            <w:tcW w:w="820" w:type="dxa"/>
            <w:vAlign w:val="bottom"/>
            <w:shd w:val="clear" w:color="auto" w:fill="DBEEF4"/>
          </w:tcPr>
          <w:p>
            <w:pPr>
              <w:ind w:left="180"/>
              <w:spacing w:after="0"/>
              <w:rPr>
                <w:sz w:val="20"/>
                <w:szCs w:val="20"/>
                <w:color w:val="auto"/>
              </w:rPr>
            </w:pPr>
            <w:r>
              <w:rPr>
                <w:rFonts w:ascii="Arial" w:cs="Arial" w:eastAsia="Arial" w:hAnsi="Arial"/>
                <w:sz w:val="8"/>
                <w:szCs w:val="8"/>
                <w:color w:val="auto"/>
              </w:rPr>
              <w:t>11.50%/1.50%</w:t>
            </w:r>
          </w:p>
        </w:tc>
        <w:tc>
          <w:tcPr>
            <w:tcW w:w="640" w:type="dxa"/>
            <w:vAlign w:val="bottom"/>
            <w:shd w:val="clear" w:color="auto" w:fill="DBEEF4"/>
          </w:tcPr>
          <w:p>
            <w:pPr>
              <w:ind w:left="120"/>
              <w:spacing w:after="0"/>
              <w:rPr>
                <w:sz w:val="20"/>
                <w:szCs w:val="20"/>
                <w:color w:val="auto"/>
              </w:rPr>
            </w:pPr>
            <w:r>
              <w:rPr>
                <w:rFonts w:ascii="Arial" w:cs="Arial" w:eastAsia="Arial" w:hAnsi="Arial"/>
                <w:sz w:val="8"/>
                <w:szCs w:val="8"/>
                <w:color w:val="auto"/>
              </w:rPr>
              <w:t>9/23/2016</w:t>
            </w:r>
          </w:p>
        </w:tc>
        <w:tc>
          <w:tcPr>
            <w:tcW w:w="720" w:type="dxa"/>
            <w:vAlign w:val="bottom"/>
            <w:shd w:val="clear" w:color="auto" w:fill="DBEEF4"/>
          </w:tcPr>
          <w:p>
            <w:pPr>
              <w:ind w:left="120"/>
              <w:spacing w:after="0"/>
              <w:rPr>
                <w:sz w:val="20"/>
                <w:szCs w:val="20"/>
                <w:color w:val="auto"/>
              </w:rPr>
            </w:pPr>
            <w:r>
              <w:rPr>
                <w:rFonts w:ascii="Arial" w:cs="Arial" w:eastAsia="Arial" w:hAnsi="Arial"/>
                <w:sz w:val="8"/>
                <w:szCs w:val="8"/>
                <w:color w:val="auto"/>
              </w:rPr>
              <w:t>12/31/2019</w:t>
            </w:r>
          </w:p>
        </w:tc>
        <w:tc>
          <w:tcPr>
            <w:tcW w:w="700" w:type="dxa"/>
            <w:vAlign w:val="bottom"/>
            <w:shd w:val="clear" w:color="auto" w:fill="DBEEF4"/>
          </w:tcPr>
          <w:p>
            <w:pPr>
              <w:jc w:val="right"/>
              <w:ind w:right="198"/>
              <w:spacing w:after="0"/>
              <w:rPr>
                <w:sz w:val="20"/>
                <w:szCs w:val="20"/>
                <w:color w:val="auto"/>
              </w:rPr>
            </w:pPr>
            <w:r>
              <w:rPr>
                <w:rFonts w:ascii="Arial" w:cs="Arial" w:eastAsia="Arial" w:hAnsi="Arial"/>
                <w:sz w:val="8"/>
                <w:szCs w:val="8"/>
                <w:color w:val="auto"/>
              </w:rPr>
              <w:t>10,301</w:t>
            </w:r>
          </w:p>
        </w:tc>
        <w:tc>
          <w:tcPr>
            <w:tcW w:w="120" w:type="dxa"/>
            <w:vAlign w:val="bottom"/>
            <w:shd w:val="clear" w:color="auto" w:fill="DBEEF4"/>
          </w:tcPr>
          <w:p>
            <w:pPr>
              <w:spacing w:after="0"/>
              <w:rPr>
                <w:sz w:val="11"/>
                <w:szCs w:val="11"/>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10,301</w:t>
            </w:r>
          </w:p>
        </w:tc>
        <w:tc>
          <w:tcPr>
            <w:tcW w:w="700" w:type="dxa"/>
            <w:vAlign w:val="bottom"/>
            <w:gridSpan w:val="2"/>
            <w:shd w:val="clear" w:color="auto" w:fill="DBEEF4"/>
          </w:tcPr>
          <w:p>
            <w:pPr>
              <w:jc w:val="right"/>
              <w:spacing w:after="0"/>
              <w:rPr>
                <w:sz w:val="20"/>
                <w:szCs w:val="20"/>
                <w:color w:val="auto"/>
              </w:rPr>
            </w:pPr>
            <w:r>
              <w:rPr>
                <w:rFonts w:ascii="Arial" w:cs="Arial" w:eastAsia="Arial" w:hAnsi="Arial"/>
                <w:sz w:val="8"/>
                <w:szCs w:val="8"/>
                <w:color w:val="auto"/>
              </w:rPr>
              <w:t>8,878</w:t>
            </w:r>
          </w:p>
        </w:tc>
        <w:tc>
          <w:tcPr>
            <w:tcW w:w="720" w:type="dxa"/>
            <w:vAlign w:val="bottom"/>
            <w:shd w:val="clear" w:color="auto" w:fill="DBEEF4"/>
          </w:tcPr>
          <w:p>
            <w:pPr>
              <w:spacing w:after="0"/>
              <w:rPr>
                <w:sz w:val="11"/>
                <w:szCs w:val="11"/>
                <w:color w:val="auto"/>
              </w:rPr>
            </w:pPr>
          </w:p>
        </w:tc>
      </w:tr>
      <w:tr>
        <w:trPr>
          <w:trHeight w:val="120"/>
        </w:trPr>
        <w:tc>
          <w:tcPr>
            <w:tcW w:w="3080" w:type="dxa"/>
            <w:vAlign w:val="bottom"/>
          </w:tcPr>
          <w:p>
            <w:pPr>
              <w:ind w:left="100"/>
              <w:spacing w:after="0"/>
              <w:rPr>
                <w:sz w:val="20"/>
                <w:szCs w:val="20"/>
                <w:color w:val="auto"/>
              </w:rPr>
            </w:pPr>
            <w:r>
              <w:rPr>
                <w:rFonts w:ascii="Arial" w:cs="Arial" w:eastAsia="Arial" w:hAnsi="Arial"/>
                <w:sz w:val="8"/>
                <w:szCs w:val="8"/>
                <w:color w:val="auto"/>
              </w:rPr>
              <w:t>Revolving Loan (j)</w:t>
            </w:r>
          </w:p>
        </w:tc>
        <w:tc>
          <w:tcPr>
            <w:tcW w:w="3300" w:type="dxa"/>
            <w:vAlign w:val="bottom"/>
          </w:tcPr>
          <w:p>
            <w:pPr>
              <w:ind w:left="2300"/>
              <w:spacing w:after="0"/>
              <w:rPr>
                <w:sz w:val="20"/>
                <w:szCs w:val="20"/>
                <w:color w:val="auto"/>
              </w:rPr>
            </w:pPr>
            <w:r>
              <w:rPr>
                <w:rFonts w:ascii="Arial" w:cs="Arial" w:eastAsia="Arial" w:hAnsi="Arial"/>
                <w:sz w:val="8"/>
                <w:szCs w:val="8"/>
                <w:color w:val="auto"/>
              </w:rPr>
              <w:t>(L + 6.50%) / (0.00%)</w:t>
            </w:r>
          </w:p>
        </w:tc>
        <w:tc>
          <w:tcPr>
            <w:tcW w:w="820" w:type="dxa"/>
            <w:vAlign w:val="bottom"/>
          </w:tcPr>
          <w:p>
            <w:pPr>
              <w:ind w:left="180"/>
              <w:spacing w:after="0"/>
              <w:rPr>
                <w:sz w:val="20"/>
                <w:szCs w:val="20"/>
                <w:color w:val="auto"/>
              </w:rPr>
            </w:pPr>
            <w:r>
              <w:rPr>
                <w:rFonts w:ascii="Arial" w:cs="Arial" w:eastAsia="Arial" w:hAnsi="Arial"/>
                <w:sz w:val="8"/>
                <w:szCs w:val="8"/>
                <w:color w:val="auto"/>
              </w:rPr>
              <w:t>6.65%/0.00%</w:t>
            </w:r>
          </w:p>
        </w:tc>
        <w:tc>
          <w:tcPr>
            <w:tcW w:w="640" w:type="dxa"/>
            <w:vAlign w:val="bottom"/>
          </w:tcPr>
          <w:p>
            <w:pPr>
              <w:ind w:left="120"/>
              <w:spacing w:after="0"/>
              <w:rPr>
                <w:sz w:val="20"/>
                <w:szCs w:val="20"/>
                <w:color w:val="auto"/>
              </w:rPr>
            </w:pPr>
            <w:r>
              <w:rPr>
                <w:rFonts w:ascii="Arial" w:cs="Arial" w:eastAsia="Arial" w:hAnsi="Arial"/>
                <w:sz w:val="8"/>
                <w:szCs w:val="8"/>
                <w:color w:val="auto"/>
              </w:rPr>
              <w:t>12/20/2019</w:t>
            </w:r>
          </w:p>
        </w:tc>
        <w:tc>
          <w:tcPr>
            <w:tcW w:w="720" w:type="dxa"/>
            <w:vAlign w:val="bottom"/>
          </w:tcPr>
          <w:p>
            <w:pPr>
              <w:ind w:left="120"/>
              <w:spacing w:after="0"/>
              <w:rPr>
                <w:sz w:val="20"/>
                <w:szCs w:val="20"/>
                <w:color w:val="auto"/>
              </w:rPr>
            </w:pPr>
            <w:r>
              <w:rPr>
                <w:rFonts w:ascii="Arial" w:cs="Arial" w:eastAsia="Arial" w:hAnsi="Arial"/>
                <w:sz w:val="8"/>
                <w:szCs w:val="8"/>
                <w:color w:val="auto"/>
              </w:rPr>
              <w:t>12/15/2019</w:t>
            </w:r>
          </w:p>
        </w:tc>
        <w:tc>
          <w:tcPr>
            <w:tcW w:w="700" w:type="dxa"/>
            <w:vAlign w:val="bottom"/>
          </w:tcPr>
          <w:p>
            <w:pPr>
              <w:jc w:val="right"/>
              <w:ind w:right="198"/>
              <w:spacing w:after="0"/>
              <w:rPr>
                <w:sz w:val="20"/>
                <w:szCs w:val="20"/>
                <w:color w:val="auto"/>
              </w:rPr>
            </w:pPr>
            <w:r>
              <w:rPr>
                <w:rFonts w:ascii="Arial" w:cs="Arial" w:eastAsia="Arial" w:hAnsi="Arial"/>
                <w:sz w:val="8"/>
                <w:szCs w:val="8"/>
                <w:color w:val="auto"/>
              </w:rPr>
              <w:t>5,962</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5,962</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5,962</w:t>
            </w:r>
          </w:p>
        </w:tc>
        <w:tc>
          <w:tcPr>
            <w:tcW w:w="720" w:type="dxa"/>
            <w:vAlign w:val="bottom"/>
          </w:tcPr>
          <w:p>
            <w:pPr>
              <w:spacing w:after="0"/>
              <w:rPr>
                <w:sz w:val="10"/>
                <w:szCs w:val="10"/>
                <w:color w:val="auto"/>
              </w:rPr>
            </w:pPr>
          </w:p>
        </w:tc>
      </w:tr>
      <w:tr>
        <w:trPr>
          <w:trHeight w:val="134"/>
        </w:trPr>
        <w:tc>
          <w:tcPr>
            <w:tcW w:w="3080" w:type="dxa"/>
            <w:vAlign w:val="bottom"/>
            <w:shd w:val="clear" w:color="auto" w:fill="DBEEF4"/>
          </w:tcPr>
          <w:p>
            <w:pPr>
              <w:ind w:left="100"/>
              <w:spacing w:after="0"/>
              <w:rPr>
                <w:sz w:val="20"/>
                <w:szCs w:val="20"/>
                <w:color w:val="auto"/>
              </w:rPr>
            </w:pPr>
            <w:r>
              <w:rPr>
                <w:rFonts w:ascii="Arial" w:cs="Arial" w:eastAsia="Arial" w:hAnsi="Arial"/>
                <w:sz w:val="8"/>
                <w:szCs w:val="8"/>
                <w:color w:val="auto"/>
              </w:rPr>
              <w:t>First Lien Debt (j)</w:t>
            </w:r>
          </w:p>
        </w:tc>
        <w:tc>
          <w:tcPr>
            <w:tcW w:w="3300" w:type="dxa"/>
            <w:vAlign w:val="bottom"/>
            <w:shd w:val="clear" w:color="auto" w:fill="DBEEF4"/>
          </w:tcPr>
          <w:p>
            <w:pPr>
              <w:ind w:left="2300"/>
              <w:spacing w:after="0"/>
              <w:rPr>
                <w:sz w:val="20"/>
                <w:szCs w:val="20"/>
                <w:color w:val="auto"/>
              </w:rPr>
            </w:pPr>
            <w:r>
              <w:rPr>
                <w:rFonts w:ascii="Arial" w:cs="Arial" w:eastAsia="Arial" w:hAnsi="Arial"/>
                <w:sz w:val="8"/>
                <w:szCs w:val="8"/>
                <w:color w:val="auto"/>
              </w:rPr>
              <w:t>(L + 6.95%) / (0.00%)</w:t>
            </w:r>
          </w:p>
        </w:tc>
        <w:tc>
          <w:tcPr>
            <w:tcW w:w="820" w:type="dxa"/>
            <w:vAlign w:val="bottom"/>
            <w:shd w:val="clear" w:color="auto" w:fill="DBEEF4"/>
          </w:tcPr>
          <w:p>
            <w:pPr>
              <w:ind w:left="180"/>
              <w:spacing w:after="0"/>
              <w:rPr>
                <w:sz w:val="20"/>
                <w:szCs w:val="20"/>
                <w:color w:val="auto"/>
              </w:rPr>
            </w:pPr>
            <w:r>
              <w:rPr>
                <w:rFonts w:ascii="Arial" w:cs="Arial" w:eastAsia="Arial" w:hAnsi="Arial"/>
                <w:sz w:val="8"/>
                <w:szCs w:val="8"/>
                <w:color w:val="auto"/>
              </w:rPr>
              <w:t>7.10%/0.00%</w:t>
            </w:r>
          </w:p>
        </w:tc>
        <w:tc>
          <w:tcPr>
            <w:tcW w:w="640" w:type="dxa"/>
            <w:vAlign w:val="bottom"/>
            <w:shd w:val="clear" w:color="auto" w:fill="DBEEF4"/>
          </w:tcPr>
          <w:p>
            <w:pPr>
              <w:ind w:left="120"/>
              <w:spacing w:after="0"/>
              <w:rPr>
                <w:sz w:val="20"/>
                <w:szCs w:val="20"/>
                <w:color w:val="auto"/>
              </w:rPr>
            </w:pPr>
            <w:r>
              <w:rPr>
                <w:rFonts w:ascii="Arial" w:cs="Arial" w:eastAsia="Arial" w:hAnsi="Arial"/>
                <w:sz w:val="8"/>
                <w:szCs w:val="8"/>
                <w:color w:val="auto"/>
              </w:rPr>
              <w:t>12/20/2019</w:t>
            </w:r>
          </w:p>
        </w:tc>
        <w:tc>
          <w:tcPr>
            <w:tcW w:w="720" w:type="dxa"/>
            <w:vAlign w:val="bottom"/>
            <w:shd w:val="clear" w:color="auto" w:fill="DBEEF4"/>
          </w:tcPr>
          <w:p>
            <w:pPr>
              <w:ind w:left="120"/>
              <w:spacing w:after="0"/>
              <w:rPr>
                <w:sz w:val="20"/>
                <w:szCs w:val="20"/>
                <w:color w:val="auto"/>
              </w:rPr>
            </w:pPr>
            <w:r>
              <w:rPr>
                <w:rFonts w:ascii="Arial" w:cs="Arial" w:eastAsia="Arial" w:hAnsi="Arial"/>
                <w:sz w:val="8"/>
                <w:szCs w:val="8"/>
                <w:color w:val="auto"/>
              </w:rPr>
              <w:t>12/15/2019</w:t>
            </w:r>
          </w:p>
        </w:tc>
        <w:tc>
          <w:tcPr>
            <w:tcW w:w="700" w:type="dxa"/>
            <w:vAlign w:val="bottom"/>
            <w:shd w:val="clear" w:color="auto" w:fill="DBEEF4"/>
          </w:tcPr>
          <w:p>
            <w:pPr>
              <w:jc w:val="right"/>
              <w:ind w:right="198"/>
              <w:spacing w:after="0"/>
              <w:rPr>
                <w:sz w:val="20"/>
                <w:szCs w:val="20"/>
                <w:color w:val="auto"/>
              </w:rPr>
            </w:pPr>
            <w:r>
              <w:rPr>
                <w:rFonts w:ascii="Arial" w:cs="Arial" w:eastAsia="Arial" w:hAnsi="Arial"/>
                <w:sz w:val="8"/>
                <w:szCs w:val="8"/>
                <w:color w:val="auto"/>
              </w:rPr>
              <w:t>5,092</w:t>
            </w:r>
          </w:p>
        </w:tc>
        <w:tc>
          <w:tcPr>
            <w:tcW w:w="120" w:type="dxa"/>
            <w:vAlign w:val="bottom"/>
            <w:shd w:val="clear" w:color="auto" w:fill="DBEEF4"/>
          </w:tcPr>
          <w:p>
            <w:pPr>
              <w:spacing w:after="0"/>
              <w:rPr>
                <w:sz w:val="11"/>
                <w:szCs w:val="11"/>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5,092</w:t>
            </w:r>
          </w:p>
        </w:tc>
        <w:tc>
          <w:tcPr>
            <w:tcW w:w="700" w:type="dxa"/>
            <w:vAlign w:val="bottom"/>
            <w:gridSpan w:val="2"/>
            <w:shd w:val="clear" w:color="auto" w:fill="DBEEF4"/>
          </w:tcPr>
          <w:p>
            <w:pPr>
              <w:jc w:val="right"/>
              <w:spacing w:after="0"/>
              <w:rPr>
                <w:sz w:val="20"/>
                <w:szCs w:val="20"/>
                <w:color w:val="auto"/>
              </w:rPr>
            </w:pPr>
            <w:r>
              <w:rPr>
                <w:rFonts w:ascii="Arial" w:cs="Arial" w:eastAsia="Arial" w:hAnsi="Arial"/>
                <w:sz w:val="8"/>
                <w:szCs w:val="8"/>
                <w:color w:val="auto"/>
              </w:rPr>
              <w:t>5,092</w:t>
            </w:r>
          </w:p>
        </w:tc>
        <w:tc>
          <w:tcPr>
            <w:tcW w:w="720" w:type="dxa"/>
            <w:vAlign w:val="bottom"/>
            <w:shd w:val="clear" w:color="auto" w:fill="DBEEF4"/>
          </w:tcPr>
          <w:p>
            <w:pPr>
              <w:spacing w:after="0"/>
              <w:rPr>
                <w:sz w:val="11"/>
                <w:szCs w:val="11"/>
                <w:color w:val="auto"/>
              </w:rPr>
            </w:pPr>
          </w:p>
        </w:tc>
      </w:tr>
      <w:tr>
        <w:trPr>
          <w:trHeight w:val="120"/>
        </w:trPr>
        <w:tc>
          <w:tcPr>
            <w:tcW w:w="3080" w:type="dxa"/>
            <w:vAlign w:val="bottom"/>
          </w:tcPr>
          <w:p>
            <w:pPr>
              <w:ind w:left="100"/>
              <w:spacing w:after="0"/>
              <w:rPr>
                <w:sz w:val="20"/>
                <w:szCs w:val="20"/>
                <w:color w:val="auto"/>
              </w:rPr>
            </w:pPr>
            <w:r>
              <w:rPr>
                <w:rFonts w:ascii="Arial" w:cs="Arial" w:eastAsia="Arial" w:hAnsi="Arial"/>
                <w:sz w:val="8"/>
                <w:szCs w:val="8"/>
                <w:color w:val="auto"/>
              </w:rPr>
              <w:t>Preferred Equity (1,000,000 units) (h)(j)</w:t>
            </w:r>
          </w:p>
        </w:tc>
        <w:tc>
          <w:tcPr>
            <w:tcW w:w="3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8"/>
                <w:szCs w:val="8"/>
                <w:color w:val="auto"/>
              </w:rPr>
              <w:t>4/18/2018</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1,000</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w:t>
            </w:r>
          </w:p>
        </w:tc>
        <w:tc>
          <w:tcPr>
            <w:tcW w:w="720" w:type="dxa"/>
            <w:vAlign w:val="bottom"/>
          </w:tcPr>
          <w:p>
            <w:pPr>
              <w:spacing w:after="0"/>
              <w:rPr>
                <w:sz w:val="10"/>
                <w:szCs w:val="10"/>
                <w:color w:val="auto"/>
              </w:rPr>
            </w:pPr>
          </w:p>
        </w:tc>
      </w:tr>
      <w:tr>
        <w:trPr>
          <w:trHeight w:val="133"/>
        </w:trPr>
        <w:tc>
          <w:tcPr>
            <w:tcW w:w="3080" w:type="dxa"/>
            <w:vAlign w:val="bottom"/>
            <w:tcBorders>
              <w:bottom w:val="single" w:sz="8" w:color="DBEEF4"/>
            </w:tcBorders>
            <w:shd w:val="clear" w:color="auto" w:fill="DBEEF4"/>
          </w:tcPr>
          <w:p>
            <w:pPr>
              <w:ind w:left="100"/>
              <w:spacing w:after="0"/>
              <w:rPr>
                <w:sz w:val="20"/>
                <w:szCs w:val="20"/>
                <w:color w:val="auto"/>
              </w:rPr>
            </w:pPr>
            <w:r>
              <w:rPr>
                <w:rFonts w:ascii="Arial" w:cs="Arial" w:eastAsia="Arial" w:hAnsi="Arial"/>
                <w:sz w:val="8"/>
                <w:szCs w:val="8"/>
                <w:color w:val="auto"/>
              </w:rPr>
              <w:t>Common Equity (72,507 units) (h)(j)</w:t>
            </w:r>
          </w:p>
        </w:tc>
        <w:tc>
          <w:tcPr>
            <w:tcW w:w="3300" w:type="dxa"/>
            <w:vAlign w:val="bottom"/>
            <w:tcBorders>
              <w:bottom w:val="single" w:sz="8" w:color="DBEEF4"/>
            </w:tcBorders>
            <w:shd w:val="clear" w:color="auto" w:fill="DBEEF4"/>
          </w:tcPr>
          <w:p>
            <w:pPr>
              <w:spacing w:after="0"/>
              <w:rPr>
                <w:sz w:val="11"/>
                <w:szCs w:val="11"/>
                <w:color w:val="auto"/>
              </w:rPr>
            </w:pPr>
          </w:p>
        </w:tc>
        <w:tc>
          <w:tcPr>
            <w:tcW w:w="820" w:type="dxa"/>
            <w:vAlign w:val="bottom"/>
            <w:tcBorders>
              <w:bottom w:val="single" w:sz="8" w:color="DBEEF4"/>
            </w:tcBorders>
            <w:shd w:val="clear" w:color="auto" w:fill="DBEEF4"/>
          </w:tcPr>
          <w:p>
            <w:pPr>
              <w:spacing w:after="0"/>
              <w:rPr>
                <w:sz w:val="11"/>
                <w:szCs w:val="11"/>
                <w:color w:val="auto"/>
              </w:rPr>
            </w:pPr>
          </w:p>
        </w:tc>
        <w:tc>
          <w:tcPr>
            <w:tcW w:w="6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8"/>
                <w:szCs w:val="8"/>
                <w:color w:val="auto"/>
              </w:rPr>
              <w:t>9/23/2016</w:t>
            </w:r>
          </w:p>
        </w:tc>
        <w:tc>
          <w:tcPr>
            <w:tcW w:w="720" w:type="dxa"/>
            <w:vAlign w:val="bottom"/>
            <w:tcBorders>
              <w:bottom w:val="single" w:sz="8" w:color="DBEEF4"/>
            </w:tcBorders>
            <w:shd w:val="clear" w:color="auto" w:fill="DBEEF4"/>
          </w:tcPr>
          <w:p>
            <w:pPr>
              <w:spacing w:after="0"/>
              <w:rPr>
                <w:sz w:val="11"/>
                <w:szCs w:val="11"/>
                <w:color w:val="auto"/>
              </w:rPr>
            </w:pPr>
          </w:p>
        </w:tc>
        <w:tc>
          <w:tcPr>
            <w:tcW w:w="700" w:type="dxa"/>
            <w:vAlign w:val="bottom"/>
            <w:tcBorders>
              <w:bottom w:val="single" w:sz="8" w:color="DBEEF4"/>
            </w:tcBorders>
            <w:shd w:val="clear" w:color="auto" w:fill="DBEEF4"/>
          </w:tcPr>
          <w:p>
            <w:pPr>
              <w:spacing w:after="0"/>
              <w:rPr>
                <w:sz w:val="11"/>
                <w:szCs w:val="11"/>
                <w:color w:val="auto"/>
              </w:rPr>
            </w:pPr>
          </w:p>
        </w:tc>
        <w:tc>
          <w:tcPr>
            <w:tcW w:w="120" w:type="dxa"/>
            <w:vAlign w:val="bottom"/>
            <w:tcBorders>
              <w:bottom w:val="single" w:sz="8" w:color="auto"/>
            </w:tcBorders>
            <w:shd w:val="clear" w:color="auto" w:fill="DBEEF4"/>
          </w:tcPr>
          <w:p>
            <w:pPr>
              <w:spacing w:after="0"/>
              <w:rPr>
                <w:sz w:val="11"/>
                <w:szCs w:val="11"/>
                <w:color w:val="auto"/>
              </w:rPr>
            </w:pPr>
          </w:p>
        </w:tc>
        <w:tc>
          <w:tcPr>
            <w:tcW w:w="44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473</w:t>
            </w:r>
          </w:p>
        </w:tc>
        <w:tc>
          <w:tcPr>
            <w:tcW w:w="200" w:type="dxa"/>
            <w:vAlign w:val="bottom"/>
            <w:tcBorders>
              <w:bottom w:val="single" w:sz="8" w:color="DBEEF4"/>
            </w:tcBorders>
            <w:shd w:val="clear" w:color="auto" w:fill="DBEEF4"/>
          </w:tcPr>
          <w:p>
            <w:pPr>
              <w:spacing w:after="0"/>
              <w:rPr>
                <w:sz w:val="11"/>
                <w:szCs w:val="11"/>
                <w:color w:val="auto"/>
              </w:rPr>
            </w:pPr>
          </w:p>
        </w:tc>
        <w:tc>
          <w:tcPr>
            <w:tcW w:w="5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w:t>
            </w:r>
          </w:p>
        </w:tc>
        <w:tc>
          <w:tcPr>
            <w:tcW w:w="720" w:type="dxa"/>
            <w:vAlign w:val="bottom"/>
            <w:tcBorders>
              <w:bottom w:val="single" w:sz="8" w:color="DBEEF4"/>
            </w:tcBorders>
            <w:shd w:val="clear" w:color="auto" w:fill="DBEEF4"/>
          </w:tcPr>
          <w:p>
            <w:pPr>
              <w:spacing w:after="0"/>
              <w:rPr>
                <w:sz w:val="11"/>
                <w:szCs w:val="11"/>
                <w:color w:val="auto"/>
              </w:rPr>
            </w:pPr>
          </w:p>
        </w:tc>
      </w:tr>
      <w:tr>
        <w:trPr>
          <w:trHeight w:val="113"/>
        </w:trPr>
        <w:tc>
          <w:tcPr>
            <w:tcW w:w="30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22,828</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19,932</w:t>
            </w:r>
          </w:p>
        </w:tc>
        <w:tc>
          <w:tcPr>
            <w:tcW w:w="720" w:type="dxa"/>
            <w:vAlign w:val="bottom"/>
          </w:tcPr>
          <w:p>
            <w:pPr>
              <w:jc w:val="right"/>
              <w:spacing w:after="0"/>
              <w:rPr>
                <w:sz w:val="20"/>
                <w:szCs w:val="20"/>
                <w:color w:val="auto"/>
              </w:rPr>
            </w:pPr>
            <w:r>
              <w:rPr>
                <w:rFonts w:ascii="Arial" w:cs="Arial" w:eastAsia="Arial" w:hAnsi="Arial"/>
                <w:sz w:val="8"/>
                <w:szCs w:val="8"/>
                <w:color w:val="auto"/>
              </w:rPr>
              <w:t>5 %</w:t>
            </w:r>
          </w:p>
        </w:tc>
      </w:tr>
      <w:tr>
        <w:trPr>
          <w:trHeight w:val="134"/>
        </w:trPr>
        <w:tc>
          <w:tcPr>
            <w:tcW w:w="3080" w:type="dxa"/>
            <w:vAlign w:val="bottom"/>
            <w:shd w:val="clear" w:color="auto" w:fill="DBEEF4"/>
          </w:tcPr>
          <w:p>
            <w:pPr>
              <w:ind w:left="20"/>
              <w:spacing w:after="0"/>
              <w:rPr>
                <w:sz w:val="20"/>
                <w:szCs w:val="20"/>
                <w:color w:val="auto"/>
              </w:rPr>
            </w:pPr>
            <w:r>
              <w:rPr>
                <w:rFonts w:ascii="Arial" w:cs="Arial" w:eastAsia="Arial" w:hAnsi="Arial"/>
                <w:sz w:val="8"/>
                <w:szCs w:val="8"/>
                <w:i w:val="1"/>
                <w:iCs w:val="1"/>
                <w:color w:val="auto"/>
              </w:rPr>
              <w:t>Hub Acquisition Sub, LLC (dba Hub Pen)</w:t>
            </w:r>
          </w:p>
        </w:tc>
        <w:tc>
          <w:tcPr>
            <w:tcW w:w="3300" w:type="dxa"/>
            <w:vAlign w:val="bottom"/>
            <w:shd w:val="clear" w:color="auto" w:fill="DBEEF4"/>
          </w:tcPr>
          <w:p>
            <w:pPr>
              <w:ind w:left="640"/>
              <w:spacing w:after="0"/>
              <w:rPr>
                <w:sz w:val="20"/>
                <w:szCs w:val="20"/>
                <w:color w:val="auto"/>
              </w:rPr>
            </w:pPr>
            <w:r>
              <w:rPr>
                <w:rFonts w:ascii="Arial" w:cs="Arial" w:eastAsia="Arial" w:hAnsi="Arial"/>
                <w:sz w:val="8"/>
                <w:szCs w:val="8"/>
                <w:color w:val="auto"/>
              </w:rPr>
              <w:t>Promotional products</w:t>
            </w: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44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50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r>
      <w:tr>
        <w:trPr>
          <w:trHeight w:val="120"/>
        </w:trPr>
        <w:tc>
          <w:tcPr>
            <w:tcW w:w="3080" w:type="dxa"/>
            <w:vAlign w:val="bottom"/>
          </w:tcPr>
          <w:p>
            <w:pPr>
              <w:ind w:left="100"/>
              <w:spacing w:after="0"/>
              <w:rPr>
                <w:sz w:val="20"/>
                <w:szCs w:val="20"/>
                <w:color w:val="auto"/>
              </w:rPr>
            </w:pPr>
            <w:r>
              <w:rPr>
                <w:rFonts w:ascii="Arial" w:cs="Arial" w:eastAsia="Arial" w:hAnsi="Arial"/>
                <w:sz w:val="8"/>
                <w:szCs w:val="8"/>
                <w:color w:val="auto"/>
              </w:rPr>
              <w:t>Second Lien Debt (k)</w:t>
            </w:r>
          </w:p>
        </w:tc>
        <w:tc>
          <w:tcPr>
            <w:tcW w:w="3300" w:type="dxa"/>
            <w:vAlign w:val="bottom"/>
          </w:tcPr>
          <w:p>
            <w:pPr>
              <w:spacing w:after="0"/>
              <w:rPr>
                <w:sz w:val="10"/>
                <w:szCs w:val="10"/>
                <w:color w:val="auto"/>
              </w:rPr>
            </w:pPr>
          </w:p>
        </w:tc>
        <w:tc>
          <w:tcPr>
            <w:tcW w:w="820" w:type="dxa"/>
            <w:vAlign w:val="bottom"/>
          </w:tcPr>
          <w:p>
            <w:pPr>
              <w:ind w:left="180"/>
              <w:spacing w:after="0"/>
              <w:rPr>
                <w:sz w:val="20"/>
                <w:szCs w:val="20"/>
                <w:color w:val="auto"/>
              </w:rPr>
            </w:pPr>
            <w:r>
              <w:rPr>
                <w:rFonts w:ascii="Arial" w:cs="Arial" w:eastAsia="Arial" w:hAnsi="Arial"/>
                <w:sz w:val="8"/>
                <w:szCs w:val="8"/>
                <w:color w:val="auto"/>
              </w:rPr>
              <w:t>13.00%/0.00%</w:t>
            </w:r>
          </w:p>
        </w:tc>
        <w:tc>
          <w:tcPr>
            <w:tcW w:w="640" w:type="dxa"/>
            <w:vAlign w:val="bottom"/>
          </w:tcPr>
          <w:p>
            <w:pPr>
              <w:ind w:left="120"/>
              <w:spacing w:after="0"/>
              <w:rPr>
                <w:sz w:val="20"/>
                <w:szCs w:val="20"/>
                <w:color w:val="auto"/>
              </w:rPr>
            </w:pPr>
            <w:r>
              <w:rPr>
                <w:rFonts w:ascii="Arial" w:cs="Arial" w:eastAsia="Arial" w:hAnsi="Arial"/>
                <w:sz w:val="8"/>
                <w:szCs w:val="8"/>
                <w:color w:val="auto"/>
              </w:rPr>
              <w:t>3/23/2016</w:t>
            </w:r>
          </w:p>
        </w:tc>
        <w:tc>
          <w:tcPr>
            <w:tcW w:w="720" w:type="dxa"/>
            <w:vAlign w:val="bottom"/>
          </w:tcPr>
          <w:p>
            <w:pPr>
              <w:ind w:left="120"/>
              <w:spacing w:after="0"/>
              <w:rPr>
                <w:sz w:val="20"/>
                <w:szCs w:val="20"/>
                <w:color w:val="auto"/>
              </w:rPr>
            </w:pPr>
            <w:r>
              <w:rPr>
                <w:rFonts w:ascii="Arial" w:cs="Arial" w:eastAsia="Arial" w:hAnsi="Arial"/>
                <w:sz w:val="8"/>
                <w:szCs w:val="8"/>
                <w:color w:val="auto"/>
              </w:rPr>
              <w:t>3/31/2023</w:t>
            </w:r>
          </w:p>
        </w:tc>
        <w:tc>
          <w:tcPr>
            <w:tcW w:w="700" w:type="dxa"/>
            <w:vAlign w:val="bottom"/>
          </w:tcPr>
          <w:p>
            <w:pPr>
              <w:jc w:val="right"/>
              <w:ind w:right="198"/>
              <w:spacing w:after="0"/>
              <w:rPr>
                <w:sz w:val="20"/>
                <w:szCs w:val="20"/>
                <w:color w:val="auto"/>
              </w:rPr>
            </w:pPr>
            <w:r>
              <w:rPr>
                <w:rFonts w:ascii="Arial" w:cs="Arial" w:eastAsia="Arial" w:hAnsi="Arial"/>
                <w:sz w:val="8"/>
                <w:szCs w:val="8"/>
                <w:color w:val="auto"/>
              </w:rPr>
              <w:t>25,000</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24,976</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24,106</w:t>
            </w:r>
          </w:p>
        </w:tc>
        <w:tc>
          <w:tcPr>
            <w:tcW w:w="720" w:type="dxa"/>
            <w:vAlign w:val="bottom"/>
          </w:tcPr>
          <w:p>
            <w:pPr>
              <w:spacing w:after="0"/>
              <w:rPr>
                <w:sz w:val="10"/>
                <w:szCs w:val="10"/>
                <w:color w:val="auto"/>
              </w:rPr>
            </w:pPr>
          </w:p>
        </w:tc>
      </w:tr>
      <w:tr>
        <w:trPr>
          <w:trHeight w:val="134"/>
        </w:trPr>
        <w:tc>
          <w:tcPr>
            <w:tcW w:w="3080" w:type="dxa"/>
            <w:vAlign w:val="bottom"/>
            <w:shd w:val="clear" w:color="auto" w:fill="DBEEF4"/>
          </w:tcPr>
          <w:p>
            <w:pPr>
              <w:ind w:left="100"/>
              <w:spacing w:after="0"/>
              <w:rPr>
                <w:sz w:val="20"/>
                <w:szCs w:val="20"/>
                <w:color w:val="auto"/>
              </w:rPr>
            </w:pPr>
            <w:r>
              <w:rPr>
                <w:rFonts w:ascii="Arial" w:cs="Arial" w:eastAsia="Arial" w:hAnsi="Arial"/>
                <w:sz w:val="8"/>
                <w:szCs w:val="8"/>
                <w:color w:val="auto"/>
              </w:rPr>
              <w:t>Common Equity (3,750 units)</w:t>
            </w:r>
          </w:p>
        </w:tc>
        <w:tc>
          <w:tcPr>
            <w:tcW w:w="3300" w:type="dxa"/>
            <w:vAlign w:val="bottom"/>
            <w:shd w:val="clear" w:color="auto" w:fill="DBEEF4"/>
          </w:tcPr>
          <w:p>
            <w:pPr>
              <w:spacing w:after="0"/>
              <w:rPr>
                <w:sz w:val="11"/>
                <w:szCs w:val="11"/>
                <w:color w:val="auto"/>
              </w:rPr>
            </w:pP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ind w:left="120"/>
              <w:spacing w:after="0"/>
              <w:rPr>
                <w:sz w:val="20"/>
                <w:szCs w:val="20"/>
                <w:color w:val="auto"/>
              </w:rPr>
            </w:pPr>
            <w:r>
              <w:rPr>
                <w:rFonts w:ascii="Arial" w:cs="Arial" w:eastAsia="Arial" w:hAnsi="Arial"/>
                <w:sz w:val="8"/>
                <w:szCs w:val="8"/>
                <w:color w:val="auto"/>
              </w:rPr>
              <w:t>3/23/2016</w:t>
            </w: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131</w:t>
            </w:r>
          </w:p>
        </w:tc>
        <w:tc>
          <w:tcPr>
            <w:tcW w:w="700" w:type="dxa"/>
            <w:vAlign w:val="bottom"/>
            <w:gridSpan w:val="2"/>
            <w:shd w:val="clear" w:color="auto" w:fill="DBEEF4"/>
          </w:tcPr>
          <w:p>
            <w:pPr>
              <w:jc w:val="right"/>
              <w:spacing w:after="0"/>
              <w:rPr>
                <w:sz w:val="20"/>
                <w:szCs w:val="20"/>
                <w:color w:val="auto"/>
              </w:rPr>
            </w:pPr>
            <w:r>
              <w:rPr>
                <w:rFonts w:ascii="Arial" w:cs="Arial" w:eastAsia="Arial" w:hAnsi="Arial"/>
                <w:sz w:val="8"/>
                <w:szCs w:val="8"/>
                <w:color w:val="auto"/>
              </w:rPr>
              <w:t>283</w:t>
            </w:r>
          </w:p>
        </w:tc>
        <w:tc>
          <w:tcPr>
            <w:tcW w:w="720" w:type="dxa"/>
            <w:vAlign w:val="bottom"/>
            <w:shd w:val="clear" w:color="auto" w:fill="DBEEF4"/>
          </w:tcPr>
          <w:p>
            <w:pPr>
              <w:spacing w:after="0"/>
              <w:rPr>
                <w:sz w:val="11"/>
                <w:szCs w:val="11"/>
                <w:color w:val="auto"/>
              </w:rPr>
            </w:pPr>
          </w:p>
        </w:tc>
      </w:tr>
      <w:tr>
        <w:trPr>
          <w:trHeight w:val="126"/>
        </w:trPr>
        <w:tc>
          <w:tcPr>
            <w:tcW w:w="3080" w:type="dxa"/>
            <w:vAlign w:val="bottom"/>
          </w:tcPr>
          <w:p>
            <w:pPr>
              <w:ind w:left="100"/>
              <w:spacing w:after="0"/>
              <w:rPr>
                <w:sz w:val="20"/>
                <w:szCs w:val="20"/>
                <w:color w:val="auto"/>
              </w:rPr>
            </w:pPr>
            <w:r>
              <w:rPr>
                <w:rFonts w:ascii="Arial" w:cs="Arial" w:eastAsia="Arial" w:hAnsi="Arial"/>
                <w:sz w:val="8"/>
                <w:szCs w:val="8"/>
                <w:color w:val="auto"/>
              </w:rPr>
              <w:t>Preferred Equity (868 units) (j)</w:t>
            </w:r>
          </w:p>
        </w:tc>
        <w:tc>
          <w:tcPr>
            <w:tcW w:w="3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8"/>
                <w:szCs w:val="8"/>
                <w:color w:val="auto"/>
              </w:rPr>
              <w:t>10/16/2020</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154</w:t>
            </w:r>
          </w:p>
        </w:tc>
        <w:tc>
          <w:tcPr>
            <w:tcW w:w="200" w:type="dxa"/>
            <w:vAlign w:val="bottom"/>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158</w:t>
            </w:r>
          </w:p>
        </w:tc>
        <w:tc>
          <w:tcPr>
            <w:tcW w:w="720" w:type="dxa"/>
            <w:vAlign w:val="bottom"/>
          </w:tcPr>
          <w:p>
            <w:pPr>
              <w:spacing w:after="0"/>
              <w:rPr>
                <w:sz w:val="10"/>
                <w:szCs w:val="10"/>
                <w:color w:val="auto"/>
              </w:rPr>
            </w:pPr>
          </w:p>
        </w:tc>
      </w:tr>
      <w:tr>
        <w:trPr>
          <w:trHeight w:val="120"/>
        </w:trPr>
        <w:tc>
          <w:tcPr>
            <w:tcW w:w="3080" w:type="dxa"/>
            <w:vAlign w:val="bottom"/>
            <w:shd w:val="clear" w:color="auto" w:fill="DBEEF4"/>
          </w:tcPr>
          <w:p>
            <w:pPr>
              <w:spacing w:after="0"/>
              <w:rPr>
                <w:sz w:val="10"/>
                <w:szCs w:val="10"/>
                <w:color w:val="auto"/>
              </w:rPr>
            </w:pPr>
          </w:p>
        </w:tc>
        <w:tc>
          <w:tcPr>
            <w:tcW w:w="3300" w:type="dxa"/>
            <w:vAlign w:val="bottom"/>
            <w:shd w:val="clear" w:color="auto" w:fill="DBEEF4"/>
          </w:tcPr>
          <w:p>
            <w:pPr>
              <w:spacing w:after="0"/>
              <w:rPr>
                <w:sz w:val="10"/>
                <w:szCs w:val="10"/>
                <w:color w:val="auto"/>
              </w:rPr>
            </w:pPr>
          </w:p>
        </w:tc>
        <w:tc>
          <w:tcPr>
            <w:tcW w:w="820" w:type="dxa"/>
            <w:vAlign w:val="bottom"/>
            <w:shd w:val="clear" w:color="auto" w:fill="DBEEF4"/>
          </w:tcPr>
          <w:p>
            <w:pPr>
              <w:spacing w:after="0"/>
              <w:rPr>
                <w:sz w:val="10"/>
                <w:szCs w:val="10"/>
                <w:color w:val="auto"/>
              </w:rPr>
            </w:pPr>
          </w:p>
        </w:tc>
        <w:tc>
          <w:tcPr>
            <w:tcW w:w="640" w:type="dxa"/>
            <w:vAlign w:val="bottom"/>
            <w:shd w:val="clear" w:color="auto" w:fill="DBEEF4"/>
          </w:tcPr>
          <w:p>
            <w:pPr>
              <w:spacing w:after="0"/>
              <w:rPr>
                <w:sz w:val="10"/>
                <w:szCs w:val="10"/>
                <w:color w:val="auto"/>
              </w:rPr>
            </w:pPr>
          </w:p>
        </w:tc>
        <w:tc>
          <w:tcPr>
            <w:tcW w:w="720" w:type="dxa"/>
            <w:vAlign w:val="bottom"/>
            <w:shd w:val="clear" w:color="auto" w:fill="DBEEF4"/>
          </w:tcPr>
          <w:p>
            <w:pPr>
              <w:spacing w:after="0"/>
              <w:rPr>
                <w:sz w:val="10"/>
                <w:szCs w:val="10"/>
                <w:color w:val="auto"/>
              </w:rPr>
            </w:pPr>
          </w:p>
        </w:tc>
        <w:tc>
          <w:tcPr>
            <w:tcW w:w="700" w:type="dxa"/>
            <w:vAlign w:val="bottom"/>
            <w:shd w:val="clear" w:color="auto" w:fill="DBEEF4"/>
          </w:tcPr>
          <w:p>
            <w:pPr>
              <w:spacing w:after="0"/>
              <w:rPr>
                <w:sz w:val="10"/>
                <w:szCs w:val="10"/>
                <w:color w:val="auto"/>
              </w:rPr>
            </w:pPr>
          </w:p>
        </w:tc>
        <w:tc>
          <w:tcPr>
            <w:tcW w:w="120" w:type="dxa"/>
            <w:vAlign w:val="bottom"/>
            <w:shd w:val="clear" w:color="auto" w:fill="DBEEF4"/>
          </w:tcPr>
          <w:p>
            <w:pPr>
              <w:spacing w:after="0"/>
              <w:rPr>
                <w:sz w:val="10"/>
                <w:szCs w:val="10"/>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25,261</w:t>
            </w:r>
          </w:p>
        </w:tc>
        <w:tc>
          <w:tcPr>
            <w:tcW w:w="700" w:type="dxa"/>
            <w:vAlign w:val="bottom"/>
            <w:gridSpan w:val="2"/>
            <w:shd w:val="clear" w:color="auto" w:fill="DBEEF4"/>
          </w:tcPr>
          <w:p>
            <w:pPr>
              <w:jc w:val="right"/>
              <w:spacing w:after="0"/>
              <w:rPr>
                <w:sz w:val="20"/>
                <w:szCs w:val="20"/>
                <w:color w:val="auto"/>
              </w:rPr>
            </w:pPr>
            <w:r>
              <w:rPr>
                <w:rFonts w:ascii="Arial" w:cs="Arial" w:eastAsia="Arial" w:hAnsi="Arial"/>
                <w:sz w:val="8"/>
                <w:szCs w:val="8"/>
                <w:color w:val="auto"/>
              </w:rPr>
              <w:t>24,547</w:t>
            </w:r>
          </w:p>
        </w:tc>
        <w:tc>
          <w:tcPr>
            <w:tcW w:w="720" w:type="dxa"/>
            <w:vAlign w:val="bottom"/>
            <w:shd w:val="clear" w:color="auto" w:fill="DBEEF4"/>
          </w:tcPr>
          <w:p>
            <w:pPr>
              <w:jc w:val="right"/>
              <w:spacing w:after="0"/>
              <w:rPr>
                <w:sz w:val="20"/>
                <w:szCs w:val="20"/>
                <w:color w:val="auto"/>
              </w:rPr>
            </w:pPr>
            <w:r>
              <w:rPr>
                <w:rFonts w:ascii="Arial" w:cs="Arial" w:eastAsia="Arial" w:hAnsi="Arial"/>
                <w:sz w:val="8"/>
                <w:szCs w:val="8"/>
                <w:color w:val="auto"/>
              </w:rPr>
              <w:t>6 %</w:t>
            </w:r>
          </w:p>
        </w:tc>
      </w:tr>
      <w:tr>
        <w:trPr>
          <w:trHeight w:val="120"/>
        </w:trPr>
        <w:tc>
          <w:tcPr>
            <w:tcW w:w="3080" w:type="dxa"/>
            <w:vAlign w:val="bottom"/>
          </w:tcPr>
          <w:p>
            <w:pPr>
              <w:ind w:left="20"/>
              <w:spacing w:after="0"/>
              <w:rPr>
                <w:sz w:val="20"/>
                <w:szCs w:val="20"/>
                <w:color w:val="auto"/>
              </w:rPr>
            </w:pPr>
            <w:r>
              <w:rPr>
                <w:rFonts w:ascii="Arial" w:cs="Arial" w:eastAsia="Arial" w:hAnsi="Arial"/>
                <w:sz w:val="8"/>
                <w:szCs w:val="8"/>
                <w:i w:val="1"/>
                <w:iCs w:val="1"/>
                <w:color w:val="auto"/>
              </w:rPr>
              <w:t>IBH Holdings, LLC (fka Inflexxion, Inc.)</w:t>
            </w:r>
          </w:p>
        </w:tc>
        <w:tc>
          <w:tcPr>
            <w:tcW w:w="3300" w:type="dxa"/>
            <w:vAlign w:val="bottom"/>
          </w:tcPr>
          <w:p>
            <w:pPr>
              <w:ind w:left="640"/>
              <w:spacing w:after="0"/>
              <w:rPr>
                <w:sz w:val="20"/>
                <w:szCs w:val="20"/>
                <w:color w:val="auto"/>
              </w:rPr>
            </w:pPr>
            <w:r>
              <w:rPr>
                <w:rFonts w:ascii="Arial" w:cs="Arial" w:eastAsia="Arial" w:hAnsi="Arial"/>
                <w:sz w:val="8"/>
                <w:szCs w:val="8"/>
                <w:color w:val="auto"/>
              </w:rPr>
              <w:t>Business Services</w:t>
            </w: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34"/>
        </w:trPr>
        <w:tc>
          <w:tcPr>
            <w:tcW w:w="3080" w:type="dxa"/>
            <w:vAlign w:val="bottom"/>
            <w:shd w:val="clear" w:color="auto" w:fill="DBEEF4"/>
          </w:tcPr>
          <w:p>
            <w:pPr>
              <w:ind w:left="100"/>
              <w:spacing w:after="0"/>
              <w:rPr>
                <w:sz w:val="20"/>
                <w:szCs w:val="20"/>
                <w:color w:val="auto"/>
              </w:rPr>
            </w:pPr>
            <w:r>
              <w:rPr>
                <w:rFonts w:ascii="Arial" w:cs="Arial" w:eastAsia="Arial" w:hAnsi="Arial"/>
                <w:sz w:val="8"/>
                <w:szCs w:val="8"/>
                <w:color w:val="auto"/>
              </w:rPr>
              <w:t>Common Equity (150,000 units)</w:t>
            </w:r>
          </w:p>
        </w:tc>
        <w:tc>
          <w:tcPr>
            <w:tcW w:w="3300" w:type="dxa"/>
            <w:vAlign w:val="bottom"/>
            <w:shd w:val="clear" w:color="auto" w:fill="DBEEF4"/>
          </w:tcPr>
          <w:p>
            <w:pPr>
              <w:spacing w:after="0"/>
              <w:rPr>
                <w:sz w:val="11"/>
                <w:szCs w:val="11"/>
                <w:color w:val="auto"/>
              </w:rPr>
            </w:pP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ind w:left="120"/>
              <w:spacing w:after="0"/>
              <w:rPr>
                <w:sz w:val="20"/>
                <w:szCs w:val="20"/>
                <w:color w:val="auto"/>
              </w:rPr>
            </w:pPr>
            <w:r>
              <w:rPr>
                <w:rFonts w:ascii="Arial" w:cs="Arial" w:eastAsia="Arial" w:hAnsi="Arial"/>
                <w:sz w:val="8"/>
                <w:szCs w:val="8"/>
                <w:color w:val="auto"/>
              </w:rPr>
              <w:t>6/20/2018</w:t>
            </w: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w:t>
            </w:r>
          </w:p>
        </w:tc>
        <w:tc>
          <w:tcPr>
            <w:tcW w:w="700" w:type="dxa"/>
            <w:vAlign w:val="bottom"/>
            <w:gridSpan w:val="2"/>
            <w:shd w:val="clear" w:color="auto" w:fill="DBEEF4"/>
          </w:tcPr>
          <w:p>
            <w:pPr>
              <w:jc w:val="right"/>
              <w:spacing w:after="0"/>
              <w:rPr>
                <w:sz w:val="20"/>
                <w:szCs w:val="20"/>
                <w:color w:val="auto"/>
              </w:rPr>
            </w:pPr>
            <w:r>
              <w:rPr>
                <w:rFonts w:ascii="Arial" w:cs="Arial" w:eastAsia="Arial" w:hAnsi="Arial"/>
                <w:sz w:val="8"/>
                <w:szCs w:val="8"/>
                <w:color w:val="auto"/>
              </w:rPr>
              <w:t>235</w:t>
            </w:r>
          </w:p>
        </w:tc>
        <w:tc>
          <w:tcPr>
            <w:tcW w:w="720" w:type="dxa"/>
            <w:vAlign w:val="bottom"/>
            <w:shd w:val="clear" w:color="auto" w:fill="DBEEF4"/>
          </w:tcPr>
          <w:p>
            <w:pPr>
              <w:jc w:val="right"/>
              <w:spacing w:after="0"/>
              <w:rPr>
                <w:sz w:val="20"/>
                <w:szCs w:val="20"/>
                <w:color w:val="auto"/>
              </w:rPr>
            </w:pPr>
            <w:r>
              <w:rPr>
                <w:rFonts w:ascii="Arial" w:cs="Arial" w:eastAsia="Arial" w:hAnsi="Arial"/>
                <w:sz w:val="8"/>
                <w:szCs w:val="8"/>
                <w:color w:val="auto"/>
              </w:rPr>
              <w:t>0 %</w:t>
            </w:r>
          </w:p>
        </w:tc>
      </w:tr>
      <w:tr>
        <w:trPr>
          <w:trHeight w:val="127"/>
        </w:trPr>
        <w:tc>
          <w:tcPr>
            <w:tcW w:w="308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7"/>
        </w:trPr>
        <w:tc>
          <w:tcPr>
            <w:tcW w:w="3080" w:type="dxa"/>
            <w:vAlign w:val="bottom"/>
            <w:shd w:val="clear" w:color="auto" w:fill="DBEEF4"/>
          </w:tcPr>
          <w:p>
            <w:pPr>
              <w:ind w:left="20"/>
              <w:spacing w:after="0"/>
              <w:rPr>
                <w:sz w:val="20"/>
                <w:szCs w:val="20"/>
                <w:color w:val="auto"/>
              </w:rPr>
            </w:pPr>
            <w:r>
              <w:rPr>
                <w:rFonts w:ascii="Arial" w:cs="Arial" w:eastAsia="Arial" w:hAnsi="Arial"/>
                <w:sz w:val="8"/>
                <w:szCs w:val="8"/>
                <w:i w:val="1"/>
                <w:iCs w:val="1"/>
                <w:color w:val="auto"/>
              </w:rPr>
              <w:t>Ipro Tech, LLC</w:t>
            </w:r>
          </w:p>
        </w:tc>
        <w:tc>
          <w:tcPr>
            <w:tcW w:w="3300" w:type="dxa"/>
            <w:vAlign w:val="bottom"/>
            <w:shd w:val="clear" w:color="auto" w:fill="DBEEF4"/>
          </w:tcPr>
          <w:p>
            <w:pPr>
              <w:ind w:left="640"/>
              <w:spacing w:after="0"/>
              <w:rPr>
                <w:sz w:val="20"/>
                <w:szCs w:val="20"/>
                <w:color w:val="auto"/>
              </w:rPr>
            </w:pPr>
            <w:r>
              <w:rPr>
                <w:rFonts w:ascii="Arial" w:cs="Arial" w:eastAsia="Arial" w:hAnsi="Arial"/>
                <w:sz w:val="8"/>
                <w:szCs w:val="8"/>
                <w:color w:val="auto"/>
              </w:rPr>
              <w:t>Information Technology Services</w:t>
            </w: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44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50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r>
      <w:tr>
        <w:trPr>
          <w:trHeight w:val="120"/>
        </w:trPr>
        <w:tc>
          <w:tcPr>
            <w:tcW w:w="3080" w:type="dxa"/>
            <w:vAlign w:val="bottom"/>
          </w:tcPr>
          <w:p>
            <w:pPr>
              <w:ind w:left="100"/>
              <w:spacing w:after="0"/>
              <w:rPr>
                <w:sz w:val="20"/>
                <w:szCs w:val="20"/>
                <w:color w:val="auto"/>
              </w:rPr>
            </w:pPr>
            <w:r>
              <w:rPr>
                <w:rFonts w:ascii="Arial" w:cs="Arial" w:eastAsia="Arial" w:hAnsi="Arial"/>
                <w:sz w:val="8"/>
                <w:szCs w:val="8"/>
                <w:color w:val="auto"/>
              </w:rPr>
              <w:t>First Lien Debt (j)(u)</w:t>
            </w:r>
          </w:p>
        </w:tc>
        <w:tc>
          <w:tcPr>
            <w:tcW w:w="3300" w:type="dxa"/>
            <w:vAlign w:val="bottom"/>
          </w:tcPr>
          <w:p>
            <w:pPr>
              <w:ind w:left="2300"/>
              <w:spacing w:after="0"/>
              <w:rPr>
                <w:sz w:val="20"/>
                <w:szCs w:val="20"/>
                <w:color w:val="auto"/>
              </w:rPr>
            </w:pPr>
            <w:r>
              <w:rPr>
                <w:rFonts w:ascii="Arial" w:cs="Arial" w:eastAsia="Arial" w:hAnsi="Arial"/>
                <w:sz w:val="8"/>
                <w:szCs w:val="8"/>
                <w:color w:val="auto"/>
              </w:rPr>
              <w:t>(L + 8.50%) / (2.00%)</w:t>
            </w:r>
          </w:p>
        </w:tc>
        <w:tc>
          <w:tcPr>
            <w:tcW w:w="820" w:type="dxa"/>
            <w:vAlign w:val="bottom"/>
          </w:tcPr>
          <w:p>
            <w:pPr>
              <w:ind w:left="180"/>
              <w:spacing w:after="0"/>
              <w:rPr>
                <w:sz w:val="20"/>
                <w:szCs w:val="20"/>
                <w:color w:val="auto"/>
              </w:rPr>
            </w:pPr>
            <w:r>
              <w:rPr>
                <w:rFonts w:ascii="Arial" w:cs="Arial" w:eastAsia="Arial" w:hAnsi="Arial"/>
                <w:sz w:val="8"/>
                <w:szCs w:val="8"/>
                <w:color w:val="auto"/>
              </w:rPr>
              <w:t>10.50%/0.00%</w:t>
            </w:r>
          </w:p>
        </w:tc>
        <w:tc>
          <w:tcPr>
            <w:tcW w:w="640" w:type="dxa"/>
            <w:vAlign w:val="bottom"/>
          </w:tcPr>
          <w:p>
            <w:pPr>
              <w:ind w:left="120"/>
              <w:spacing w:after="0"/>
              <w:rPr>
                <w:sz w:val="20"/>
                <w:szCs w:val="20"/>
                <w:color w:val="auto"/>
              </w:rPr>
            </w:pPr>
            <w:r>
              <w:rPr>
                <w:rFonts w:ascii="Arial" w:cs="Arial" w:eastAsia="Arial" w:hAnsi="Arial"/>
                <w:sz w:val="8"/>
                <w:szCs w:val="8"/>
                <w:color w:val="auto"/>
              </w:rPr>
              <w:t>6/30/2020</w:t>
            </w:r>
          </w:p>
        </w:tc>
        <w:tc>
          <w:tcPr>
            <w:tcW w:w="720" w:type="dxa"/>
            <w:vAlign w:val="bottom"/>
          </w:tcPr>
          <w:p>
            <w:pPr>
              <w:ind w:left="120"/>
              <w:spacing w:after="0"/>
              <w:rPr>
                <w:sz w:val="20"/>
                <w:szCs w:val="20"/>
                <w:color w:val="auto"/>
              </w:rPr>
            </w:pPr>
            <w:r>
              <w:rPr>
                <w:rFonts w:ascii="Arial" w:cs="Arial" w:eastAsia="Arial" w:hAnsi="Arial"/>
                <w:sz w:val="8"/>
                <w:szCs w:val="8"/>
                <w:color w:val="auto"/>
              </w:rPr>
              <w:t>6/30/2025</w:t>
            </w:r>
          </w:p>
        </w:tc>
        <w:tc>
          <w:tcPr>
            <w:tcW w:w="700" w:type="dxa"/>
            <w:vAlign w:val="bottom"/>
          </w:tcPr>
          <w:p>
            <w:pPr>
              <w:jc w:val="right"/>
              <w:ind w:right="198"/>
              <w:spacing w:after="0"/>
              <w:rPr>
                <w:sz w:val="20"/>
                <w:szCs w:val="20"/>
                <w:color w:val="auto"/>
              </w:rPr>
            </w:pPr>
            <w:r>
              <w:rPr>
                <w:rFonts w:ascii="Arial" w:cs="Arial" w:eastAsia="Arial" w:hAnsi="Arial"/>
                <w:sz w:val="8"/>
                <w:szCs w:val="8"/>
                <w:color w:val="auto"/>
              </w:rPr>
              <w:t>2,469</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1,923</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2,469</w:t>
            </w:r>
          </w:p>
        </w:tc>
        <w:tc>
          <w:tcPr>
            <w:tcW w:w="720" w:type="dxa"/>
            <w:vAlign w:val="bottom"/>
          </w:tcPr>
          <w:p>
            <w:pPr>
              <w:jc w:val="right"/>
              <w:spacing w:after="0"/>
              <w:rPr>
                <w:sz w:val="20"/>
                <w:szCs w:val="20"/>
                <w:color w:val="auto"/>
              </w:rPr>
            </w:pPr>
            <w:r>
              <w:rPr>
                <w:rFonts w:ascii="Arial" w:cs="Arial" w:eastAsia="Arial" w:hAnsi="Arial"/>
                <w:sz w:val="8"/>
                <w:szCs w:val="8"/>
                <w:color w:val="auto"/>
              </w:rPr>
              <w:t>1 %</w:t>
            </w:r>
          </w:p>
        </w:tc>
      </w:tr>
      <w:tr>
        <w:trPr>
          <w:trHeight w:val="134"/>
        </w:trPr>
        <w:tc>
          <w:tcPr>
            <w:tcW w:w="3080" w:type="dxa"/>
            <w:vAlign w:val="bottom"/>
            <w:shd w:val="clear" w:color="auto" w:fill="DBEEF4"/>
          </w:tcPr>
          <w:p>
            <w:pPr>
              <w:spacing w:after="0"/>
              <w:rPr>
                <w:sz w:val="11"/>
                <w:szCs w:val="11"/>
                <w:color w:val="auto"/>
              </w:rPr>
            </w:pPr>
          </w:p>
        </w:tc>
        <w:tc>
          <w:tcPr>
            <w:tcW w:w="3300" w:type="dxa"/>
            <w:vAlign w:val="bottom"/>
            <w:shd w:val="clear" w:color="auto" w:fill="DBEEF4"/>
          </w:tcPr>
          <w:p>
            <w:pPr>
              <w:spacing w:after="0"/>
              <w:rPr>
                <w:sz w:val="11"/>
                <w:szCs w:val="11"/>
                <w:color w:val="auto"/>
              </w:rPr>
            </w:pP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44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50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r>
      <w:tr>
        <w:trPr>
          <w:trHeight w:val="120"/>
        </w:trPr>
        <w:tc>
          <w:tcPr>
            <w:tcW w:w="3080" w:type="dxa"/>
            <w:vAlign w:val="bottom"/>
          </w:tcPr>
          <w:p>
            <w:pPr>
              <w:ind w:left="20"/>
              <w:spacing w:after="0"/>
              <w:rPr>
                <w:sz w:val="20"/>
                <w:szCs w:val="20"/>
                <w:color w:val="auto"/>
              </w:rPr>
            </w:pPr>
            <w:r>
              <w:rPr>
                <w:rFonts w:ascii="Arial" w:cs="Arial" w:eastAsia="Arial" w:hAnsi="Arial"/>
                <w:sz w:val="8"/>
                <w:szCs w:val="8"/>
                <w:i w:val="1"/>
                <w:iCs w:val="1"/>
                <w:color w:val="auto"/>
              </w:rPr>
              <w:t>K2 Merger Agreement Agent, LLC (fka K2 Industrial Services, Inc.) (n)</w:t>
            </w:r>
          </w:p>
        </w:tc>
        <w:tc>
          <w:tcPr>
            <w:tcW w:w="3300" w:type="dxa"/>
            <w:vAlign w:val="bottom"/>
          </w:tcPr>
          <w:p>
            <w:pPr>
              <w:ind w:left="640"/>
              <w:spacing w:after="0"/>
              <w:rPr>
                <w:sz w:val="20"/>
                <w:szCs w:val="20"/>
                <w:color w:val="auto"/>
              </w:rPr>
            </w:pPr>
            <w:r>
              <w:rPr>
                <w:rFonts w:ascii="Arial" w:cs="Arial" w:eastAsia="Arial" w:hAnsi="Arial"/>
                <w:sz w:val="8"/>
                <w:szCs w:val="8"/>
                <w:color w:val="auto"/>
              </w:rPr>
              <w:t>Industrial Cleaning &amp; Coatings</w:t>
            </w: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34"/>
        </w:trPr>
        <w:tc>
          <w:tcPr>
            <w:tcW w:w="3080" w:type="dxa"/>
            <w:vAlign w:val="bottom"/>
            <w:shd w:val="clear" w:color="auto" w:fill="DBEEF4"/>
          </w:tcPr>
          <w:p>
            <w:pPr>
              <w:ind w:left="100"/>
              <w:spacing w:after="0"/>
              <w:rPr>
                <w:sz w:val="20"/>
                <w:szCs w:val="20"/>
                <w:color w:val="auto"/>
              </w:rPr>
            </w:pPr>
            <w:r>
              <w:rPr>
                <w:rFonts w:ascii="Arial" w:cs="Arial" w:eastAsia="Arial" w:hAnsi="Arial"/>
                <w:sz w:val="8"/>
                <w:szCs w:val="8"/>
                <w:color w:val="auto"/>
              </w:rPr>
              <w:t>Second Lien Debt (j)</w:t>
            </w:r>
          </w:p>
        </w:tc>
        <w:tc>
          <w:tcPr>
            <w:tcW w:w="3300" w:type="dxa"/>
            <w:vAlign w:val="bottom"/>
            <w:shd w:val="clear" w:color="auto" w:fill="DBEEF4"/>
          </w:tcPr>
          <w:p>
            <w:pPr>
              <w:spacing w:after="0"/>
              <w:rPr>
                <w:sz w:val="11"/>
                <w:szCs w:val="11"/>
                <w:color w:val="auto"/>
              </w:rPr>
            </w:pPr>
          </w:p>
        </w:tc>
        <w:tc>
          <w:tcPr>
            <w:tcW w:w="820" w:type="dxa"/>
            <w:vAlign w:val="bottom"/>
            <w:shd w:val="clear" w:color="auto" w:fill="DBEEF4"/>
          </w:tcPr>
          <w:p>
            <w:pPr>
              <w:ind w:left="180"/>
              <w:spacing w:after="0"/>
              <w:rPr>
                <w:sz w:val="20"/>
                <w:szCs w:val="20"/>
                <w:color w:val="auto"/>
              </w:rPr>
            </w:pPr>
            <w:r>
              <w:rPr>
                <w:rFonts w:ascii="Arial" w:cs="Arial" w:eastAsia="Arial" w:hAnsi="Arial"/>
                <w:sz w:val="8"/>
                <w:szCs w:val="8"/>
                <w:color w:val="auto"/>
              </w:rPr>
              <w:t>0.00%/10.00%</w:t>
            </w:r>
          </w:p>
        </w:tc>
        <w:tc>
          <w:tcPr>
            <w:tcW w:w="640" w:type="dxa"/>
            <w:vAlign w:val="bottom"/>
            <w:shd w:val="clear" w:color="auto" w:fill="DBEEF4"/>
          </w:tcPr>
          <w:p>
            <w:pPr>
              <w:ind w:left="120"/>
              <w:spacing w:after="0"/>
              <w:rPr>
                <w:sz w:val="20"/>
                <w:szCs w:val="20"/>
                <w:color w:val="auto"/>
              </w:rPr>
            </w:pPr>
            <w:r>
              <w:rPr>
                <w:rFonts w:ascii="Arial" w:cs="Arial" w:eastAsia="Arial" w:hAnsi="Arial"/>
                <w:sz w:val="8"/>
                <w:szCs w:val="8"/>
                <w:color w:val="auto"/>
              </w:rPr>
              <w:t>1/28/2019</w:t>
            </w:r>
          </w:p>
        </w:tc>
        <w:tc>
          <w:tcPr>
            <w:tcW w:w="720" w:type="dxa"/>
            <w:vAlign w:val="bottom"/>
            <w:shd w:val="clear" w:color="auto" w:fill="DBEEF4"/>
          </w:tcPr>
          <w:p>
            <w:pPr>
              <w:ind w:left="120"/>
              <w:spacing w:after="0"/>
              <w:rPr>
                <w:sz w:val="20"/>
                <w:szCs w:val="20"/>
                <w:color w:val="auto"/>
              </w:rPr>
            </w:pPr>
            <w:r>
              <w:rPr>
                <w:rFonts w:ascii="Arial" w:cs="Arial" w:eastAsia="Arial" w:hAnsi="Arial"/>
                <w:sz w:val="8"/>
                <w:szCs w:val="8"/>
                <w:color w:val="auto"/>
              </w:rPr>
              <w:t>1/28/2021</w:t>
            </w:r>
          </w:p>
        </w:tc>
        <w:tc>
          <w:tcPr>
            <w:tcW w:w="700" w:type="dxa"/>
            <w:vAlign w:val="bottom"/>
            <w:shd w:val="clear" w:color="auto" w:fill="DBEEF4"/>
          </w:tcPr>
          <w:p>
            <w:pPr>
              <w:jc w:val="right"/>
              <w:ind w:right="198"/>
              <w:spacing w:after="0"/>
              <w:rPr>
                <w:sz w:val="20"/>
                <w:szCs w:val="20"/>
                <w:color w:val="auto"/>
              </w:rPr>
            </w:pPr>
            <w:r>
              <w:rPr>
                <w:rFonts w:ascii="Arial" w:cs="Arial" w:eastAsia="Arial" w:hAnsi="Arial"/>
                <w:sz w:val="8"/>
                <w:szCs w:val="8"/>
                <w:color w:val="auto"/>
              </w:rPr>
              <w:t>2,140</w:t>
            </w:r>
          </w:p>
        </w:tc>
        <w:tc>
          <w:tcPr>
            <w:tcW w:w="120" w:type="dxa"/>
            <w:vAlign w:val="bottom"/>
            <w:shd w:val="clear" w:color="auto" w:fill="DBEEF4"/>
          </w:tcPr>
          <w:p>
            <w:pPr>
              <w:spacing w:after="0"/>
              <w:rPr>
                <w:sz w:val="11"/>
                <w:szCs w:val="11"/>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2,140</w:t>
            </w:r>
          </w:p>
        </w:tc>
        <w:tc>
          <w:tcPr>
            <w:tcW w:w="700" w:type="dxa"/>
            <w:vAlign w:val="bottom"/>
            <w:gridSpan w:val="2"/>
            <w:shd w:val="clear" w:color="auto" w:fill="DBEEF4"/>
          </w:tcPr>
          <w:p>
            <w:pPr>
              <w:jc w:val="right"/>
              <w:spacing w:after="0"/>
              <w:rPr>
                <w:sz w:val="20"/>
                <w:szCs w:val="20"/>
                <w:color w:val="auto"/>
              </w:rPr>
            </w:pPr>
            <w:r>
              <w:rPr>
                <w:rFonts w:ascii="Arial" w:cs="Arial" w:eastAsia="Arial" w:hAnsi="Arial"/>
                <w:sz w:val="8"/>
                <w:szCs w:val="8"/>
                <w:color w:val="auto"/>
              </w:rPr>
              <w:t>2,140</w:t>
            </w:r>
          </w:p>
        </w:tc>
        <w:tc>
          <w:tcPr>
            <w:tcW w:w="720" w:type="dxa"/>
            <w:vAlign w:val="bottom"/>
            <w:shd w:val="clear" w:color="auto" w:fill="DBEEF4"/>
          </w:tcPr>
          <w:p>
            <w:pPr>
              <w:jc w:val="right"/>
              <w:spacing w:after="0"/>
              <w:rPr>
                <w:sz w:val="20"/>
                <w:szCs w:val="20"/>
                <w:color w:val="auto"/>
              </w:rPr>
            </w:pPr>
            <w:r>
              <w:rPr>
                <w:rFonts w:ascii="Arial" w:cs="Arial" w:eastAsia="Arial" w:hAnsi="Arial"/>
                <w:sz w:val="8"/>
                <w:szCs w:val="8"/>
                <w:color w:val="auto"/>
              </w:rPr>
              <w:t>1 %</w:t>
            </w:r>
          </w:p>
        </w:tc>
      </w:tr>
      <w:tr>
        <w:trPr>
          <w:trHeight w:val="127"/>
        </w:trPr>
        <w:tc>
          <w:tcPr>
            <w:tcW w:w="308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7"/>
        </w:trPr>
        <w:tc>
          <w:tcPr>
            <w:tcW w:w="3080" w:type="dxa"/>
            <w:vAlign w:val="bottom"/>
            <w:shd w:val="clear" w:color="auto" w:fill="DBEEF4"/>
          </w:tcPr>
          <w:p>
            <w:pPr>
              <w:ind w:left="20"/>
              <w:spacing w:after="0"/>
              <w:rPr>
                <w:sz w:val="20"/>
                <w:szCs w:val="20"/>
                <w:color w:val="auto"/>
              </w:rPr>
            </w:pPr>
            <w:r>
              <w:rPr>
                <w:rFonts w:ascii="Arial" w:cs="Arial" w:eastAsia="Arial" w:hAnsi="Arial"/>
                <w:sz w:val="8"/>
                <w:szCs w:val="8"/>
                <w:i w:val="1"/>
                <w:iCs w:val="1"/>
                <w:color w:val="auto"/>
              </w:rPr>
              <w:t>The Kyjen Company, LLC (dba Outward Hound)</w:t>
            </w:r>
          </w:p>
        </w:tc>
        <w:tc>
          <w:tcPr>
            <w:tcW w:w="3300" w:type="dxa"/>
            <w:vAlign w:val="bottom"/>
            <w:shd w:val="clear" w:color="auto" w:fill="DBEEF4"/>
          </w:tcPr>
          <w:p>
            <w:pPr>
              <w:ind w:left="640"/>
              <w:spacing w:after="0"/>
              <w:rPr>
                <w:sz w:val="20"/>
                <w:szCs w:val="20"/>
                <w:color w:val="auto"/>
              </w:rPr>
            </w:pPr>
            <w:r>
              <w:rPr>
                <w:rFonts w:ascii="Arial" w:cs="Arial" w:eastAsia="Arial" w:hAnsi="Arial"/>
                <w:sz w:val="8"/>
                <w:szCs w:val="8"/>
                <w:color w:val="auto"/>
              </w:rPr>
              <w:t>Consumer Products</w:t>
            </w: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44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50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r>
      <w:tr>
        <w:trPr>
          <w:trHeight w:val="120"/>
        </w:trPr>
        <w:tc>
          <w:tcPr>
            <w:tcW w:w="3080" w:type="dxa"/>
            <w:vAlign w:val="bottom"/>
          </w:tcPr>
          <w:p>
            <w:pPr>
              <w:ind w:left="100"/>
              <w:spacing w:after="0"/>
              <w:rPr>
                <w:sz w:val="20"/>
                <w:szCs w:val="20"/>
                <w:color w:val="auto"/>
              </w:rPr>
            </w:pPr>
            <w:r>
              <w:rPr>
                <w:rFonts w:ascii="Arial" w:cs="Arial" w:eastAsia="Arial" w:hAnsi="Arial"/>
                <w:sz w:val="8"/>
                <w:szCs w:val="8"/>
                <w:color w:val="auto"/>
              </w:rPr>
              <w:t>Second Lien Debt (k)</w:t>
            </w:r>
          </w:p>
        </w:tc>
        <w:tc>
          <w:tcPr>
            <w:tcW w:w="3300" w:type="dxa"/>
            <w:vAlign w:val="bottom"/>
          </w:tcPr>
          <w:p>
            <w:pPr>
              <w:spacing w:after="0"/>
              <w:rPr>
                <w:sz w:val="10"/>
                <w:szCs w:val="10"/>
                <w:color w:val="auto"/>
              </w:rPr>
            </w:pPr>
          </w:p>
        </w:tc>
        <w:tc>
          <w:tcPr>
            <w:tcW w:w="820" w:type="dxa"/>
            <w:vAlign w:val="bottom"/>
          </w:tcPr>
          <w:p>
            <w:pPr>
              <w:ind w:left="180"/>
              <w:spacing w:after="0"/>
              <w:rPr>
                <w:sz w:val="20"/>
                <w:szCs w:val="20"/>
                <w:color w:val="auto"/>
              </w:rPr>
            </w:pPr>
            <w:r>
              <w:rPr>
                <w:rFonts w:ascii="Arial" w:cs="Arial" w:eastAsia="Arial" w:hAnsi="Arial"/>
                <w:sz w:val="8"/>
                <w:szCs w:val="8"/>
                <w:color w:val="auto"/>
              </w:rPr>
              <w:t>12.00%/0.00%</w:t>
            </w:r>
          </w:p>
        </w:tc>
        <w:tc>
          <w:tcPr>
            <w:tcW w:w="640" w:type="dxa"/>
            <w:vAlign w:val="bottom"/>
          </w:tcPr>
          <w:p>
            <w:pPr>
              <w:ind w:left="120"/>
              <w:spacing w:after="0"/>
              <w:rPr>
                <w:sz w:val="20"/>
                <w:szCs w:val="20"/>
                <w:color w:val="auto"/>
              </w:rPr>
            </w:pPr>
            <w:r>
              <w:rPr>
                <w:rFonts w:ascii="Arial" w:cs="Arial" w:eastAsia="Arial" w:hAnsi="Arial"/>
                <w:sz w:val="8"/>
                <w:szCs w:val="8"/>
                <w:color w:val="auto"/>
              </w:rPr>
              <w:t>12/8/2017</w:t>
            </w:r>
          </w:p>
        </w:tc>
        <w:tc>
          <w:tcPr>
            <w:tcW w:w="720" w:type="dxa"/>
            <w:vAlign w:val="bottom"/>
          </w:tcPr>
          <w:p>
            <w:pPr>
              <w:ind w:left="120"/>
              <w:spacing w:after="0"/>
              <w:rPr>
                <w:sz w:val="20"/>
                <w:szCs w:val="20"/>
                <w:color w:val="auto"/>
              </w:rPr>
            </w:pPr>
            <w:r>
              <w:rPr>
                <w:rFonts w:ascii="Arial" w:cs="Arial" w:eastAsia="Arial" w:hAnsi="Arial"/>
                <w:sz w:val="8"/>
                <w:szCs w:val="8"/>
                <w:color w:val="auto"/>
              </w:rPr>
              <w:t>6/8/2024</w:t>
            </w:r>
          </w:p>
        </w:tc>
        <w:tc>
          <w:tcPr>
            <w:tcW w:w="700" w:type="dxa"/>
            <w:vAlign w:val="bottom"/>
          </w:tcPr>
          <w:p>
            <w:pPr>
              <w:jc w:val="right"/>
              <w:ind w:right="198"/>
              <w:spacing w:after="0"/>
              <w:rPr>
                <w:sz w:val="20"/>
                <w:szCs w:val="20"/>
                <w:color w:val="auto"/>
              </w:rPr>
            </w:pPr>
            <w:r>
              <w:rPr>
                <w:rFonts w:ascii="Arial" w:cs="Arial" w:eastAsia="Arial" w:hAnsi="Arial"/>
                <w:sz w:val="8"/>
                <w:szCs w:val="8"/>
                <w:color w:val="auto"/>
              </w:rPr>
              <w:t>15,000</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14,960</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15,000</w:t>
            </w:r>
          </w:p>
        </w:tc>
        <w:tc>
          <w:tcPr>
            <w:tcW w:w="720" w:type="dxa"/>
            <w:vAlign w:val="bottom"/>
          </w:tcPr>
          <w:p>
            <w:pPr>
              <w:spacing w:after="0"/>
              <w:rPr>
                <w:sz w:val="10"/>
                <w:szCs w:val="10"/>
                <w:color w:val="auto"/>
              </w:rPr>
            </w:pPr>
          </w:p>
        </w:tc>
      </w:tr>
      <w:tr>
        <w:trPr>
          <w:trHeight w:val="133"/>
        </w:trPr>
        <w:tc>
          <w:tcPr>
            <w:tcW w:w="3080" w:type="dxa"/>
            <w:vAlign w:val="bottom"/>
            <w:tcBorders>
              <w:bottom w:val="single" w:sz="8" w:color="DBEEF4"/>
            </w:tcBorders>
            <w:shd w:val="clear" w:color="auto" w:fill="DBEEF4"/>
          </w:tcPr>
          <w:p>
            <w:pPr>
              <w:ind w:left="100"/>
              <w:spacing w:after="0"/>
              <w:rPr>
                <w:sz w:val="20"/>
                <w:szCs w:val="20"/>
                <w:color w:val="auto"/>
              </w:rPr>
            </w:pPr>
            <w:r>
              <w:rPr>
                <w:rFonts w:ascii="Arial" w:cs="Arial" w:eastAsia="Arial" w:hAnsi="Arial"/>
                <w:sz w:val="8"/>
                <w:szCs w:val="8"/>
                <w:color w:val="auto"/>
              </w:rPr>
              <w:t>Common Equity (765 shares) (j)</w:t>
            </w:r>
          </w:p>
        </w:tc>
        <w:tc>
          <w:tcPr>
            <w:tcW w:w="3300" w:type="dxa"/>
            <w:vAlign w:val="bottom"/>
            <w:tcBorders>
              <w:bottom w:val="single" w:sz="8" w:color="DBEEF4"/>
            </w:tcBorders>
            <w:shd w:val="clear" w:color="auto" w:fill="DBEEF4"/>
          </w:tcPr>
          <w:p>
            <w:pPr>
              <w:spacing w:after="0"/>
              <w:rPr>
                <w:sz w:val="11"/>
                <w:szCs w:val="11"/>
                <w:color w:val="auto"/>
              </w:rPr>
            </w:pPr>
          </w:p>
        </w:tc>
        <w:tc>
          <w:tcPr>
            <w:tcW w:w="820" w:type="dxa"/>
            <w:vAlign w:val="bottom"/>
            <w:tcBorders>
              <w:bottom w:val="single" w:sz="8" w:color="DBEEF4"/>
            </w:tcBorders>
            <w:shd w:val="clear" w:color="auto" w:fill="DBEEF4"/>
          </w:tcPr>
          <w:p>
            <w:pPr>
              <w:spacing w:after="0"/>
              <w:rPr>
                <w:sz w:val="11"/>
                <w:szCs w:val="11"/>
                <w:color w:val="auto"/>
              </w:rPr>
            </w:pPr>
          </w:p>
        </w:tc>
        <w:tc>
          <w:tcPr>
            <w:tcW w:w="6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8"/>
                <w:szCs w:val="8"/>
                <w:color w:val="auto"/>
              </w:rPr>
              <w:t>12/8/2017</w:t>
            </w:r>
          </w:p>
        </w:tc>
        <w:tc>
          <w:tcPr>
            <w:tcW w:w="720" w:type="dxa"/>
            <w:vAlign w:val="bottom"/>
            <w:tcBorders>
              <w:bottom w:val="single" w:sz="8" w:color="DBEEF4"/>
            </w:tcBorders>
            <w:shd w:val="clear" w:color="auto" w:fill="DBEEF4"/>
          </w:tcPr>
          <w:p>
            <w:pPr>
              <w:spacing w:after="0"/>
              <w:rPr>
                <w:sz w:val="11"/>
                <w:szCs w:val="11"/>
                <w:color w:val="auto"/>
              </w:rPr>
            </w:pPr>
          </w:p>
        </w:tc>
        <w:tc>
          <w:tcPr>
            <w:tcW w:w="700" w:type="dxa"/>
            <w:vAlign w:val="bottom"/>
            <w:tcBorders>
              <w:bottom w:val="single" w:sz="8" w:color="DBEEF4"/>
            </w:tcBorders>
            <w:shd w:val="clear" w:color="auto" w:fill="DBEEF4"/>
          </w:tcPr>
          <w:p>
            <w:pPr>
              <w:spacing w:after="0"/>
              <w:rPr>
                <w:sz w:val="11"/>
                <w:szCs w:val="11"/>
                <w:color w:val="auto"/>
              </w:rPr>
            </w:pPr>
          </w:p>
        </w:tc>
        <w:tc>
          <w:tcPr>
            <w:tcW w:w="120" w:type="dxa"/>
            <w:vAlign w:val="bottom"/>
            <w:tcBorders>
              <w:bottom w:val="single" w:sz="8" w:color="auto"/>
            </w:tcBorders>
            <w:shd w:val="clear" w:color="auto" w:fill="DBEEF4"/>
          </w:tcPr>
          <w:p>
            <w:pPr>
              <w:spacing w:after="0"/>
              <w:rPr>
                <w:sz w:val="11"/>
                <w:szCs w:val="11"/>
                <w:color w:val="auto"/>
              </w:rPr>
            </w:pPr>
          </w:p>
        </w:tc>
        <w:tc>
          <w:tcPr>
            <w:tcW w:w="44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765</w:t>
            </w:r>
          </w:p>
        </w:tc>
        <w:tc>
          <w:tcPr>
            <w:tcW w:w="200" w:type="dxa"/>
            <w:vAlign w:val="bottom"/>
            <w:tcBorders>
              <w:bottom w:val="single" w:sz="8" w:color="DBEEF4"/>
            </w:tcBorders>
            <w:shd w:val="clear" w:color="auto" w:fill="DBEEF4"/>
          </w:tcPr>
          <w:p>
            <w:pPr>
              <w:spacing w:after="0"/>
              <w:rPr>
                <w:sz w:val="11"/>
                <w:szCs w:val="11"/>
                <w:color w:val="auto"/>
              </w:rPr>
            </w:pPr>
          </w:p>
        </w:tc>
        <w:tc>
          <w:tcPr>
            <w:tcW w:w="5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841</w:t>
            </w:r>
          </w:p>
        </w:tc>
        <w:tc>
          <w:tcPr>
            <w:tcW w:w="720" w:type="dxa"/>
            <w:vAlign w:val="bottom"/>
            <w:tcBorders>
              <w:bottom w:val="single" w:sz="8" w:color="DBEEF4"/>
            </w:tcBorders>
            <w:shd w:val="clear" w:color="auto" w:fill="DBEEF4"/>
          </w:tcPr>
          <w:p>
            <w:pPr>
              <w:spacing w:after="0"/>
              <w:rPr>
                <w:sz w:val="11"/>
                <w:szCs w:val="11"/>
                <w:color w:val="auto"/>
              </w:rPr>
            </w:pPr>
          </w:p>
        </w:tc>
      </w:tr>
      <w:tr>
        <w:trPr>
          <w:trHeight w:val="113"/>
        </w:trPr>
        <w:tc>
          <w:tcPr>
            <w:tcW w:w="30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15,725</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15,841</w:t>
            </w:r>
          </w:p>
        </w:tc>
        <w:tc>
          <w:tcPr>
            <w:tcW w:w="720" w:type="dxa"/>
            <w:vAlign w:val="bottom"/>
          </w:tcPr>
          <w:p>
            <w:pPr>
              <w:jc w:val="right"/>
              <w:spacing w:after="0"/>
              <w:rPr>
                <w:sz w:val="20"/>
                <w:szCs w:val="20"/>
                <w:color w:val="auto"/>
              </w:rPr>
            </w:pPr>
            <w:r>
              <w:rPr>
                <w:rFonts w:ascii="Arial" w:cs="Arial" w:eastAsia="Arial" w:hAnsi="Arial"/>
                <w:sz w:val="8"/>
                <w:szCs w:val="8"/>
                <w:color w:val="auto"/>
              </w:rPr>
              <w:t>4 %</w:t>
            </w:r>
          </w:p>
        </w:tc>
      </w:tr>
      <w:tr>
        <w:trPr>
          <w:trHeight w:val="134"/>
        </w:trPr>
        <w:tc>
          <w:tcPr>
            <w:tcW w:w="3080" w:type="dxa"/>
            <w:vAlign w:val="bottom"/>
            <w:shd w:val="clear" w:color="auto" w:fill="DBEEF4"/>
          </w:tcPr>
          <w:p>
            <w:pPr>
              <w:ind w:left="20"/>
              <w:spacing w:after="0"/>
              <w:rPr>
                <w:sz w:val="20"/>
                <w:szCs w:val="20"/>
                <w:color w:val="auto"/>
              </w:rPr>
            </w:pPr>
            <w:r>
              <w:rPr>
                <w:rFonts w:ascii="Arial" w:cs="Arial" w:eastAsia="Arial" w:hAnsi="Arial"/>
                <w:sz w:val="8"/>
                <w:szCs w:val="8"/>
                <w:i w:val="1"/>
                <w:iCs w:val="1"/>
                <w:color w:val="auto"/>
              </w:rPr>
              <w:t>LNG Indy, LLC (dba Kinetrex Energy)</w:t>
            </w:r>
          </w:p>
        </w:tc>
        <w:tc>
          <w:tcPr>
            <w:tcW w:w="3300" w:type="dxa"/>
            <w:vAlign w:val="bottom"/>
            <w:shd w:val="clear" w:color="auto" w:fill="DBEEF4"/>
          </w:tcPr>
          <w:p>
            <w:pPr>
              <w:ind w:left="640"/>
              <w:spacing w:after="0"/>
              <w:rPr>
                <w:sz w:val="20"/>
                <w:szCs w:val="20"/>
                <w:color w:val="auto"/>
              </w:rPr>
            </w:pPr>
            <w:r>
              <w:rPr>
                <w:rFonts w:ascii="Arial" w:cs="Arial" w:eastAsia="Arial" w:hAnsi="Arial"/>
                <w:sz w:val="8"/>
                <w:szCs w:val="8"/>
                <w:color w:val="auto"/>
              </w:rPr>
              <w:t>Oil &amp; Gas Distribution</w:t>
            </w: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44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50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r>
      <w:tr>
        <w:trPr>
          <w:trHeight w:val="120"/>
        </w:trPr>
        <w:tc>
          <w:tcPr>
            <w:tcW w:w="3080" w:type="dxa"/>
            <w:vAlign w:val="bottom"/>
          </w:tcPr>
          <w:p>
            <w:pPr>
              <w:ind w:left="100"/>
              <w:spacing w:after="0"/>
              <w:rPr>
                <w:sz w:val="20"/>
                <w:szCs w:val="20"/>
                <w:color w:val="auto"/>
              </w:rPr>
            </w:pPr>
            <w:r>
              <w:rPr>
                <w:rFonts w:ascii="Arial" w:cs="Arial" w:eastAsia="Arial" w:hAnsi="Arial"/>
                <w:sz w:val="8"/>
                <w:szCs w:val="8"/>
                <w:color w:val="auto"/>
              </w:rPr>
              <w:t>Second Lien Debt (k)</w:t>
            </w:r>
          </w:p>
        </w:tc>
        <w:tc>
          <w:tcPr>
            <w:tcW w:w="3300" w:type="dxa"/>
            <w:vAlign w:val="bottom"/>
          </w:tcPr>
          <w:p>
            <w:pPr>
              <w:spacing w:after="0"/>
              <w:rPr>
                <w:sz w:val="10"/>
                <w:szCs w:val="10"/>
                <w:color w:val="auto"/>
              </w:rPr>
            </w:pPr>
          </w:p>
        </w:tc>
        <w:tc>
          <w:tcPr>
            <w:tcW w:w="820" w:type="dxa"/>
            <w:vAlign w:val="bottom"/>
          </w:tcPr>
          <w:p>
            <w:pPr>
              <w:ind w:left="180"/>
              <w:spacing w:after="0"/>
              <w:rPr>
                <w:sz w:val="20"/>
                <w:szCs w:val="20"/>
                <w:color w:val="auto"/>
              </w:rPr>
            </w:pPr>
            <w:r>
              <w:rPr>
                <w:rFonts w:ascii="Arial" w:cs="Arial" w:eastAsia="Arial" w:hAnsi="Arial"/>
                <w:sz w:val="8"/>
                <w:szCs w:val="8"/>
                <w:color w:val="auto"/>
              </w:rPr>
              <w:t>11.50%/1.50%</w:t>
            </w:r>
          </w:p>
        </w:tc>
        <w:tc>
          <w:tcPr>
            <w:tcW w:w="640" w:type="dxa"/>
            <w:vAlign w:val="bottom"/>
          </w:tcPr>
          <w:p>
            <w:pPr>
              <w:ind w:left="120"/>
              <w:spacing w:after="0"/>
              <w:rPr>
                <w:sz w:val="20"/>
                <w:szCs w:val="20"/>
                <w:color w:val="auto"/>
              </w:rPr>
            </w:pPr>
            <w:r>
              <w:rPr>
                <w:rFonts w:ascii="Arial" w:cs="Arial" w:eastAsia="Arial" w:hAnsi="Arial"/>
                <w:sz w:val="8"/>
                <w:szCs w:val="8"/>
                <w:color w:val="auto"/>
              </w:rPr>
              <w:t>12/28/2016</w:t>
            </w:r>
          </w:p>
        </w:tc>
        <w:tc>
          <w:tcPr>
            <w:tcW w:w="720" w:type="dxa"/>
            <w:vAlign w:val="bottom"/>
          </w:tcPr>
          <w:p>
            <w:pPr>
              <w:ind w:left="120"/>
              <w:spacing w:after="0"/>
              <w:rPr>
                <w:sz w:val="20"/>
                <w:szCs w:val="20"/>
                <w:color w:val="auto"/>
              </w:rPr>
            </w:pPr>
            <w:r>
              <w:rPr>
                <w:rFonts w:ascii="Arial" w:cs="Arial" w:eastAsia="Arial" w:hAnsi="Arial"/>
                <w:sz w:val="8"/>
                <w:szCs w:val="8"/>
                <w:color w:val="auto"/>
              </w:rPr>
              <w:t>11/12/2021</w:t>
            </w:r>
          </w:p>
        </w:tc>
        <w:tc>
          <w:tcPr>
            <w:tcW w:w="700" w:type="dxa"/>
            <w:vAlign w:val="bottom"/>
          </w:tcPr>
          <w:p>
            <w:pPr>
              <w:jc w:val="right"/>
              <w:ind w:right="198"/>
              <w:spacing w:after="0"/>
              <w:rPr>
                <w:sz w:val="20"/>
                <w:szCs w:val="20"/>
                <w:color w:val="auto"/>
              </w:rPr>
            </w:pPr>
            <w:r>
              <w:rPr>
                <w:rFonts w:ascii="Arial" w:cs="Arial" w:eastAsia="Arial" w:hAnsi="Arial"/>
                <w:sz w:val="8"/>
                <w:szCs w:val="8"/>
                <w:color w:val="auto"/>
              </w:rPr>
              <w:t>10,127</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10,108</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10,127</w:t>
            </w:r>
          </w:p>
        </w:tc>
        <w:tc>
          <w:tcPr>
            <w:tcW w:w="720" w:type="dxa"/>
            <w:vAlign w:val="bottom"/>
          </w:tcPr>
          <w:p>
            <w:pPr>
              <w:spacing w:after="0"/>
              <w:rPr>
                <w:sz w:val="10"/>
                <w:szCs w:val="10"/>
                <w:color w:val="auto"/>
              </w:rPr>
            </w:pPr>
          </w:p>
        </w:tc>
      </w:tr>
      <w:tr>
        <w:trPr>
          <w:trHeight w:val="133"/>
        </w:trPr>
        <w:tc>
          <w:tcPr>
            <w:tcW w:w="3080" w:type="dxa"/>
            <w:vAlign w:val="bottom"/>
            <w:tcBorders>
              <w:bottom w:val="single" w:sz="8" w:color="DBEEF4"/>
            </w:tcBorders>
            <w:shd w:val="clear" w:color="auto" w:fill="DBEEF4"/>
          </w:tcPr>
          <w:p>
            <w:pPr>
              <w:ind w:left="100"/>
              <w:spacing w:after="0"/>
              <w:rPr>
                <w:sz w:val="20"/>
                <w:szCs w:val="20"/>
                <w:color w:val="auto"/>
              </w:rPr>
            </w:pPr>
            <w:r>
              <w:rPr>
                <w:rFonts w:ascii="Arial" w:cs="Arial" w:eastAsia="Arial" w:hAnsi="Arial"/>
                <w:sz w:val="8"/>
                <w:szCs w:val="8"/>
                <w:color w:val="auto"/>
              </w:rPr>
              <w:t>Common Equity (500 units)</w:t>
            </w:r>
          </w:p>
        </w:tc>
        <w:tc>
          <w:tcPr>
            <w:tcW w:w="3300" w:type="dxa"/>
            <w:vAlign w:val="bottom"/>
            <w:tcBorders>
              <w:bottom w:val="single" w:sz="8" w:color="DBEEF4"/>
            </w:tcBorders>
            <w:shd w:val="clear" w:color="auto" w:fill="DBEEF4"/>
          </w:tcPr>
          <w:p>
            <w:pPr>
              <w:spacing w:after="0"/>
              <w:rPr>
                <w:sz w:val="11"/>
                <w:szCs w:val="11"/>
                <w:color w:val="auto"/>
              </w:rPr>
            </w:pPr>
          </w:p>
        </w:tc>
        <w:tc>
          <w:tcPr>
            <w:tcW w:w="820" w:type="dxa"/>
            <w:vAlign w:val="bottom"/>
            <w:tcBorders>
              <w:bottom w:val="single" w:sz="8" w:color="DBEEF4"/>
            </w:tcBorders>
            <w:shd w:val="clear" w:color="auto" w:fill="DBEEF4"/>
          </w:tcPr>
          <w:p>
            <w:pPr>
              <w:spacing w:after="0"/>
              <w:rPr>
                <w:sz w:val="11"/>
                <w:szCs w:val="11"/>
                <w:color w:val="auto"/>
              </w:rPr>
            </w:pPr>
          </w:p>
        </w:tc>
        <w:tc>
          <w:tcPr>
            <w:tcW w:w="6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8"/>
                <w:szCs w:val="8"/>
                <w:color w:val="auto"/>
              </w:rPr>
              <w:t>12/28/2016</w:t>
            </w:r>
          </w:p>
        </w:tc>
        <w:tc>
          <w:tcPr>
            <w:tcW w:w="720" w:type="dxa"/>
            <w:vAlign w:val="bottom"/>
            <w:tcBorders>
              <w:bottom w:val="single" w:sz="8" w:color="DBEEF4"/>
            </w:tcBorders>
            <w:shd w:val="clear" w:color="auto" w:fill="DBEEF4"/>
          </w:tcPr>
          <w:p>
            <w:pPr>
              <w:spacing w:after="0"/>
              <w:rPr>
                <w:sz w:val="11"/>
                <w:szCs w:val="11"/>
                <w:color w:val="auto"/>
              </w:rPr>
            </w:pPr>
          </w:p>
        </w:tc>
        <w:tc>
          <w:tcPr>
            <w:tcW w:w="700" w:type="dxa"/>
            <w:vAlign w:val="bottom"/>
            <w:tcBorders>
              <w:bottom w:val="single" w:sz="8" w:color="DBEEF4"/>
            </w:tcBorders>
            <w:shd w:val="clear" w:color="auto" w:fill="DBEEF4"/>
          </w:tcPr>
          <w:p>
            <w:pPr>
              <w:spacing w:after="0"/>
              <w:rPr>
                <w:sz w:val="11"/>
                <w:szCs w:val="11"/>
                <w:color w:val="auto"/>
              </w:rPr>
            </w:pPr>
          </w:p>
        </w:tc>
        <w:tc>
          <w:tcPr>
            <w:tcW w:w="120" w:type="dxa"/>
            <w:vAlign w:val="bottom"/>
            <w:tcBorders>
              <w:bottom w:val="single" w:sz="8" w:color="auto"/>
            </w:tcBorders>
            <w:shd w:val="clear" w:color="auto" w:fill="DBEEF4"/>
          </w:tcPr>
          <w:p>
            <w:pPr>
              <w:spacing w:after="0"/>
              <w:rPr>
                <w:sz w:val="11"/>
                <w:szCs w:val="11"/>
                <w:color w:val="auto"/>
              </w:rPr>
            </w:pPr>
          </w:p>
        </w:tc>
        <w:tc>
          <w:tcPr>
            <w:tcW w:w="44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500</w:t>
            </w:r>
          </w:p>
        </w:tc>
        <w:tc>
          <w:tcPr>
            <w:tcW w:w="200" w:type="dxa"/>
            <w:vAlign w:val="bottom"/>
            <w:tcBorders>
              <w:bottom w:val="single" w:sz="8" w:color="DBEEF4"/>
            </w:tcBorders>
            <w:shd w:val="clear" w:color="auto" w:fill="DBEEF4"/>
          </w:tcPr>
          <w:p>
            <w:pPr>
              <w:spacing w:after="0"/>
              <w:rPr>
                <w:sz w:val="11"/>
                <w:szCs w:val="11"/>
                <w:color w:val="auto"/>
              </w:rPr>
            </w:pPr>
          </w:p>
        </w:tc>
        <w:tc>
          <w:tcPr>
            <w:tcW w:w="5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959</w:t>
            </w:r>
          </w:p>
        </w:tc>
        <w:tc>
          <w:tcPr>
            <w:tcW w:w="720" w:type="dxa"/>
            <w:vAlign w:val="bottom"/>
            <w:tcBorders>
              <w:bottom w:val="single" w:sz="8" w:color="DBEEF4"/>
            </w:tcBorders>
            <w:shd w:val="clear" w:color="auto" w:fill="DBEEF4"/>
          </w:tcPr>
          <w:p>
            <w:pPr>
              <w:spacing w:after="0"/>
              <w:rPr>
                <w:sz w:val="11"/>
                <w:szCs w:val="11"/>
                <w:color w:val="auto"/>
              </w:rPr>
            </w:pPr>
          </w:p>
        </w:tc>
      </w:tr>
      <w:tr>
        <w:trPr>
          <w:trHeight w:val="113"/>
        </w:trPr>
        <w:tc>
          <w:tcPr>
            <w:tcW w:w="30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10,608</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11,086</w:t>
            </w:r>
          </w:p>
        </w:tc>
        <w:tc>
          <w:tcPr>
            <w:tcW w:w="720" w:type="dxa"/>
            <w:vAlign w:val="bottom"/>
          </w:tcPr>
          <w:p>
            <w:pPr>
              <w:jc w:val="right"/>
              <w:spacing w:after="0"/>
              <w:rPr>
                <w:sz w:val="20"/>
                <w:szCs w:val="20"/>
                <w:color w:val="auto"/>
              </w:rPr>
            </w:pPr>
            <w:r>
              <w:rPr>
                <w:rFonts w:ascii="Arial" w:cs="Arial" w:eastAsia="Arial" w:hAnsi="Arial"/>
                <w:sz w:val="8"/>
                <w:szCs w:val="8"/>
                <w:color w:val="auto"/>
              </w:rPr>
              <w:t>3 %</w:t>
            </w:r>
          </w:p>
        </w:tc>
      </w:tr>
      <w:tr>
        <w:trPr>
          <w:trHeight w:val="134"/>
        </w:trPr>
        <w:tc>
          <w:tcPr>
            <w:tcW w:w="3080" w:type="dxa"/>
            <w:vAlign w:val="bottom"/>
            <w:shd w:val="clear" w:color="auto" w:fill="DBEEF4"/>
          </w:tcPr>
          <w:p>
            <w:pPr>
              <w:ind w:left="20"/>
              <w:spacing w:after="0"/>
              <w:rPr>
                <w:sz w:val="20"/>
                <w:szCs w:val="20"/>
                <w:color w:val="auto"/>
              </w:rPr>
            </w:pPr>
            <w:r>
              <w:rPr>
                <w:rFonts w:ascii="Arial" w:cs="Arial" w:eastAsia="Arial" w:hAnsi="Arial"/>
                <w:sz w:val="8"/>
                <w:szCs w:val="8"/>
                <w:i w:val="1"/>
                <w:iCs w:val="1"/>
                <w:color w:val="auto"/>
              </w:rPr>
              <w:t>Mesa Line Services, LLC</w:t>
            </w:r>
          </w:p>
        </w:tc>
        <w:tc>
          <w:tcPr>
            <w:tcW w:w="3300" w:type="dxa"/>
            <w:vAlign w:val="bottom"/>
            <w:shd w:val="clear" w:color="auto" w:fill="DBEEF4"/>
          </w:tcPr>
          <w:p>
            <w:pPr>
              <w:ind w:left="640"/>
              <w:spacing w:after="0"/>
              <w:rPr>
                <w:sz w:val="20"/>
                <w:szCs w:val="20"/>
                <w:color w:val="auto"/>
              </w:rPr>
            </w:pPr>
            <w:r>
              <w:rPr>
                <w:rFonts w:ascii="Arial" w:cs="Arial" w:eastAsia="Arial" w:hAnsi="Arial"/>
                <w:sz w:val="8"/>
                <w:szCs w:val="8"/>
                <w:color w:val="auto"/>
              </w:rPr>
              <w:t>Utilities: Services</w:t>
            </w: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44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50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r>
      <w:tr>
        <w:trPr>
          <w:trHeight w:val="120"/>
        </w:trPr>
        <w:tc>
          <w:tcPr>
            <w:tcW w:w="3080" w:type="dxa"/>
            <w:vAlign w:val="bottom"/>
          </w:tcPr>
          <w:p>
            <w:pPr>
              <w:ind w:left="100"/>
              <w:spacing w:after="0"/>
              <w:rPr>
                <w:sz w:val="20"/>
                <w:szCs w:val="20"/>
                <w:color w:val="auto"/>
              </w:rPr>
            </w:pPr>
            <w:r>
              <w:rPr>
                <w:rFonts w:ascii="Arial" w:cs="Arial" w:eastAsia="Arial" w:hAnsi="Arial"/>
                <w:sz w:val="8"/>
                <w:szCs w:val="8"/>
                <w:color w:val="auto"/>
              </w:rPr>
              <w:t>Second Lien Debt (j)</w:t>
            </w:r>
          </w:p>
        </w:tc>
        <w:tc>
          <w:tcPr>
            <w:tcW w:w="3300" w:type="dxa"/>
            <w:vAlign w:val="bottom"/>
          </w:tcPr>
          <w:p>
            <w:pPr>
              <w:spacing w:after="0"/>
              <w:rPr>
                <w:sz w:val="10"/>
                <w:szCs w:val="10"/>
                <w:color w:val="auto"/>
              </w:rPr>
            </w:pPr>
          </w:p>
        </w:tc>
        <w:tc>
          <w:tcPr>
            <w:tcW w:w="820" w:type="dxa"/>
            <w:vAlign w:val="bottom"/>
          </w:tcPr>
          <w:p>
            <w:pPr>
              <w:ind w:left="180"/>
              <w:spacing w:after="0"/>
              <w:rPr>
                <w:sz w:val="20"/>
                <w:szCs w:val="20"/>
                <w:color w:val="auto"/>
              </w:rPr>
            </w:pPr>
            <w:r>
              <w:rPr>
                <w:rFonts w:ascii="Arial" w:cs="Arial" w:eastAsia="Arial" w:hAnsi="Arial"/>
                <w:sz w:val="8"/>
                <w:szCs w:val="8"/>
                <w:color w:val="auto"/>
              </w:rPr>
              <w:t>10.50%/0.50%</w:t>
            </w:r>
          </w:p>
        </w:tc>
        <w:tc>
          <w:tcPr>
            <w:tcW w:w="640" w:type="dxa"/>
            <w:vAlign w:val="bottom"/>
          </w:tcPr>
          <w:p>
            <w:pPr>
              <w:ind w:left="120"/>
              <w:spacing w:after="0"/>
              <w:rPr>
                <w:sz w:val="20"/>
                <w:szCs w:val="20"/>
                <w:color w:val="auto"/>
              </w:rPr>
            </w:pPr>
            <w:r>
              <w:rPr>
                <w:rFonts w:ascii="Arial" w:cs="Arial" w:eastAsia="Arial" w:hAnsi="Arial"/>
                <w:sz w:val="8"/>
                <w:szCs w:val="8"/>
                <w:color w:val="auto"/>
              </w:rPr>
              <w:t>11/30/2017</w:t>
            </w:r>
          </w:p>
        </w:tc>
        <w:tc>
          <w:tcPr>
            <w:tcW w:w="720" w:type="dxa"/>
            <w:vAlign w:val="bottom"/>
          </w:tcPr>
          <w:p>
            <w:pPr>
              <w:ind w:left="120"/>
              <w:spacing w:after="0"/>
              <w:rPr>
                <w:sz w:val="20"/>
                <w:szCs w:val="20"/>
                <w:color w:val="auto"/>
              </w:rPr>
            </w:pPr>
            <w:r>
              <w:rPr>
                <w:rFonts w:ascii="Arial" w:cs="Arial" w:eastAsia="Arial" w:hAnsi="Arial"/>
                <w:sz w:val="8"/>
                <w:szCs w:val="8"/>
                <w:color w:val="auto"/>
              </w:rPr>
              <w:t>8/1/2024</w:t>
            </w:r>
          </w:p>
        </w:tc>
        <w:tc>
          <w:tcPr>
            <w:tcW w:w="700" w:type="dxa"/>
            <w:vAlign w:val="bottom"/>
          </w:tcPr>
          <w:p>
            <w:pPr>
              <w:jc w:val="right"/>
              <w:ind w:right="198"/>
              <w:spacing w:after="0"/>
              <w:rPr>
                <w:sz w:val="20"/>
                <w:szCs w:val="20"/>
                <w:color w:val="auto"/>
              </w:rPr>
            </w:pPr>
            <w:r>
              <w:rPr>
                <w:rFonts w:ascii="Arial" w:cs="Arial" w:eastAsia="Arial" w:hAnsi="Arial"/>
                <w:sz w:val="8"/>
                <w:szCs w:val="8"/>
                <w:color w:val="auto"/>
              </w:rPr>
              <w:t>17,511</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17,442</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17,511</w:t>
            </w:r>
          </w:p>
        </w:tc>
        <w:tc>
          <w:tcPr>
            <w:tcW w:w="720" w:type="dxa"/>
            <w:vAlign w:val="bottom"/>
          </w:tcPr>
          <w:p>
            <w:pPr>
              <w:spacing w:after="0"/>
              <w:rPr>
                <w:sz w:val="10"/>
                <w:szCs w:val="10"/>
                <w:color w:val="auto"/>
              </w:rPr>
            </w:pPr>
          </w:p>
        </w:tc>
      </w:tr>
      <w:tr>
        <w:trPr>
          <w:trHeight w:val="133"/>
        </w:trPr>
        <w:tc>
          <w:tcPr>
            <w:tcW w:w="3080" w:type="dxa"/>
            <w:vAlign w:val="bottom"/>
            <w:tcBorders>
              <w:bottom w:val="single" w:sz="8" w:color="DBEEF4"/>
            </w:tcBorders>
            <w:shd w:val="clear" w:color="auto" w:fill="DBEEF4"/>
          </w:tcPr>
          <w:p>
            <w:pPr>
              <w:ind w:left="100"/>
              <w:spacing w:after="0"/>
              <w:rPr>
                <w:sz w:val="20"/>
                <w:szCs w:val="20"/>
                <w:color w:val="auto"/>
              </w:rPr>
            </w:pPr>
            <w:r>
              <w:rPr>
                <w:rFonts w:ascii="Arial" w:cs="Arial" w:eastAsia="Arial" w:hAnsi="Arial"/>
                <w:sz w:val="8"/>
                <w:szCs w:val="8"/>
                <w:color w:val="auto"/>
              </w:rPr>
              <w:t>Common Equity (981 shares) (j)</w:t>
            </w:r>
          </w:p>
        </w:tc>
        <w:tc>
          <w:tcPr>
            <w:tcW w:w="3300" w:type="dxa"/>
            <w:vAlign w:val="bottom"/>
            <w:tcBorders>
              <w:bottom w:val="single" w:sz="8" w:color="DBEEF4"/>
            </w:tcBorders>
            <w:shd w:val="clear" w:color="auto" w:fill="DBEEF4"/>
          </w:tcPr>
          <w:p>
            <w:pPr>
              <w:spacing w:after="0"/>
              <w:rPr>
                <w:sz w:val="11"/>
                <w:szCs w:val="11"/>
                <w:color w:val="auto"/>
              </w:rPr>
            </w:pPr>
          </w:p>
        </w:tc>
        <w:tc>
          <w:tcPr>
            <w:tcW w:w="820" w:type="dxa"/>
            <w:vAlign w:val="bottom"/>
            <w:tcBorders>
              <w:bottom w:val="single" w:sz="8" w:color="DBEEF4"/>
            </w:tcBorders>
            <w:shd w:val="clear" w:color="auto" w:fill="DBEEF4"/>
          </w:tcPr>
          <w:p>
            <w:pPr>
              <w:spacing w:after="0"/>
              <w:rPr>
                <w:sz w:val="11"/>
                <w:szCs w:val="11"/>
                <w:color w:val="auto"/>
              </w:rPr>
            </w:pPr>
          </w:p>
        </w:tc>
        <w:tc>
          <w:tcPr>
            <w:tcW w:w="6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8"/>
                <w:szCs w:val="8"/>
                <w:color w:val="auto"/>
              </w:rPr>
              <w:t>11/30/2017</w:t>
            </w:r>
          </w:p>
        </w:tc>
        <w:tc>
          <w:tcPr>
            <w:tcW w:w="720" w:type="dxa"/>
            <w:vAlign w:val="bottom"/>
            <w:tcBorders>
              <w:bottom w:val="single" w:sz="8" w:color="DBEEF4"/>
            </w:tcBorders>
            <w:shd w:val="clear" w:color="auto" w:fill="DBEEF4"/>
          </w:tcPr>
          <w:p>
            <w:pPr>
              <w:spacing w:after="0"/>
              <w:rPr>
                <w:sz w:val="11"/>
                <w:szCs w:val="11"/>
                <w:color w:val="auto"/>
              </w:rPr>
            </w:pPr>
          </w:p>
        </w:tc>
        <w:tc>
          <w:tcPr>
            <w:tcW w:w="700" w:type="dxa"/>
            <w:vAlign w:val="bottom"/>
            <w:tcBorders>
              <w:bottom w:val="single" w:sz="8" w:color="DBEEF4"/>
            </w:tcBorders>
            <w:shd w:val="clear" w:color="auto" w:fill="DBEEF4"/>
          </w:tcPr>
          <w:p>
            <w:pPr>
              <w:spacing w:after="0"/>
              <w:rPr>
                <w:sz w:val="11"/>
                <w:szCs w:val="11"/>
                <w:color w:val="auto"/>
              </w:rPr>
            </w:pPr>
          </w:p>
        </w:tc>
        <w:tc>
          <w:tcPr>
            <w:tcW w:w="120" w:type="dxa"/>
            <w:vAlign w:val="bottom"/>
            <w:tcBorders>
              <w:bottom w:val="single" w:sz="8" w:color="auto"/>
            </w:tcBorders>
            <w:shd w:val="clear" w:color="auto" w:fill="DBEEF4"/>
          </w:tcPr>
          <w:p>
            <w:pPr>
              <w:spacing w:after="0"/>
              <w:rPr>
                <w:sz w:val="11"/>
                <w:szCs w:val="11"/>
                <w:color w:val="auto"/>
              </w:rPr>
            </w:pPr>
          </w:p>
        </w:tc>
        <w:tc>
          <w:tcPr>
            <w:tcW w:w="44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1,148</w:t>
            </w:r>
          </w:p>
        </w:tc>
        <w:tc>
          <w:tcPr>
            <w:tcW w:w="200" w:type="dxa"/>
            <w:vAlign w:val="bottom"/>
            <w:tcBorders>
              <w:bottom w:val="single" w:sz="8" w:color="DBEEF4"/>
            </w:tcBorders>
            <w:shd w:val="clear" w:color="auto" w:fill="DBEEF4"/>
          </w:tcPr>
          <w:p>
            <w:pPr>
              <w:spacing w:after="0"/>
              <w:rPr>
                <w:sz w:val="11"/>
                <w:szCs w:val="11"/>
                <w:color w:val="auto"/>
              </w:rPr>
            </w:pPr>
          </w:p>
        </w:tc>
        <w:tc>
          <w:tcPr>
            <w:tcW w:w="5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1,076</w:t>
            </w:r>
          </w:p>
        </w:tc>
        <w:tc>
          <w:tcPr>
            <w:tcW w:w="720" w:type="dxa"/>
            <w:vAlign w:val="bottom"/>
            <w:tcBorders>
              <w:bottom w:val="single" w:sz="8" w:color="DBEEF4"/>
            </w:tcBorders>
            <w:shd w:val="clear" w:color="auto" w:fill="DBEEF4"/>
          </w:tcPr>
          <w:p>
            <w:pPr>
              <w:spacing w:after="0"/>
              <w:rPr>
                <w:sz w:val="11"/>
                <w:szCs w:val="11"/>
                <w:color w:val="auto"/>
              </w:rPr>
            </w:pPr>
          </w:p>
        </w:tc>
      </w:tr>
      <w:tr>
        <w:trPr>
          <w:trHeight w:val="113"/>
        </w:trPr>
        <w:tc>
          <w:tcPr>
            <w:tcW w:w="30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18,590</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18,587</w:t>
            </w:r>
          </w:p>
        </w:tc>
        <w:tc>
          <w:tcPr>
            <w:tcW w:w="720" w:type="dxa"/>
            <w:vAlign w:val="bottom"/>
          </w:tcPr>
          <w:p>
            <w:pPr>
              <w:jc w:val="right"/>
              <w:spacing w:after="0"/>
              <w:rPr>
                <w:sz w:val="20"/>
                <w:szCs w:val="20"/>
                <w:color w:val="auto"/>
              </w:rPr>
            </w:pPr>
            <w:r>
              <w:rPr>
                <w:rFonts w:ascii="Arial" w:cs="Arial" w:eastAsia="Arial" w:hAnsi="Arial"/>
                <w:sz w:val="8"/>
                <w:szCs w:val="8"/>
                <w:color w:val="auto"/>
              </w:rPr>
              <w:t>5 %</w:t>
            </w:r>
          </w:p>
        </w:tc>
      </w:tr>
      <w:tr>
        <w:trPr>
          <w:trHeight w:val="134"/>
        </w:trPr>
        <w:tc>
          <w:tcPr>
            <w:tcW w:w="3080" w:type="dxa"/>
            <w:vAlign w:val="bottom"/>
            <w:shd w:val="clear" w:color="auto" w:fill="DBEEF4"/>
          </w:tcPr>
          <w:p>
            <w:pPr>
              <w:ind w:left="20"/>
              <w:spacing w:after="0"/>
              <w:rPr>
                <w:sz w:val="20"/>
                <w:szCs w:val="20"/>
                <w:color w:val="auto"/>
              </w:rPr>
            </w:pPr>
            <w:r>
              <w:rPr>
                <w:rFonts w:ascii="Arial" w:cs="Arial" w:eastAsia="Arial" w:hAnsi="Arial"/>
                <w:sz w:val="8"/>
                <w:szCs w:val="8"/>
                <w:i w:val="1"/>
                <w:iCs w:val="1"/>
                <w:color w:val="auto"/>
              </w:rPr>
              <w:t>Midwest Transit Equipment, Inc.</w:t>
            </w:r>
          </w:p>
        </w:tc>
        <w:tc>
          <w:tcPr>
            <w:tcW w:w="3300" w:type="dxa"/>
            <w:vAlign w:val="bottom"/>
            <w:shd w:val="clear" w:color="auto" w:fill="DBEEF4"/>
          </w:tcPr>
          <w:p>
            <w:pPr>
              <w:ind w:left="640"/>
              <w:spacing w:after="0"/>
              <w:rPr>
                <w:sz w:val="20"/>
                <w:szCs w:val="20"/>
                <w:color w:val="auto"/>
              </w:rPr>
            </w:pPr>
            <w:r>
              <w:rPr>
                <w:rFonts w:ascii="Arial" w:cs="Arial" w:eastAsia="Arial" w:hAnsi="Arial"/>
                <w:sz w:val="8"/>
                <w:szCs w:val="8"/>
                <w:color w:val="auto"/>
              </w:rPr>
              <w:t>Transportation services</w:t>
            </w: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44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50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r>
      <w:tr>
        <w:trPr>
          <w:trHeight w:val="120"/>
        </w:trPr>
        <w:tc>
          <w:tcPr>
            <w:tcW w:w="3080" w:type="dxa"/>
            <w:vAlign w:val="bottom"/>
          </w:tcPr>
          <w:p>
            <w:pPr>
              <w:ind w:left="100"/>
              <w:spacing w:after="0"/>
              <w:rPr>
                <w:sz w:val="20"/>
                <w:szCs w:val="20"/>
                <w:color w:val="auto"/>
              </w:rPr>
            </w:pPr>
            <w:r>
              <w:rPr>
                <w:rFonts w:ascii="Arial" w:cs="Arial" w:eastAsia="Arial" w:hAnsi="Arial"/>
                <w:sz w:val="8"/>
                <w:szCs w:val="8"/>
                <w:color w:val="auto"/>
              </w:rPr>
              <w:t>Warrant (7,192 shares) (j)(m)</w:t>
            </w:r>
          </w:p>
        </w:tc>
        <w:tc>
          <w:tcPr>
            <w:tcW w:w="3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8"/>
                <w:szCs w:val="8"/>
                <w:color w:val="auto"/>
              </w:rPr>
              <w:t>6/23/2017</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180</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118</w:t>
            </w:r>
          </w:p>
        </w:tc>
        <w:tc>
          <w:tcPr>
            <w:tcW w:w="720" w:type="dxa"/>
            <w:vAlign w:val="bottom"/>
          </w:tcPr>
          <w:p>
            <w:pPr>
              <w:spacing w:after="0"/>
              <w:rPr>
                <w:sz w:val="10"/>
                <w:szCs w:val="10"/>
                <w:color w:val="auto"/>
              </w:rPr>
            </w:pPr>
          </w:p>
        </w:tc>
      </w:tr>
      <w:tr>
        <w:trPr>
          <w:trHeight w:val="133"/>
        </w:trPr>
        <w:tc>
          <w:tcPr>
            <w:tcW w:w="3080" w:type="dxa"/>
            <w:vAlign w:val="bottom"/>
            <w:tcBorders>
              <w:bottom w:val="single" w:sz="8" w:color="DBEEF4"/>
            </w:tcBorders>
            <w:shd w:val="clear" w:color="auto" w:fill="DBEEF4"/>
          </w:tcPr>
          <w:p>
            <w:pPr>
              <w:ind w:left="100"/>
              <w:spacing w:after="0"/>
              <w:rPr>
                <w:sz w:val="20"/>
                <w:szCs w:val="20"/>
                <w:color w:val="auto"/>
              </w:rPr>
            </w:pPr>
            <w:r>
              <w:rPr>
                <w:rFonts w:ascii="Arial" w:cs="Arial" w:eastAsia="Arial" w:hAnsi="Arial"/>
                <w:sz w:val="8"/>
                <w:szCs w:val="8"/>
                <w:color w:val="auto"/>
              </w:rPr>
              <w:t>Warrant (4.79% of Junior Subordinated Notes) (j)(q)</w:t>
            </w:r>
          </w:p>
        </w:tc>
        <w:tc>
          <w:tcPr>
            <w:tcW w:w="3300" w:type="dxa"/>
            <w:vAlign w:val="bottom"/>
            <w:tcBorders>
              <w:bottom w:val="single" w:sz="8" w:color="DBEEF4"/>
            </w:tcBorders>
            <w:shd w:val="clear" w:color="auto" w:fill="DBEEF4"/>
          </w:tcPr>
          <w:p>
            <w:pPr>
              <w:spacing w:after="0"/>
              <w:rPr>
                <w:sz w:val="11"/>
                <w:szCs w:val="11"/>
                <w:color w:val="auto"/>
              </w:rPr>
            </w:pPr>
          </w:p>
        </w:tc>
        <w:tc>
          <w:tcPr>
            <w:tcW w:w="820" w:type="dxa"/>
            <w:vAlign w:val="bottom"/>
            <w:tcBorders>
              <w:bottom w:val="single" w:sz="8" w:color="DBEEF4"/>
            </w:tcBorders>
            <w:shd w:val="clear" w:color="auto" w:fill="DBEEF4"/>
          </w:tcPr>
          <w:p>
            <w:pPr>
              <w:spacing w:after="0"/>
              <w:rPr>
                <w:sz w:val="11"/>
                <w:szCs w:val="11"/>
                <w:color w:val="auto"/>
              </w:rPr>
            </w:pPr>
          </w:p>
        </w:tc>
        <w:tc>
          <w:tcPr>
            <w:tcW w:w="6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8"/>
                <w:szCs w:val="8"/>
                <w:color w:val="auto"/>
              </w:rPr>
              <w:t>6/23/2017</w:t>
            </w:r>
          </w:p>
        </w:tc>
        <w:tc>
          <w:tcPr>
            <w:tcW w:w="720" w:type="dxa"/>
            <w:vAlign w:val="bottom"/>
            <w:tcBorders>
              <w:bottom w:val="single" w:sz="8" w:color="DBEEF4"/>
            </w:tcBorders>
            <w:shd w:val="clear" w:color="auto" w:fill="DBEEF4"/>
          </w:tcPr>
          <w:p>
            <w:pPr>
              <w:spacing w:after="0"/>
              <w:rPr>
                <w:sz w:val="11"/>
                <w:szCs w:val="11"/>
                <w:color w:val="auto"/>
              </w:rPr>
            </w:pPr>
          </w:p>
        </w:tc>
        <w:tc>
          <w:tcPr>
            <w:tcW w:w="700" w:type="dxa"/>
            <w:vAlign w:val="bottom"/>
            <w:tcBorders>
              <w:bottom w:val="single" w:sz="8" w:color="DBEEF4"/>
            </w:tcBorders>
            <w:shd w:val="clear" w:color="auto" w:fill="DBEEF4"/>
          </w:tcPr>
          <w:p>
            <w:pPr>
              <w:spacing w:after="0"/>
              <w:rPr>
                <w:sz w:val="11"/>
                <w:szCs w:val="11"/>
                <w:color w:val="auto"/>
              </w:rPr>
            </w:pPr>
          </w:p>
        </w:tc>
        <w:tc>
          <w:tcPr>
            <w:tcW w:w="120" w:type="dxa"/>
            <w:vAlign w:val="bottom"/>
            <w:tcBorders>
              <w:bottom w:val="single" w:sz="8" w:color="auto"/>
            </w:tcBorders>
            <w:shd w:val="clear" w:color="auto" w:fill="DBEEF4"/>
          </w:tcPr>
          <w:p>
            <w:pPr>
              <w:spacing w:after="0"/>
              <w:rPr>
                <w:sz w:val="11"/>
                <w:szCs w:val="11"/>
                <w:color w:val="auto"/>
              </w:rPr>
            </w:pPr>
          </w:p>
        </w:tc>
        <w:tc>
          <w:tcPr>
            <w:tcW w:w="44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190</w:t>
            </w:r>
          </w:p>
        </w:tc>
        <w:tc>
          <w:tcPr>
            <w:tcW w:w="200" w:type="dxa"/>
            <w:vAlign w:val="bottom"/>
            <w:tcBorders>
              <w:bottom w:val="single" w:sz="8" w:color="DBEEF4"/>
            </w:tcBorders>
            <w:shd w:val="clear" w:color="auto" w:fill="DBEEF4"/>
          </w:tcPr>
          <w:p>
            <w:pPr>
              <w:spacing w:after="0"/>
              <w:rPr>
                <w:sz w:val="11"/>
                <w:szCs w:val="11"/>
                <w:color w:val="auto"/>
              </w:rPr>
            </w:pPr>
          </w:p>
        </w:tc>
        <w:tc>
          <w:tcPr>
            <w:tcW w:w="5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248</w:t>
            </w:r>
          </w:p>
        </w:tc>
        <w:tc>
          <w:tcPr>
            <w:tcW w:w="720" w:type="dxa"/>
            <w:vAlign w:val="bottom"/>
            <w:tcBorders>
              <w:bottom w:val="single" w:sz="8" w:color="DBEEF4"/>
            </w:tcBorders>
            <w:shd w:val="clear" w:color="auto" w:fill="DBEEF4"/>
          </w:tcPr>
          <w:p>
            <w:pPr>
              <w:spacing w:after="0"/>
              <w:rPr>
                <w:sz w:val="11"/>
                <w:szCs w:val="11"/>
                <w:color w:val="auto"/>
              </w:rPr>
            </w:pPr>
          </w:p>
        </w:tc>
      </w:tr>
      <w:tr>
        <w:trPr>
          <w:trHeight w:val="113"/>
        </w:trPr>
        <w:tc>
          <w:tcPr>
            <w:tcW w:w="30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370</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366</w:t>
            </w:r>
          </w:p>
        </w:tc>
        <w:tc>
          <w:tcPr>
            <w:tcW w:w="720" w:type="dxa"/>
            <w:vAlign w:val="bottom"/>
          </w:tcPr>
          <w:p>
            <w:pPr>
              <w:jc w:val="right"/>
              <w:spacing w:after="0"/>
              <w:rPr>
                <w:sz w:val="20"/>
                <w:szCs w:val="20"/>
                <w:color w:val="auto"/>
              </w:rPr>
            </w:pPr>
            <w:r>
              <w:rPr>
                <w:rFonts w:ascii="Arial" w:cs="Arial" w:eastAsia="Arial" w:hAnsi="Arial"/>
                <w:sz w:val="8"/>
                <w:szCs w:val="8"/>
                <w:color w:val="auto"/>
              </w:rPr>
              <w:t>0 %</w:t>
            </w:r>
          </w:p>
        </w:tc>
      </w:tr>
      <w:tr>
        <w:trPr>
          <w:trHeight w:val="134"/>
        </w:trPr>
        <w:tc>
          <w:tcPr>
            <w:tcW w:w="3080" w:type="dxa"/>
            <w:vAlign w:val="bottom"/>
            <w:shd w:val="clear" w:color="auto" w:fill="DBEEF4"/>
          </w:tcPr>
          <w:p>
            <w:pPr>
              <w:ind w:left="20"/>
              <w:spacing w:after="0"/>
              <w:rPr>
                <w:sz w:val="20"/>
                <w:szCs w:val="20"/>
                <w:color w:val="auto"/>
              </w:rPr>
            </w:pPr>
            <w:r>
              <w:rPr>
                <w:rFonts w:ascii="Arial" w:cs="Arial" w:eastAsia="Arial" w:hAnsi="Arial"/>
                <w:sz w:val="8"/>
                <w:szCs w:val="8"/>
                <w:i w:val="1"/>
                <w:iCs w:val="1"/>
                <w:color w:val="auto"/>
              </w:rPr>
              <w:t>NGT Acquisition Holdings, LLC (dba Techniks Industries)</w:t>
            </w:r>
          </w:p>
        </w:tc>
        <w:tc>
          <w:tcPr>
            <w:tcW w:w="3300" w:type="dxa"/>
            <w:vAlign w:val="bottom"/>
            <w:shd w:val="clear" w:color="auto" w:fill="DBEEF4"/>
          </w:tcPr>
          <w:p>
            <w:pPr>
              <w:ind w:left="640"/>
              <w:spacing w:after="0"/>
              <w:rPr>
                <w:sz w:val="20"/>
                <w:szCs w:val="20"/>
                <w:color w:val="auto"/>
              </w:rPr>
            </w:pPr>
            <w:r>
              <w:rPr>
                <w:rFonts w:ascii="Arial" w:cs="Arial" w:eastAsia="Arial" w:hAnsi="Arial"/>
                <w:sz w:val="8"/>
                <w:szCs w:val="8"/>
                <w:color w:val="auto"/>
              </w:rPr>
              <w:t>Component Manufacturing</w:t>
            </w: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44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50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r>
      <w:tr>
        <w:trPr>
          <w:trHeight w:val="120"/>
        </w:trPr>
        <w:tc>
          <w:tcPr>
            <w:tcW w:w="3080" w:type="dxa"/>
            <w:vAlign w:val="bottom"/>
          </w:tcPr>
          <w:p>
            <w:pPr>
              <w:ind w:left="100"/>
              <w:spacing w:after="0"/>
              <w:rPr>
                <w:sz w:val="20"/>
                <w:szCs w:val="20"/>
                <w:color w:val="auto"/>
              </w:rPr>
            </w:pPr>
            <w:r>
              <w:rPr>
                <w:rFonts w:ascii="Arial" w:cs="Arial" w:eastAsia="Arial" w:hAnsi="Arial"/>
                <w:sz w:val="8"/>
                <w:szCs w:val="8"/>
                <w:color w:val="auto"/>
              </w:rPr>
              <w:t>Common Equity (378 units) (j)</w:t>
            </w:r>
          </w:p>
        </w:tc>
        <w:tc>
          <w:tcPr>
            <w:tcW w:w="3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8"/>
                <w:szCs w:val="8"/>
                <w:color w:val="auto"/>
              </w:rPr>
              <w:t>5/24/2017</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500</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227</w:t>
            </w:r>
          </w:p>
        </w:tc>
        <w:tc>
          <w:tcPr>
            <w:tcW w:w="720" w:type="dxa"/>
            <w:vAlign w:val="bottom"/>
          </w:tcPr>
          <w:p>
            <w:pPr>
              <w:jc w:val="right"/>
              <w:spacing w:after="0"/>
              <w:rPr>
                <w:sz w:val="20"/>
                <w:szCs w:val="20"/>
                <w:color w:val="auto"/>
              </w:rPr>
            </w:pPr>
            <w:r>
              <w:rPr>
                <w:rFonts w:ascii="Arial" w:cs="Arial" w:eastAsia="Arial" w:hAnsi="Arial"/>
                <w:sz w:val="8"/>
                <w:szCs w:val="8"/>
                <w:color w:val="auto"/>
              </w:rPr>
              <w:t>0 %</w:t>
            </w:r>
          </w:p>
        </w:tc>
      </w:tr>
      <w:tr>
        <w:trPr>
          <w:trHeight w:val="134"/>
        </w:trPr>
        <w:tc>
          <w:tcPr>
            <w:tcW w:w="3080" w:type="dxa"/>
            <w:vAlign w:val="bottom"/>
            <w:shd w:val="clear" w:color="auto" w:fill="DBEEF4"/>
          </w:tcPr>
          <w:p>
            <w:pPr>
              <w:spacing w:after="0"/>
              <w:rPr>
                <w:sz w:val="11"/>
                <w:szCs w:val="11"/>
                <w:color w:val="auto"/>
              </w:rPr>
            </w:pPr>
          </w:p>
        </w:tc>
        <w:tc>
          <w:tcPr>
            <w:tcW w:w="3300" w:type="dxa"/>
            <w:vAlign w:val="bottom"/>
            <w:shd w:val="clear" w:color="auto" w:fill="DBEEF4"/>
          </w:tcPr>
          <w:p>
            <w:pPr>
              <w:spacing w:after="0"/>
              <w:rPr>
                <w:sz w:val="11"/>
                <w:szCs w:val="11"/>
                <w:color w:val="auto"/>
              </w:rPr>
            </w:pP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44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50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r>
      <w:tr>
        <w:trPr>
          <w:trHeight w:val="120"/>
        </w:trPr>
        <w:tc>
          <w:tcPr>
            <w:tcW w:w="3080" w:type="dxa"/>
            <w:vAlign w:val="bottom"/>
          </w:tcPr>
          <w:p>
            <w:pPr>
              <w:ind w:left="20"/>
              <w:spacing w:after="0"/>
              <w:rPr>
                <w:sz w:val="20"/>
                <w:szCs w:val="20"/>
                <w:color w:val="auto"/>
              </w:rPr>
            </w:pPr>
            <w:r>
              <w:rPr>
                <w:rFonts w:ascii="Arial" w:cs="Arial" w:eastAsia="Arial" w:hAnsi="Arial"/>
                <w:sz w:val="8"/>
                <w:szCs w:val="8"/>
                <w:i w:val="1"/>
                <w:iCs w:val="1"/>
                <w:color w:val="auto"/>
              </w:rPr>
              <w:t>OMC Investors, LLC (dba Ohio Medical Corporation)</w:t>
            </w:r>
          </w:p>
        </w:tc>
        <w:tc>
          <w:tcPr>
            <w:tcW w:w="3300" w:type="dxa"/>
            <w:vAlign w:val="bottom"/>
          </w:tcPr>
          <w:p>
            <w:pPr>
              <w:ind w:left="640"/>
              <w:spacing w:after="0"/>
              <w:rPr>
                <w:sz w:val="20"/>
                <w:szCs w:val="20"/>
                <w:color w:val="auto"/>
              </w:rPr>
            </w:pPr>
            <w:r>
              <w:rPr>
                <w:rFonts w:ascii="Arial" w:cs="Arial" w:eastAsia="Arial" w:hAnsi="Arial"/>
                <w:sz w:val="8"/>
                <w:szCs w:val="8"/>
                <w:color w:val="auto"/>
              </w:rPr>
              <w:t>Healthcare Products</w:t>
            </w: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34"/>
        </w:trPr>
        <w:tc>
          <w:tcPr>
            <w:tcW w:w="3080" w:type="dxa"/>
            <w:vAlign w:val="bottom"/>
            <w:shd w:val="clear" w:color="auto" w:fill="DBEEF4"/>
          </w:tcPr>
          <w:p>
            <w:pPr>
              <w:ind w:left="100"/>
              <w:spacing w:after="0"/>
              <w:rPr>
                <w:sz w:val="20"/>
                <w:szCs w:val="20"/>
                <w:color w:val="auto"/>
              </w:rPr>
            </w:pPr>
            <w:r>
              <w:rPr>
                <w:rFonts w:ascii="Arial" w:cs="Arial" w:eastAsia="Arial" w:hAnsi="Arial"/>
                <w:sz w:val="8"/>
                <w:szCs w:val="8"/>
                <w:color w:val="auto"/>
              </w:rPr>
              <w:t>Second Lien Debt</w:t>
            </w:r>
          </w:p>
        </w:tc>
        <w:tc>
          <w:tcPr>
            <w:tcW w:w="3300" w:type="dxa"/>
            <w:vAlign w:val="bottom"/>
            <w:shd w:val="clear" w:color="auto" w:fill="DBEEF4"/>
          </w:tcPr>
          <w:p>
            <w:pPr>
              <w:spacing w:after="0"/>
              <w:rPr>
                <w:sz w:val="11"/>
                <w:szCs w:val="11"/>
                <w:color w:val="auto"/>
              </w:rPr>
            </w:pPr>
          </w:p>
        </w:tc>
        <w:tc>
          <w:tcPr>
            <w:tcW w:w="820" w:type="dxa"/>
            <w:vAlign w:val="bottom"/>
            <w:shd w:val="clear" w:color="auto" w:fill="DBEEF4"/>
          </w:tcPr>
          <w:p>
            <w:pPr>
              <w:ind w:left="180"/>
              <w:spacing w:after="0"/>
              <w:rPr>
                <w:sz w:val="20"/>
                <w:szCs w:val="20"/>
                <w:color w:val="auto"/>
              </w:rPr>
            </w:pPr>
            <w:r>
              <w:rPr>
                <w:rFonts w:ascii="Arial" w:cs="Arial" w:eastAsia="Arial" w:hAnsi="Arial"/>
                <w:sz w:val="8"/>
                <w:szCs w:val="8"/>
                <w:color w:val="auto"/>
              </w:rPr>
              <w:t>12.00%/0.00%</w:t>
            </w:r>
          </w:p>
        </w:tc>
        <w:tc>
          <w:tcPr>
            <w:tcW w:w="640" w:type="dxa"/>
            <w:vAlign w:val="bottom"/>
            <w:shd w:val="clear" w:color="auto" w:fill="DBEEF4"/>
          </w:tcPr>
          <w:p>
            <w:pPr>
              <w:ind w:left="120"/>
              <w:spacing w:after="0"/>
              <w:rPr>
                <w:sz w:val="20"/>
                <w:szCs w:val="20"/>
                <w:color w:val="auto"/>
              </w:rPr>
            </w:pPr>
            <w:r>
              <w:rPr>
                <w:rFonts w:ascii="Arial" w:cs="Arial" w:eastAsia="Arial" w:hAnsi="Arial"/>
                <w:sz w:val="8"/>
                <w:szCs w:val="8"/>
                <w:color w:val="auto"/>
              </w:rPr>
              <w:t>1/15/2016</w:t>
            </w:r>
          </w:p>
        </w:tc>
        <w:tc>
          <w:tcPr>
            <w:tcW w:w="720" w:type="dxa"/>
            <w:vAlign w:val="bottom"/>
            <w:shd w:val="clear" w:color="auto" w:fill="DBEEF4"/>
          </w:tcPr>
          <w:p>
            <w:pPr>
              <w:ind w:left="120"/>
              <w:spacing w:after="0"/>
              <w:rPr>
                <w:sz w:val="20"/>
                <w:szCs w:val="20"/>
                <w:color w:val="auto"/>
              </w:rPr>
            </w:pPr>
            <w:r>
              <w:rPr>
                <w:rFonts w:ascii="Arial" w:cs="Arial" w:eastAsia="Arial" w:hAnsi="Arial"/>
                <w:sz w:val="8"/>
                <w:szCs w:val="8"/>
                <w:color w:val="auto"/>
              </w:rPr>
              <w:t>6/30/2022</w:t>
            </w:r>
          </w:p>
        </w:tc>
        <w:tc>
          <w:tcPr>
            <w:tcW w:w="700" w:type="dxa"/>
            <w:vAlign w:val="bottom"/>
            <w:shd w:val="clear" w:color="auto" w:fill="DBEEF4"/>
          </w:tcPr>
          <w:p>
            <w:pPr>
              <w:jc w:val="right"/>
              <w:ind w:right="198"/>
              <w:spacing w:after="0"/>
              <w:rPr>
                <w:sz w:val="20"/>
                <w:szCs w:val="20"/>
                <w:color w:val="auto"/>
              </w:rPr>
            </w:pPr>
            <w:r>
              <w:rPr>
                <w:rFonts w:ascii="Arial" w:cs="Arial" w:eastAsia="Arial" w:hAnsi="Arial"/>
                <w:sz w:val="8"/>
                <w:szCs w:val="8"/>
                <w:color w:val="auto"/>
              </w:rPr>
              <w:t>10,000</w:t>
            </w:r>
          </w:p>
        </w:tc>
        <w:tc>
          <w:tcPr>
            <w:tcW w:w="120" w:type="dxa"/>
            <w:vAlign w:val="bottom"/>
            <w:shd w:val="clear" w:color="auto" w:fill="DBEEF4"/>
          </w:tcPr>
          <w:p>
            <w:pPr>
              <w:spacing w:after="0"/>
              <w:rPr>
                <w:sz w:val="11"/>
                <w:szCs w:val="11"/>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9,985</w:t>
            </w:r>
          </w:p>
        </w:tc>
        <w:tc>
          <w:tcPr>
            <w:tcW w:w="700" w:type="dxa"/>
            <w:vAlign w:val="bottom"/>
            <w:gridSpan w:val="2"/>
            <w:shd w:val="clear" w:color="auto" w:fill="DBEEF4"/>
          </w:tcPr>
          <w:p>
            <w:pPr>
              <w:jc w:val="right"/>
              <w:spacing w:after="0"/>
              <w:rPr>
                <w:sz w:val="20"/>
                <w:szCs w:val="20"/>
                <w:color w:val="auto"/>
              </w:rPr>
            </w:pPr>
            <w:r>
              <w:rPr>
                <w:rFonts w:ascii="Arial" w:cs="Arial" w:eastAsia="Arial" w:hAnsi="Arial"/>
                <w:sz w:val="8"/>
                <w:szCs w:val="8"/>
                <w:color w:val="auto"/>
              </w:rPr>
              <w:t>10,000</w:t>
            </w:r>
          </w:p>
        </w:tc>
        <w:tc>
          <w:tcPr>
            <w:tcW w:w="720" w:type="dxa"/>
            <w:vAlign w:val="bottom"/>
            <w:shd w:val="clear" w:color="auto" w:fill="DBEEF4"/>
          </w:tcPr>
          <w:p>
            <w:pPr>
              <w:spacing w:after="0"/>
              <w:rPr>
                <w:sz w:val="11"/>
                <w:szCs w:val="11"/>
                <w:color w:val="auto"/>
              </w:rPr>
            </w:pPr>
          </w:p>
        </w:tc>
      </w:tr>
      <w:tr>
        <w:trPr>
          <w:trHeight w:val="126"/>
        </w:trPr>
        <w:tc>
          <w:tcPr>
            <w:tcW w:w="3080" w:type="dxa"/>
            <w:vAlign w:val="bottom"/>
          </w:tcPr>
          <w:p>
            <w:pPr>
              <w:ind w:left="100"/>
              <w:spacing w:after="0"/>
              <w:rPr>
                <w:sz w:val="20"/>
                <w:szCs w:val="20"/>
                <w:color w:val="auto"/>
              </w:rPr>
            </w:pPr>
            <w:r>
              <w:rPr>
                <w:rFonts w:ascii="Arial" w:cs="Arial" w:eastAsia="Arial" w:hAnsi="Arial"/>
                <w:sz w:val="8"/>
                <w:szCs w:val="8"/>
                <w:color w:val="auto"/>
              </w:rPr>
              <w:t>Common Equity (5,000 units)</w:t>
            </w:r>
          </w:p>
        </w:tc>
        <w:tc>
          <w:tcPr>
            <w:tcW w:w="3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8"/>
                <w:szCs w:val="8"/>
                <w:color w:val="auto"/>
              </w:rPr>
              <w:t>1/15/2016</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462</w:t>
            </w:r>
          </w:p>
        </w:tc>
        <w:tc>
          <w:tcPr>
            <w:tcW w:w="200" w:type="dxa"/>
            <w:vAlign w:val="bottom"/>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869</w:t>
            </w:r>
          </w:p>
        </w:tc>
        <w:tc>
          <w:tcPr>
            <w:tcW w:w="720" w:type="dxa"/>
            <w:vAlign w:val="bottom"/>
          </w:tcPr>
          <w:p>
            <w:pPr>
              <w:spacing w:after="0"/>
              <w:rPr>
                <w:sz w:val="10"/>
                <w:szCs w:val="10"/>
                <w:color w:val="auto"/>
              </w:rPr>
            </w:pPr>
          </w:p>
        </w:tc>
      </w:tr>
      <w:tr>
        <w:trPr>
          <w:trHeight w:val="120"/>
        </w:trPr>
        <w:tc>
          <w:tcPr>
            <w:tcW w:w="3080" w:type="dxa"/>
            <w:vAlign w:val="bottom"/>
            <w:shd w:val="clear" w:color="auto" w:fill="DBEEF4"/>
          </w:tcPr>
          <w:p>
            <w:pPr>
              <w:spacing w:after="0"/>
              <w:rPr>
                <w:sz w:val="10"/>
                <w:szCs w:val="10"/>
                <w:color w:val="auto"/>
              </w:rPr>
            </w:pPr>
          </w:p>
        </w:tc>
        <w:tc>
          <w:tcPr>
            <w:tcW w:w="3300" w:type="dxa"/>
            <w:vAlign w:val="bottom"/>
            <w:shd w:val="clear" w:color="auto" w:fill="DBEEF4"/>
          </w:tcPr>
          <w:p>
            <w:pPr>
              <w:spacing w:after="0"/>
              <w:rPr>
                <w:sz w:val="10"/>
                <w:szCs w:val="10"/>
                <w:color w:val="auto"/>
              </w:rPr>
            </w:pPr>
          </w:p>
        </w:tc>
        <w:tc>
          <w:tcPr>
            <w:tcW w:w="820" w:type="dxa"/>
            <w:vAlign w:val="bottom"/>
            <w:shd w:val="clear" w:color="auto" w:fill="DBEEF4"/>
          </w:tcPr>
          <w:p>
            <w:pPr>
              <w:spacing w:after="0"/>
              <w:rPr>
                <w:sz w:val="10"/>
                <w:szCs w:val="10"/>
                <w:color w:val="auto"/>
              </w:rPr>
            </w:pPr>
          </w:p>
        </w:tc>
        <w:tc>
          <w:tcPr>
            <w:tcW w:w="640" w:type="dxa"/>
            <w:vAlign w:val="bottom"/>
            <w:shd w:val="clear" w:color="auto" w:fill="DBEEF4"/>
          </w:tcPr>
          <w:p>
            <w:pPr>
              <w:spacing w:after="0"/>
              <w:rPr>
                <w:sz w:val="10"/>
                <w:szCs w:val="10"/>
                <w:color w:val="auto"/>
              </w:rPr>
            </w:pPr>
          </w:p>
        </w:tc>
        <w:tc>
          <w:tcPr>
            <w:tcW w:w="720" w:type="dxa"/>
            <w:vAlign w:val="bottom"/>
            <w:shd w:val="clear" w:color="auto" w:fill="DBEEF4"/>
          </w:tcPr>
          <w:p>
            <w:pPr>
              <w:spacing w:after="0"/>
              <w:rPr>
                <w:sz w:val="10"/>
                <w:szCs w:val="10"/>
                <w:color w:val="auto"/>
              </w:rPr>
            </w:pPr>
          </w:p>
        </w:tc>
        <w:tc>
          <w:tcPr>
            <w:tcW w:w="700" w:type="dxa"/>
            <w:vAlign w:val="bottom"/>
            <w:shd w:val="clear" w:color="auto" w:fill="DBEEF4"/>
          </w:tcPr>
          <w:p>
            <w:pPr>
              <w:spacing w:after="0"/>
              <w:rPr>
                <w:sz w:val="10"/>
                <w:szCs w:val="10"/>
                <w:color w:val="auto"/>
              </w:rPr>
            </w:pPr>
          </w:p>
        </w:tc>
        <w:tc>
          <w:tcPr>
            <w:tcW w:w="120" w:type="dxa"/>
            <w:vAlign w:val="bottom"/>
            <w:shd w:val="clear" w:color="auto" w:fill="DBEEF4"/>
          </w:tcPr>
          <w:p>
            <w:pPr>
              <w:spacing w:after="0"/>
              <w:rPr>
                <w:sz w:val="10"/>
                <w:szCs w:val="10"/>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10,447</w:t>
            </w:r>
          </w:p>
        </w:tc>
        <w:tc>
          <w:tcPr>
            <w:tcW w:w="700" w:type="dxa"/>
            <w:vAlign w:val="bottom"/>
            <w:gridSpan w:val="2"/>
            <w:shd w:val="clear" w:color="auto" w:fill="DBEEF4"/>
          </w:tcPr>
          <w:p>
            <w:pPr>
              <w:jc w:val="right"/>
              <w:spacing w:after="0"/>
              <w:rPr>
                <w:sz w:val="20"/>
                <w:szCs w:val="20"/>
                <w:color w:val="auto"/>
              </w:rPr>
            </w:pPr>
            <w:r>
              <w:rPr>
                <w:rFonts w:ascii="Arial" w:cs="Arial" w:eastAsia="Arial" w:hAnsi="Arial"/>
                <w:sz w:val="8"/>
                <w:szCs w:val="8"/>
                <w:color w:val="auto"/>
              </w:rPr>
              <w:t>10,869</w:t>
            </w:r>
          </w:p>
        </w:tc>
        <w:tc>
          <w:tcPr>
            <w:tcW w:w="720" w:type="dxa"/>
            <w:vAlign w:val="bottom"/>
            <w:shd w:val="clear" w:color="auto" w:fill="DBEEF4"/>
          </w:tcPr>
          <w:p>
            <w:pPr>
              <w:jc w:val="right"/>
              <w:spacing w:after="0"/>
              <w:rPr>
                <w:sz w:val="20"/>
                <w:szCs w:val="20"/>
                <w:color w:val="auto"/>
              </w:rPr>
            </w:pPr>
            <w:r>
              <w:rPr>
                <w:rFonts w:ascii="Arial" w:cs="Arial" w:eastAsia="Arial" w:hAnsi="Arial"/>
                <w:sz w:val="8"/>
                <w:szCs w:val="8"/>
                <w:color w:val="auto"/>
              </w:rPr>
              <w:t>3 %</w:t>
            </w:r>
          </w:p>
        </w:tc>
      </w:tr>
      <w:tr>
        <w:trPr>
          <w:trHeight w:val="120"/>
        </w:trPr>
        <w:tc>
          <w:tcPr>
            <w:tcW w:w="3080" w:type="dxa"/>
            <w:vAlign w:val="bottom"/>
          </w:tcPr>
          <w:p>
            <w:pPr>
              <w:ind w:left="20"/>
              <w:spacing w:after="0"/>
              <w:rPr>
                <w:sz w:val="20"/>
                <w:szCs w:val="20"/>
                <w:color w:val="auto"/>
              </w:rPr>
            </w:pPr>
            <w:r>
              <w:rPr>
                <w:rFonts w:ascii="Arial" w:cs="Arial" w:eastAsia="Arial" w:hAnsi="Arial"/>
                <w:sz w:val="8"/>
                <w:szCs w:val="8"/>
                <w:i w:val="1"/>
                <w:iCs w:val="1"/>
                <w:color w:val="auto"/>
              </w:rPr>
              <w:t>Palisade Company, LLC</w:t>
            </w:r>
          </w:p>
        </w:tc>
        <w:tc>
          <w:tcPr>
            <w:tcW w:w="3300" w:type="dxa"/>
            <w:vAlign w:val="bottom"/>
          </w:tcPr>
          <w:p>
            <w:pPr>
              <w:ind w:left="640"/>
              <w:spacing w:after="0"/>
              <w:rPr>
                <w:sz w:val="20"/>
                <w:szCs w:val="20"/>
                <w:color w:val="auto"/>
              </w:rPr>
            </w:pPr>
            <w:r>
              <w:rPr>
                <w:rFonts w:ascii="Arial" w:cs="Arial" w:eastAsia="Arial" w:hAnsi="Arial"/>
                <w:sz w:val="8"/>
                <w:szCs w:val="8"/>
                <w:color w:val="auto"/>
              </w:rPr>
              <w:t>Information Technology Services</w:t>
            </w: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34"/>
        </w:trPr>
        <w:tc>
          <w:tcPr>
            <w:tcW w:w="3080" w:type="dxa"/>
            <w:vAlign w:val="bottom"/>
            <w:shd w:val="clear" w:color="auto" w:fill="DBEEF4"/>
          </w:tcPr>
          <w:p>
            <w:pPr>
              <w:ind w:left="100"/>
              <w:spacing w:after="0"/>
              <w:rPr>
                <w:sz w:val="20"/>
                <w:szCs w:val="20"/>
                <w:color w:val="auto"/>
              </w:rPr>
            </w:pPr>
            <w:r>
              <w:rPr>
                <w:rFonts w:ascii="Arial" w:cs="Arial" w:eastAsia="Arial" w:hAnsi="Arial"/>
                <w:sz w:val="8"/>
                <w:szCs w:val="8"/>
                <w:color w:val="auto"/>
              </w:rPr>
              <w:t>Common Equity (50 shares) (j)</w:t>
            </w:r>
          </w:p>
        </w:tc>
        <w:tc>
          <w:tcPr>
            <w:tcW w:w="3300" w:type="dxa"/>
            <w:vAlign w:val="bottom"/>
            <w:shd w:val="clear" w:color="auto" w:fill="DBEEF4"/>
          </w:tcPr>
          <w:p>
            <w:pPr>
              <w:spacing w:after="0"/>
              <w:rPr>
                <w:sz w:val="11"/>
                <w:szCs w:val="11"/>
                <w:color w:val="auto"/>
              </w:rPr>
            </w:pP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ind w:left="120"/>
              <w:spacing w:after="0"/>
              <w:rPr>
                <w:sz w:val="20"/>
                <w:szCs w:val="20"/>
                <w:color w:val="auto"/>
              </w:rPr>
            </w:pPr>
            <w:r>
              <w:rPr>
                <w:rFonts w:ascii="Arial" w:cs="Arial" w:eastAsia="Arial" w:hAnsi="Arial"/>
                <w:sz w:val="8"/>
                <w:szCs w:val="8"/>
                <w:color w:val="auto"/>
              </w:rPr>
              <w:t>11/15/2018</w:t>
            </w: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500</w:t>
            </w:r>
          </w:p>
        </w:tc>
        <w:tc>
          <w:tcPr>
            <w:tcW w:w="700" w:type="dxa"/>
            <w:vAlign w:val="bottom"/>
            <w:gridSpan w:val="2"/>
            <w:shd w:val="clear" w:color="auto" w:fill="DBEEF4"/>
          </w:tcPr>
          <w:p>
            <w:pPr>
              <w:jc w:val="right"/>
              <w:spacing w:after="0"/>
              <w:rPr>
                <w:sz w:val="20"/>
                <w:szCs w:val="20"/>
                <w:color w:val="auto"/>
              </w:rPr>
            </w:pPr>
            <w:r>
              <w:rPr>
                <w:rFonts w:ascii="Arial" w:cs="Arial" w:eastAsia="Arial" w:hAnsi="Arial"/>
                <w:sz w:val="8"/>
                <w:szCs w:val="8"/>
                <w:color w:val="auto"/>
              </w:rPr>
              <w:t>630</w:t>
            </w:r>
          </w:p>
        </w:tc>
        <w:tc>
          <w:tcPr>
            <w:tcW w:w="720" w:type="dxa"/>
            <w:vAlign w:val="bottom"/>
            <w:shd w:val="clear" w:color="auto" w:fill="DBEEF4"/>
          </w:tcPr>
          <w:p>
            <w:pPr>
              <w:jc w:val="right"/>
              <w:spacing w:after="0"/>
              <w:rPr>
                <w:sz w:val="20"/>
                <w:szCs w:val="20"/>
                <w:color w:val="auto"/>
              </w:rPr>
            </w:pPr>
            <w:r>
              <w:rPr>
                <w:rFonts w:ascii="Arial" w:cs="Arial" w:eastAsia="Arial" w:hAnsi="Arial"/>
                <w:sz w:val="8"/>
                <w:szCs w:val="8"/>
                <w:color w:val="auto"/>
              </w:rPr>
              <w:t>0 %</w:t>
            </w:r>
          </w:p>
        </w:tc>
      </w:tr>
      <w:tr>
        <w:trPr>
          <w:trHeight w:val="127"/>
        </w:trPr>
        <w:tc>
          <w:tcPr>
            <w:tcW w:w="308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7"/>
        </w:trPr>
        <w:tc>
          <w:tcPr>
            <w:tcW w:w="3080" w:type="dxa"/>
            <w:vAlign w:val="bottom"/>
            <w:shd w:val="clear" w:color="auto" w:fill="DBEEF4"/>
          </w:tcPr>
          <w:p>
            <w:pPr>
              <w:ind w:left="20"/>
              <w:spacing w:after="0"/>
              <w:rPr>
                <w:sz w:val="20"/>
                <w:szCs w:val="20"/>
                <w:color w:val="auto"/>
              </w:rPr>
            </w:pPr>
            <w:r>
              <w:rPr>
                <w:rFonts w:ascii="Arial" w:cs="Arial" w:eastAsia="Arial" w:hAnsi="Arial"/>
                <w:sz w:val="8"/>
                <w:szCs w:val="8"/>
                <w:i w:val="1"/>
                <w:iCs w:val="1"/>
                <w:color w:val="auto"/>
              </w:rPr>
              <w:t>Palmetto Moon, LLC</w:t>
            </w:r>
          </w:p>
        </w:tc>
        <w:tc>
          <w:tcPr>
            <w:tcW w:w="3300" w:type="dxa"/>
            <w:vAlign w:val="bottom"/>
            <w:shd w:val="clear" w:color="auto" w:fill="DBEEF4"/>
          </w:tcPr>
          <w:p>
            <w:pPr>
              <w:ind w:left="640"/>
              <w:spacing w:after="0"/>
              <w:rPr>
                <w:sz w:val="20"/>
                <w:szCs w:val="20"/>
                <w:color w:val="auto"/>
              </w:rPr>
            </w:pPr>
            <w:r>
              <w:rPr>
                <w:rFonts w:ascii="Arial" w:cs="Arial" w:eastAsia="Arial" w:hAnsi="Arial"/>
                <w:sz w:val="8"/>
                <w:szCs w:val="8"/>
                <w:color w:val="auto"/>
              </w:rPr>
              <w:t>Retail</w:t>
            </w: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44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50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r>
      <w:tr>
        <w:trPr>
          <w:trHeight w:val="120"/>
        </w:trPr>
        <w:tc>
          <w:tcPr>
            <w:tcW w:w="3080" w:type="dxa"/>
            <w:vAlign w:val="bottom"/>
          </w:tcPr>
          <w:p>
            <w:pPr>
              <w:ind w:left="100"/>
              <w:spacing w:after="0"/>
              <w:rPr>
                <w:sz w:val="20"/>
                <w:szCs w:val="20"/>
                <w:color w:val="auto"/>
              </w:rPr>
            </w:pPr>
            <w:r>
              <w:rPr>
                <w:rFonts w:ascii="Arial" w:cs="Arial" w:eastAsia="Arial" w:hAnsi="Arial"/>
                <w:sz w:val="8"/>
                <w:szCs w:val="8"/>
                <w:color w:val="auto"/>
              </w:rPr>
              <w:t>First Lien Debt (j)</w:t>
            </w:r>
          </w:p>
        </w:tc>
        <w:tc>
          <w:tcPr>
            <w:tcW w:w="3300" w:type="dxa"/>
            <w:vAlign w:val="bottom"/>
          </w:tcPr>
          <w:p>
            <w:pPr>
              <w:spacing w:after="0"/>
              <w:rPr>
                <w:sz w:val="10"/>
                <w:szCs w:val="10"/>
                <w:color w:val="auto"/>
              </w:rPr>
            </w:pPr>
          </w:p>
        </w:tc>
        <w:tc>
          <w:tcPr>
            <w:tcW w:w="820" w:type="dxa"/>
            <w:vAlign w:val="bottom"/>
          </w:tcPr>
          <w:p>
            <w:pPr>
              <w:ind w:left="180"/>
              <w:spacing w:after="0"/>
              <w:rPr>
                <w:sz w:val="20"/>
                <w:szCs w:val="20"/>
                <w:color w:val="auto"/>
              </w:rPr>
            </w:pPr>
            <w:r>
              <w:rPr>
                <w:rFonts w:ascii="Arial" w:cs="Arial" w:eastAsia="Arial" w:hAnsi="Arial"/>
                <w:sz w:val="8"/>
                <w:szCs w:val="8"/>
                <w:color w:val="auto"/>
              </w:rPr>
              <w:t>11.50%/2.50%</w:t>
            </w:r>
          </w:p>
        </w:tc>
        <w:tc>
          <w:tcPr>
            <w:tcW w:w="640" w:type="dxa"/>
            <w:vAlign w:val="bottom"/>
          </w:tcPr>
          <w:p>
            <w:pPr>
              <w:ind w:left="120"/>
              <w:spacing w:after="0"/>
              <w:rPr>
                <w:sz w:val="20"/>
                <w:szCs w:val="20"/>
                <w:color w:val="auto"/>
              </w:rPr>
            </w:pPr>
            <w:r>
              <w:rPr>
                <w:rFonts w:ascii="Arial" w:cs="Arial" w:eastAsia="Arial" w:hAnsi="Arial"/>
                <w:sz w:val="8"/>
                <w:szCs w:val="8"/>
                <w:color w:val="auto"/>
              </w:rPr>
              <w:t>11/3/2016</w:t>
            </w:r>
          </w:p>
        </w:tc>
        <w:tc>
          <w:tcPr>
            <w:tcW w:w="720" w:type="dxa"/>
            <w:vAlign w:val="bottom"/>
          </w:tcPr>
          <w:p>
            <w:pPr>
              <w:ind w:left="120"/>
              <w:spacing w:after="0"/>
              <w:rPr>
                <w:sz w:val="20"/>
                <w:szCs w:val="20"/>
                <w:color w:val="auto"/>
              </w:rPr>
            </w:pPr>
            <w:r>
              <w:rPr>
                <w:rFonts w:ascii="Arial" w:cs="Arial" w:eastAsia="Arial" w:hAnsi="Arial"/>
                <w:sz w:val="8"/>
                <w:szCs w:val="8"/>
                <w:color w:val="auto"/>
              </w:rPr>
              <w:t>10/31/2021</w:t>
            </w:r>
          </w:p>
        </w:tc>
        <w:tc>
          <w:tcPr>
            <w:tcW w:w="700" w:type="dxa"/>
            <w:vAlign w:val="bottom"/>
          </w:tcPr>
          <w:p>
            <w:pPr>
              <w:jc w:val="right"/>
              <w:ind w:right="198"/>
              <w:spacing w:after="0"/>
              <w:rPr>
                <w:sz w:val="20"/>
                <w:szCs w:val="20"/>
                <w:color w:val="auto"/>
              </w:rPr>
            </w:pPr>
            <w:r>
              <w:rPr>
                <w:rFonts w:ascii="Arial" w:cs="Arial" w:eastAsia="Arial" w:hAnsi="Arial"/>
                <w:sz w:val="8"/>
                <w:szCs w:val="8"/>
                <w:color w:val="auto"/>
              </w:rPr>
              <w:t>4,779</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4,773</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4,779</w:t>
            </w:r>
          </w:p>
        </w:tc>
        <w:tc>
          <w:tcPr>
            <w:tcW w:w="720" w:type="dxa"/>
            <w:vAlign w:val="bottom"/>
          </w:tcPr>
          <w:p>
            <w:pPr>
              <w:spacing w:after="0"/>
              <w:rPr>
                <w:sz w:val="10"/>
                <w:szCs w:val="10"/>
                <w:color w:val="auto"/>
              </w:rPr>
            </w:pPr>
          </w:p>
        </w:tc>
      </w:tr>
      <w:tr>
        <w:trPr>
          <w:trHeight w:val="133"/>
        </w:trPr>
        <w:tc>
          <w:tcPr>
            <w:tcW w:w="3080" w:type="dxa"/>
            <w:vAlign w:val="bottom"/>
            <w:tcBorders>
              <w:bottom w:val="single" w:sz="8" w:color="DBEEF4"/>
            </w:tcBorders>
            <w:shd w:val="clear" w:color="auto" w:fill="DBEEF4"/>
          </w:tcPr>
          <w:p>
            <w:pPr>
              <w:ind w:left="100"/>
              <w:spacing w:after="0"/>
              <w:rPr>
                <w:sz w:val="20"/>
                <w:szCs w:val="20"/>
                <w:color w:val="auto"/>
              </w:rPr>
            </w:pPr>
            <w:r>
              <w:rPr>
                <w:rFonts w:ascii="Arial" w:cs="Arial" w:eastAsia="Arial" w:hAnsi="Arial"/>
                <w:sz w:val="8"/>
                <w:szCs w:val="8"/>
                <w:color w:val="auto"/>
              </w:rPr>
              <w:t>Common Equity (499 units) (j)</w:t>
            </w:r>
          </w:p>
        </w:tc>
        <w:tc>
          <w:tcPr>
            <w:tcW w:w="3300" w:type="dxa"/>
            <w:vAlign w:val="bottom"/>
            <w:tcBorders>
              <w:bottom w:val="single" w:sz="8" w:color="DBEEF4"/>
            </w:tcBorders>
            <w:shd w:val="clear" w:color="auto" w:fill="DBEEF4"/>
          </w:tcPr>
          <w:p>
            <w:pPr>
              <w:spacing w:after="0"/>
              <w:rPr>
                <w:sz w:val="11"/>
                <w:szCs w:val="11"/>
                <w:color w:val="auto"/>
              </w:rPr>
            </w:pPr>
          </w:p>
        </w:tc>
        <w:tc>
          <w:tcPr>
            <w:tcW w:w="820" w:type="dxa"/>
            <w:vAlign w:val="bottom"/>
            <w:tcBorders>
              <w:bottom w:val="single" w:sz="8" w:color="DBEEF4"/>
            </w:tcBorders>
            <w:shd w:val="clear" w:color="auto" w:fill="DBEEF4"/>
          </w:tcPr>
          <w:p>
            <w:pPr>
              <w:spacing w:after="0"/>
              <w:rPr>
                <w:sz w:val="11"/>
                <w:szCs w:val="11"/>
                <w:color w:val="auto"/>
              </w:rPr>
            </w:pPr>
          </w:p>
        </w:tc>
        <w:tc>
          <w:tcPr>
            <w:tcW w:w="6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8"/>
                <w:szCs w:val="8"/>
                <w:color w:val="auto"/>
              </w:rPr>
              <w:t>11/3/2016</w:t>
            </w:r>
          </w:p>
        </w:tc>
        <w:tc>
          <w:tcPr>
            <w:tcW w:w="720" w:type="dxa"/>
            <w:vAlign w:val="bottom"/>
            <w:tcBorders>
              <w:bottom w:val="single" w:sz="8" w:color="DBEEF4"/>
            </w:tcBorders>
            <w:shd w:val="clear" w:color="auto" w:fill="DBEEF4"/>
          </w:tcPr>
          <w:p>
            <w:pPr>
              <w:spacing w:after="0"/>
              <w:rPr>
                <w:sz w:val="11"/>
                <w:szCs w:val="11"/>
                <w:color w:val="auto"/>
              </w:rPr>
            </w:pPr>
          </w:p>
        </w:tc>
        <w:tc>
          <w:tcPr>
            <w:tcW w:w="700" w:type="dxa"/>
            <w:vAlign w:val="bottom"/>
            <w:tcBorders>
              <w:bottom w:val="single" w:sz="8" w:color="DBEEF4"/>
            </w:tcBorders>
            <w:shd w:val="clear" w:color="auto" w:fill="DBEEF4"/>
          </w:tcPr>
          <w:p>
            <w:pPr>
              <w:spacing w:after="0"/>
              <w:rPr>
                <w:sz w:val="11"/>
                <w:szCs w:val="11"/>
                <w:color w:val="auto"/>
              </w:rPr>
            </w:pPr>
          </w:p>
        </w:tc>
        <w:tc>
          <w:tcPr>
            <w:tcW w:w="120" w:type="dxa"/>
            <w:vAlign w:val="bottom"/>
            <w:tcBorders>
              <w:bottom w:val="single" w:sz="8" w:color="auto"/>
            </w:tcBorders>
            <w:shd w:val="clear" w:color="auto" w:fill="DBEEF4"/>
          </w:tcPr>
          <w:p>
            <w:pPr>
              <w:spacing w:after="0"/>
              <w:rPr>
                <w:sz w:val="11"/>
                <w:szCs w:val="11"/>
                <w:color w:val="auto"/>
              </w:rPr>
            </w:pPr>
          </w:p>
        </w:tc>
        <w:tc>
          <w:tcPr>
            <w:tcW w:w="44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494</w:t>
            </w:r>
          </w:p>
        </w:tc>
        <w:tc>
          <w:tcPr>
            <w:tcW w:w="200" w:type="dxa"/>
            <w:vAlign w:val="bottom"/>
            <w:tcBorders>
              <w:bottom w:val="single" w:sz="8" w:color="DBEEF4"/>
            </w:tcBorders>
            <w:shd w:val="clear" w:color="auto" w:fill="DBEEF4"/>
          </w:tcPr>
          <w:p>
            <w:pPr>
              <w:spacing w:after="0"/>
              <w:rPr>
                <w:sz w:val="11"/>
                <w:szCs w:val="11"/>
                <w:color w:val="auto"/>
              </w:rPr>
            </w:pPr>
          </w:p>
        </w:tc>
        <w:tc>
          <w:tcPr>
            <w:tcW w:w="5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159</w:t>
            </w:r>
          </w:p>
        </w:tc>
        <w:tc>
          <w:tcPr>
            <w:tcW w:w="720" w:type="dxa"/>
            <w:vAlign w:val="bottom"/>
            <w:tcBorders>
              <w:bottom w:val="single" w:sz="8" w:color="DBEEF4"/>
            </w:tcBorders>
            <w:shd w:val="clear" w:color="auto" w:fill="DBEEF4"/>
          </w:tcPr>
          <w:p>
            <w:pPr>
              <w:spacing w:after="0"/>
              <w:rPr>
                <w:sz w:val="11"/>
                <w:szCs w:val="11"/>
                <w:color w:val="auto"/>
              </w:rPr>
            </w:pPr>
          </w:p>
        </w:tc>
      </w:tr>
      <w:tr>
        <w:trPr>
          <w:trHeight w:val="113"/>
        </w:trPr>
        <w:tc>
          <w:tcPr>
            <w:tcW w:w="30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5,267</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4,938</w:t>
            </w:r>
          </w:p>
        </w:tc>
        <w:tc>
          <w:tcPr>
            <w:tcW w:w="720" w:type="dxa"/>
            <w:vAlign w:val="bottom"/>
          </w:tcPr>
          <w:p>
            <w:pPr>
              <w:jc w:val="right"/>
              <w:spacing w:after="0"/>
              <w:rPr>
                <w:sz w:val="20"/>
                <w:szCs w:val="20"/>
                <w:color w:val="auto"/>
              </w:rPr>
            </w:pPr>
            <w:r>
              <w:rPr>
                <w:rFonts w:ascii="Arial" w:cs="Arial" w:eastAsia="Arial" w:hAnsi="Arial"/>
                <w:sz w:val="8"/>
                <w:szCs w:val="8"/>
                <w:color w:val="auto"/>
              </w:rPr>
              <w:t>1 %</w:t>
            </w:r>
          </w:p>
        </w:tc>
      </w:tr>
      <w:tr>
        <w:trPr>
          <w:trHeight w:val="134"/>
        </w:trPr>
        <w:tc>
          <w:tcPr>
            <w:tcW w:w="3080" w:type="dxa"/>
            <w:vAlign w:val="bottom"/>
            <w:shd w:val="clear" w:color="auto" w:fill="DBEEF4"/>
          </w:tcPr>
          <w:p>
            <w:pPr>
              <w:ind w:left="20"/>
              <w:spacing w:after="0"/>
              <w:rPr>
                <w:sz w:val="20"/>
                <w:szCs w:val="20"/>
                <w:color w:val="auto"/>
              </w:rPr>
            </w:pPr>
            <w:r>
              <w:rPr>
                <w:rFonts w:ascii="Arial" w:cs="Arial" w:eastAsia="Arial" w:hAnsi="Arial"/>
                <w:sz w:val="8"/>
                <w:szCs w:val="8"/>
                <w:i w:val="1"/>
                <w:iCs w:val="1"/>
                <w:color w:val="auto"/>
              </w:rPr>
              <w:t>Pool &amp; Electrical Products, LLC</w:t>
            </w:r>
          </w:p>
        </w:tc>
        <w:tc>
          <w:tcPr>
            <w:tcW w:w="3300" w:type="dxa"/>
            <w:vAlign w:val="bottom"/>
            <w:shd w:val="clear" w:color="auto" w:fill="DBEEF4"/>
          </w:tcPr>
          <w:p>
            <w:pPr>
              <w:ind w:left="640"/>
              <w:spacing w:after="0"/>
              <w:rPr>
                <w:sz w:val="20"/>
                <w:szCs w:val="20"/>
                <w:color w:val="auto"/>
              </w:rPr>
            </w:pPr>
            <w:r>
              <w:rPr>
                <w:rFonts w:ascii="Arial" w:cs="Arial" w:eastAsia="Arial" w:hAnsi="Arial"/>
                <w:sz w:val="8"/>
                <w:szCs w:val="8"/>
                <w:color w:val="auto"/>
              </w:rPr>
              <w:t>Specialty Distribution</w:t>
            </w: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44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50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r>
      <w:tr>
        <w:trPr>
          <w:trHeight w:val="120"/>
        </w:trPr>
        <w:tc>
          <w:tcPr>
            <w:tcW w:w="3080" w:type="dxa"/>
            <w:vAlign w:val="bottom"/>
          </w:tcPr>
          <w:p>
            <w:pPr>
              <w:ind w:left="100"/>
              <w:spacing w:after="0"/>
              <w:rPr>
                <w:sz w:val="20"/>
                <w:szCs w:val="20"/>
                <w:color w:val="auto"/>
              </w:rPr>
            </w:pPr>
            <w:r>
              <w:rPr>
                <w:rFonts w:ascii="Arial" w:cs="Arial" w:eastAsia="Arial" w:hAnsi="Arial"/>
                <w:sz w:val="8"/>
                <w:szCs w:val="8"/>
                <w:color w:val="auto"/>
              </w:rPr>
              <w:t>Second Lien Debt (j)</w:t>
            </w:r>
          </w:p>
        </w:tc>
        <w:tc>
          <w:tcPr>
            <w:tcW w:w="3300" w:type="dxa"/>
            <w:vAlign w:val="bottom"/>
          </w:tcPr>
          <w:p>
            <w:pPr>
              <w:spacing w:after="0"/>
              <w:rPr>
                <w:sz w:val="10"/>
                <w:szCs w:val="10"/>
                <w:color w:val="auto"/>
              </w:rPr>
            </w:pPr>
          </w:p>
        </w:tc>
        <w:tc>
          <w:tcPr>
            <w:tcW w:w="820" w:type="dxa"/>
            <w:vAlign w:val="bottom"/>
          </w:tcPr>
          <w:p>
            <w:pPr>
              <w:ind w:left="180"/>
              <w:spacing w:after="0"/>
              <w:rPr>
                <w:sz w:val="20"/>
                <w:szCs w:val="20"/>
                <w:color w:val="auto"/>
              </w:rPr>
            </w:pPr>
            <w:r>
              <w:rPr>
                <w:rFonts w:ascii="Arial" w:cs="Arial" w:eastAsia="Arial" w:hAnsi="Arial"/>
                <w:sz w:val="8"/>
                <w:szCs w:val="8"/>
                <w:color w:val="auto"/>
              </w:rPr>
              <w:t>11.75%/0.00%</w:t>
            </w:r>
          </w:p>
        </w:tc>
        <w:tc>
          <w:tcPr>
            <w:tcW w:w="640" w:type="dxa"/>
            <w:vAlign w:val="bottom"/>
          </w:tcPr>
          <w:p>
            <w:pPr>
              <w:ind w:left="120"/>
              <w:spacing w:after="0"/>
              <w:rPr>
                <w:sz w:val="20"/>
                <w:szCs w:val="20"/>
                <w:color w:val="auto"/>
              </w:rPr>
            </w:pPr>
            <w:r>
              <w:rPr>
                <w:rFonts w:ascii="Arial" w:cs="Arial" w:eastAsia="Arial" w:hAnsi="Arial"/>
                <w:sz w:val="8"/>
                <w:szCs w:val="8"/>
                <w:color w:val="auto"/>
              </w:rPr>
              <w:t>10/28/2020</w:t>
            </w:r>
          </w:p>
        </w:tc>
        <w:tc>
          <w:tcPr>
            <w:tcW w:w="720" w:type="dxa"/>
            <w:vAlign w:val="bottom"/>
          </w:tcPr>
          <w:p>
            <w:pPr>
              <w:ind w:left="120"/>
              <w:spacing w:after="0"/>
              <w:rPr>
                <w:sz w:val="20"/>
                <w:szCs w:val="20"/>
                <w:color w:val="auto"/>
              </w:rPr>
            </w:pPr>
            <w:r>
              <w:rPr>
                <w:rFonts w:ascii="Arial" w:cs="Arial" w:eastAsia="Arial" w:hAnsi="Arial"/>
                <w:sz w:val="8"/>
                <w:szCs w:val="8"/>
                <w:color w:val="auto"/>
              </w:rPr>
              <w:t>4/28/2027</w:t>
            </w:r>
          </w:p>
        </w:tc>
        <w:tc>
          <w:tcPr>
            <w:tcW w:w="700" w:type="dxa"/>
            <w:vAlign w:val="bottom"/>
          </w:tcPr>
          <w:p>
            <w:pPr>
              <w:jc w:val="right"/>
              <w:ind w:right="198"/>
              <w:spacing w:after="0"/>
              <w:rPr>
                <w:sz w:val="20"/>
                <w:szCs w:val="20"/>
                <w:color w:val="auto"/>
              </w:rPr>
            </w:pPr>
            <w:r>
              <w:rPr>
                <w:rFonts w:ascii="Arial" w:cs="Arial" w:eastAsia="Arial" w:hAnsi="Arial"/>
                <w:sz w:val="8"/>
                <w:szCs w:val="8"/>
                <w:color w:val="auto"/>
              </w:rPr>
              <w:t>12,000</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11,883</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11,883</w:t>
            </w:r>
          </w:p>
        </w:tc>
        <w:tc>
          <w:tcPr>
            <w:tcW w:w="720" w:type="dxa"/>
            <w:vAlign w:val="bottom"/>
          </w:tcPr>
          <w:p>
            <w:pPr>
              <w:spacing w:after="0"/>
              <w:rPr>
                <w:sz w:val="10"/>
                <w:szCs w:val="10"/>
                <w:color w:val="auto"/>
              </w:rPr>
            </w:pPr>
          </w:p>
        </w:tc>
      </w:tr>
      <w:tr>
        <w:trPr>
          <w:trHeight w:val="133"/>
        </w:trPr>
        <w:tc>
          <w:tcPr>
            <w:tcW w:w="3080" w:type="dxa"/>
            <w:vAlign w:val="bottom"/>
            <w:tcBorders>
              <w:bottom w:val="single" w:sz="8" w:color="DBEEF4"/>
            </w:tcBorders>
            <w:shd w:val="clear" w:color="auto" w:fill="DBEEF4"/>
          </w:tcPr>
          <w:p>
            <w:pPr>
              <w:ind w:left="100"/>
              <w:spacing w:after="0"/>
              <w:rPr>
                <w:sz w:val="20"/>
                <w:szCs w:val="20"/>
                <w:color w:val="auto"/>
              </w:rPr>
            </w:pPr>
            <w:r>
              <w:rPr>
                <w:rFonts w:ascii="Arial" w:cs="Arial" w:eastAsia="Arial" w:hAnsi="Arial"/>
                <w:sz w:val="8"/>
                <w:szCs w:val="8"/>
                <w:color w:val="auto"/>
              </w:rPr>
              <w:t>Common Equity (15,000 units) (h)(j)</w:t>
            </w:r>
          </w:p>
        </w:tc>
        <w:tc>
          <w:tcPr>
            <w:tcW w:w="3300" w:type="dxa"/>
            <w:vAlign w:val="bottom"/>
            <w:tcBorders>
              <w:bottom w:val="single" w:sz="8" w:color="DBEEF4"/>
            </w:tcBorders>
            <w:shd w:val="clear" w:color="auto" w:fill="DBEEF4"/>
          </w:tcPr>
          <w:p>
            <w:pPr>
              <w:spacing w:after="0"/>
              <w:rPr>
                <w:sz w:val="11"/>
                <w:szCs w:val="11"/>
                <w:color w:val="auto"/>
              </w:rPr>
            </w:pPr>
          </w:p>
        </w:tc>
        <w:tc>
          <w:tcPr>
            <w:tcW w:w="820" w:type="dxa"/>
            <w:vAlign w:val="bottom"/>
            <w:tcBorders>
              <w:bottom w:val="single" w:sz="8" w:color="DBEEF4"/>
            </w:tcBorders>
            <w:shd w:val="clear" w:color="auto" w:fill="DBEEF4"/>
          </w:tcPr>
          <w:p>
            <w:pPr>
              <w:spacing w:after="0"/>
              <w:rPr>
                <w:sz w:val="11"/>
                <w:szCs w:val="11"/>
                <w:color w:val="auto"/>
              </w:rPr>
            </w:pPr>
          </w:p>
        </w:tc>
        <w:tc>
          <w:tcPr>
            <w:tcW w:w="6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8"/>
                <w:szCs w:val="8"/>
                <w:color w:val="auto"/>
              </w:rPr>
              <w:t>10/28/2020</w:t>
            </w:r>
          </w:p>
        </w:tc>
        <w:tc>
          <w:tcPr>
            <w:tcW w:w="720" w:type="dxa"/>
            <w:vAlign w:val="bottom"/>
            <w:tcBorders>
              <w:bottom w:val="single" w:sz="8" w:color="DBEEF4"/>
            </w:tcBorders>
            <w:shd w:val="clear" w:color="auto" w:fill="DBEEF4"/>
          </w:tcPr>
          <w:p>
            <w:pPr>
              <w:spacing w:after="0"/>
              <w:rPr>
                <w:sz w:val="11"/>
                <w:szCs w:val="11"/>
                <w:color w:val="auto"/>
              </w:rPr>
            </w:pPr>
          </w:p>
        </w:tc>
        <w:tc>
          <w:tcPr>
            <w:tcW w:w="700" w:type="dxa"/>
            <w:vAlign w:val="bottom"/>
            <w:tcBorders>
              <w:bottom w:val="single" w:sz="8" w:color="DBEEF4"/>
            </w:tcBorders>
            <w:shd w:val="clear" w:color="auto" w:fill="DBEEF4"/>
          </w:tcPr>
          <w:p>
            <w:pPr>
              <w:spacing w:after="0"/>
              <w:rPr>
                <w:sz w:val="11"/>
                <w:szCs w:val="11"/>
                <w:color w:val="auto"/>
              </w:rPr>
            </w:pPr>
          </w:p>
        </w:tc>
        <w:tc>
          <w:tcPr>
            <w:tcW w:w="120" w:type="dxa"/>
            <w:vAlign w:val="bottom"/>
            <w:tcBorders>
              <w:bottom w:val="single" w:sz="8" w:color="auto"/>
            </w:tcBorders>
            <w:shd w:val="clear" w:color="auto" w:fill="DBEEF4"/>
          </w:tcPr>
          <w:p>
            <w:pPr>
              <w:spacing w:after="0"/>
              <w:rPr>
                <w:sz w:val="11"/>
                <w:szCs w:val="11"/>
                <w:color w:val="auto"/>
              </w:rPr>
            </w:pPr>
          </w:p>
        </w:tc>
        <w:tc>
          <w:tcPr>
            <w:tcW w:w="44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1,500</w:t>
            </w:r>
          </w:p>
        </w:tc>
        <w:tc>
          <w:tcPr>
            <w:tcW w:w="200" w:type="dxa"/>
            <w:vAlign w:val="bottom"/>
            <w:tcBorders>
              <w:bottom w:val="single" w:sz="8" w:color="DBEEF4"/>
            </w:tcBorders>
            <w:shd w:val="clear" w:color="auto" w:fill="DBEEF4"/>
          </w:tcPr>
          <w:p>
            <w:pPr>
              <w:spacing w:after="0"/>
              <w:rPr>
                <w:sz w:val="11"/>
                <w:szCs w:val="11"/>
                <w:color w:val="auto"/>
              </w:rPr>
            </w:pPr>
          </w:p>
        </w:tc>
        <w:tc>
          <w:tcPr>
            <w:tcW w:w="5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1,500</w:t>
            </w:r>
          </w:p>
        </w:tc>
        <w:tc>
          <w:tcPr>
            <w:tcW w:w="720" w:type="dxa"/>
            <w:vAlign w:val="bottom"/>
            <w:tcBorders>
              <w:bottom w:val="single" w:sz="8" w:color="DBEEF4"/>
            </w:tcBorders>
            <w:shd w:val="clear" w:color="auto" w:fill="DBEEF4"/>
          </w:tcPr>
          <w:p>
            <w:pPr>
              <w:spacing w:after="0"/>
              <w:rPr>
                <w:sz w:val="11"/>
                <w:szCs w:val="11"/>
                <w:color w:val="auto"/>
              </w:rPr>
            </w:pPr>
          </w:p>
        </w:tc>
      </w:tr>
      <w:tr>
        <w:trPr>
          <w:trHeight w:val="113"/>
        </w:trPr>
        <w:tc>
          <w:tcPr>
            <w:tcW w:w="30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13,383</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13,383</w:t>
            </w:r>
          </w:p>
        </w:tc>
        <w:tc>
          <w:tcPr>
            <w:tcW w:w="720" w:type="dxa"/>
            <w:vAlign w:val="bottom"/>
          </w:tcPr>
          <w:p>
            <w:pPr>
              <w:jc w:val="right"/>
              <w:spacing w:after="0"/>
              <w:rPr>
                <w:sz w:val="20"/>
                <w:szCs w:val="20"/>
                <w:color w:val="auto"/>
              </w:rPr>
            </w:pPr>
            <w:r>
              <w:rPr>
                <w:rFonts w:ascii="Arial" w:cs="Arial" w:eastAsia="Arial" w:hAnsi="Arial"/>
                <w:sz w:val="8"/>
                <w:szCs w:val="8"/>
                <w:color w:val="auto"/>
              </w:rPr>
              <w:t>3 %</w:t>
            </w:r>
          </w:p>
        </w:tc>
      </w:tr>
      <w:tr>
        <w:trPr>
          <w:trHeight w:val="134"/>
        </w:trPr>
        <w:tc>
          <w:tcPr>
            <w:tcW w:w="3080" w:type="dxa"/>
            <w:vAlign w:val="bottom"/>
            <w:shd w:val="clear" w:color="auto" w:fill="DBEEF4"/>
          </w:tcPr>
          <w:p>
            <w:pPr>
              <w:ind w:left="20"/>
              <w:spacing w:after="0"/>
              <w:rPr>
                <w:sz w:val="20"/>
                <w:szCs w:val="20"/>
                <w:color w:val="auto"/>
              </w:rPr>
            </w:pPr>
            <w:r>
              <w:rPr>
                <w:rFonts w:ascii="Arial" w:cs="Arial" w:eastAsia="Arial" w:hAnsi="Arial"/>
                <w:sz w:val="8"/>
                <w:szCs w:val="8"/>
                <w:i w:val="1"/>
                <w:iCs w:val="1"/>
                <w:color w:val="auto"/>
              </w:rPr>
              <w:t>Power Grid Components, Inc.</w:t>
            </w:r>
          </w:p>
        </w:tc>
        <w:tc>
          <w:tcPr>
            <w:tcW w:w="3300" w:type="dxa"/>
            <w:vAlign w:val="bottom"/>
            <w:shd w:val="clear" w:color="auto" w:fill="DBEEF4"/>
          </w:tcPr>
          <w:p>
            <w:pPr>
              <w:ind w:left="640"/>
              <w:spacing w:after="0"/>
              <w:rPr>
                <w:sz w:val="20"/>
                <w:szCs w:val="20"/>
                <w:color w:val="auto"/>
              </w:rPr>
            </w:pPr>
            <w:r>
              <w:rPr>
                <w:rFonts w:ascii="Arial" w:cs="Arial" w:eastAsia="Arial" w:hAnsi="Arial"/>
                <w:sz w:val="8"/>
                <w:szCs w:val="8"/>
                <w:color w:val="auto"/>
              </w:rPr>
              <w:t>Specialty Distribution</w:t>
            </w: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44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50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r>
      <w:tr>
        <w:trPr>
          <w:trHeight w:val="120"/>
        </w:trPr>
        <w:tc>
          <w:tcPr>
            <w:tcW w:w="3080" w:type="dxa"/>
            <w:vAlign w:val="bottom"/>
          </w:tcPr>
          <w:p>
            <w:pPr>
              <w:ind w:left="20"/>
              <w:spacing w:after="0"/>
              <w:rPr>
                <w:sz w:val="20"/>
                <w:szCs w:val="20"/>
                <w:color w:val="auto"/>
              </w:rPr>
            </w:pPr>
            <w:r>
              <w:rPr>
                <w:rFonts w:ascii="Arial" w:cs="Arial" w:eastAsia="Arial" w:hAnsi="Arial"/>
                <w:sz w:val="8"/>
                <w:szCs w:val="8"/>
                <w:color w:val="auto"/>
              </w:rPr>
              <w:t>Second Lien Debt (k)</w:t>
            </w:r>
          </w:p>
        </w:tc>
        <w:tc>
          <w:tcPr>
            <w:tcW w:w="3300" w:type="dxa"/>
            <w:vAlign w:val="bottom"/>
          </w:tcPr>
          <w:p>
            <w:pPr>
              <w:spacing w:after="0"/>
              <w:rPr>
                <w:sz w:val="10"/>
                <w:szCs w:val="10"/>
                <w:color w:val="auto"/>
              </w:rPr>
            </w:pPr>
          </w:p>
        </w:tc>
        <w:tc>
          <w:tcPr>
            <w:tcW w:w="820" w:type="dxa"/>
            <w:vAlign w:val="bottom"/>
          </w:tcPr>
          <w:p>
            <w:pPr>
              <w:ind w:left="180"/>
              <w:spacing w:after="0"/>
              <w:rPr>
                <w:sz w:val="20"/>
                <w:szCs w:val="20"/>
                <w:color w:val="auto"/>
              </w:rPr>
            </w:pPr>
            <w:r>
              <w:rPr>
                <w:rFonts w:ascii="Arial" w:cs="Arial" w:eastAsia="Arial" w:hAnsi="Arial"/>
                <w:sz w:val="8"/>
                <w:szCs w:val="8"/>
                <w:color w:val="auto"/>
              </w:rPr>
              <w:t>11.00%/1.00%</w:t>
            </w:r>
          </w:p>
        </w:tc>
        <w:tc>
          <w:tcPr>
            <w:tcW w:w="640" w:type="dxa"/>
            <w:vAlign w:val="bottom"/>
          </w:tcPr>
          <w:p>
            <w:pPr>
              <w:ind w:left="120"/>
              <w:spacing w:after="0"/>
              <w:rPr>
                <w:sz w:val="20"/>
                <w:szCs w:val="20"/>
                <w:color w:val="auto"/>
              </w:rPr>
            </w:pPr>
            <w:r>
              <w:rPr>
                <w:rFonts w:ascii="Arial" w:cs="Arial" w:eastAsia="Arial" w:hAnsi="Arial"/>
                <w:sz w:val="8"/>
                <w:szCs w:val="8"/>
                <w:color w:val="auto"/>
              </w:rPr>
              <w:t>4/12/2018</w:t>
            </w:r>
          </w:p>
        </w:tc>
        <w:tc>
          <w:tcPr>
            <w:tcW w:w="720" w:type="dxa"/>
            <w:vAlign w:val="bottom"/>
          </w:tcPr>
          <w:p>
            <w:pPr>
              <w:ind w:left="120"/>
              <w:spacing w:after="0"/>
              <w:rPr>
                <w:sz w:val="20"/>
                <w:szCs w:val="20"/>
                <w:color w:val="auto"/>
              </w:rPr>
            </w:pPr>
            <w:r>
              <w:rPr>
                <w:rFonts w:ascii="Arial" w:cs="Arial" w:eastAsia="Arial" w:hAnsi="Arial"/>
                <w:sz w:val="8"/>
                <w:szCs w:val="8"/>
                <w:color w:val="auto"/>
              </w:rPr>
              <w:t>12/2/2025</w:t>
            </w:r>
          </w:p>
        </w:tc>
        <w:tc>
          <w:tcPr>
            <w:tcW w:w="700" w:type="dxa"/>
            <w:vAlign w:val="bottom"/>
          </w:tcPr>
          <w:p>
            <w:pPr>
              <w:jc w:val="right"/>
              <w:ind w:right="198"/>
              <w:spacing w:after="0"/>
              <w:rPr>
                <w:sz w:val="20"/>
                <w:szCs w:val="20"/>
                <w:color w:val="auto"/>
              </w:rPr>
            </w:pPr>
            <w:r>
              <w:rPr>
                <w:rFonts w:ascii="Arial" w:cs="Arial" w:eastAsia="Arial" w:hAnsi="Arial"/>
                <w:sz w:val="8"/>
                <w:szCs w:val="8"/>
                <w:color w:val="auto"/>
              </w:rPr>
              <w:t>22,433</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22,357</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22,433</w:t>
            </w:r>
          </w:p>
        </w:tc>
        <w:tc>
          <w:tcPr>
            <w:tcW w:w="720" w:type="dxa"/>
            <w:vAlign w:val="bottom"/>
          </w:tcPr>
          <w:p>
            <w:pPr>
              <w:spacing w:after="0"/>
              <w:rPr>
                <w:sz w:val="10"/>
                <w:szCs w:val="10"/>
                <w:color w:val="auto"/>
              </w:rPr>
            </w:pPr>
          </w:p>
        </w:tc>
      </w:tr>
      <w:tr>
        <w:trPr>
          <w:trHeight w:val="134"/>
        </w:trPr>
        <w:tc>
          <w:tcPr>
            <w:tcW w:w="3080" w:type="dxa"/>
            <w:vAlign w:val="bottom"/>
            <w:shd w:val="clear" w:color="auto" w:fill="DBEEF4"/>
          </w:tcPr>
          <w:p>
            <w:pPr>
              <w:ind w:left="100"/>
              <w:spacing w:after="0"/>
              <w:rPr>
                <w:sz w:val="20"/>
                <w:szCs w:val="20"/>
                <w:color w:val="auto"/>
              </w:rPr>
            </w:pPr>
            <w:r>
              <w:rPr>
                <w:rFonts w:ascii="Arial" w:cs="Arial" w:eastAsia="Arial" w:hAnsi="Arial"/>
                <w:sz w:val="8"/>
                <w:szCs w:val="8"/>
                <w:color w:val="auto"/>
              </w:rPr>
              <w:t>Preferred Equity (392 shares) (j)</w:t>
            </w:r>
          </w:p>
        </w:tc>
        <w:tc>
          <w:tcPr>
            <w:tcW w:w="3300" w:type="dxa"/>
            <w:vAlign w:val="bottom"/>
            <w:shd w:val="clear" w:color="auto" w:fill="DBEEF4"/>
          </w:tcPr>
          <w:p>
            <w:pPr>
              <w:spacing w:after="0"/>
              <w:rPr>
                <w:sz w:val="11"/>
                <w:szCs w:val="11"/>
                <w:color w:val="auto"/>
              </w:rPr>
            </w:pP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ind w:left="120"/>
              <w:spacing w:after="0"/>
              <w:rPr>
                <w:sz w:val="20"/>
                <w:szCs w:val="20"/>
                <w:color w:val="auto"/>
              </w:rPr>
            </w:pPr>
            <w:r>
              <w:rPr>
                <w:rFonts w:ascii="Arial" w:cs="Arial" w:eastAsia="Arial" w:hAnsi="Arial"/>
                <w:sz w:val="8"/>
                <w:szCs w:val="8"/>
                <w:color w:val="auto"/>
              </w:rPr>
              <w:t>4/12/2018</w:t>
            </w: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440" w:type="dxa"/>
            <w:vAlign w:val="bottom"/>
            <w:shd w:val="clear" w:color="auto" w:fill="DBEEF4"/>
          </w:tcPr>
          <w:p>
            <w:pPr>
              <w:jc w:val="right"/>
              <w:spacing w:after="0"/>
              <w:rPr>
                <w:sz w:val="20"/>
                <w:szCs w:val="20"/>
                <w:color w:val="auto"/>
              </w:rPr>
            </w:pPr>
            <w:r>
              <w:rPr>
                <w:rFonts w:ascii="Arial" w:cs="Arial" w:eastAsia="Arial" w:hAnsi="Arial"/>
                <w:sz w:val="8"/>
                <w:szCs w:val="8"/>
                <w:color w:val="auto"/>
              </w:rPr>
              <w:t>392</w:t>
            </w:r>
          </w:p>
        </w:tc>
        <w:tc>
          <w:tcPr>
            <w:tcW w:w="700" w:type="dxa"/>
            <w:vAlign w:val="bottom"/>
            <w:gridSpan w:val="2"/>
            <w:shd w:val="clear" w:color="auto" w:fill="DBEEF4"/>
          </w:tcPr>
          <w:p>
            <w:pPr>
              <w:jc w:val="right"/>
              <w:spacing w:after="0"/>
              <w:rPr>
                <w:sz w:val="20"/>
                <w:szCs w:val="20"/>
                <w:color w:val="auto"/>
              </w:rPr>
            </w:pPr>
            <w:r>
              <w:rPr>
                <w:rFonts w:ascii="Arial" w:cs="Arial" w:eastAsia="Arial" w:hAnsi="Arial"/>
                <w:sz w:val="8"/>
                <w:szCs w:val="8"/>
                <w:color w:val="auto"/>
              </w:rPr>
              <w:t>509</w:t>
            </w:r>
          </w:p>
        </w:tc>
        <w:tc>
          <w:tcPr>
            <w:tcW w:w="720" w:type="dxa"/>
            <w:vAlign w:val="bottom"/>
            <w:shd w:val="clear" w:color="auto" w:fill="DBEEF4"/>
          </w:tcPr>
          <w:p>
            <w:pPr>
              <w:spacing w:after="0"/>
              <w:rPr>
                <w:sz w:val="11"/>
                <w:szCs w:val="11"/>
                <w:color w:val="auto"/>
              </w:rPr>
            </w:pPr>
          </w:p>
        </w:tc>
      </w:tr>
      <w:tr>
        <w:trPr>
          <w:trHeight w:val="120"/>
        </w:trPr>
        <w:tc>
          <w:tcPr>
            <w:tcW w:w="3080" w:type="dxa"/>
            <w:vAlign w:val="bottom"/>
          </w:tcPr>
          <w:p>
            <w:pPr>
              <w:ind w:left="100"/>
              <w:spacing w:after="0"/>
              <w:rPr>
                <w:sz w:val="20"/>
                <w:szCs w:val="20"/>
                <w:color w:val="auto"/>
              </w:rPr>
            </w:pPr>
            <w:r>
              <w:rPr>
                <w:rFonts w:ascii="Arial" w:cs="Arial" w:eastAsia="Arial" w:hAnsi="Arial"/>
                <w:sz w:val="8"/>
                <w:szCs w:val="8"/>
                <w:color w:val="auto"/>
              </w:rPr>
              <w:t>Preferred Equity (48 shares) (j)</w:t>
            </w:r>
          </w:p>
        </w:tc>
        <w:tc>
          <w:tcPr>
            <w:tcW w:w="3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8"/>
                <w:szCs w:val="8"/>
                <w:color w:val="auto"/>
              </w:rPr>
              <w:t>12/2/2019</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48</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63</w:t>
            </w:r>
          </w:p>
        </w:tc>
        <w:tc>
          <w:tcPr>
            <w:tcW w:w="720" w:type="dxa"/>
            <w:vAlign w:val="bottom"/>
          </w:tcPr>
          <w:p>
            <w:pPr>
              <w:spacing w:after="0"/>
              <w:rPr>
                <w:sz w:val="10"/>
                <w:szCs w:val="10"/>
                <w:color w:val="auto"/>
              </w:rPr>
            </w:pPr>
          </w:p>
        </w:tc>
      </w:tr>
      <w:tr>
        <w:trPr>
          <w:trHeight w:val="133"/>
        </w:trPr>
        <w:tc>
          <w:tcPr>
            <w:tcW w:w="3080" w:type="dxa"/>
            <w:vAlign w:val="bottom"/>
            <w:tcBorders>
              <w:bottom w:val="single" w:sz="8" w:color="DBEEF4"/>
            </w:tcBorders>
            <w:shd w:val="clear" w:color="auto" w:fill="DBEEF4"/>
          </w:tcPr>
          <w:p>
            <w:pPr>
              <w:ind w:left="100"/>
              <w:spacing w:after="0"/>
              <w:rPr>
                <w:sz w:val="20"/>
                <w:szCs w:val="20"/>
                <w:color w:val="auto"/>
              </w:rPr>
            </w:pPr>
            <w:r>
              <w:rPr>
                <w:rFonts w:ascii="Arial" w:cs="Arial" w:eastAsia="Arial" w:hAnsi="Arial"/>
                <w:sz w:val="8"/>
                <w:szCs w:val="8"/>
                <w:color w:val="auto"/>
              </w:rPr>
              <w:t>Common Equity (10,622 shares) (j)</w:t>
            </w:r>
          </w:p>
        </w:tc>
        <w:tc>
          <w:tcPr>
            <w:tcW w:w="3300" w:type="dxa"/>
            <w:vAlign w:val="bottom"/>
            <w:tcBorders>
              <w:bottom w:val="single" w:sz="8" w:color="DBEEF4"/>
            </w:tcBorders>
            <w:shd w:val="clear" w:color="auto" w:fill="DBEEF4"/>
          </w:tcPr>
          <w:p>
            <w:pPr>
              <w:spacing w:after="0"/>
              <w:rPr>
                <w:sz w:val="11"/>
                <w:szCs w:val="11"/>
                <w:color w:val="auto"/>
              </w:rPr>
            </w:pPr>
          </w:p>
        </w:tc>
        <w:tc>
          <w:tcPr>
            <w:tcW w:w="820" w:type="dxa"/>
            <w:vAlign w:val="bottom"/>
            <w:tcBorders>
              <w:bottom w:val="single" w:sz="8" w:color="DBEEF4"/>
            </w:tcBorders>
            <w:shd w:val="clear" w:color="auto" w:fill="DBEEF4"/>
          </w:tcPr>
          <w:p>
            <w:pPr>
              <w:spacing w:after="0"/>
              <w:rPr>
                <w:sz w:val="11"/>
                <w:szCs w:val="11"/>
                <w:color w:val="auto"/>
              </w:rPr>
            </w:pPr>
          </w:p>
        </w:tc>
        <w:tc>
          <w:tcPr>
            <w:tcW w:w="6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8"/>
                <w:szCs w:val="8"/>
                <w:color w:val="auto"/>
              </w:rPr>
              <w:t>4/12/2018</w:t>
            </w:r>
          </w:p>
        </w:tc>
        <w:tc>
          <w:tcPr>
            <w:tcW w:w="720" w:type="dxa"/>
            <w:vAlign w:val="bottom"/>
            <w:tcBorders>
              <w:bottom w:val="single" w:sz="8" w:color="DBEEF4"/>
            </w:tcBorders>
            <w:shd w:val="clear" w:color="auto" w:fill="DBEEF4"/>
          </w:tcPr>
          <w:p>
            <w:pPr>
              <w:spacing w:after="0"/>
              <w:rPr>
                <w:sz w:val="11"/>
                <w:szCs w:val="11"/>
                <w:color w:val="auto"/>
              </w:rPr>
            </w:pPr>
          </w:p>
        </w:tc>
        <w:tc>
          <w:tcPr>
            <w:tcW w:w="700" w:type="dxa"/>
            <w:vAlign w:val="bottom"/>
            <w:tcBorders>
              <w:bottom w:val="single" w:sz="8" w:color="DBEEF4"/>
            </w:tcBorders>
            <w:shd w:val="clear" w:color="auto" w:fill="DBEEF4"/>
          </w:tcPr>
          <w:p>
            <w:pPr>
              <w:spacing w:after="0"/>
              <w:rPr>
                <w:sz w:val="11"/>
                <w:szCs w:val="11"/>
                <w:color w:val="auto"/>
              </w:rPr>
            </w:pPr>
          </w:p>
        </w:tc>
        <w:tc>
          <w:tcPr>
            <w:tcW w:w="120" w:type="dxa"/>
            <w:vAlign w:val="bottom"/>
            <w:tcBorders>
              <w:bottom w:val="single" w:sz="8" w:color="auto"/>
            </w:tcBorders>
            <w:shd w:val="clear" w:color="auto" w:fill="DBEEF4"/>
          </w:tcPr>
          <w:p>
            <w:pPr>
              <w:spacing w:after="0"/>
              <w:rPr>
                <w:sz w:val="11"/>
                <w:szCs w:val="11"/>
                <w:color w:val="auto"/>
              </w:rPr>
            </w:pPr>
          </w:p>
        </w:tc>
        <w:tc>
          <w:tcPr>
            <w:tcW w:w="44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462</w:t>
            </w:r>
          </w:p>
        </w:tc>
        <w:tc>
          <w:tcPr>
            <w:tcW w:w="200" w:type="dxa"/>
            <w:vAlign w:val="bottom"/>
            <w:tcBorders>
              <w:bottom w:val="single" w:sz="8" w:color="DBEEF4"/>
            </w:tcBorders>
            <w:shd w:val="clear" w:color="auto" w:fill="DBEEF4"/>
          </w:tcPr>
          <w:p>
            <w:pPr>
              <w:spacing w:after="0"/>
              <w:rPr>
                <w:sz w:val="11"/>
                <w:szCs w:val="11"/>
                <w:color w:val="auto"/>
              </w:rPr>
            </w:pPr>
          </w:p>
        </w:tc>
        <w:tc>
          <w:tcPr>
            <w:tcW w:w="5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740</w:t>
            </w:r>
          </w:p>
        </w:tc>
        <w:tc>
          <w:tcPr>
            <w:tcW w:w="720" w:type="dxa"/>
            <w:vAlign w:val="bottom"/>
            <w:tcBorders>
              <w:bottom w:val="single" w:sz="8" w:color="DBEEF4"/>
            </w:tcBorders>
            <w:shd w:val="clear" w:color="auto" w:fill="DBEEF4"/>
          </w:tcPr>
          <w:p>
            <w:pPr>
              <w:spacing w:after="0"/>
              <w:rPr>
                <w:sz w:val="11"/>
                <w:szCs w:val="11"/>
                <w:color w:val="auto"/>
              </w:rPr>
            </w:pPr>
          </w:p>
        </w:tc>
      </w:tr>
      <w:tr>
        <w:trPr>
          <w:trHeight w:val="113"/>
        </w:trPr>
        <w:tc>
          <w:tcPr>
            <w:tcW w:w="30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23,259</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23,745</w:t>
            </w:r>
          </w:p>
        </w:tc>
        <w:tc>
          <w:tcPr>
            <w:tcW w:w="720" w:type="dxa"/>
            <w:vAlign w:val="bottom"/>
          </w:tcPr>
          <w:p>
            <w:pPr>
              <w:jc w:val="right"/>
              <w:spacing w:after="0"/>
              <w:rPr>
                <w:sz w:val="20"/>
                <w:szCs w:val="20"/>
                <w:color w:val="auto"/>
              </w:rPr>
            </w:pPr>
            <w:r>
              <w:rPr>
                <w:rFonts w:ascii="Arial" w:cs="Arial" w:eastAsia="Arial" w:hAnsi="Arial"/>
                <w:sz w:val="8"/>
                <w:szCs w:val="8"/>
                <w:color w:val="auto"/>
              </w:rPr>
              <w:t>6 %</w:t>
            </w:r>
          </w:p>
        </w:tc>
      </w:tr>
      <w:tr>
        <w:trPr>
          <w:trHeight w:val="134"/>
        </w:trPr>
        <w:tc>
          <w:tcPr>
            <w:tcW w:w="3080" w:type="dxa"/>
            <w:vAlign w:val="bottom"/>
            <w:shd w:val="clear" w:color="auto" w:fill="DBEEF4"/>
          </w:tcPr>
          <w:p>
            <w:pPr>
              <w:ind w:left="20"/>
              <w:spacing w:after="0"/>
              <w:rPr>
                <w:sz w:val="20"/>
                <w:szCs w:val="20"/>
                <w:color w:val="auto"/>
              </w:rPr>
            </w:pPr>
            <w:r>
              <w:rPr>
                <w:rFonts w:ascii="Arial" w:cs="Arial" w:eastAsia="Arial" w:hAnsi="Arial"/>
                <w:sz w:val="8"/>
                <w:szCs w:val="8"/>
                <w:i w:val="1"/>
                <w:iCs w:val="1"/>
                <w:color w:val="auto"/>
              </w:rPr>
              <w:t>Prime AE Group, Inc.</w:t>
            </w:r>
          </w:p>
        </w:tc>
        <w:tc>
          <w:tcPr>
            <w:tcW w:w="3300" w:type="dxa"/>
            <w:vAlign w:val="bottom"/>
            <w:shd w:val="clear" w:color="auto" w:fill="DBEEF4"/>
          </w:tcPr>
          <w:p>
            <w:pPr>
              <w:ind w:left="640"/>
              <w:spacing w:after="0"/>
              <w:rPr>
                <w:sz w:val="20"/>
                <w:szCs w:val="20"/>
                <w:color w:val="auto"/>
              </w:rPr>
            </w:pPr>
            <w:r>
              <w:rPr>
                <w:rFonts w:ascii="Arial" w:cs="Arial" w:eastAsia="Arial" w:hAnsi="Arial"/>
                <w:sz w:val="8"/>
                <w:szCs w:val="8"/>
                <w:color w:val="auto"/>
              </w:rPr>
              <w:t>Business Services</w:t>
            </w: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44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50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r>
      <w:tr>
        <w:trPr>
          <w:trHeight w:val="120"/>
        </w:trPr>
        <w:tc>
          <w:tcPr>
            <w:tcW w:w="3080" w:type="dxa"/>
            <w:vAlign w:val="bottom"/>
          </w:tcPr>
          <w:p>
            <w:pPr>
              <w:ind w:left="100"/>
              <w:spacing w:after="0"/>
              <w:rPr>
                <w:sz w:val="20"/>
                <w:szCs w:val="20"/>
                <w:color w:val="auto"/>
              </w:rPr>
            </w:pPr>
            <w:r>
              <w:rPr>
                <w:rFonts w:ascii="Arial" w:cs="Arial" w:eastAsia="Arial" w:hAnsi="Arial"/>
                <w:sz w:val="8"/>
                <w:szCs w:val="8"/>
                <w:color w:val="auto"/>
              </w:rPr>
              <w:t>First Lien Debt (j)</w:t>
            </w:r>
          </w:p>
        </w:tc>
        <w:tc>
          <w:tcPr>
            <w:tcW w:w="3300" w:type="dxa"/>
            <w:vAlign w:val="bottom"/>
          </w:tcPr>
          <w:p>
            <w:pPr>
              <w:ind w:left="2300"/>
              <w:spacing w:after="0"/>
              <w:rPr>
                <w:sz w:val="20"/>
                <w:szCs w:val="20"/>
                <w:color w:val="auto"/>
              </w:rPr>
            </w:pPr>
            <w:r>
              <w:rPr>
                <w:rFonts w:ascii="Arial" w:cs="Arial" w:eastAsia="Arial" w:hAnsi="Arial"/>
                <w:sz w:val="8"/>
                <w:szCs w:val="8"/>
                <w:color w:val="auto"/>
              </w:rPr>
              <w:t>(L + 6.25%) / (2.00%)</w:t>
            </w:r>
          </w:p>
        </w:tc>
        <w:tc>
          <w:tcPr>
            <w:tcW w:w="820" w:type="dxa"/>
            <w:vAlign w:val="bottom"/>
          </w:tcPr>
          <w:p>
            <w:pPr>
              <w:ind w:left="180"/>
              <w:spacing w:after="0"/>
              <w:rPr>
                <w:sz w:val="20"/>
                <w:szCs w:val="20"/>
                <w:color w:val="auto"/>
              </w:rPr>
            </w:pPr>
            <w:r>
              <w:rPr>
                <w:rFonts w:ascii="Arial" w:cs="Arial" w:eastAsia="Arial" w:hAnsi="Arial"/>
                <w:sz w:val="8"/>
                <w:szCs w:val="8"/>
                <w:color w:val="auto"/>
              </w:rPr>
              <w:t>8.25%/0.00%</w:t>
            </w:r>
          </w:p>
        </w:tc>
        <w:tc>
          <w:tcPr>
            <w:tcW w:w="640" w:type="dxa"/>
            <w:vAlign w:val="bottom"/>
          </w:tcPr>
          <w:p>
            <w:pPr>
              <w:ind w:left="120"/>
              <w:spacing w:after="0"/>
              <w:rPr>
                <w:sz w:val="20"/>
                <w:szCs w:val="20"/>
                <w:color w:val="auto"/>
              </w:rPr>
            </w:pPr>
            <w:r>
              <w:rPr>
                <w:rFonts w:ascii="Arial" w:cs="Arial" w:eastAsia="Arial" w:hAnsi="Arial"/>
                <w:sz w:val="8"/>
                <w:szCs w:val="8"/>
                <w:color w:val="auto"/>
              </w:rPr>
              <w:t>11/25/2019</w:t>
            </w:r>
          </w:p>
        </w:tc>
        <w:tc>
          <w:tcPr>
            <w:tcW w:w="720" w:type="dxa"/>
            <w:vAlign w:val="bottom"/>
          </w:tcPr>
          <w:p>
            <w:pPr>
              <w:ind w:left="120"/>
              <w:spacing w:after="0"/>
              <w:rPr>
                <w:sz w:val="20"/>
                <w:szCs w:val="20"/>
                <w:color w:val="auto"/>
              </w:rPr>
            </w:pPr>
            <w:r>
              <w:rPr>
                <w:rFonts w:ascii="Arial" w:cs="Arial" w:eastAsia="Arial" w:hAnsi="Arial"/>
                <w:sz w:val="8"/>
                <w:szCs w:val="8"/>
                <w:color w:val="auto"/>
              </w:rPr>
              <w:t>11/25/2024</w:t>
            </w:r>
          </w:p>
        </w:tc>
        <w:tc>
          <w:tcPr>
            <w:tcW w:w="700" w:type="dxa"/>
            <w:vAlign w:val="bottom"/>
          </w:tcPr>
          <w:p>
            <w:pPr>
              <w:jc w:val="right"/>
              <w:ind w:right="198"/>
              <w:spacing w:after="0"/>
              <w:rPr>
                <w:sz w:val="20"/>
                <w:szCs w:val="20"/>
                <w:color w:val="auto"/>
              </w:rPr>
            </w:pPr>
            <w:r>
              <w:rPr>
                <w:rFonts w:ascii="Arial" w:cs="Arial" w:eastAsia="Arial" w:hAnsi="Arial"/>
                <w:sz w:val="8"/>
                <w:szCs w:val="8"/>
                <w:color w:val="auto"/>
              </w:rPr>
              <w:t>6,833</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6,683</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6,833</w:t>
            </w:r>
          </w:p>
        </w:tc>
        <w:tc>
          <w:tcPr>
            <w:tcW w:w="720" w:type="dxa"/>
            <w:vAlign w:val="bottom"/>
          </w:tcPr>
          <w:p>
            <w:pPr>
              <w:spacing w:after="0"/>
              <w:rPr>
                <w:sz w:val="10"/>
                <w:szCs w:val="10"/>
                <w:color w:val="auto"/>
              </w:rPr>
            </w:pPr>
          </w:p>
        </w:tc>
      </w:tr>
      <w:tr>
        <w:trPr>
          <w:trHeight w:val="133"/>
        </w:trPr>
        <w:tc>
          <w:tcPr>
            <w:tcW w:w="3080" w:type="dxa"/>
            <w:vAlign w:val="bottom"/>
            <w:tcBorders>
              <w:bottom w:val="single" w:sz="8" w:color="DBEEF4"/>
            </w:tcBorders>
            <w:shd w:val="clear" w:color="auto" w:fill="DBEEF4"/>
          </w:tcPr>
          <w:p>
            <w:pPr>
              <w:ind w:left="100"/>
              <w:spacing w:after="0"/>
              <w:rPr>
                <w:sz w:val="20"/>
                <w:szCs w:val="20"/>
                <w:color w:val="auto"/>
              </w:rPr>
            </w:pPr>
            <w:r>
              <w:rPr>
                <w:rFonts w:ascii="Arial" w:cs="Arial" w:eastAsia="Arial" w:hAnsi="Arial"/>
                <w:sz w:val="8"/>
                <w:szCs w:val="8"/>
                <w:color w:val="auto"/>
              </w:rPr>
              <w:t>Preferred Equity (500,000 shares) (j)</w:t>
            </w:r>
          </w:p>
        </w:tc>
        <w:tc>
          <w:tcPr>
            <w:tcW w:w="3300" w:type="dxa"/>
            <w:vAlign w:val="bottom"/>
            <w:tcBorders>
              <w:bottom w:val="single" w:sz="8" w:color="DBEEF4"/>
            </w:tcBorders>
            <w:shd w:val="clear" w:color="auto" w:fill="DBEEF4"/>
          </w:tcPr>
          <w:p>
            <w:pPr>
              <w:spacing w:after="0"/>
              <w:rPr>
                <w:sz w:val="11"/>
                <w:szCs w:val="11"/>
                <w:color w:val="auto"/>
              </w:rPr>
            </w:pPr>
          </w:p>
        </w:tc>
        <w:tc>
          <w:tcPr>
            <w:tcW w:w="820" w:type="dxa"/>
            <w:vAlign w:val="bottom"/>
            <w:tcBorders>
              <w:bottom w:val="single" w:sz="8" w:color="DBEEF4"/>
            </w:tcBorders>
            <w:shd w:val="clear" w:color="auto" w:fill="DBEEF4"/>
          </w:tcPr>
          <w:p>
            <w:pPr>
              <w:spacing w:after="0"/>
              <w:rPr>
                <w:sz w:val="11"/>
                <w:szCs w:val="11"/>
                <w:color w:val="auto"/>
              </w:rPr>
            </w:pPr>
          </w:p>
        </w:tc>
        <w:tc>
          <w:tcPr>
            <w:tcW w:w="6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8"/>
                <w:szCs w:val="8"/>
                <w:color w:val="auto"/>
              </w:rPr>
              <w:t>11/25/2019</w:t>
            </w:r>
          </w:p>
        </w:tc>
        <w:tc>
          <w:tcPr>
            <w:tcW w:w="720" w:type="dxa"/>
            <w:vAlign w:val="bottom"/>
            <w:tcBorders>
              <w:bottom w:val="single" w:sz="8" w:color="DBEEF4"/>
            </w:tcBorders>
            <w:shd w:val="clear" w:color="auto" w:fill="DBEEF4"/>
          </w:tcPr>
          <w:p>
            <w:pPr>
              <w:spacing w:after="0"/>
              <w:rPr>
                <w:sz w:val="11"/>
                <w:szCs w:val="11"/>
                <w:color w:val="auto"/>
              </w:rPr>
            </w:pPr>
          </w:p>
        </w:tc>
        <w:tc>
          <w:tcPr>
            <w:tcW w:w="700" w:type="dxa"/>
            <w:vAlign w:val="bottom"/>
            <w:tcBorders>
              <w:bottom w:val="single" w:sz="8" w:color="DBEEF4"/>
            </w:tcBorders>
            <w:shd w:val="clear" w:color="auto" w:fill="DBEEF4"/>
          </w:tcPr>
          <w:p>
            <w:pPr>
              <w:spacing w:after="0"/>
              <w:rPr>
                <w:sz w:val="11"/>
                <w:szCs w:val="11"/>
                <w:color w:val="auto"/>
              </w:rPr>
            </w:pPr>
          </w:p>
        </w:tc>
        <w:tc>
          <w:tcPr>
            <w:tcW w:w="120" w:type="dxa"/>
            <w:vAlign w:val="bottom"/>
            <w:tcBorders>
              <w:bottom w:val="single" w:sz="8" w:color="auto"/>
            </w:tcBorders>
            <w:shd w:val="clear" w:color="auto" w:fill="DBEEF4"/>
          </w:tcPr>
          <w:p>
            <w:pPr>
              <w:spacing w:after="0"/>
              <w:rPr>
                <w:sz w:val="11"/>
                <w:szCs w:val="11"/>
                <w:color w:val="auto"/>
              </w:rPr>
            </w:pPr>
          </w:p>
        </w:tc>
        <w:tc>
          <w:tcPr>
            <w:tcW w:w="44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500</w:t>
            </w:r>
          </w:p>
        </w:tc>
        <w:tc>
          <w:tcPr>
            <w:tcW w:w="200" w:type="dxa"/>
            <w:vAlign w:val="bottom"/>
            <w:tcBorders>
              <w:bottom w:val="single" w:sz="8" w:color="DBEEF4"/>
            </w:tcBorders>
            <w:shd w:val="clear" w:color="auto" w:fill="DBEEF4"/>
          </w:tcPr>
          <w:p>
            <w:pPr>
              <w:spacing w:after="0"/>
              <w:rPr>
                <w:sz w:val="11"/>
                <w:szCs w:val="11"/>
                <w:color w:val="auto"/>
              </w:rPr>
            </w:pPr>
          </w:p>
        </w:tc>
        <w:tc>
          <w:tcPr>
            <w:tcW w:w="5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566</w:t>
            </w:r>
          </w:p>
        </w:tc>
        <w:tc>
          <w:tcPr>
            <w:tcW w:w="720" w:type="dxa"/>
            <w:vAlign w:val="bottom"/>
            <w:tcBorders>
              <w:bottom w:val="single" w:sz="8" w:color="DBEEF4"/>
            </w:tcBorders>
            <w:shd w:val="clear" w:color="auto" w:fill="DBEEF4"/>
          </w:tcPr>
          <w:p>
            <w:pPr>
              <w:spacing w:after="0"/>
              <w:rPr>
                <w:sz w:val="11"/>
                <w:szCs w:val="11"/>
                <w:color w:val="auto"/>
              </w:rPr>
            </w:pPr>
          </w:p>
        </w:tc>
      </w:tr>
      <w:tr>
        <w:trPr>
          <w:trHeight w:val="113"/>
        </w:trPr>
        <w:tc>
          <w:tcPr>
            <w:tcW w:w="30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7,183</w:t>
            </w:r>
          </w:p>
        </w:tc>
        <w:tc>
          <w:tcPr>
            <w:tcW w:w="700" w:type="dxa"/>
            <w:vAlign w:val="bottom"/>
            <w:gridSpan w:val="2"/>
          </w:tcPr>
          <w:p>
            <w:pPr>
              <w:jc w:val="right"/>
              <w:spacing w:after="0"/>
              <w:rPr>
                <w:sz w:val="20"/>
                <w:szCs w:val="20"/>
                <w:color w:val="auto"/>
              </w:rPr>
            </w:pPr>
            <w:r>
              <w:rPr>
                <w:rFonts w:ascii="Arial" w:cs="Arial" w:eastAsia="Arial" w:hAnsi="Arial"/>
                <w:sz w:val="8"/>
                <w:szCs w:val="8"/>
                <w:color w:val="auto"/>
              </w:rPr>
              <w:t>7,399</w:t>
            </w:r>
          </w:p>
        </w:tc>
        <w:tc>
          <w:tcPr>
            <w:tcW w:w="720" w:type="dxa"/>
            <w:vAlign w:val="bottom"/>
          </w:tcPr>
          <w:p>
            <w:pPr>
              <w:jc w:val="right"/>
              <w:spacing w:after="0"/>
              <w:rPr>
                <w:sz w:val="20"/>
                <w:szCs w:val="20"/>
                <w:color w:val="auto"/>
              </w:rPr>
            </w:pPr>
            <w:r>
              <w:rPr>
                <w:rFonts w:ascii="Arial" w:cs="Arial" w:eastAsia="Arial" w:hAnsi="Arial"/>
                <w:sz w:val="8"/>
                <w:szCs w:val="8"/>
                <w:color w:val="auto"/>
              </w:rPr>
              <w:t>2 %</w:t>
            </w:r>
          </w:p>
        </w:tc>
      </w:tr>
      <w:tr>
        <w:trPr>
          <w:trHeight w:val="134"/>
        </w:trPr>
        <w:tc>
          <w:tcPr>
            <w:tcW w:w="3080" w:type="dxa"/>
            <w:vAlign w:val="bottom"/>
            <w:shd w:val="clear" w:color="auto" w:fill="DBEEF4"/>
          </w:tcPr>
          <w:p>
            <w:pPr>
              <w:ind w:left="20"/>
              <w:spacing w:after="0"/>
              <w:rPr>
                <w:sz w:val="20"/>
                <w:szCs w:val="20"/>
                <w:color w:val="auto"/>
              </w:rPr>
            </w:pPr>
            <w:r>
              <w:rPr>
                <w:rFonts w:ascii="Arial" w:cs="Arial" w:eastAsia="Arial" w:hAnsi="Arial"/>
                <w:sz w:val="8"/>
                <w:szCs w:val="8"/>
                <w:i w:val="1"/>
                <w:iCs w:val="1"/>
                <w:color w:val="auto"/>
              </w:rPr>
              <w:t>Revenue Management Solutions, LLC</w:t>
            </w:r>
          </w:p>
        </w:tc>
        <w:tc>
          <w:tcPr>
            <w:tcW w:w="3300" w:type="dxa"/>
            <w:vAlign w:val="bottom"/>
            <w:shd w:val="clear" w:color="auto" w:fill="DBEEF4"/>
          </w:tcPr>
          <w:p>
            <w:pPr>
              <w:ind w:left="640"/>
              <w:spacing w:after="0"/>
              <w:rPr>
                <w:sz w:val="20"/>
                <w:szCs w:val="20"/>
                <w:color w:val="auto"/>
              </w:rPr>
            </w:pPr>
            <w:r>
              <w:rPr>
                <w:rFonts w:ascii="Arial" w:cs="Arial" w:eastAsia="Arial" w:hAnsi="Arial"/>
                <w:sz w:val="8"/>
                <w:szCs w:val="8"/>
                <w:color w:val="auto"/>
              </w:rPr>
              <w:t>Information Technology Services</w:t>
            </w:r>
          </w:p>
        </w:tc>
        <w:tc>
          <w:tcPr>
            <w:tcW w:w="82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20" w:type="dxa"/>
            <w:vAlign w:val="bottom"/>
            <w:shd w:val="clear" w:color="auto" w:fill="DBEEF4"/>
          </w:tcPr>
          <w:p>
            <w:pPr>
              <w:spacing w:after="0"/>
              <w:rPr>
                <w:sz w:val="11"/>
                <w:szCs w:val="11"/>
                <w:color w:val="auto"/>
              </w:rPr>
            </w:pPr>
          </w:p>
        </w:tc>
        <w:tc>
          <w:tcPr>
            <w:tcW w:w="44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50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6231890</wp:posOffset>
            </wp:positionH>
            <wp:positionV relativeFrom="paragraph">
              <wp:posOffset>-9528175</wp:posOffset>
            </wp:positionV>
            <wp:extent cx="909955" cy="939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09955" cy="93980"/>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-9190355</wp:posOffset>
            </wp:positionV>
            <wp:extent cx="909955" cy="857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09955" cy="85725"/>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-8860155</wp:posOffset>
            </wp:positionV>
            <wp:extent cx="909955" cy="857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09955" cy="85725"/>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-8529955</wp:posOffset>
            </wp:positionV>
            <wp:extent cx="829310" cy="857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9310" cy="85725"/>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-8199755</wp:posOffset>
            </wp:positionV>
            <wp:extent cx="829310" cy="857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9310" cy="85725"/>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-7869555</wp:posOffset>
            </wp:positionV>
            <wp:extent cx="909955" cy="857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09955" cy="85725"/>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-7539990</wp:posOffset>
            </wp:positionV>
            <wp:extent cx="909955" cy="857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09955" cy="85725"/>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-7209790</wp:posOffset>
            </wp:positionV>
            <wp:extent cx="909955" cy="939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09955" cy="93980"/>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-4915535</wp:posOffset>
            </wp:positionV>
            <wp:extent cx="909955" cy="857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09955" cy="85725"/>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-3449955</wp:posOffset>
            </wp:positionV>
            <wp:extent cx="909955" cy="857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09955" cy="85725"/>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-3120390</wp:posOffset>
            </wp:positionV>
            <wp:extent cx="909955" cy="857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09955" cy="85725"/>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-2790190</wp:posOffset>
            </wp:positionV>
            <wp:extent cx="909955" cy="857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09955" cy="85725"/>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-2459990</wp:posOffset>
            </wp:positionV>
            <wp:extent cx="909955" cy="857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09955" cy="85725"/>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-1316990</wp:posOffset>
            </wp:positionV>
            <wp:extent cx="909955" cy="857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09955" cy="85725"/>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-986790</wp:posOffset>
            </wp:positionV>
            <wp:extent cx="909955" cy="857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09955" cy="85725"/>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-495935</wp:posOffset>
            </wp:positionV>
            <wp:extent cx="909955" cy="857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09955" cy="85725"/>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-165735</wp:posOffset>
            </wp:positionV>
            <wp:extent cx="909955" cy="857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09955" cy="85725"/>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355" w:right="339" w:bottom="116"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12"/>
        </w:trPr>
        <w:tc>
          <w:tcPr>
            <w:tcW w:w="3000" w:type="dxa"/>
            <w:vAlign w:val="bottom"/>
          </w:tcPr>
          <w:p>
            <w:pPr>
              <w:ind w:left="100"/>
              <w:spacing w:after="0"/>
              <w:rPr>
                <w:sz w:val="20"/>
                <w:szCs w:val="20"/>
                <w:color w:val="auto"/>
              </w:rPr>
            </w:pPr>
            <w:r>
              <w:rPr>
                <w:rFonts w:ascii="Arial" w:cs="Arial" w:eastAsia="Arial" w:hAnsi="Arial"/>
                <w:sz w:val="8"/>
                <w:szCs w:val="8"/>
                <w:color w:val="auto"/>
              </w:rPr>
              <w:t>Common Equity (113 shares)</w:t>
            </w:r>
          </w:p>
        </w:tc>
        <w:tc>
          <w:tcPr>
            <w:tcW w:w="3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40" w:type="dxa"/>
            <w:vAlign w:val="bottom"/>
          </w:tcPr>
          <w:p>
            <w:pPr>
              <w:ind w:left="120"/>
              <w:spacing w:after="0"/>
              <w:rPr>
                <w:sz w:val="20"/>
                <w:szCs w:val="20"/>
                <w:color w:val="auto"/>
              </w:rPr>
            </w:pPr>
            <w:r>
              <w:rPr>
                <w:rFonts w:ascii="Arial" w:cs="Arial" w:eastAsia="Arial" w:hAnsi="Arial"/>
                <w:sz w:val="8"/>
                <w:szCs w:val="8"/>
                <w:color w:val="auto"/>
              </w:rPr>
              <w:t>1/4/2017</w:t>
            </w: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8"/>
                <w:szCs w:val="8"/>
                <w:color w:val="auto"/>
              </w:rPr>
              <w:t>1,125</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3,081</w:t>
            </w:r>
          </w:p>
        </w:tc>
        <w:tc>
          <w:tcPr>
            <w:tcW w:w="720" w:type="dxa"/>
            <w:vAlign w:val="bottom"/>
          </w:tcPr>
          <w:p>
            <w:pPr>
              <w:jc w:val="right"/>
              <w:spacing w:after="0"/>
              <w:rPr>
                <w:sz w:val="20"/>
                <w:szCs w:val="20"/>
                <w:color w:val="auto"/>
              </w:rPr>
            </w:pPr>
            <w:r>
              <w:rPr>
                <w:rFonts w:ascii="Arial" w:cs="Arial" w:eastAsia="Arial" w:hAnsi="Arial"/>
                <w:sz w:val="8"/>
                <w:szCs w:val="8"/>
                <w:color w:val="auto"/>
              </w:rPr>
              <w:t>1 %</w:t>
            </w:r>
          </w:p>
        </w:tc>
      </w:tr>
      <w:tr>
        <w:trPr>
          <w:trHeight w:val="134"/>
        </w:trPr>
        <w:tc>
          <w:tcPr>
            <w:tcW w:w="3000" w:type="dxa"/>
            <w:vAlign w:val="bottom"/>
            <w:shd w:val="clear" w:color="auto" w:fill="DBEEF4"/>
          </w:tcPr>
          <w:p>
            <w:pPr>
              <w:spacing w:after="0"/>
              <w:rPr>
                <w:sz w:val="11"/>
                <w:szCs w:val="11"/>
                <w:color w:val="auto"/>
              </w:rPr>
            </w:pPr>
          </w:p>
        </w:tc>
        <w:tc>
          <w:tcPr>
            <w:tcW w:w="3360" w:type="dxa"/>
            <w:vAlign w:val="bottom"/>
            <w:shd w:val="clear" w:color="auto" w:fill="DBEEF4"/>
          </w:tcPr>
          <w:p>
            <w:pPr>
              <w:spacing w:after="0"/>
              <w:rPr>
                <w:sz w:val="11"/>
                <w:szCs w:val="11"/>
                <w:color w:val="auto"/>
              </w:rPr>
            </w:pPr>
          </w:p>
        </w:tc>
        <w:tc>
          <w:tcPr>
            <w:tcW w:w="84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60" w:type="dxa"/>
            <w:vAlign w:val="bottom"/>
            <w:shd w:val="clear" w:color="auto" w:fill="DBEEF4"/>
          </w:tcPr>
          <w:p>
            <w:pPr>
              <w:spacing w:after="0"/>
              <w:rPr>
                <w:sz w:val="11"/>
                <w:szCs w:val="11"/>
                <w:color w:val="auto"/>
              </w:rPr>
            </w:pPr>
          </w:p>
        </w:tc>
        <w:tc>
          <w:tcPr>
            <w:tcW w:w="40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36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r>
      <w:tr>
        <w:trPr>
          <w:trHeight w:val="120"/>
        </w:trPr>
        <w:tc>
          <w:tcPr>
            <w:tcW w:w="3000" w:type="dxa"/>
            <w:vAlign w:val="bottom"/>
          </w:tcPr>
          <w:p>
            <w:pPr>
              <w:ind w:left="20"/>
              <w:spacing w:after="0"/>
              <w:rPr>
                <w:sz w:val="20"/>
                <w:szCs w:val="20"/>
                <w:color w:val="auto"/>
              </w:rPr>
            </w:pPr>
            <w:r>
              <w:rPr>
                <w:rFonts w:ascii="Arial" w:cs="Arial" w:eastAsia="Arial" w:hAnsi="Arial"/>
                <w:sz w:val="8"/>
                <w:szCs w:val="8"/>
                <w:i w:val="1"/>
                <w:iCs w:val="1"/>
                <w:color w:val="auto"/>
              </w:rPr>
              <w:t>Rhino Assembly Company, LLC</w:t>
            </w:r>
          </w:p>
        </w:tc>
        <w:tc>
          <w:tcPr>
            <w:tcW w:w="3360" w:type="dxa"/>
            <w:vAlign w:val="bottom"/>
          </w:tcPr>
          <w:p>
            <w:pPr>
              <w:ind w:left="720"/>
              <w:spacing w:after="0"/>
              <w:rPr>
                <w:sz w:val="20"/>
                <w:szCs w:val="20"/>
                <w:color w:val="auto"/>
              </w:rPr>
            </w:pPr>
            <w:r>
              <w:rPr>
                <w:rFonts w:ascii="Arial" w:cs="Arial" w:eastAsia="Arial" w:hAnsi="Arial"/>
                <w:sz w:val="8"/>
                <w:szCs w:val="8"/>
                <w:color w:val="auto"/>
              </w:rPr>
              <w:t>Specialty Distribution</w:t>
            </w:r>
          </w:p>
        </w:tc>
        <w:tc>
          <w:tcPr>
            <w:tcW w:w="8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34"/>
        </w:trPr>
        <w:tc>
          <w:tcPr>
            <w:tcW w:w="3000" w:type="dxa"/>
            <w:vAlign w:val="bottom"/>
            <w:shd w:val="clear" w:color="auto" w:fill="DBEEF4"/>
          </w:tcPr>
          <w:p>
            <w:pPr>
              <w:ind w:left="20"/>
              <w:spacing w:after="0"/>
              <w:rPr>
                <w:sz w:val="20"/>
                <w:szCs w:val="20"/>
                <w:color w:val="auto"/>
              </w:rPr>
            </w:pPr>
            <w:r>
              <w:rPr>
                <w:rFonts w:ascii="Arial" w:cs="Arial" w:eastAsia="Arial" w:hAnsi="Arial"/>
                <w:sz w:val="8"/>
                <w:szCs w:val="8"/>
                <w:color w:val="auto"/>
              </w:rPr>
              <w:t>Second Lien Debt (k)</w:t>
            </w:r>
          </w:p>
        </w:tc>
        <w:tc>
          <w:tcPr>
            <w:tcW w:w="3360" w:type="dxa"/>
            <w:vAlign w:val="bottom"/>
            <w:shd w:val="clear" w:color="auto" w:fill="DBEEF4"/>
          </w:tcPr>
          <w:p>
            <w:pPr>
              <w:spacing w:after="0"/>
              <w:rPr>
                <w:sz w:val="11"/>
                <w:szCs w:val="11"/>
                <w:color w:val="auto"/>
              </w:rPr>
            </w:pPr>
          </w:p>
        </w:tc>
        <w:tc>
          <w:tcPr>
            <w:tcW w:w="840" w:type="dxa"/>
            <w:vAlign w:val="bottom"/>
            <w:shd w:val="clear" w:color="auto" w:fill="DBEEF4"/>
          </w:tcPr>
          <w:p>
            <w:pPr>
              <w:ind w:left="200"/>
              <w:spacing w:after="0"/>
              <w:rPr>
                <w:sz w:val="20"/>
                <w:szCs w:val="20"/>
                <w:color w:val="auto"/>
              </w:rPr>
            </w:pPr>
            <w:r>
              <w:rPr>
                <w:rFonts w:ascii="Arial" w:cs="Arial" w:eastAsia="Arial" w:hAnsi="Arial"/>
                <w:sz w:val="8"/>
                <w:szCs w:val="8"/>
                <w:color w:val="auto"/>
              </w:rPr>
              <w:t>12.00%/1.50%</w:t>
            </w:r>
          </w:p>
        </w:tc>
        <w:tc>
          <w:tcPr>
            <w:tcW w:w="640" w:type="dxa"/>
            <w:vAlign w:val="bottom"/>
            <w:shd w:val="clear" w:color="auto" w:fill="DBEEF4"/>
          </w:tcPr>
          <w:p>
            <w:pPr>
              <w:ind w:left="120"/>
              <w:spacing w:after="0"/>
              <w:rPr>
                <w:sz w:val="20"/>
                <w:szCs w:val="20"/>
                <w:color w:val="auto"/>
              </w:rPr>
            </w:pPr>
            <w:r>
              <w:rPr>
                <w:rFonts w:ascii="Arial" w:cs="Arial" w:eastAsia="Arial" w:hAnsi="Arial"/>
                <w:sz w:val="8"/>
                <w:szCs w:val="8"/>
                <w:color w:val="auto"/>
              </w:rPr>
              <w:t>8/11/2017</w:t>
            </w:r>
          </w:p>
        </w:tc>
        <w:tc>
          <w:tcPr>
            <w:tcW w:w="720" w:type="dxa"/>
            <w:vAlign w:val="bottom"/>
            <w:shd w:val="clear" w:color="auto" w:fill="DBEEF4"/>
          </w:tcPr>
          <w:p>
            <w:pPr>
              <w:ind w:left="120"/>
              <w:spacing w:after="0"/>
              <w:rPr>
                <w:sz w:val="20"/>
                <w:szCs w:val="20"/>
                <w:color w:val="auto"/>
              </w:rPr>
            </w:pPr>
            <w:r>
              <w:rPr>
                <w:rFonts w:ascii="Arial" w:cs="Arial" w:eastAsia="Arial" w:hAnsi="Arial"/>
                <w:sz w:val="8"/>
                <w:szCs w:val="8"/>
                <w:color w:val="auto"/>
              </w:rPr>
              <w:t>2/11/2023</w:t>
            </w:r>
          </w:p>
        </w:tc>
        <w:tc>
          <w:tcPr>
            <w:tcW w:w="700" w:type="dxa"/>
            <w:vAlign w:val="bottom"/>
            <w:shd w:val="clear" w:color="auto" w:fill="DBEEF4"/>
          </w:tcPr>
          <w:p>
            <w:pPr>
              <w:jc w:val="right"/>
              <w:ind w:right="198"/>
              <w:spacing w:after="0"/>
              <w:rPr>
                <w:sz w:val="20"/>
                <w:szCs w:val="20"/>
                <w:color w:val="auto"/>
              </w:rPr>
            </w:pPr>
            <w:r>
              <w:rPr>
                <w:rFonts w:ascii="Arial" w:cs="Arial" w:eastAsia="Arial" w:hAnsi="Arial"/>
                <w:sz w:val="8"/>
                <w:szCs w:val="8"/>
                <w:color w:val="auto"/>
              </w:rPr>
              <w:t>10,682</w:t>
            </w:r>
          </w:p>
        </w:tc>
        <w:tc>
          <w:tcPr>
            <w:tcW w:w="160" w:type="dxa"/>
            <w:vAlign w:val="bottom"/>
            <w:shd w:val="clear" w:color="auto" w:fill="DBEEF4"/>
          </w:tcPr>
          <w:p>
            <w:pPr>
              <w:spacing w:after="0"/>
              <w:rPr>
                <w:sz w:val="11"/>
                <w:szCs w:val="11"/>
                <w:color w:val="auto"/>
              </w:rPr>
            </w:pPr>
          </w:p>
        </w:tc>
        <w:tc>
          <w:tcPr>
            <w:tcW w:w="400" w:type="dxa"/>
            <w:vAlign w:val="bottom"/>
            <w:shd w:val="clear" w:color="auto" w:fill="DBEEF4"/>
          </w:tcPr>
          <w:p>
            <w:pPr>
              <w:jc w:val="right"/>
              <w:spacing w:after="0"/>
              <w:rPr>
                <w:sz w:val="20"/>
                <w:szCs w:val="20"/>
                <w:color w:val="auto"/>
              </w:rPr>
            </w:pPr>
            <w:r>
              <w:rPr>
                <w:rFonts w:ascii="Arial" w:cs="Arial" w:eastAsia="Arial" w:hAnsi="Arial"/>
                <w:sz w:val="8"/>
                <w:szCs w:val="8"/>
                <w:color w:val="auto"/>
              </w:rPr>
              <w:t>10,655</w:t>
            </w:r>
          </w:p>
        </w:tc>
        <w:tc>
          <w:tcPr>
            <w:tcW w:w="2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360" w:type="dxa"/>
            <w:vAlign w:val="bottom"/>
            <w:shd w:val="clear" w:color="auto" w:fill="DBEEF4"/>
          </w:tcPr>
          <w:p>
            <w:pPr>
              <w:jc w:val="right"/>
              <w:spacing w:after="0"/>
              <w:rPr>
                <w:sz w:val="20"/>
                <w:szCs w:val="20"/>
                <w:color w:val="auto"/>
              </w:rPr>
            </w:pPr>
            <w:r>
              <w:rPr>
                <w:rFonts w:ascii="Arial" w:cs="Arial" w:eastAsia="Arial" w:hAnsi="Arial"/>
                <w:sz w:val="8"/>
                <w:szCs w:val="8"/>
                <w:color w:val="auto"/>
              </w:rPr>
              <w:t>10,682</w:t>
            </w:r>
          </w:p>
        </w:tc>
        <w:tc>
          <w:tcPr>
            <w:tcW w:w="720" w:type="dxa"/>
            <w:vAlign w:val="bottom"/>
            <w:shd w:val="clear" w:color="auto" w:fill="DBEEF4"/>
          </w:tcPr>
          <w:p>
            <w:pPr>
              <w:spacing w:after="0"/>
              <w:rPr>
                <w:sz w:val="11"/>
                <w:szCs w:val="11"/>
                <w:color w:val="auto"/>
              </w:rPr>
            </w:pPr>
          </w:p>
        </w:tc>
      </w:tr>
      <w:tr>
        <w:trPr>
          <w:trHeight w:val="120"/>
        </w:trPr>
        <w:tc>
          <w:tcPr>
            <w:tcW w:w="3000" w:type="dxa"/>
            <w:vAlign w:val="bottom"/>
          </w:tcPr>
          <w:p>
            <w:pPr>
              <w:ind w:left="100"/>
              <w:spacing w:after="0"/>
              <w:rPr>
                <w:sz w:val="20"/>
                <w:szCs w:val="20"/>
                <w:color w:val="auto"/>
              </w:rPr>
            </w:pPr>
            <w:r>
              <w:rPr>
                <w:rFonts w:ascii="Arial" w:cs="Arial" w:eastAsia="Arial" w:hAnsi="Arial"/>
                <w:sz w:val="8"/>
                <w:szCs w:val="8"/>
                <w:color w:val="auto"/>
              </w:rPr>
              <w:t>Delayed Draw Commitment ($875 unfunded commitment) (i)(j)</w:t>
            </w:r>
          </w:p>
        </w:tc>
        <w:tc>
          <w:tcPr>
            <w:tcW w:w="3360" w:type="dxa"/>
            <w:vAlign w:val="bottom"/>
          </w:tcPr>
          <w:p>
            <w:pPr>
              <w:spacing w:after="0"/>
              <w:rPr>
                <w:sz w:val="10"/>
                <w:szCs w:val="10"/>
                <w:color w:val="auto"/>
              </w:rPr>
            </w:pPr>
          </w:p>
        </w:tc>
        <w:tc>
          <w:tcPr>
            <w:tcW w:w="840" w:type="dxa"/>
            <w:vAlign w:val="bottom"/>
          </w:tcPr>
          <w:p>
            <w:pPr>
              <w:ind w:left="200"/>
              <w:spacing w:after="0"/>
              <w:rPr>
                <w:sz w:val="20"/>
                <w:szCs w:val="20"/>
                <w:color w:val="auto"/>
              </w:rPr>
            </w:pPr>
            <w:r>
              <w:rPr>
                <w:rFonts w:ascii="Arial" w:cs="Arial" w:eastAsia="Arial" w:hAnsi="Arial"/>
                <w:sz w:val="8"/>
                <w:szCs w:val="8"/>
                <w:color w:val="auto"/>
              </w:rPr>
              <w:t>12.00%/1.00%</w:t>
            </w:r>
          </w:p>
        </w:tc>
        <w:tc>
          <w:tcPr>
            <w:tcW w:w="640" w:type="dxa"/>
            <w:vAlign w:val="bottom"/>
          </w:tcPr>
          <w:p>
            <w:pPr>
              <w:ind w:left="120"/>
              <w:spacing w:after="0"/>
              <w:rPr>
                <w:sz w:val="20"/>
                <w:szCs w:val="20"/>
                <w:color w:val="auto"/>
              </w:rPr>
            </w:pPr>
            <w:r>
              <w:rPr>
                <w:rFonts w:ascii="Arial" w:cs="Arial" w:eastAsia="Arial" w:hAnsi="Arial"/>
                <w:sz w:val="8"/>
                <w:szCs w:val="8"/>
                <w:color w:val="auto"/>
              </w:rPr>
              <w:t>8/11/2017</w:t>
            </w:r>
          </w:p>
        </w:tc>
        <w:tc>
          <w:tcPr>
            <w:tcW w:w="720" w:type="dxa"/>
            <w:vAlign w:val="bottom"/>
          </w:tcPr>
          <w:p>
            <w:pPr>
              <w:ind w:left="120"/>
              <w:spacing w:after="0"/>
              <w:rPr>
                <w:sz w:val="20"/>
                <w:szCs w:val="20"/>
                <w:color w:val="auto"/>
              </w:rPr>
            </w:pPr>
            <w:r>
              <w:rPr>
                <w:rFonts w:ascii="Arial" w:cs="Arial" w:eastAsia="Arial" w:hAnsi="Arial"/>
                <w:sz w:val="8"/>
                <w:szCs w:val="8"/>
                <w:color w:val="auto"/>
              </w:rPr>
              <w:t>5/17/2022</w:t>
            </w:r>
          </w:p>
        </w:tc>
        <w:tc>
          <w:tcPr>
            <w:tcW w:w="700" w:type="dxa"/>
            <w:vAlign w:val="bottom"/>
          </w:tcPr>
          <w:p>
            <w:pPr>
              <w:jc w:val="right"/>
              <w:ind w:right="198"/>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720" w:type="dxa"/>
            <w:vAlign w:val="bottom"/>
          </w:tcPr>
          <w:p>
            <w:pPr>
              <w:spacing w:after="0"/>
              <w:rPr>
                <w:sz w:val="10"/>
                <w:szCs w:val="10"/>
                <w:color w:val="auto"/>
              </w:rPr>
            </w:pPr>
          </w:p>
        </w:tc>
      </w:tr>
      <w:tr>
        <w:trPr>
          <w:trHeight w:val="134"/>
        </w:trPr>
        <w:tc>
          <w:tcPr>
            <w:tcW w:w="3000" w:type="dxa"/>
            <w:vAlign w:val="bottom"/>
            <w:shd w:val="clear" w:color="auto" w:fill="DBEEF4"/>
          </w:tcPr>
          <w:p>
            <w:pPr>
              <w:ind w:left="100"/>
              <w:spacing w:after="0"/>
              <w:rPr>
                <w:sz w:val="20"/>
                <w:szCs w:val="20"/>
                <w:color w:val="auto"/>
              </w:rPr>
            </w:pPr>
            <w:r>
              <w:rPr>
                <w:rFonts w:ascii="Arial" w:cs="Arial" w:eastAsia="Arial" w:hAnsi="Arial"/>
                <w:sz w:val="8"/>
                <w:szCs w:val="8"/>
                <w:color w:val="auto"/>
              </w:rPr>
              <w:t>Common Equity (Class A Units) (8,864 units) (h)(j)</w:t>
            </w:r>
          </w:p>
        </w:tc>
        <w:tc>
          <w:tcPr>
            <w:tcW w:w="3360" w:type="dxa"/>
            <w:vAlign w:val="bottom"/>
            <w:shd w:val="clear" w:color="auto" w:fill="DBEEF4"/>
          </w:tcPr>
          <w:p>
            <w:pPr>
              <w:spacing w:after="0"/>
              <w:rPr>
                <w:sz w:val="11"/>
                <w:szCs w:val="11"/>
                <w:color w:val="auto"/>
              </w:rPr>
            </w:pPr>
          </w:p>
        </w:tc>
        <w:tc>
          <w:tcPr>
            <w:tcW w:w="840" w:type="dxa"/>
            <w:vAlign w:val="bottom"/>
            <w:shd w:val="clear" w:color="auto" w:fill="DBEEF4"/>
          </w:tcPr>
          <w:p>
            <w:pPr>
              <w:spacing w:after="0"/>
              <w:rPr>
                <w:sz w:val="11"/>
                <w:szCs w:val="11"/>
                <w:color w:val="auto"/>
              </w:rPr>
            </w:pPr>
          </w:p>
        </w:tc>
        <w:tc>
          <w:tcPr>
            <w:tcW w:w="640" w:type="dxa"/>
            <w:vAlign w:val="bottom"/>
            <w:shd w:val="clear" w:color="auto" w:fill="DBEEF4"/>
          </w:tcPr>
          <w:p>
            <w:pPr>
              <w:ind w:left="120"/>
              <w:spacing w:after="0"/>
              <w:rPr>
                <w:sz w:val="20"/>
                <w:szCs w:val="20"/>
                <w:color w:val="auto"/>
              </w:rPr>
            </w:pPr>
            <w:r>
              <w:rPr>
                <w:rFonts w:ascii="Arial" w:cs="Arial" w:eastAsia="Arial" w:hAnsi="Arial"/>
                <w:sz w:val="8"/>
                <w:szCs w:val="8"/>
                <w:color w:val="auto"/>
              </w:rPr>
              <w:t>8/11/2017</w:t>
            </w: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60" w:type="dxa"/>
            <w:vAlign w:val="bottom"/>
            <w:shd w:val="clear" w:color="auto" w:fill="DBEEF4"/>
          </w:tcPr>
          <w:p>
            <w:pPr>
              <w:spacing w:after="0"/>
              <w:rPr>
                <w:sz w:val="11"/>
                <w:szCs w:val="11"/>
                <w:color w:val="auto"/>
              </w:rPr>
            </w:pPr>
          </w:p>
        </w:tc>
        <w:tc>
          <w:tcPr>
            <w:tcW w:w="400" w:type="dxa"/>
            <w:vAlign w:val="bottom"/>
            <w:shd w:val="clear" w:color="auto" w:fill="DBEEF4"/>
          </w:tcPr>
          <w:p>
            <w:pPr>
              <w:jc w:val="right"/>
              <w:spacing w:after="0"/>
              <w:rPr>
                <w:sz w:val="20"/>
                <w:szCs w:val="20"/>
                <w:color w:val="auto"/>
              </w:rPr>
            </w:pPr>
            <w:r>
              <w:rPr>
                <w:rFonts w:ascii="Arial" w:cs="Arial" w:eastAsia="Arial" w:hAnsi="Arial"/>
                <w:sz w:val="8"/>
                <w:szCs w:val="8"/>
                <w:color w:val="auto"/>
              </w:rPr>
              <w:t>944</w:t>
            </w:r>
          </w:p>
        </w:tc>
        <w:tc>
          <w:tcPr>
            <w:tcW w:w="2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360" w:type="dxa"/>
            <w:vAlign w:val="bottom"/>
            <w:shd w:val="clear" w:color="auto" w:fill="DBEEF4"/>
          </w:tcPr>
          <w:p>
            <w:pPr>
              <w:jc w:val="right"/>
              <w:spacing w:after="0"/>
              <w:rPr>
                <w:sz w:val="20"/>
                <w:szCs w:val="20"/>
                <w:color w:val="auto"/>
              </w:rPr>
            </w:pPr>
            <w:r>
              <w:rPr>
                <w:rFonts w:ascii="Arial" w:cs="Arial" w:eastAsia="Arial" w:hAnsi="Arial"/>
                <w:sz w:val="8"/>
                <w:szCs w:val="8"/>
                <w:color w:val="auto"/>
              </w:rPr>
              <w:t>629</w:t>
            </w:r>
          </w:p>
        </w:tc>
        <w:tc>
          <w:tcPr>
            <w:tcW w:w="720" w:type="dxa"/>
            <w:vAlign w:val="bottom"/>
            <w:shd w:val="clear" w:color="auto" w:fill="DBEEF4"/>
          </w:tcPr>
          <w:p>
            <w:pPr>
              <w:spacing w:after="0"/>
              <w:rPr>
                <w:sz w:val="11"/>
                <w:szCs w:val="11"/>
                <w:color w:val="auto"/>
              </w:rPr>
            </w:pPr>
          </w:p>
        </w:tc>
      </w:tr>
      <w:tr>
        <w:trPr>
          <w:trHeight w:val="120"/>
        </w:trPr>
        <w:tc>
          <w:tcPr>
            <w:tcW w:w="3000" w:type="dxa"/>
            <w:vAlign w:val="bottom"/>
          </w:tcPr>
          <w:p>
            <w:pPr>
              <w:ind w:left="100"/>
              <w:spacing w:after="0"/>
              <w:rPr>
                <w:sz w:val="20"/>
                <w:szCs w:val="20"/>
                <w:color w:val="auto"/>
              </w:rPr>
            </w:pPr>
            <w:r>
              <w:rPr>
                <w:rFonts w:ascii="Arial" w:cs="Arial" w:eastAsia="Arial" w:hAnsi="Arial"/>
                <w:sz w:val="8"/>
                <w:szCs w:val="8"/>
                <w:color w:val="auto"/>
              </w:rPr>
              <w:t>Preferred Equity (Units N/A) (h)(j)</w:t>
            </w:r>
          </w:p>
        </w:tc>
        <w:tc>
          <w:tcPr>
            <w:tcW w:w="3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8"/>
                <w:szCs w:val="8"/>
                <w:color w:val="auto"/>
              </w:rPr>
              <w:t>12/10/2020</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8"/>
                <w:szCs w:val="8"/>
                <w:color w:val="auto"/>
              </w:rPr>
              <w:t>136</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137</w:t>
            </w:r>
          </w:p>
        </w:tc>
        <w:tc>
          <w:tcPr>
            <w:tcW w:w="720" w:type="dxa"/>
            <w:vAlign w:val="bottom"/>
          </w:tcPr>
          <w:p>
            <w:pPr>
              <w:spacing w:after="0"/>
              <w:rPr>
                <w:sz w:val="10"/>
                <w:szCs w:val="10"/>
                <w:color w:val="auto"/>
              </w:rPr>
            </w:pPr>
          </w:p>
        </w:tc>
      </w:tr>
      <w:tr>
        <w:trPr>
          <w:trHeight w:val="133"/>
        </w:trPr>
        <w:tc>
          <w:tcPr>
            <w:tcW w:w="3000" w:type="dxa"/>
            <w:vAlign w:val="bottom"/>
            <w:tcBorders>
              <w:bottom w:val="single" w:sz="8" w:color="DBEEF4"/>
            </w:tcBorders>
            <w:shd w:val="clear" w:color="auto" w:fill="DBEEF4"/>
          </w:tcPr>
          <w:p>
            <w:pPr>
              <w:ind w:left="100"/>
              <w:spacing w:after="0"/>
              <w:rPr>
                <w:sz w:val="20"/>
                <w:szCs w:val="20"/>
                <w:color w:val="auto"/>
              </w:rPr>
            </w:pPr>
            <w:r>
              <w:rPr>
                <w:rFonts w:ascii="Arial" w:cs="Arial" w:eastAsia="Arial" w:hAnsi="Arial"/>
                <w:sz w:val="8"/>
                <w:szCs w:val="8"/>
                <w:color w:val="auto"/>
              </w:rPr>
              <w:t>Common Equity (Class F Units) (355 units) (h)(j)</w:t>
            </w:r>
          </w:p>
        </w:tc>
        <w:tc>
          <w:tcPr>
            <w:tcW w:w="3360" w:type="dxa"/>
            <w:vAlign w:val="bottom"/>
            <w:tcBorders>
              <w:bottom w:val="single" w:sz="8" w:color="DBEEF4"/>
            </w:tcBorders>
            <w:shd w:val="clear" w:color="auto" w:fill="DBEEF4"/>
          </w:tcPr>
          <w:p>
            <w:pPr>
              <w:spacing w:after="0"/>
              <w:rPr>
                <w:sz w:val="11"/>
                <w:szCs w:val="11"/>
                <w:color w:val="auto"/>
              </w:rPr>
            </w:pPr>
          </w:p>
        </w:tc>
        <w:tc>
          <w:tcPr>
            <w:tcW w:w="840" w:type="dxa"/>
            <w:vAlign w:val="bottom"/>
            <w:tcBorders>
              <w:bottom w:val="single" w:sz="8" w:color="DBEEF4"/>
            </w:tcBorders>
            <w:shd w:val="clear" w:color="auto" w:fill="DBEEF4"/>
          </w:tcPr>
          <w:p>
            <w:pPr>
              <w:spacing w:after="0"/>
              <w:rPr>
                <w:sz w:val="11"/>
                <w:szCs w:val="11"/>
                <w:color w:val="auto"/>
              </w:rPr>
            </w:pPr>
          </w:p>
        </w:tc>
        <w:tc>
          <w:tcPr>
            <w:tcW w:w="6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8"/>
                <w:szCs w:val="8"/>
                <w:color w:val="auto"/>
              </w:rPr>
              <w:t>12/10/2020</w:t>
            </w:r>
          </w:p>
        </w:tc>
        <w:tc>
          <w:tcPr>
            <w:tcW w:w="720" w:type="dxa"/>
            <w:vAlign w:val="bottom"/>
            <w:tcBorders>
              <w:bottom w:val="single" w:sz="8" w:color="DBEEF4"/>
            </w:tcBorders>
            <w:shd w:val="clear" w:color="auto" w:fill="DBEEF4"/>
          </w:tcPr>
          <w:p>
            <w:pPr>
              <w:spacing w:after="0"/>
              <w:rPr>
                <w:sz w:val="11"/>
                <w:szCs w:val="11"/>
                <w:color w:val="auto"/>
              </w:rPr>
            </w:pPr>
          </w:p>
        </w:tc>
        <w:tc>
          <w:tcPr>
            <w:tcW w:w="700" w:type="dxa"/>
            <w:vAlign w:val="bottom"/>
            <w:tcBorders>
              <w:bottom w:val="single" w:sz="8" w:color="DBEEF4"/>
            </w:tcBorders>
            <w:shd w:val="clear" w:color="auto" w:fill="DBEEF4"/>
          </w:tcPr>
          <w:p>
            <w:pPr>
              <w:spacing w:after="0"/>
              <w:rPr>
                <w:sz w:val="11"/>
                <w:szCs w:val="11"/>
                <w:color w:val="auto"/>
              </w:rPr>
            </w:pPr>
          </w:p>
        </w:tc>
        <w:tc>
          <w:tcPr>
            <w:tcW w:w="160" w:type="dxa"/>
            <w:vAlign w:val="bottom"/>
            <w:tcBorders>
              <w:bottom w:val="single" w:sz="8" w:color="auto"/>
            </w:tcBorders>
            <w:shd w:val="clear" w:color="auto" w:fill="DBEEF4"/>
          </w:tcPr>
          <w:p>
            <w:pPr>
              <w:spacing w:after="0"/>
              <w:rPr>
                <w:sz w:val="11"/>
                <w:szCs w:val="11"/>
                <w:color w:val="auto"/>
              </w:rPr>
            </w:pPr>
          </w:p>
        </w:tc>
        <w:tc>
          <w:tcPr>
            <w:tcW w:w="4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w:t>
            </w:r>
          </w:p>
        </w:tc>
        <w:tc>
          <w:tcPr>
            <w:tcW w:w="200" w:type="dxa"/>
            <w:vAlign w:val="bottom"/>
            <w:tcBorders>
              <w:bottom w:val="single" w:sz="8" w:color="DBEEF4"/>
            </w:tcBorders>
            <w:shd w:val="clear" w:color="auto" w:fill="DBEEF4"/>
          </w:tcPr>
          <w:p>
            <w:pPr>
              <w:spacing w:after="0"/>
              <w:rPr>
                <w:sz w:val="11"/>
                <w:szCs w:val="11"/>
                <w:color w:val="auto"/>
              </w:rPr>
            </w:pPr>
          </w:p>
        </w:tc>
        <w:tc>
          <w:tcPr>
            <w:tcW w:w="140" w:type="dxa"/>
            <w:vAlign w:val="bottom"/>
            <w:tcBorders>
              <w:bottom w:val="single" w:sz="8" w:color="auto"/>
            </w:tcBorders>
            <w:shd w:val="clear" w:color="auto" w:fill="DBEEF4"/>
          </w:tcPr>
          <w:p>
            <w:pPr>
              <w:spacing w:after="0"/>
              <w:rPr>
                <w:sz w:val="11"/>
                <w:szCs w:val="11"/>
                <w:color w:val="auto"/>
              </w:rPr>
            </w:pPr>
          </w:p>
        </w:tc>
        <w:tc>
          <w:tcPr>
            <w:tcW w:w="36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w:t>
            </w:r>
          </w:p>
        </w:tc>
        <w:tc>
          <w:tcPr>
            <w:tcW w:w="720" w:type="dxa"/>
            <w:vAlign w:val="bottom"/>
            <w:tcBorders>
              <w:bottom w:val="single" w:sz="8" w:color="DBEEF4"/>
            </w:tcBorders>
            <w:shd w:val="clear" w:color="auto" w:fill="DBEEF4"/>
          </w:tcPr>
          <w:p>
            <w:pPr>
              <w:spacing w:after="0"/>
              <w:rPr>
                <w:sz w:val="11"/>
                <w:szCs w:val="11"/>
                <w:color w:val="auto"/>
              </w:rPr>
            </w:pPr>
          </w:p>
        </w:tc>
      </w:tr>
      <w:tr>
        <w:trPr>
          <w:trHeight w:val="113"/>
        </w:trPr>
        <w:tc>
          <w:tcPr>
            <w:tcW w:w="3000" w:type="dxa"/>
            <w:vAlign w:val="bottom"/>
          </w:tcPr>
          <w:p>
            <w:pPr>
              <w:spacing w:after="0"/>
              <w:rPr>
                <w:sz w:val="9"/>
                <w:szCs w:val="9"/>
                <w:color w:val="auto"/>
              </w:rPr>
            </w:pPr>
          </w:p>
        </w:tc>
        <w:tc>
          <w:tcPr>
            <w:tcW w:w="3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8"/>
                <w:szCs w:val="8"/>
                <w:color w:val="auto"/>
              </w:rPr>
              <w:t>11,735</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11,448</w:t>
            </w:r>
          </w:p>
        </w:tc>
        <w:tc>
          <w:tcPr>
            <w:tcW w:w="720" w:type="dxa"/>
            <w:vAlign w:val="bottom"/>
          </w:tcPr>
          <w:p>
            <w:pPr>
              <w:jc w:val="right"/>
              <w:spacing w:after="0"/>
              <w:rPr>
                <w:sz w:val="20"/>
                <w:szCs w:val="20"/>
                <w:color w:val="auto"/>
              </w:rPr>
            </w:pPr>
            <w:r>
              <w:rPr>
                <w:rFonts w:ascii="Arial" w:cs="Arial" w:eastAsia="Arial" w:hAnsi="Arial"/>
                <w:sz w:val="8"/>
                <w:szCs w:val="8"/>
                <w:color w:val="auto"/>
              </w:rPr>
              <w:t>3 %</w:t>
            </w:r>
          </w:p>
        </w:tc>
      </w:tr>
      <w:tr>
        <w:trPr>
          <w:trHeight w:val="134"/>
        </w:trPr>
        <w:tc>
          <w:tcPr>
            <w:tcW w:w="3000" w:type="dxa"/>
            <w:vAlign w:val="bottom"/>
            <w:shd w:val="clear" w:color="auto" w:fill="DBEEF4"/>
          </w:tcPr>
          <w:p>
            <w:pPr>
              <w:ind w:left="20"/>
              <w:spacing w:after="0"/>
              <w:rPr>
                <w:sz w:val="20"/>
                <w:szCs w:val="20"/>
                <w:color w:val="auto"/>
              </w:rPr>
            </w:pPr>
            <w:r>
              <w:rPr>
                <w:rFonts w:ascii="Arial" w:cs="Arial" w:eastAsia="Arial" w:hAnsi="Arial"/>
                <w:sz w:val="8"/>
                <w:szCs w:val="8"/>
                <w:i w:val="1"/>
                <w:iCs w:val="1"/>
                <w:color w:val="auto"/>
              </w:rPr>
              <w:t>Road Safety Services, Inc.</w:t>
            </w:r>
          </w:p>
        </w:tc>
        <w:tc>
          <w:tcPr>
            <w:tcW w:w="3360" w:type="dxa"/>
            <w:vAlign w:val="bottom"/>
            <w:shd w:val="clear" w:color="auto" w:fill="DBEEF4"/>
          </w:tcPr>
          <w:p>
            <w:pPr>
              <w:ind w:left="720"/>
              <w:spacing w:after="0"/>
              <w:rPr>
                <w:sz w:val="20"/>
                <w:szCs w:val="20"/>
                <w:color w:val="auto"/>
              </w:rPr>
            </w:pPr>
            <w:r>
              <w:rPr>
                <w:rFonts w:ascii="Arial" w:cs="Arial" w:eastAsia="Arial" w:hAnsi="Arial"/>
                <w:sz w:val="8"/>
                <w:szCs w:val="8"/>
                <w:color w:val="auto"/>
              </w:rPr>
              <w:t>Business Services</w:t>
            </w:r>
          </w:p>
        </w:tc>
        <w:tc>
          <w:tcPr>
            <w:tcW w:w="84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60" w:type="dxa"/>
            <w:vAlign w:val="bottom"/>
            <w:shd w:val="clear" w:color="auto" w:fill="DBEEF4"/>
          </w:tcPr>
          <w:p>
            <w:pPr>
              <w:spacing w:after="0"/>
              <w:rPr>
                <w:sz w:val="11"/>
                <w:szCs w:val="11"/>
                <w:color w:val="auto"/>
              </w:rPr>
            </w:pPr>
          </w:p>
        </w:tc>
        <w:tc>
          <w:tcPr>
            <w:tcW w:w="40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36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r>
      <w:tr>
        <w:trPr>
          <w:trHeight w:val="120"/>
        </w:trPr>
        <w:tc>
          <w:tcPr>
            <w:tcW w:w="3000" w:type="dxa"/>
            <w:vAlign w:val="bottom"/>
          </w:tcPr>
          <w:p>
            <w:pPr>
              <w:ind w:left="100"/>
              <w:spacing w:after="0"/>
              <w:rPr>
                <w:sz w:val="20"/>
                <w:szCs w:val="20"/>
                <w:color w:val="auto"/>
              </w:rPr>
            </w:pPr>
            <w:r>
              <w:rPr>
                <w:rFonts w:ascii="Arial" w:cs="Arial" w:eastAsia="Arial" w:hAnsi="Arial"/>
                <w:sz w:val="8"/>
                <w:szCs w:val="8"/>
                <w:color w:val="auto"/>
              </w:rPr>
              <w:t>Second Lien Debt</w:t>
            </w:r>
          </w:p>
        </w:tc>
        <w:tc>
          <w:tcPr>
            <w:tcW w:w="3360" w:type="dxa"/>
            <w:vAlign w:val="bottom"/>
          </w:tcPr>
          <w:p>
            <w:pPr>
              <w:spacing w:after="0"/>
              <w:rPr>
                <w:sz w:val="10"/>
                <w:szCs w:val="10"/>
                <w:color w:val="auto"/>
              </w:rPr>
            </w:pPr>
          </w:p>
        </w:tc>
        <w:tc>
          <w:tcPr>
            <w:tcW w:w="840" w:type="dxa"/>
            <w:vAlign w:val="bottom"/>
          </w:tcPr>
          <w:p>
            <w:pPr>
              <w:ind w:left="200"/>
              <w:spacing w:after="0"/>
              <w:rPr>
                <w:sz w:val="20"/>
                <w:szCs w:val="20"/>
                <w:color w:val="auto"/>
              </w:rPr>
            </w:pPr>
            <w:r>
              <w:rPr>
                <w:rFonts w:ascii="Arial" w:cs="Arial" w:eastAsia="Arial" w:hAnsi="Arial"/>
                <w:sz w:val="8"/>
                <w:szCs w:val="8"/>
                <w:color w:val="auto"/>
              </w:rPr>
              <w:t>11.25%/1.50%</w:t>
            </w:r>
          </w:p>
        </w:tc>
        <w:tc>
          <w:tcPr>
            <w:tcW w:w="640" w:type="dxa"/>
            <w:vAlign w:val="bottom"/>
          </w:tcPr>
          <w:p>
            <w:pPr>
              <w:ind w:left="120"/>
              <w:spacing w:after="0"/>
              <w:rPr>
                <w:sz w:val="20"/>
                <w:szCs w:val="20"/>
                <w:color w:val="auto"/>
              </w:rPr>
            </w:pPr>
            <w:r>
              <w:rPr>
                <w:rFonts w:ascii="Arial" w:cs="Arial" w:eastAsia="Arial" w:hAnsi="Arial"/>
                <w:sz w:val="8"/>
                <w:szCs w:val="8"/>
                <w:color w:val="auto"/>
              </w:rPr>
              <w:t>9/18/2018</w:t>
            </w:r>
          </w:p>
        </w:tc>
        <w:tc>
          <w:tcPr>
            <w:tcW w:w="720" w:type="dxa"/>
            <w:vAlign w:val="bottom"/>
          </w:tcPr>
          <w:p>
            <w:pPr>
              <w:ind w:left="120"/>
              <w:spacing w:after="0"/>
              <w:rPr>
                <w:sz w:val="20"/>
                <w:szCs w:val="20"/>
                <w:color w:val="auto"/>
              </w:rPr>
            </w:pPr>
            <w:r>
              <w:rPr>
                <w:rFonts w:ascii="Arial" w:cs="Arial" w:eastAsia="Arial" w:hAnsi="Arial"/>
                <w:sz w:val="8"/>
                <w:szCs w:val="8"/>
                <w:color w:val="auto"/>
              </w:rPr>
              <w:t>3/18/2024</w:t>
            </w:r>
          </w:p>
        </w:tc>
        <w:tc>
          <w:tcPr>
            <w:tcW w:w="700" w:type="dxa"/>
            <w:vAlign w:val="bottom"/>
          </w:tcPr>
          <w:p>
            <w:pPr>
              <w:jc w:val="right"/>
              <w:ind w:right="198"/>
              <w:spacing w:after="0"/>
              <w:rPr>
                <w:sz w:val="20"/>
                <w:szCs w:val="20"/>
                <w:color w:val="auto"/>
              </w:rPr>
            </w:pPr>
            <w:r>
              <w:rPr>
                <w:rFonts w:ascii="Arial" w:cs="Arial" w:eastAsia="Arial" w:hAnsi="Arial"/>
                <w:sz w:val="8"/>
                <w:szCs w:val="8"/>
                <w:color w:val="auto"/>
              </w:rPr>
              <w:t>10,379</w:t>
            </w:r>
          </w:p>
        </w:tc>
        <w:tc>
          <w:tcPr>
            <w:tcW w:w="1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8"/>
                <w:szCs w:val="8"/>
                <w:color w:val="auto"/>
              </w:rPr>
              <w:t>10,351</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10,379</w:t>
            </w:r>
          </w:p>
        </w:tc>
        <w:tc>
          <w:tcPr>
            <w:tcW w:w="720" w:type="dxa"/>
            <w:vAlign w:val="bottom"/>
          </w:tcPr>
          <w:p>
            <w:pPr>
              <w:spacing w:after="0"/>
              <w:rPr>
                <w:sz w:val="10"/>
                <w:szCs w:val="10"/>
                <w:color w:val="auto"/>
              </w:rPr>
            </w:pPr>
          </w:p>
        </w:tc>
      </w:tr>
      <w:tr>
        <w:trPr>
          <w:trHeight w:val="133"/>
        </w:trPr>
        <w:tc>
          <w:tcPr>
            <w:tcW w:w="3000" w:type="dxa"/>
            <w:vAlign w:val="bottom"/>
            <w:tcBorders>
              <w:bottom w:val="single" w:sz="8" w:color="DBEEF4"/>
            </w:tcBorders>
            <w:shd w:val="clear" w:color="auto" w:fill="DBEEF4"/>
          </w:tcPr>
          <w:p>
            <w:pPr>
              <w:ind w:left="100"/>
              <w:spacing w:after="0"/>
              <w:rPr>
                <w:sz w:val="20"/>
                <w:szCs w:val="20"/>
                <w:color w:val="auto"/>
              </w:rPr>
            </w:pPr>
            <w:r>
              <w:rPr>
                <w:rFonts w:ascii="Arial" w:cs="Arial" w:eastAsia="Arial" w:hAnsi="Arial"/>
                <w:sz w:val="8"/>
                <w:szCs w:val="8"/>
                <w:color w:val="auto"/>
              </w:rPr>
              <w:t>Common Equity (655 units)</w:t>
            </w:r>
          </w:p>
        </w:tc>
        <w:tc>
          <w:tcPr>
            <w:tcW w:w="3360" w:type="dxa"/>
            <w:vAlign w:val="bottom"/>
            <w:tcBorders>
              <w:bottom w:val="single" w:sz="8" w:color="DBEEF4"/>
            </w:tcBorders>
            <w:shd w:val="clear" w:color="auto" w:fill="DBEEF4"/>
          </w:tcPr>
          <w:p>
            <w:pPr>
              <w:spacing w:after="0"/>
              <w:rPr>
                <w:sz w:val="11"/>
                <w:szCs w:val="11"/>
                <w:color w:val="auto"/>
              </w:rPr>
            </w:pPr>
          </w:p>
        </w:tc>
        <w:tc>
          <w:tcPr>
            <w:tcW w:w="840" w:type="dxa"/>
            <w:vAlign w:val="bottom"/>
            <w:tcBorders>
              <w:bottom w:val="single" w:sz="8" w:color="DBEEF4"/>
            </w:tcBorders>
            <w:shd w:val="clear" w:color="auto" w:fill="DBEEF4"/>
          </w:tcPr>
          <w:p>
            <w:pPr>
              <w:spacing w:after="0"/>
              <w:rPr>
                <w:sz w:val="11"/>
                <w:szCs w:val="11"/>
                <w:color w:val="auto"/>
              </w:rPr>
            </w:pPr>
          </w:p>
        </w:tc>
        <w:tc>
          <w:tcPr>
            <w:tcW w:w="6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8"/>
                <w:szCs w:val="8"/>
                <w:color w:val="auto"/>
              </w:rPr>
              <w:t>9/18/2018</w:t>
            </w:r>
          </w:p>
        </w:tc>
        <w:tc>
          <w:tcPr>
            <w:tcW w:w="720" w:type="dxa"/>
            <w:vAlign w:val="bottom"/>
            <w:tcBorders>
              <w:bottom w:val="single" w:sz="8" w:color="DBEEF4"/>
            </w:tcBorders>
            <w:shd w:val="clear" w:color="auto" w:fill="DBEEF4"/>
          </w:tcPr>
          <w:p>
            <w:pPr>
              <w:spacing w:after="0"/>
              <w:rPr>
                <w:sz w:val="11"/>
                <w:szCs w:val="11"/>
                <w:color w:val="auto"/>
              </w:rPr>
            </w:pPr>
          </w:p>
        </w:tc>
        <w:tc>
          <w:tcPr>
            <w:tcW w:w="700" w:type="dxa"/>
            <w:vAlign w:val="bottom"/>
            <w:tcBorders>
              <w:bottom w:val="single" w:sz="8" w:color="DBEEF4"/>
            </w:tcBorders>
            <w:shd w:val="clear" w:color="auto" w:fill="DBEEF4"/>
          </w:tcPr>
          <w:p>
            <w:pPr>
              <w:spacing w:after="0"/>
              <w:rPr>
                <w:sz w:val="11"/>
                <w:szCs w:val="11"/>
                <w:color w:val="auto"/>
              </w:rPr>
            </w:pPr>
          </w:p>
        </w:tc>
        <w:tc>
          <w:tcPr>
            <w:tcW w:w="160" w:type="dxa"/>
            <w:vAlign w:val="bottom"/>
            <w:tcBorders>
              <w:bottom w:val="single" w:sz="8" w:color="auto"/>
            </w:tcBorders>
            <w:shd w:val="clear" w:color="auto" w:fill="DBEEF4"/>
          </w:tcPr>
          <w:p>
            <w:pPr>
              <w:spacing w:after="0"/>
              <w:rPr>
                <w:sz w:val="11"/>
                <w:szCs w:val="11"/>
                <w:color w:val="auto"/>
              </w:rPr>
            </w:pPr>
          </w:p>
        </w:tc>
        <w:tc>
          <w:tcPr>
            <w:tcW w:w="4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621</w:t>
            </w:r>
          </w:p>
        </w:tc>
        <w:tc>
          <w:tcPr>
            <w:tcW w:w="200" w:type="dxa"/>
            <w:vAlign w:val="bottom"/>
            <w:tcBorders>
              <w:bottom w:val="single" w:sz="8" w:color="DBEEF4"/>
            </w:tcBorders>
            <w:shd w:val="clear" w:color="auto" w:fill="DBEEF4"/>
          </w:tcPr>
          <w:p>
            <w:pPr>
              <w:spacing w:after="0"/>
              <w:rPr>
                <w:sz w:val="11"/>
                <w:szCs w:val="11"/>
                <w:color w:val="auto"/>
              </w:rPr>
            </w:pPr>
          </w:p>
        </w:tc>
        <w:tc>
          <w:tcPr>
            <w:tcW w:w="140" w:type="dxa"/>
            <w:vAlign w:val="bottom"/>
            <w:tcBorders>
              <w:bottom w:val="single" w:sz="8" w:color="auto"/>
            </w:tcBorders>
            <w:shd w:val="clear" w:color="auto" w:fill="DBEEF4"/>
          </w:tcPr>
          <w:p>
            <w:pPr>
              <w:spacing w:after="0"/>
              <w:rPr>
                <w:sz w:val="11"/>
                <w:szCs w:val="11"/>
                <w:color w:val="auto"/>
              </w:rPr>
            </w:pPr>
          </w:p>
        </w:tc>
        <w:tc>
          <w:tcPr>
            <w:tcW w:w="36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882</w:t>
            </w:r>
          </w:p>
        </w:tc>
        <w:tc>
          <w:tcPr>
            <w:tcW w:w="720" w:type="dxa"/>
            <w:vAlign w:val="bottom"/>
            <w:tcBorders>
              <w:bottom w:val="single" w:sz="8" w:color="DBEEF4"/>
            </w:tcBorders>
            <w:shd w:val="clear" w:color="auto" w:fill="DBEEF4"/>
          </w:tcPr>
          <w:p>
            <w:pPr>
              <w:spacing w:after="0"/>
              <w:rPr>
                <w:sz w:val="11"/>
                <w:szCs w:val="11"/>
                <w:color w:val="auto"/>
              </w:rPr>
            </w:pPr>
          </w:p>
        </w:tc>
      </w:tr>
      <w:tr>
        <w:trPr>
          <w:trHeight w:val="113"/>
        </w:trPr>
        <w:tc>
          <w:tcPr>
            <w:tcW w:w="3000" w:type="dxa"/>
            <w:vAlign w:val="bottom"/>
          </w:tcPr>
          <w:p>
            <w:pPr>
              <w:spacing w:after="0"/>
              <w:rPr>
                <w:sz w:val="9"/>
                <w:szCs w:val="9"/>
                <w:color w:val="auto"/>
              </w:rPr>
            </w:pPr>
          </w:p>
        </w:tc>
        <w:tc>
          <w:tcPr>
            <w:tcW w:w="3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8"/>
                <w:szCs w:val="8"/>
                <w:color w:val="auto"/>
              </w:rPr>
              <w:t>10,972</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11,261</w:t>
            </w:r>
          </w:p>
        </w:tc>
        <w:tc>
          <w:tcPr>
            <w:tcW w:w="720" w:type="dxa"/>
            <w:vAlign w:val="bottom"/>
          </w:tcPr>
          <w:p>
            <w:pPr>
              <w:jc w:val="right"/>
              <w:spacing w:after="0"/>
              <w:rPr>
                <w:sz w:val="20"/>
                <w:szCs w:val="20"/>
                <w:color w:val="auto"/>
              </w:rPr>
            </w:pPr>
            <w:r>
              <w:rPr>
                <w:rFonts w:ascii="Arial" w:cs="Arial" w:eastAsia="Arial" w:hAnsi="Arial"/>
                <w:sz w:val="8"/>
                <w:szCs w:val="8"/>
                <w:color w:val="auto"/>
              </w:rPr>
              <w:t>3 %</w:t>
            </w:r>
          </w:p>
        </w:tc>
      </w:tr>
      <w:tr>
        <w:trPr>
          <w:trHeight w:val="134"/>
        </w:trPr>
        <w:tc>
          <w:tcPr>
            <w:tcW w:w="3000" w:type="dxa"/>
            <w:vAlign w:val="bottom"/>
            <w:shd w:val="clear" w:color="auto" w:fill="DBEEF4"/>
          </w:tcPr>
          <w:p>
            <w:pPr>
              <w:ind w:left="20"/>
              <w:spacing w:after="0"/>
              <w:rPr>
                <w:sz w:val="20"/>
                <w:szCs w:val="20"/>
                <w:color w:val="auto"/>
              </w:rPr>
            </w:pPr>
            <w:r>
              <w:rPr>
                <w:rFonts w:ascii="Arial" w:cs="Arial" w:eastAsia="Arial" w:hAnsi="Arial"/>
                <w:sz w:val="8"/>
                <w:szCs w:val="8"/>
                <w:i w:val="1"/>
                <w:iCs w:val="1"/>
                <w:color w:val="auto"/>
              </w:rPr>
              <w:t>Rohrer Corporation</w:t>
            </w:r>
          </w:p>
        </w:tc>
        <w:tc>
          <w:tcPr>
            <w:tcW w:w="3360" w:type="dxa"/>
            <w:vAlign w:val="bottom"/>
            <w:shd w:val="clear" w:color="auto" w:fill="DBEEF4"/>
          </w:tcPr>
          <w:p>
            <w:pPr>
              <w:ind w:left="720"/>
              <w:spacing w:after="0"/>
              <w:rPr>
                <w:sz w:val="20"/>
                <w:szCs w:val="20"/>
                <w:color w:val="auto"/>
              </w:rPr>
            </w:pPr>
            <w:r>
              <w:rPr>
                <w:rFonts w:ascii="Arial" w:cs="Arial" w:eastAsia="Arial" w:hAnsi="Arial"/>
                <w:sz w:val="8"/>
                <w:szCs w:val="8"/>
                <w:color w:val="auto"/>
              </w:rPr>
              <w:t>Packaging</w:t>
            </w:r>
          </w:p>
        </w:tc>
        <w:tc>
          <w:tcPr>
            <w:tcW w:w="84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60" w:type="dxa"/>
            <w:vAlign w:val="bottom"/>
            <w:shd w:val="clear" w:color="auto" w:fill="DBEEF4"/>
          </w:tcPr>
          <w:p>
            <w:pPr>
              <w:spacing w:after="0"/>
              <w:rPr>
                <w:sz w:val="11"/>
                <w:szCs w:val="11"/>
                <w:color w:val="auto"/>
              </w:rPr>
            </w:pPr>
          </w:p>
        </w:tc>
        <w:tc>
          <w:tcPr>
            <w:tcW w:w="40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36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r>
      <w:tr>
        <w:trPr>
          <w:trHeight w:val="120"/>
        </w:trPr>
        <w:tc>
          <w:tcPr>
            <w:tcW w:w="3000" w:type="dxa"/>
            <w:vAlign w:val="bottom"/>
          </w:tcPr>
          <w:p>
            <w:pPr>
              <w:ind w:left="100"/>
              <w:spacing w:after="0"/>
              <w:rPr>
                <w:sz w:val="20"/>
                <w:szCs w:val="20"/>
                <w:color w:val="auto"/>
              </w:rPr>
            </w:pPr>
            <w:r>
              <w:rPr>
                <w:rFonts w:ascii="Arial" w:cs="Arial" w:eastAsia="Arial" w:hAnsi="Arial"/>
                <w:sz w:val="8"/>
                <w:szCs w:val="8"/>
                <w:color w:val="auto"/>
              </w:rPr>
              <w:t>Subordinated Debt (j)</w:t>
            </w:r>
          </w:p>
        </w:tc>
        <w:tc>
          <w:tcPr>
            <w:tcW w:w="3360" w:type="dxa"/>
            <w:vAlign w:val="bottom"/>
          </w:tcPr>
          <w:p>
            <w:pPr>
              <w:spacing w:after="0"/>
              <w:rPr>
                <w:sz w:val="10"/>
                <w:szCs w:val="10"/>
                <w:color w:val="auto"/>
              </w:rPr>
            </w:pPr>
          </w:p>
        </w:tc>
        <w:tc>
          <w:tcPr>
            <w:tcW w:w="840" w:type="dxa"/>
            <w:vAlign w:val="bottom"/>
          </w:tcPr>
          <w:p>
            <w:pPr>
              <w:ind w:left="200"/>
              <w:spacing w:after="0"/>
              <w:rPr>
                <w:sz w:val="20"/>
                <w:szCs w:val="20"/>
                <w:color w:val="auto"/>
              </w:rPr>
            </w:pPr>
            <w:r>
              <w:rPr>
                <w:rFonts w:ascii="Arial" w:cs="Arial" w:eastAsia="Arial" w:hAnsi="Arial"/>
                <w:sz w:val="8"/>
                <w:szCs w:val="8"/>
                <w:color w:val="auto"/>
              </w:rPr>
              <w:t>10.50%/1.00%</w:t>
            </w:r>
          </w:p>
        </w:tc>
        <w:tc>
          <w:tcPr>
            <w:tcW w:w="640" w:type="dxa"/>
            <w:vAlign w:val="bottom"/>
          </w:tcPr>
          <w:p>
            <w:pPr>
              <w:ind w:left="120"/>
              <w:spacing w:after="0"/>
              <w:rPr>
                <w:sz w:val="20"/>
                <w:szCs w:val="20"/>
                <w:color w:val="auto"/>
              </w:rPr>
            </w:pPr>
            <w:r>
              <w:rPr>
                <w:rFonts w:ascii="Arial" w:cs="Arial" w:eastAsia="Arial" w:hAnsi="Arial"/>
                <w:sz w:val="8"/>
                <w:szCs w:val="8"/>
                <w:color w:val="auto"/>
              </w:rPr>
              <w:t>10/1/2018</w:t>
            </w:r>
          </w:p>
        </w:tc>
        <w:tc>
          <w:tcPr>
            <w:tcW w:w="720" w:type="dxa"/>
            <w:vAlign w:val="bottom"/>
          </w:tcPr>
          <w:p>
            <w:pPr>
              <w:ind w:left="120"/>
              <w:spacing w:after="0"/>
              <w:rPr>
                <w:sz w:val="20"/>
                <w:szCs w:val="20"/>
                <w:color w:val="auto"/>
              </w:rPr>
            </w:pPr>
            <w:r>
              <w:rPr>
                <w:rFonts w:ascii="Arial" w:cs="Arial" w:eastAsia="Arial" w:hAnsi="Arial"/>
                <w:sz w:val="8"/>
                <w:szCs w:val="8"/>
                <w:color w:val="auto"/>
              </w:rPr>
              <w:t>4/1/2024</w:t>
            </w:r>
          </w:p>
        </w:tc>
        <w:tc>
          <w:tcPr>
            <w:tcW w:w="700" w:type="dxa"/>
            <w:vAlign w:val="bottom"/>
          </w:tcPr>
          <w:p>
            <w:pPr>
              <w:jc w:val="right"/>
              <w:ind w:right="198"/>
              <w:spacing w:after="0"/>
              <w:rPr>
                <w:sz w:val="20"/>
                <w:szCs w:val="20"/>
                <w:color w:val="auto"/>
              </w:rPr>
            </w:pPr>
            <w:r>
              <w:rPr>
                <w:rFonts w:ascii="Arial" w:cs="Arial" w:eastAsia="Arial" w:hAnsi="Arial"/>
                <w:sz w:val="8"/>
                <w:szCs w:val="8"/>
                <w:color w:val="auto"/>
              </w:rPr>
              <w:t>14,017</w:t>
            </w:r>
          </w:p>
        </w:tc>
        <w:tc>
          <w:tcPr>
            <w:tcW w:w="1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8"/>
                <w:szCs w:val="8"/>
                <w:color w:val="auto"/>
              </w:rPr>
              <w:t>13,976</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14,017</w:t>
            </w:r>
          </w:p>
        </w:tc>
        <w:tc>
          <w:tcPr>
            <w:tcW w:w="720" w:type="dxa"/>
            <w:vAlign w:val="bottom"/>
          </w:tcPr>
          <w:p>
            <w:pPr>
              <w:spacing w:after="0"/>
              <w:rPr>
                <w:sz w:val="10"/>
                <w:szCs w:val="10"/>
                <w:color w:val="auto"/>
              </w:rPr>
            </w:pPr>
          </w:p>
        </w:tc>
      </w:tr>
      <w:tr>
        <w:trPr>
          <w:trHeight w:val="133"/>
        </w:trPr>
        <w:tc>
          <w:tcPr>
            <w:tcW w:w="3000" w:type="dxa"/>
            <w:vAlign w:val="bottom"/>
            <w:tcBorders>
              <w:bottom w:val="single" w:sz="8" w:color="DBEEF4"/>
            </w:tcBorders>
            <w:shd w:val="clear" w:color="auto" w:fill="DBEEF4"/>
          </w:tcPr>
          <w:p>
            <w:pPr>
              <w:ind w:left="100"/>
              <w:spacing w:after="0"/>
              <w:rPr>
                <w:sz w:val="20"/>
                <w:szCs w:val="20"/>
                <w:color w:val="auto"/>
              </w:rPr>
            </w:pPr>
            <w:r>
              <w:rPr>
                <w:rFonts w:ascii="Arial" w:cs="Arial" w:eastAsia="Arial" w:hAnsi="Arial"/>
                <w:sz w:val="8"/>
                <w:szCs w:val="8"/>
                <w:color w:val="auto"/>
              </w:rPr>
              <w:t>Common Equity (400 shares) (j)</w:t>
            </w:r>
          </w:p>
        </w:tc>
        <w:tc>
          <w:tcPr>
            <w:tcW w:w="3360" w:type="dxa"/>
            <w:vAlign w:val="bottom"/>
            <w:tcBorders>
              <w:bottom w:val="single" w:sz="8" w:color="DBEEF4"/>
            </w:tcBorders>
            <w:shd w:val="clear" w:color="auto" w:fill="DBEEF4"/>
          </w:tcPr>
          <w:p>
            <w:pPr>
              <w:spacing w:after="0"/>
              <w:rPr>
                <w:sz w:val="11"/>
                <w:szCs w:val="11"/>
                <w:color w:val="auto"/>
              </w:rPr>
            </w:pPr>
          </w:p>
        </w:tc>
        <w:tc>
          <w:tcPr>
            <w:tcW w:w="840" w:type="dxa"/>
            <w:vAlign w:val="bottom"/>
            <w:tcBorders>
              <w:bottom w:val="single" w:sz="8" w:color="DBEEF4"/>
            </w:tcBorders>
            <w:shd w:val="clear" w:color="auto" w:fill="DBEEF4"/>
          </w:tcPr>
          <w:p>
            <w:pPr>
              <w:spacing w:after="0"/>
              <w:rPr>
                <w:sz w:val="11"/>
                <w:szCs w:val="11"/>
                <w:color w:val="auto"/>
              </w:rPr>
            </w:pPr>
          </w:p>
        </w:tc>
        <w:tc>
          <w:tcPr>
            <w:tcW w:w="6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8"/>
                <w:szCs w:val="8"/>
                <w:color w:val="auto"/>
              </w:rPr>
              <w:t>7/18/2016</w:t>
            </w:r>
          </w:p>
        </w:tc>
        <w:tc>
          <w:tcPr>
            <w:tcW w:w="720" w:type="dxa"/>
            <w:vAlign w:val="bottom"/>
            <w:tcBorders>
              <w:bottom w:val="single" w:sz="8" w:color="DBEEF4"/>
            </w:tcBorders>
            <w:shd w:val="clear" w:color="auto" w:fill="DBEEF4"/>
          </w:tcPr>
          <w:p>
            <w:pPr>
              <w:spacing w:after="0"/>
              <w:rPr>
                <w:sz w:val="11"/>
                <w:szCs w:val="11"/>
                <w:color w:val="auto"/>
              </w:rPr>
            </w:pPr>
          </w:p>
        </w:tc>
        <w:tc>
          <w:tcPr>
            <w:tcW w:w="700" w:type="dxa"/>
            <w:vAlign w:val="bottom"/>
            <w:tcBorders>
              <w:bottom w:val="single" w:sz="8" w:color="DBEEF4"/>
            </w:tcBorders>
            <w:shd w:val="clear" w:color="auto" w:fill="DBEEF4"/>
          </w:tcPr>
          <w:p>
            <w:pPr>
              <w:spacing w:after="0"/>
              <w:rPr>
                <w:sz w:val="11"/>
                <w:szCs w:val="11"/>
                <w:color w:val="auto"/>
              </w:rPr>
            </w:pPr>
          </w:p>
        </w:tc>
        <w:tc>
          <w:tcPr>
            <w:tcW w:w="160" w:type="dxa"/>
            <w:vAlign w:val="bottom"/>
            <w:tcBorders>
              <w:bottom w:val="single" w:sz="8" w:color="auto"/>
            </w:tcBorders>
            <w:shd w:val="clear" w:color="auto" w:fill="DBEEF4"/>
          </w:tcPr>
          <w:p>
            <w:pPr>
              <w:spacing w:after="0"/>
              <w:rPr>
                <w:sz w:val="11"/>
                <w:szCs w:val="11"/>
                <w:color w:val="auto"/>
              </w:rPr>
            </w:pPr>
          </w:p>
        </w:tc>
        <w:tc>
          <w:tcPr>
            <w:tcW w:w="4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780</w:t>
            </w:r>
          </w:p>
        </w:tc>
        <w:tc>
          <w:tcPr>
            <w:tcW w:w="200" w:type="dxa"/>
            <w:vAlign w:val="bottom"/>
            <w:tcBorders>
              <w:bottom w:val="single" w:sz="8" w:color="DBEEF4"/>
            </w:tcBorders>
            <w:shd w:val="clear" w:color="auto" w:fill="DBEEF4"/>
          </w:tcPr>
          <w:p>
            <w:pPr>
              <w:spacing w:after="0"/>
              <w:rPr>
                <w:sz w:val="11"/>
                <w:szCs w:val="11"/>
                <w:color w:val="auto"/>
              </w:rPr>
            </w:pPr>
          </w:p>
        </w:tc>
        <w:tc>
          <w:tcPr>
            <w:tcW w:w="140" w:type="dxa"/>
            <w:vAlign w:val="bottom"/>
            <w:tcBorders>
              <w:bottom w:val="single" w:sz="8" w:color="auto"/>
            </w:tcBorders>
            <w:shd w:val="clear" w:color="auto" w:fill="DBEEF4"/>
          </w:tcPr>
          <w:p>
            <w:pPr>
              <w:spacing w:after="0"/>
              <w:rPr>
                <w:sz w:val="11"/>
                <w:szCs w:val="11"/>
                <w:color w:val="auto"/>
              </w:rPr>
            </w:pPr>
          </w:p>
        </w:tc>
        <w:tc>
          <w:tcPr>
            <w:tcW w:w="36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1,591</w:t>
            </w:r>
          </w:p>
        </w:tc>
        <w:tc>
          <w:tcPr>
            <w:tcW w:w="720" w:type="dxa"/>
            <w:vAlign w:val="bottom"/>
            <w:tcBorders>
              <w:bottom w:val="single" w:sz="8" w:color="DBEEF4"/>
            </w:tcBorders>
            <w:shd w:val="clear" w:color="auto" w:fill="DBEEF4"/>
          </w:tcPr>
          <w:p>
            <w:pPr>
              <w:spacing w:after="0"/>
              <w:rPr>
                <w:sz w:val="11"/>
                <w:szCs w:val="11"/>
                <w:color w:val="auto"/>
              </w:rPr>
            </w:pPr>
          </w:p>
        </w:tc>
      </w:tr>
      <w:tr>
        <w:trPr>
          <w:trHeight w:val="113"/>
        </w:trPr>
        <w:tc>
          <w:tcPr>
            <w:tcW w:w="3000" w:type="dxa"/>
            <w:vAlign w:val="bottom"/>
          </w:tcPr>
          <w:p>
            <w:pPr>
              <w:spacing w:after="0"/>
              <w:rPr>
                <w:sz w:val="9"/>
                <w:szCs w:val="9"/>
                <w:color w:val="auto"/>
              </w:rPr>
            </w:pPr>
          </w:p>
        </w:tc>
        <w:tc>
          <w:tcPr>
            <w:tcW w:w="3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8"/>
                <w:szCs w:val="8"/>
                <w:color w:val="auto"/>
              </w:rPr>
              <w:t>14,756</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15,608</w:t>
            </w:r>
          </w:p>
        </w:tc>
        <w:tc>
          <w:tcPr>
            <w:tcW w:w="720" w:type="dxa"/>
            <w:vAlign w:val="bottom"/>
          </w:tcPr>
          <w:p>
            <w:pPr>
              <w:jc w:val="right"/>
              <w:spacing w:after="0"/>
              <w:rPr>
                <w:sz w:val="20"/>
                <w:szCs w:val="20"/>
                <w:color w:val="auto"/>
              </w:rPr>
            </w:pPr>
            <w:r>
              <w:rPr>
                <w:rFonts w:ascii="Arial" w:cs="Arial" w:eastAsia="Arial" w:hAnsi="Arial"/>
                <w:sz w:val="8"/>
                <w:szCs w:val="8"/>
                <w:color w:val="auto"/>
              </w:rPr>
              <w:t>4 %</w:t>
            </w:r>
          </w:p>
        </w:tc>
      </w:tr>
      <w:tr>
        <w:trPr>
          <w:trHeight w:val="134"/>
        </w:trPr>
        <w:tc>
          <w:tcPr>
            <w:tcW w:w="3000" w:type="dxa"/>
            <w:vAlign w:val="bottom"/>
            <w:shd w:val="clear" w:color="auto" w:fill="DBEEF4"/>
          </w:tcPr>
          <w:p>
            <w:pPr>
              <w:ind w:left="20"/>
              <w:spacing w:after="0"/>
              <w:rPr>
                <w:sz w:val="20"/>
                <w:szCs w:val="20"/>
                <w:color w:val="auto"/>
              </w:rPr>
            </w:pPr>
            <w:r>
              <w:rPr>
                <w:rFonts w:ascii="Arial" w:cs="Arial" w:eastAsia="Arial" w:hAnsi="Arial"/>
                <w:sz w:val="8"/>
                <w:szCs w:val="8"/>
                <w:i w:val="1"/>
                <w:iCs w:val="1"/>
                <w:color w:val="auto"/>
              </w:rPr>
              <w:t>Routeware, Inc.</w:t>
            </w:r>
          </w:p>
        </w:tc>
        <w:tc>
          <w:tcPr>
            <w:tcW w:w="3360" w:type="dxa"/>
            <w:vAlign w:val="bottom"/>
            <w:shd w:val="clear" w:color="auto" w:fill="DBEEF4"/>
          </w:tcPr>
          <w:p>
            <w:pPr>
              <w:ind w:left="720"/>
              <w:spacing w:after="0"/>
              <w:rPr>
                <w:sz w:val="20"/>
                <w:szCs w:val="20"/>
                <w:color w:val="auto"/>
              </w:rPr>
            </w:pPr>
            <w:r>
              <w:rPr>
                <w:rFonts w:ascii="Arial" w:cs="Arial" w:eastAsia="Arial" w:hAnsi="Arial"/>
                <w:sz w:val="8"/>
                <w:szCs w:val="8"/>
                <w:color w:val="auto"/>
              </w:rPr>
              <w:t>Information Technology Services</w:t>
            </w:r>
          </w:p>
        </w:tc>
        <w:tc>
          <w:tcPr>
            <w:tcW w:w="84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60" w:type="dxa"/>
            <w:vAlign w:val="bottom"/>
            <w:shd w:val="clear" w:color="auto" w:fill="DBEEF4"/>
          </w:tcPr>
          <w:p>
            <w:pPr>
              <w:spacing w:after="0"/>
              <w:rPr>
                <w:sz w:val="11"/>
                <w:szCs w:val="11"/>
                <w:color w:val="auto"/>
              </w:rPr>
            </w:pPr>
          </w:p>
        </w:tc>
        <w:tc>
          <w:tcPr>
            <w:tcW w:w="40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36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r>
      <w:tr>
        <w:trPr>
          <w:trHeight w:val="120"/>
        </w:trPr>
        <w:tc>
          <w:tcPr>
            <w:tcW w:w="3000" w:type="dxa"/>
            <w:vAlign w:val="bottom"/>
          </w:tcPr>
          <w:p>
            <w:pPr>
              <w:ind w:left="100"/>
              <w:spacing w:after="0"/>
              <w:rPr>
                <w:sz w:val="20"/>
                <w:szCs w:val="20"/>
                <w:color w:val="auto"/>
              </w:rPr>
            </w:pPr>
            <w:r>
              <w:rPr>
                <w:rFonts w:ascii="Arial" w:cs="Arial" w:eastAsia="Arial" w:hAnsi="Arial"/>
                <w:sz w:val="8"/>
                <w:szCs w:val="8"/>
                <w:color w:val="auto"/>
              </w:rPr>
              <w:t>First Lien Debt (k)(aa)</w:t>
            </w:r>
          </w:p>
        </w:tc>
        <w:tc>
          <w:tcPr>
            <w:tcW w:w="3360" w:type="dxa"/>
            <w:vAlign w:val="bottom"/>
          </w:tcPr>
          <w:p>
            <w:pPr>
              <w:ind w:left="2380"/>
              <w:spacing w:after="0"/>
              <w:rPr>
                <w:sz w:val="20"/>
                <w:szCs w:val="20"/>
                <w:color w:val="auto"/>
              </w:rPr>
            </w:pPr>
            <w:r>
              <w:rPr>
                <w:rFonts w:ascii="Arial" w:cs="Arial" w:eastAsia="Arial" w:hAnsi="Arial"/>
                <w:sz w:val="8"/>
                <w:szCs w:val="8"/>
                <w:color w:val="auto"/>
              </w:rPr>
              <w:t>(L + 7.00%) / (1.75%)</w:t>
            </w:r>
          </w:p>
        </w:tc>
        <w:tc>
          <w:tcPr>
            <w:tcW w:w="840" w:type="dxa"/>
            <w:vAlign w:val="bottom"/>
          </w:tcPr>
          <w:p>
            <w:pPr>
              <w:ind w:left="200"/>
              <w:spacing w:after="0"/>
              <w:rPr>
                <w:sz w:val="20"/>
                <w:szCs w:val="20"/>
                <w:color w:val="auto"/>
              </w:rPr>
            </w:pPr>
            <w:r>
              <w:rPr>
                <w:rFonts w:ascii="Arial" w:cs="Arial" w:eastAsia="Arial" w:hAnsi="Arial"/>
                <w:sz w:val="8"/>
                <w:szCs w:val="8"/>
                <w:color w:val="auto"/>
              </w:rPr>
              <w:t>8.75%/0.00%</w:t>
            </w:r>
          </w:p>
        </w:tc>
        <w:tc>
          <w:tcPr>
            <w:tcW w:w="640" w:type="dxa"/>
            <w:vAlign w:val="bottom"/>
          </w:tcPr>
          <w:p>
            <w:pPr>
              <w:ind w:left="120"/>
              <w:spacing w:after="0"/>
              <w:rPr>
                <w:sz w:val="20"/>
                <w:szCs w:val="20"/>
                <w:color w:val="auto"/>
              </w:rPr>
            </w:pPr>
            <w:r>
              <w:rPr>
                <w:rFonts w:ascii="Arial" w:cs="Arial" w:eastAsia="Arial" w:hAnsi="Arial"/>
                <w:sz w:val="8"/>
                <w:szCs w:val="8"/>
                <w:color w:val="auto"/>
              </w:rPr>
              <w:t>2/7/2020</w:t>
            </w:r>
          </w:p>
        </w:tc>
        <w:tc>
          <w:tcPr>
            <w:tcW w:w="720" w:type="dxa"/>
            <w:vAlign w:val="bottom"/>
          </w:tcPr>
          <w:p>
            <w:pPr>
              <w:ind w:left="120"/>
              <w:spacing w:after="0"/>
              <w:rPr>
                <w:sz w:val="20"/>
                <w:szCs w:val="20"/>
                <w:color w:val="auto"/>
              </w:rPr>
            </w:pPr>
            <w:r>
              <w:rPr>
                <w:rFonts w:ascii="Arial" w:cs="Arial" w:eastAsia="Arial" w:hAnsi="Arial"/>
                <w:sz w:val="8"/>
                <w:szCs w:val="8"/>
                <w:color w:val="auto"/>
              </w:rPr>
              <w:t>2/7/2025</w:t>
            </w:r>
          </w:p>
        </w:tc>
        <w:tc>
          <w:tcPr>
            <w:tcW w:w="700" w:type="dxa"/>
            <w:vAlign w:val="bottom"/>
          </w:tcPr>
          <w:p>
            <w:pPr>
              <w:jc w:val="right"/>
              <w:ind w:right="198"/>
              <w:spacing w:after="0"/>
              <w:rPr>
                <w:sz w:val="20"/>
                <w:szCs w:val="20"/>
                <w:color w:val="auto"/>
              </w:rPr>
            </w:pPr>
            <w:r>
              <w:rPr>
                <w:rFonts w:ascii="Arial" w:cs="Arial" w:eastAsia="Arial" w:hAnsi="Arial"/>
                <w:sz w:val="8"/>
                <w:szCs w:val="8"/>
                <w:color w:val="auto"/>
              </w:rPr>
              <w:t>14,888</w:t>
            </w:r>
          </w:p>
        </w:tc>
        <w:tc>
          <w:tcPr>
            <w:tcW w:w="1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8"/>
                <w:szCs w:val="8"/>
                <w:color w:val="auto"/>
              </w:rPr>
              <w:t>14,814</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14,888</w:t>
            </w:r>
          </w:p>
        </w:tc>
        <w:tc>
          <w:tcPr>
            <w:tcW w:w="720" w:type="dxa"/>
            <w:vAlign w:val="bottom"/>
          </w:tcPr>
          <w:p>
            <w:pPr>
              <w:jc w:val="right"/>
              <w:spacing w:after="0"/>
              <w:rPr>
                <w:sz w:val="20"/>
                <w:szCs w:val="20"/>
                <w:color w:val="auto"/>
              </w:rPr>
            </w:pPr>
            <w:r>
              <w:rPr>
                <w:rFonts w:ascii="Arial" w:cs="Arial" w:eastAsia="Arial" w:hAnsi="Arial"/>
                <w:sz w:val="8"/>
                <w:szCs w:val="8"/>
                <w:color w:val="auto"/>
              </w:rPr>
              <w:t>4 %</w:t>
            </w:r>
          </w:p>
        </w:tc>
      </w:tr>
      <w:tr>
        <w:trPr>
          <w:trHeight w:val="134"/>
        </w:trPr>
        <w:tc>
          <w:tcPr>
            <w:tcW w:w="3000" w:type="dxa"/>
            <w:vAlign w:val="bottom"/>
            <w:shd w:val="clear" w:color="auto" w:fill="DBEEF4"/>
          </w:tcPr>
          <w:p>
            <w:pPr>
              <w:spacing w:after="0"/>
              <w:rPr>
                <w:sz w:val="11"/>
                <w:szCs w:val="11"/>
                <w:color w:val="auto"/>
              </w:rPr>
            </w:pPr>
          </w:p>
        </w:tc>
        <w:tc>
          <w:tcPr>
            <w:tcW w:w="3360" w:type="dxa"/>
            <w:vAlign w:val="bottom"/>
            <w:shd w:val="clear" w:color="auto" w:fill="DBEEF4"/>
          </w:tcPr>
          <w:p>
            <w:pPr>
              <w:spacing w:after="0"/>
              <w:rPr>
                <w:sz w:val="11"/>
                <w:szCs w:val="11"/>
                <w:color w:val="auto"/>
              </w:rPr>
            </w:pPr>
          </w:p>
        </w:tc>
        <w:tc>
          <w:tcPr>
            <w:tcW w:w="84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60" w:type="dxa"/>
            <w:vAlign w:val="bottom"/>
            <w:shd w:val="clear" w:color="auto" w:fill="DBEEF4"/>
          </w:tcPr>
          <w:p>
            <w:pPr>
              <w:spacing w:after="0"/>
              <w:rPr>
                <w:sz w:val="11"/>
                <w:szCs w:val="11"/>
                <w:color w:val="auto"/>
              </w:rPr>
            </w:pPr>
          </w:p>
        </w:tc>
        <w:tc>
          <w:tcPr>
            <w:tcW w:w="40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36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r>
      <w:tr>
        <w:trPr>
          <w:trHeight w:val="120"/>
        </w:trPr>
        <w:tc>
          <w:tcPr>
            <w:tcW w:w="3000" w:type="dxa"/>
            <w:vAlign w:val="bottom"/>
          </w:tcPr>
          <w:p>
            <w:pPr>
              <w:ind w:left="20"/>
              <w:spacing w:after="0"/>
              <w:rPr>
                <w:sz w:val="20"/>
                <w:szCs w:val="20"/>
                <w:color w:val="auto"/>
              </w:rPr>
            </w:pPr>
            <w:r>
              <w:rPr>
                <w:rFonts w:ascii="Arial" w:cs="Arial" w:eastAsia="Arial" w:hAnsi="Arial"/>
                <w:sz w:val="8"/>
                <w:szCs w:val="8"/>
                <w:i w:val="1"/>
                <w:iCs w:val="1"/>
                <w:color w:val="auto"/>
              </w:rPr>
              <w:t>SES Investors, LLC (dba SES Foam)</w:t>
            </w:r>
          </w:p>
        </w:tc>
        <w:tc>
          <w:tcPr>
            <w:tcW w:w="3360" w:type="dxa"/>
            <w:vAlign w:val="bottom"/>
          </w:tcPr>
          <w:p>
            <w:pPr>
              <w:ind w:left="720"/>
              <w:spacing w:after="0"/>
              <w:rPr>
                <w:sz w:val="20"/>
                <w:szCs w:val="20"/>
                <w:color w:val="auto"/>
              </w:rPr>
            </w:pPr>
            <w:r>
              <w:rPr>
                <w:rFonts w:ascii="Arial" w:cs="Arial" w:eastAsia="Arial" w:hAnsi="Arial"/>
                <w:sz w:val="8"/>
                <w:szCs w:val="8"/>
                <w:color w:val="auto"/>
              </w:rPr>
              <w:t>Building Products Manufacturing</w:t>
            </w:r>
          </w:p>
        </w:tc>
        <w:tc>
          <w:tcPr>
            <w:tcW w:w="8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34"/>
        </w:trPr>
        <w:tc>
          <w:tcPr>
            <w:tcW w:w="3000" w:type="dxa"/>
            <w:vAlign w:val="bottom"/>
            <w:shd w:val="clear" w:color="auto" w:fill="DBEEF4"/>
          </w:tcPr>
          <w:p>
            <w:pPr>
              <w:ind w:left="100"/>
              <w:spacing w:after="0"/>
              <w:rPr>
                <w:sz w:val="20"/>
                <w:szCs w:val="20"/>
                <w:color w:val="auto"/>
              </w:rPr>
            </w:pPr>
            <w:r>
              <w:rPr>
                <w:rFonts w:ascii="Arial" w:cs="Arial" w:eastAsia="Arial" w:hAnsi="Arial"/>
                <w:sz w:val="8"/>
                <w:szCs w:val="8"/>
                <w:color w:val="auto"/>
              </w:rPr>
              <w:t>Second Lien Debt</w:t>
            </w:r>
          </w:p>
        </w:tc>
        <w:tc>
          <w:tcPr>
            <w:tcW w:w="3360" w:type="dxa"/>
            <w:vAlign w:val="bottom"/>
            <w:shd w:val="clear" w:color="auto" w:fill="DBEEF4"/>
          </w:tcPr>
          <w:p>
            <w:pPr>
              <w:spacing w:after="0"/>
              <w:rPr>
                <w:sz w:val="11"/>
                <w:szCs w:val="11"/>
                <w:color w:val="auto"/>
              </w:rPr>
            </w:pPr>
          </w:p>
        </w:tc>
        <w:tc>
          <w:tcPr>
            <w:tcW w:w="840" w:type="dxa"/>
            <w:vAlign w:val="bottom"/>
            <w:shd w:val="clear" w:color="auto" w:fill="DBEEF4"/>
          </w:tcPr>
          <w:p>
            <w:pPr>
              <w:ind w:left="200"/>
              <w:spacing w:after="0"/>
              <w:rPr>
                <w:sz w:val="20"/>
                <w:szCs w:val="20"/>
                <w:color w:val="auto"/>
              </w:rPr>
            </w:pPr>
            <w:r>
              <w:rPr>
                <w:rFonts w:ascii="Arial" w:cs="Arial" w:eastAsia="Arial" w:hAnsi="Arial"/>
                <w:sz w:val="8"/>
                <w:szCs w:val="8"/>
                <w:color w:val="auto"/>
              </w:rPr>
              <w:t>13.00%/0.00%</w:t>
            </w:r>
          </w:p>
        </w:tc>
        <w:tc>
          <w:tcPr>
            <w:tcW w:w="640" w:type="dxa"/>
            <w:vAlign w:val="bottom"/>
            <w:shd w:val="clear" w:color="auto" w:fill="DBEEF4"/>
          </w:tcPr>
          <w:p>
            <w:pPr>
              <w:ind w:left="120"/>
              <w:spacing w:after="0"/>
              <w:rPr>
                <w:sz w:val="20"/>
                <w:szCs w:val="20"/>
                <w:color w:val="auto"/>
              </w:rPr>
            </w:pPr>
            <w:r>
              <w:rPr>
                <w:rFonts w:ascii="Arial" w:cs="Arial" w:eastAsia="Arial" w:hAnsi="Arial"/>
                <w:sz w:val="8"/>
                <w:szCs w:val="8"/>
                <w:color w:val="auto"/>
              </w:rPr>
              <w:t>9/8/2016</w:t>
            </w:r>
          </w:p>
        </w:tc>
        <w:tc>
          <w:tcPr>
            <w:tcW w:w="720" w:type="dxa"/>
            <w:vAlign w:val="bottom"/>
            <w:shd w:val="clear" w:color="auto" w:fill="DBEEF4"/>
          </w:tcPr>
          <w:p>
            <w:pPr>
              <w:ind w:left="120"/>
              <w:spacing w:after="0"/>
              <w:rPr>
                <w:sz w:val="20"/>
                <w:szCs w:val="20"/>
                <w:color w:val="auto"/>
              </w:rPr>
            </w:pPr>
            <w:r>
              <w:rPr>
                <w:rFonts w:ascii="Arial" w:cs="Arial" w:eastAsia="Arial" w:hAnsi="Arial"/>
                <w:sz w:val="8"/>
                <w:szCs w:val="8"/>
                <w:color w:val="auto"/>
              </w:rPr>
              <w:t>12/29/2022</w:t>
            </w:r>
          </w:p>
        </w:tc>
        <w:tc>
          <w:tcPr>
            <w:tcW w:w="700" w:type="dxa"/>
            <w:vAlign w:val="bottom"/>
            <w:shd w:val="clear" w:color="auto" w:fill="DBEEF4"/>
          </w:tcPr>
          <w:p>
            <w:pPr>
              <w:jc w:val="right"/>
              <w:ind w:right="198"/>
              <w:spacing w:after="0"/>
              <w:rPr>
                <w:sz w:val="20"/>
                <w:szCs w:val="20"/>
                <w:color w:val="auto"/>
              </w:rPr>
            </w:pPr>
            <w:r>
              <w:rPr>
                <w:rFonts w:ascii="Arial" w:cs="Arial" w:eastAsia="Arial" w:hAnsi="Arial"/>
                <w:sz w:val="8"/>
                <w:szCs w:val="8"/>
                <w:color w:val="auto"/>
              </w:rPr>
              <w:t>1,000</w:t>
            </w:r>
          </w:p>
        </w:tc>
        <w:tc>
          <w:tcPr>
            <w:tcW w:w="160" w:type="dxa"/>
            <w:vAlign w:val="bottom"/>
            <w:shd w:val="clear" w:color="auto" w:fill="DBEEF4"/>
          </w:tcPr>
          <w:p>
            <w:pPr>
              <w:spacing w:after="0"/>
              <w:rPr>
                <w:sz w:val="11"/>
                <w:szCs w:val="11"/>
                <w:color w:val="auto"/>
              </w:rPr>
            </w:pPr>
          </w:p>
        </w:tc>
        <w:tc>
          <w:tcPr>
            <w:tcW w:w="400" w:type="dxa"/>
            <w:vAlign w:val="bottom"/>
            <w:shd w:val="clear" w:color="auto" w:fill="DBEEF4"/>
          </w:tcPr>
          <w:p>
            <w:pPr>
              <w:jc w:val="right"/>
              <w:spacing w:after="0"/>
              <w:rPr>
                <w:sz w:val="20"/>
                <w:szCs w:val="20"/>
                <w:color w:val="auto"/>
              </w:rPr>
            </w:pPr>
            <w:r>
              <w:rPr>
                <w:rFonts w:ascii="Arial" w:cs="Arial" w:eastAsia="Arial" w:hAnsi="Arial"/>
                <w:sz w:val="8"/>
                <w:szCs w:val="8"/>
                <w:color w:val="auto"/>
              </w:rPr>
              <w:t>997</w:t>
            </w:r>
          </w:p>
        </w:tc>
        <w:tc>
          <w:tcPr>
            <w:tcW w:w="2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360" w:type="dxa"/>
            <w:vAlign w:val="bottom"/>
            <w:shd w:val="clear" w:color="auto" w:fill="DBEEF4"/>
          </w:tcPr>
          <w:p>
            <w:pPr>
              <w:jc w:val="right"/>
              <w:spacing w:after="0"/>
              <w:rPr>
                <w:sz w:val="20"/>
                <w:szCs w:val="20"/>
                <w:color w:val="auto"/>
              </w:rPr>
            </w:pPr>
            <w:r>
              <w:rPr>
                <w:rFonts w:ascii="Arial" w:cs="Arial" w:eastAsia="Arial" w:hAnsi="Arial"/>
                <w:sz w:val="8"/>
                <w:szCs w:val="8"/>
                <w:color w:val="auto"/>
              </w:rPr>
              <w:t>1,000</w:t>
            </w:r>
          </w:p>
        </w:tc>
        <w:tc>
          <w:tcPr>
            <w:tcW w:w="720" w:type="dxa"/>
            <w:vAlign w:val="bottom"/>
            <w:shd w:val="clear" w:color="auto" w:fill="DBEEF4"/>
          </w:tcPr>
          <w:p>
            <w:pPr>
              <w:spacing w:after="0"/>
              <w:rPr>
                <w:sz w:val="11"/>
                <w:szCs w:val="11"/>
                <w:color w:val="auto"/>
              </w:rPr>
            </w:pPr>
          </w:p>
        </w:tc>
      </w:tr>
      <w:tr>
        <w:trPr>
          <w:trHeight w:val="126"/>
        </w:trPr>
        <w:tc>
          <w:tcPr>
            <w:tcW w:w="3000" w:type="dxa"/>
            <w:vAlign w:val="bottom"/>
          </w:tcPr>
          <w:p>
            <w:pPr>
              <w:ind w:left="100"/>
              <w:spacing w:after="0"/>
              <w:rPr>
                <w:sz w:val="20"/>
                <w:szCs w:val="20"/>
                <w:color w:val="auto"/>
              </w:rPr>
            </w:pPr>
            <w:r>
              <w:rPr>
                <w:rFonts w:ascii="Arial" w:cs="Arial" w:eastAsia="Arial" w:hAnsi="Arial"/>
                <w:sz w:val="8"/>
                <w:szCs w:val="8"/>
                <w:color w:val="auto"/>
              </w:rPr>
              <w:t>Common Equity (6,000 units) (h)(j)</w:t>
            </w:r>
          </w:p>
        </w:tc>
        <w:tc>
          <w:tcPr>
            <w:tcW w:w="3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8"/>
                <w:szCs w:val="8"/>
                <w:color w:val="auto"/>
              </w:rPr>
              <w:t>9/8/2016</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537</w:t>
            </w: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1,869</w:t>
            </w:r>
          </w:p>
        </w:tc>
        <w:tc>
          <w:tcPr>
            <w:tcW w:w="720" w:type="dxa"/>
            <w:vAlign w:val="bottom"/>
          </w:tcPr>
          <w:p>
            <w:pPr>
              <w:spacing w:after="0"/>
              <w:rPr>
                <w:sz w:val="10"/>
                <w:szCs w:val="10"/>
                <w:color w:val="auto"/>
              </w:rPr>
            </w:pPr>
          </w:p>
        </w:tc>
      </w:tr>
      <w:tr>
        <w:trPr>
          <w:trHeight w:val="120"/>
        </w:trPr>
        <w:tc>
          <w:tcPr>
            <w:tcW w:w="3000" w:type="dxa"/>
            <w:vAlign w:val="bottom"/>
            <w:shd w:val="clear" w:color="auto" w:fill="DBEEF4"/>
          </w:tcPr>
          <w:p>
            <w:pPr>
              <w:spacing w:after="0"/>
              <w:rPr>
                <w:sz w:val="10"/>
                <w:szCs w:val="10"/>
                <w:color w:val="auto"/>
              </w:rPr>
            </w:pPr>
          </w:p>
        </w:tc>
        <w:tc>
          <w:tcPr>
            <w:tcW w:w="3360" w:type="dxa"/>
            <w:vAlign w:val="bottom"/>
            <w:shd w:val="clear" w:color="auto" w:fill="DBEEF4"/>
          </w:tcPr>
          <w:p>
            <w:pPr>
              <w:spacing w:after="0"/>
              <w:rPr>
                <w:sz w:val="10"/>
                <w:szCs w:val="10"/>
                <w:color w:val="auto"/>
              </w:rPr>
            </w:pPr>
          </w:p>
        </w:tc>
        <w:tc>
          <w:tcPr>
            <w:tcW w:w="840" w:type="dxa"/>
            <w:vAlign w:val="bottom"/>
            <w:shd w:val="clear" w:color="auto" w:fill="DBEEF4"/>
          </w:tcPr>
          <w:p>
            <w:pPr>
              <w:spacing w:after="0"/>
              <w:rPr>
                <w:sz w:val="10"/>
                <w:szCs w:val="10"/>
                <w:color w:val="auto"/>
              </w:rPr>
            </w:pPr>
          </w:p>
        </w:tc>
        <w:tc>
          <w:tcPr>
            <w:tcW w:w="640" w:type="dxa"/>
            <w:vAlign w:val="bottom"/>
            <w:shd w:val="clear" w:color="auto" w:fill="DBEEF4"/>
          </w:tcPr>
          <w:p>
            <w:pPr>
              <w:spacing w:after="0"/>
              <w:rPr>
                <w:sz w:val="10"/>
                <w:szCs w:val="10"/>
                <w:color w:val="auto"/>
              </w:rPr>
            </w:pPr>
          </w:p>
        </w:tc>
        <w:tc>
          <w:tcPr>
            <w:tcW w:w="720" w:type="dxa"/>
            <w:vAlign w:val="bottom"/>
            <w:shd w:val="clear" w:color="auto" w:fill="DBEEF4"/>
          </w:tcPr>
          <w:p>
            <w:pPr>
              <w:spacing w:after="0"/>
              <w:rPr>
                <w:sz w:val="10"/>
                <w:szCs w:val="10"/>
                <w:color w:val="auto"/>
              </w:rPr>
            </w:pPr>
          </w:p>
        </w:tc>
        <w:tc>
          <w:tcPr>
            <w:tcW w:w="700" w:type="dxa"/>
            <w:vAlign w:val="bottom"/>
            <w:shd w:val="clear" w:color="auto" w:fill="DBEEF4"/>
          </w:tcPr>
          <w:p>
            <w:pPr>
              <w:spacing w:after="0"/>
              <w:rPr>
                <w:sz w:val="10"/>
                <w:szCs w:val="10"/>
                <w:color w:val="auto"/>
              </w:rPr>
            </w:pPr>
          </w:p>
        </w:tc>
        <w:tc>
          <w:tcPr>
            <w:tcW w:w="160" w:type="dxa"/>
            <w:vAlign w:val="bottom"/>
            <w:shd w:val="clear" w:color="auto" w:fill="DBEEF4"/>
          </w:tcPr>
          <w:p>
            <w:pPr>
              <w:spacing w:after="0"/>
              <w:rPr>
                <w:sz w:val="10"/>
                <w:szCs w:val="10"/>
                <w:color w:val="auto"/>
              </w:rPr>
            </w:pPr>
          </w:p>
        </w:tc>
        <w:tc>
          <w:tcPr>
            <w:tcW w:w="400" w:type="dxa"/>
            <w:vAlign w:val="bottom"/>
            <w:shd w:val="clear" w:color="auto" w:fill="DBEEF4"/>
          </w:tcPr>
          <w:p>
            <w:pPr>
              <w:jc w:val="right"/>
              <w:spacing w:after="0"/>
              <w:rPr>
                <w:sz w:val="20"/>
                <w:szCs w:val="20"/>
                <w:color w:val="auto"/>
              </w:rPr>
            </w:pPr>
            <w:r>
              <w:rPr>
                <w:rFonts w:ascii="Arial" w:cs="Arial" w:eastAsia="Arial" w:hAnsi="Arial"/>
                <w:sz w:val="8"/>
                <w:szCs w:val="8"/>
                <w:color w:val="auto"/>
              </w:rPr>
              <w:t>1,534</w:t>
            </w:r>
          </w:p>
        </w:tc>
        <w:tc>
          <w:tcPr>
            <w:tcW w:w="200" w:type="dxa"/>
            <w:vAlign w:val="bottom"/>
            <w:shd w:val="clear" w:color="auto" w:fill="DBEEF4"/>
          </w:tcPr>
          <w:p>
            <w:pPr>
              <w:spacing w:after="0"/>
              <w:rPr>
                <w:sz w:val="10"/>
                <w:szCs w:val="10"/>
                <w:color w:val="auto"/>
              </w:rPr>
            </w:pPr>
          </w:p>
        </w:tc>
        <w:tc>
          <w:tcPr>
            <w:tcW w:w="140" w:type="dxa"/>
            <w:vAlign w:val="bottom"/>
            <w:shd w:val="clear" w:color="auto" w:fill="DBEEF4"/>
          </w:tcPr>
          <w:p>
            <w:pPr>
              <w:spacing w:after="0"/>
              <w:rPr>
                <w:sz w:val="10"/>
                <w:szCs w:val="10"/>
                <w:color w:val="auto"/>
              </w:rPr>
            </w:pPr>
          </w:p>
        </w:tc>
        <w:tc>
          <w:tcPr>
            <w:tcW w:w="360" w:type="dxa"/>
            <w:vAlign w:val="bottom"/>
            <w:shd w:val="clear" w:color="auto" w:fill="DBEEF4"/>
          </w:tcPr>
          <w:p>
            <w:pPr>
              <w:jc w:val="right"/>
              <w:spacing w:after="0"/>
              <w:rPr>
                <w:sz w:val="20"/>
                <w:szCs w:val="20"/>
                <w:color w:val="auto"/>
              </w:rPr>
            </w:pPr>
            <w:r>
              <w:rPr>
                <w:rFonts w:ascii="Arial" w:cs="Arial" w:eastAsia="Arial" w:hAnsi="Arial"/>
                <w:sz w:val="8"/>
                <w:szCs w:val="8"/>
                <w:color w:val="auto"/>
              </w:rPr>
              <w:t>2,869</w:t>
            </w:r>
          </w:p>
        </w:tc>
        <w:tc>
          <w:tcPr>
            <w:tcW w:w="720" w:type="dxa"/>
            <w:vAlign w:val="bottom"/>
            <w:shd w:val="clear" w:color="auto" w:fill="DBEEF4"/>
          </w:tcPr>
          <w:p>
            <w:pPr>
              <w:jc w:val="right"/>
              <w:spacing w:after="0"/>
              <w:rPr>
                <w:sz w:val="20"/>
                <w:szCs w:val="20"/>
                <w:color w:val="auto"/>
              </w:rPr>
            </w:pPr>
            <w:r>
              <w:rPr>
                <w:rFonts w:ascii="Arial" w:cs="Arial" w:eastAsia="Arial" w:hAnsi="Arial"/>
                <w:sz w:val="8"/>
                <w:szCs w:val="8"/>
                <w:color w:val="auto"/>
              </w:rPr>
              <w:t>1 %</w:t>
            </w:r>
          </w:p>
        </w:tc>
      </w:tr>
      <w:tr>
        <w:trPr>
          <w:trHeight w:val="120"/>
        </w:trPr>
        <w:tc>
          <w:tcPr>
            <w:tcW w:w="3000" w:type="dxa"/>
            <w:vAlign w:val="bottom"/>
          </w:tcPr>
          <w:p>
            <w:pPr>
              <w:ind w:left="20"/>
              <w:spacing w:after="0"/>
              <w:rPr>
                <w:sz w:val="20"/>
                <w:szCs w:val="20"/>
                <w:color w:val="auto"/>
              </w:rPr>
            </w:pPr>
            <w:r>
              <w:rPr>
                <w:rFonts w:ascii="Arial" w:cs="Arial" w:eastAsia="Arial" w:hAnsi="Arial"/>
                <w:sz w:val="8"/>
                <w:szCs w:val="8"/>
                <w:i w:val="1"/>
                <w:iCs w:val="1"/>
                <w:color w:val="auto"/>
              </w:rPr>
              <w:t>Software Technology, LLC</w:t>
            </w:r>
          </w:p>
        </w:tc>
        <w:tc>
          <w:tcPr>
            <w:tcW w:w="3360" w:type="dxa"/>
            <w:vAlign w:val="bottom"/>
          </w:tcPr>
          <w:p>
            <w:pPr>
              <w:ind w:left="720"/>
              <w:spacing w:after="0"/>
              <w:rPr>
                <w:sz w:val="20"/>
                <w:szCs w:val="20"/>
                <w:color w:val="auto"/>
              </w:rPr>
            </w:pPr>
            <w:r>
              <w:rPr>
                <w:rFonts w:ascii="Arial" w:cs="Arial" w:eastAsia="Arial" w:hAnsi="Arial"/>
                <w:sz w:val="8"/>
                <w:szCs w:val="8"/>
                <w:color w:val="auto"/>
              </w:rPr>
              <w:t>Information Technology Services</w:t>
            </w:r>
          </w:p>
        </w:tc>
        <w:tc>
          <w:tcPr>
            <w:tcW w:w="8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34"/>
        </w:trPr>
        <w:tc>
          <w:tcPr>
            <w:tcW w:w="3000" w:type="dxa"/>
            <w:vAlign w:val="bottom"/>
            <w:shd w:val="clear" w:color="auto" w:fill="DBEEF4"/>
          </w:tcPr>
          <w:p>
            <w:pPr>
              <w:ind w:left="100"/>
              <w:spacing w:after="0"/>
              <w:rPr>
                <w:sz w:val="20"/>
                <w:szCs w:val="20"/>
                <w:color w:val="auto"/>
              </w:rPr>
            </w:pPr>
            <w:r>
              <w:rPr>
                <w:rFonts w:ascii="Arial" w:cs="Arial" w:eastAsia="Arial" w:hAnsi="Arial"/>
                <w:sz w:val="8"/>
                <w:szCs w:val="8"/>
                <w:color w:val="auto"/>
              </w:rPr>
              <w:t>Subordinated Debt (k)</w:t>
            </w:r>
          </w:p>
        </w:tc>
        <w:tc>
          <w:tcPr>
            <w:tcW w:w="3360" w:type="dxa"/>
            <w:vAlign w:val="bottom"/>
            <w:shd w:val="clear" w:color="auto" w:fill="DBEEF4"/>
          </w:tcPr>
          <w:p>
            <w:pPr>
              <w:spacing w:after="0"/>
              <w:rPr>
                <w:sz w:val="11"/>
                <w:szCs w:val="11"/>
                <w:color w:val="auto"/>
              </w:rPr>
            </w:pPr>
          </w:p>
        </w:tc>
        <w:tc>
          <w:tcPr>
            <w:tcW w:w="840" w:type="dxa"/>
            <w:vAlign w:val="bottom"/>
            <w:shd w:val="clear" w:color="auto" w:fill="DBEEF4"/>
          </w:tcPr>
          <w:p>
            <w:pPr>
              <w:ind w:left="200"/>
              <w:spacing w:after="0"/>
              <w:rPr>
                <w:sz w:val="20"/>
                <w:szCs w:val="20"/>
                <w:color w:val="auto"/>
              </w:rPr>
            </w:pPr>
            <w:r>
              <w:rPr>
                <w:rFonts w:ascii="Arial" w:cs="Arial" w:eastAsia="Arial" w:hAnsi="Arial"/>
                <w:sz w:val="8"/>
                <w:szCs w:val="8"/>
                <w:color w:val="auto"/>
              </w:rPr>
              <w:t>11.00%/0.00%</w:t>
            </w:r>
          </w:p>
        </w:tc>
        <w:tc>
          <w:tcPr>
            <w:tcW w:w="640" w:type="dxa"/>
            <w:vAlign w:val="bottom"/>
            <w:shd w:val="clear" w:color="auto" w:fill="DBEEF4"/>
          </w:tcPr>
          <w:p>
            <w:pPr>
              <w:ind w:left="120"/>
              <w:spacing w:after="0"/>
              <w:rPr>
                <w:sz w:val="20"/>
                <w:szCs w:val="20"/>
                <w:color w:val="auto"/>
              </w:rPr>
            </w:pPr>
            <w:r>
              <w:rPr>
                <w:rFonts w:ascii="Arial" w:cs="Arial" w:eastAsia="Arial" w:hAnsi="Arial"/>
                <w:sz w:val="8"/>
                <w:szCs w:val="8"/>
                <w:color w:val="auto"/>
              </w:rPr>
              <w:t>12/23/2016</w:t>
            </w:r>
          </w:p>
        </w:tc>
        <w:tc>
          <w:tcPr>
            <w:tcW w:w="720" w:type="dxa"/>
            <w:vAlign w:val="bottom"/>
            <w:shd w:val="clear" w:color="auto" w:fill="DBEEF4"/>
          </w:tcPr>
          <w:p>
            <w:pPr>
              <w:ind w:left="120"/>
              <w:spacing w:after="0"/>
              <w:rPr>
                <w:sz w:val="20"/>
                <w:szCs w:val="20"/>
                <w:color w:val="auto"/>
              </w:rPr>
            </w:pPr>
            <w:r>
              <w:rPr>
                <w:rFonts w:ascii="Arial" w:cs="Arial" w:eastAsia="Arial" w:hAnsi="Arial"/>
                <w:sz w:val="8"/>
                <w:szCs w:val="8"/>
                <w:color w:val="auto"/>
              </w:rPr>
              <w:t>6/23/2023</w:t>
            </w:r>
          </w:p>
        </w:tc>
        <w:tc>
          <w:tcPr>
            <w:tcW w:w="700" w:type="dxa"/>
            <w:vAlign w:val="bottom"/>
            <w:shd w:val="clear" w:color="auto" w:fill="DBEEF4"/>
          </w:tcPr>
          <w:p>
            <w:pPr>
              <w:jc w:val="right"/>
              <w:ind w:right="198"/>
              <w:spacing w:after="0"/>
              <w:rPr>
                <w:sz w:val="20"/>
                <w:szCs w:val="20"/>
                <w:color w:val="auto"/>
              </w:rPr>
            </w:pPr>
            <w:r>
              <w:rPr>
                <w:rFonts w:ascii="Arial" w:cs="Arial" w:eastAsia="Arial" w:hAnsi="Arial"/>
                <w:sz w:val="8"/>
                <w:szCs w:val="8"/>
                <w:color w:val="auto"/>
              </w:rPr>
              <w:t>10,000</w:t>
            </w:r>
          </w:p>
        </w:tc>
        <w:tc>
          <w:tcPr>
            <w:tcW w:w="160" w:type="dxa"/>
            <w:vAlign w:val="bottom"/>
            <w:shd w:val="clear" w:color="auto" w:fill="DBEEF4"/>
          </w:tcPr>
          <w:p>
            <w:pPr>
              <w:spacing w:after="0"/>
              <w:rPr>
                <w:sz w:val="11"/>
                <w:szCs w:val="11"/>
                <w:color w:val="auto"/>
              </w:rPr>
            </w:pPr>
          </w:p>
        </w:tc>
        <w:tc>
          <w:tcPr>
            <w:tcW w:w="400" w:type="dxa"/>
            <w:vAlign w:val="bottom"/>
            <w:shd w:val="clear" w:color="auto" w:fill="DBEEF4"/>
          </w:tcPr>
          <w:p>
            <w:pPr>
              <w:jc w:val="right"/>
              <w:spacing w:after="0"/>
              <w:rPr>
                <w:sz w:val="20"/>
                <w:szCs w:val="20"/>
                <w:color w:val="auto"/>
              </w:rPr>
            </w:pPr>
            <w:r>
              <w:rPr>
                <w:rFonts w:ascii="Arial" w:cs="Arial" w:eastAsia="Arial" w:hAnsi="Arial"/>
                <w:sz w:val="8"/>
                <w:szCs w:val="8"/>
                <w:color w:val="auto"/>
              </w:rPr>
              <w:t>9,980</w:t>
            </w:r>
          </w:p>
        </w:tc>
        <w:tc>
          <w:tcPr>
            <w:tcW w:w="2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360" w:type="dxa"/>
            <w:vAlign w:val="bottom"/>
            <w:shd w:val="clear" w:color="auto" w:fill="DBEEF4"/>
          </w:tcPr>
          <w:p>
            <w:pPr>
              <w:jc w:val="right"/>
              <w:spacing w:after="0"/>
              <w:rPr>
                <w:sz w:val="20"/>
                <w:szCs w:val="20"/>
                <w:color w:val="auto"/>
              </w:rPr>
            </w:pPr>
            <w:r>
              <w:rPr>
                <w:rFonts w:ascii="Arial" w:cs="Arial" w:eastAsia="Arial" w:hAnsi="Arial"/>
                <w:sz w:val="8"/>
                <w:szCs w:val="8"/>
                <w:color w:val="auto"/>
              </w:rPr>
              <w:t>10,000</w:t>
            </w:r>
          </w:p>
        </w:tc>
        <w:tc>
          <w:tcPr>
            <w:tcW w:w="720" w:type="dxa"/>
            <w:vAlign w:val="bottom"/>
            <w:shd w:val="clear" w:color="auto" w:fill="DBEEF4"/>
          </w:tcPr>
          <w:p>
            <w:pPr>
              <w:spacing w:after="0"/>
              <w:rPr>
                <w:sz w:val="11"/>
                <w:szCs w:val="11"/>
                <w:color w:val="auto"/>
              </w:rPr>
            </w:pPr>
          </w:p>
        </w:tc>
      </w:tr>
      <w:tr>
        <w:trPr>
          <w:trHeight w:val="126"/>
        </w:trPr>
        <w:tc>
          <w:tcPr>
            <w:tcW w:w="3000" w:type="dxa"/>
            <w:vAlign w:val="bottom"/>
          </w:tcPr>
          <w:p>
            <w:pPr>
              <w:ind w:left="100"/>
              <w:spacing w:after="0"/>
              <w:rPr>
                <w:sz w:val="20"/>
                <w:szCs w:val="20"/>
                <w:color w:val="auto"/>
              </w:rPr>
            </w:pPr>
            <w:r>
              <w:rPr>
                <w:rFonts w:ascii="Arial" w:cs="Arial" w:eastAsia="Arial" w:hAnsi="Arial"/>
                <w:sz w:val="8"/>
                <w:szCs w:val="8"/>
                <w:color w:val="auto"/>
              </w:rPr>
              <w:t>Common Equity (6 shares)</w:t>
            </w:r>
          </w:p>
        </w:tc>
        <w:tc>
          <w:tcPr>
            <w:tcW w:w="3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8"/>
                <w:szCs w:val="8"/>
                <w:color w:val="auto"/>
              </w:rPr>
              <w:t>12/23/2016</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646</w:t>
            </w: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942</w:t>
            </w:r>
          </w:p>
        </w:tc>
        <w:tc>
          <w:tcPr>
            <w:tcW w:w="720" w:type="dxa"/>
            <w:vAlign w:val="bottom"/>
          </w:tcPr>
          <w:p>
            <w:pPr>
              <w:spacing w:after="0"/>
              <w:rPr>
                <w:sz w:val="10"/>
                <w:szCs w:val="10"/>
                <w:color w:val="auto"/>
              </w:rPr>
            </w:pPr>
          </w:p>
        </w:tc>
      </w:tr>
      <w:tr>
        <w:trPr>
          <w:trHeight w:val="120"/>
        </w:trPr>
        <w:tc>
          <w:tcPr>
            <w:tcW w:w="3000" w:type="dxa"/>
            <w:vAlign w:val="bottom"/>
            <w:shd w:val="clear" w:color="auto" w:fill="DBEEF4"/>
          </w:tcPr>
          <w:p>
            <w:pPr>
              <w:spacing w:after="0"/>
              <w:rPr>
                <w:sz w:val="10"/>
                <w:szCs w:val="10"/>
                <w:color w:val="auto"/>
              </w:rPr>
            </w:pPr>
          </w:p>
        </w:tc>
        <w:tc>
          <w:tcPr>
            <w:tcW w:w="3360" w:type="dxa"/>
            <w:vAlign w:val="bottom"/>
            <w:shd w:val="clear" w:color="auto" w:fill="DBEEF4"/>
          </w:tcPr>
          <w:p>
            <w:pPr>
              <w:spacing w:after="0"/>
              <w:rPr>
                <w:sz w:val="10"/>
                <w:szCs w:val="10"/>
                <w:color w:val="auto"/>
              </w:rPr>
            </w:pPr>
          </w:p>
        </w:tc>
        <w:tc>
          <w:tcPr>
            <w:tcW w:w="840" w:type="dxa"/>
            <w:vAlign w:val="bottom"/>
            <w:shd w:val="clear" w:color="auto" w:fill="DBEEF4"/>
          </w:tcPr>
          <w:p>
            <w:pPr>
              <w:spacing w:after="0"/>
              <w:rPr>
                <w:sz w:val="10"/>
                <w:szCs w:val="10"/>
                <w:color w:val="auto"/>
              </w:rPr>
            </w:pPr>
          </w:p>
        </w:tc>
        <w:tc>
          <w:tcPr>
            <w:tcW w:w="640" w:type="dxa"/>
            <w:vAlign w:val="bottom"/>
            <w:shd w:val="clear" w:color="auto" w:fill="DBEEF4"/>
          </w:tcPr>
          <w:p>
            <w:pPr>
              <w:spacing w:after="0"/>
              <w:rPr>
                <w:sz w:val="10"/>
                <w:szCs w:val="10"/>
                <w:color w:val="auto"/>
              </w:rPr>
            </w:pPr>
          </w:p>
        </w:tc>
        <w:tc>
          <w:tcPr>
            <w:tcW w:w="720" w:type="dxa"/>
            <w:vAlign w:val="bottom"/>
            <w:shd w:val="clear" w:color="auto" w:fill="DBEEF4"/>
          </w:tcPr>
          <w:p>
            <w:pPr>
              <w:spacing w:after="0"/>
              <w:rPr>
                <w:sz w:val="10"/>
                <w:szCs w:val="10"/>
                <w:color w:val="auto"/>
              </w:rPr>
            </w:pPr>
          </w:p>
        </w:tc>
        <w:tc>
          <w:tcPr>
            <w:tcW w:w="700" w:type="dxa"/>
            <w:vAlign w:val="bottom"/>
            <w:shd w:val="clear" w:color="auto" w:fill="DBEEF4"/>
          </w:tcPr>
          <w:p>
            <w:pPr>
              <w:spacing w:after="0"/>
              <w:rPr>
                <w:sz w:val="10"/>
                <w:szCs w:val="10"/>
                <w:color w:val="auto"/>
              </w:rPr>
            </w:pPr>
          </w:p>
        </w:tc>
        <w:tc>
          <w:tcPr>
            <w:tcW w:w="160" w:type="dxa"/>
            <w:vAlign w:val="bottom"/>
            <w:shd w:val="clear" w:color="auto" w:fill="DBEEF4"/>
          </w:tcPr>
          <w:p>
            <w:pPr>
              <w:spacing w:after="0"/>
              <w:rPr>
                <w:sz w:val="10"/>
                <w:szCs w:val="10"/>
                <w:color w:val="auto"/>
              </w:rPr>
            </w:pPr>
          </w:p>
        </w:tc>
        <w:tc>
          <w:tcPr>
            <w:tcW w:w="400" w:type="dxa"/>
            <w:vAlign w:val="bottom"/>
            <w:shd w:val="clear" w:color="auto" w:fill="DBEEF4"/>
          </w:tcPr>
          <w:p>
            <w:pPr>
              <w:jc w:val="right"/>
              <w:spacing w:after="0"/>
              <w:rPr>
                <w:sz w:val="20"/>
                <w:szCs w:val="20"/>
                <w:color w:val="auto"/>
              </w:rPr>
            </w:pPr>
            <w:r>
              <w:rPr>
                <w:rFonts w:ascii="Arial" w:cs="Arial" w:eastAsia="Arial" w:hAnsi="Arial"/>
                <w:sz w:val="8"/>
                <w:szCs w:val="8"/>
                <w:color w:val="auto"/>
              </w:rPr>
              <w:t>10,626</w:t>
            </w:r>
          </w:p>
        </w:tc>
        <w:tc>
          <w:tcPr>
            <w:tcW w:w="200" w:type="dxa"/>
            <w:vAlign w:val="bottom"/>
            <w:shd w:val="clear" w:color="auto" w:fill="DBEEF4"/>
          </w:tcPr>
          <w:p>
            <w:pPr>
              <w:spacing w:after="0"/>
              <w:rPr>
                <w:sz w:val="10"/>
                <w:szCs w:val="10"/>
                <w:color w:val="auto"/>
              </w:rPr>
            </w:pPr>
          </w:p>
        </w:tc>
        <w:tc>
          <w:tcPr>
            <w:tcW w:w="140" w:type="dxa"/>
            <w:vAlign w:val="bottom"/>
            <w:shd w:val="clear" w:color="auto" w:fill="DBEEF4"/>
          </w:tcPr>
          <w:p>
            <w:pPr>
              <w:spacing w:after="0"/>
              <w:rPr>
                <w:sz w:val="10"/>
                <w:szCs w:val="10"/>
                <w:color w:val="auto"/>
              </w:rPr>
            </w:pPr>
          </w:p>
        </w:tc>
        <w:tc>
          <w:tcPr>
            <w:tcW w:w="360" w:type="dxa"/>
            <w:vAlign w:val="bottom"/>
            <w:shd w:val="clear" w:color="auto" w:fill="DBEEF4"/>
          </w:tcPr>
          <w:p>
            <w:pPr>
              <w:jc w:val="right"/>
              <w:spacing w:after="0"/>
              <w:rPr>
                <w:sz w:val="20"/>
                <w:szCs w:val="20"/>
                <w:color w:val="auto"/>
              </w:rPr>
            </w:pPr>
            <w:r>
              <w:rPr>
                <w:rFonts w:ascii="Arial" w:cs="Arial" w:eastAsia="Arial" w:hAnsi="Arial"/>
                <w:sz w:val="8"/>
                <w:szCs w:val="8"/>
                <w:color w:val="auto"/>
              </w:rPr>
              <w:t>10,942</w:t>
            </w:r>
          </w:p>
        </w:tc>
        <w:tc>
          <w:tcPr>
            <w:tcW w:w="720" w:type="dxa"/>
            <w:vAlign w:val="bottom"/>
            <w:shd w:val="clear" w:color="auto" w:fill="DBEEF4"/>
          </w:tcPr>
          <w:p>
            <w:pPr>
              <w:jc w:val="right"/>
              <w:spacing w:after="0"/>
              <w:rPr>
                <w:sz w:val="20"/>
                <w:szCs w:val="20"/>
                <w:color w:val="auto"/>
              </w:rPr>
            </w:pPr>
            <w:r>
              <w:rPr>
                <w:rFonts w:ascii="Arial" w:cs="Arial" w:eastAsia="Arial" w:hAnsi="Arial"/>
                <w:sz w:val="8"/>
                <w:szCs w:val="8"/>
                <w:color w:val="auto"/>
              </w:rPr>
              <w:t>3 %</w:t>
            </w:r>
          </w:p>
        </w:tc>
      </w:tr>
      <w:tr>
        <w:trPr>
          <w:trHeight w:val="120"/>
        </w:trPr>
        <w:tc>
          <w:tcPr>
            <w:tcW w:w="3000" w:type="dxa"/>
            <w:vAlign w:val="bottom"/>
          </w:tcPr>
          <w:p>
            <w:pPr>
              <w:ind w:left="20"/>
              <w:spacing w:after="0"/>
              <w:rPr>
                <w:sz w:val="20"/>
                <w:szCs w:val="20"/>
                <w:color w:val="auto"/>
              </w:rPr>
            </w:pPr>
            <w:r>
              <w:rPr>
                <w:rFonts w:ascii="Arial" w:cs="Arial" w:eastAsia="Arial" w:hAnsi="Arial"/>
                <w:sz w:val="8"/>
                <w:szCs w:val="8"/>
                <w:i w:val="1"/>
                <w:iCs w:val="1"/>
                <w:color w:val="auto"/>
              </w:rPr>
              <w:t>Specialized Elevator Services Holdings, LLC</w:t>
            </w:r>
          </w:p>
        </w:tc>
        <w:tc>
          <w:tcPr>
            <w:tcW w:w="3360" w:type="dxa"/>
            <w:vAlign w:val="bottom"/>
          </w:tcPr>
          <w:p>
            <w:pPr>
              <w:ind w:left="720"/>
              <w:spacing w:after="0"/>
              <w:rPr>
                <w:sz w:val="20"/>
                <w:szCs w:val="20"/>
                <w:color w:val="auto"/>
              </w:rPr>
            </w:pPr>
            <w:r>
              <w:rPr>
                <w:rFonts w:ascii="Arial" w:cs="Arial" w:eastAsia="Arial" w:hAnsi="Arial"/>
                <w:sz w:val="8"/>
                <w:szCs w:val="8"/>
                <w:color w:val="auto"/>
              </w:rPr>
              <w:t>Business Services</w:t>
            </w:r>
          </w:p>
        </w:tc>
        <w:tc>
          <w:tcPr>
            <w:tcW w:w="8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34"/>
        </w:trPr>
        <w:tc>
          <w:tcPr>
            <w:tcW w:w="3000" w:type="dxa"/>
            <w:vAlign w:val="bottom"/>
            <w:shd w:val="clear" w:color="auto" w:fill="DBEEF4"/>
          </w:tcPr>
          <w:p>
            <w:pPr>
              <w:ind w:left="100"/>
              <w:spacing w:after="0"/>
              <w:rPr>
                <w:sz w:val="20"/>
                <w:szCs w:val="20"/>
                <w:color w:val="auto"/>
              </w:rPr>
            </w:pPr>
            <w:r>
              <w:rPr>
                <w:rFonts w:ascii="Arial" w:cs="Arial" w:eastAsia="Arial" w:hAnsi="Arial"/>
                <w:sz w:val="8"/>
                <w:szCs w:val="8"/>
                <w:color w:val="auto"/>
              </w:rPr>
              <w:t>First Lien Debt (j)(y)</w:t>
            </w:r>
          </w:p>
        </w:tc>
        <w:tc>
          <w:tcPr>
            <w:tcW w:w="3360" w:type="dxa"/>
            <w:vAlign w:val="bottom"/>
            <w:shd w:val="clear" w:color="auto" w:fill="DBEEF4"/>
          </w:tcPr>
          <w:p>
            <w:pPr>
              <w:ind w:left="2380"/>
              <w:spacing w:after="0"/>
              <w:rPr>
                <w:sz w:val="20"/>
                <w:szCs w:val="20"/>
                <w:color w:val="auto"/>
              </w:rPr>
            </w:pPr>
            <w:r>
              <w:rPr>
                <w:rFonts w:ascii="Arial" w:cs="Arial" w:eastAsia="Arial" w:hAnsi="Arial"/>
                <w:sz w:val="8"/>
                <w:szCs w:val="8"/>
                <w:color w:val="auto"/>
              </w:rPr>
              <w:t>(L + 5.25%) / (2.00%)</w:t>
            </w:r>
          </w:p>
        </w:tc>
        <w:tc>
          <w:tcPr>
            <w:tcW w:w="840" w:type="dxa"/>
            <w:vAlign w:val="bottom"/>
            <w:shd w:val="clear" w:color="auto" w:fill="DBEEF4"/>
          </w:tcPr>
          <w:p>
            <w:pPr>
              <w:ind w:left="200"/>
              <w:spacing w:after="0"/>
              <w:rPr>
                <w:sz w:val="20"/>
                <w:szCs w:val="20"/>
                <w:color w:val="auto"/>
              </w:rPr>
            </w:pPr>
            <w:r>
              <w:rPr>
                <w:rFonts w:ascii="Arial" w:cs="Arial" w:eastAsia="Arial" w:hAnsi="Arial"/>
                <w:sz w:val="8"/>
                <w:szCs w:val="8"/>
                <w:color w:val="auto"/>
              </w:rPr>
              <w:t>7.25%/0.00%</w:t>
            </w:r>
          </w:p>
        </w:tc>
        <w:tc>
          <w:tcPr>
            <w:tcW w:w="640" w:type="dxa"/>
            <w:vAlign w:val="bottom"/>
            <w:shd w:val="clear" w:color="auto" w:fill="DBEEF4"/>
          </w:tcPr>
          <w:p>
            <w:pPr>
              <w:ind w:left="120"/>
              <w:spacing w:after="0"/>
              <w:rPr>
                <w:sz w:val="20"/>
                <w:szCs w:val="20"/>
                <w:color w:val="auto"/>
              </w:rPr>
            </w:pPr>
            <w:r>
              <w:rPr>
                <w:rFonts w:ascii="Arial" w:cs="Arial" w:eastAsia="Arial" w:hAnsi="Arial"/>
                <w:sz w:val="8"/>
                <w:szCs w:val="8"/>
                <w:color w:val="auto"/>
              </w:rPr>
              <w:t>5/7/2019</w:t>
            </w:r>
          </w:p>
        </w:tc>
        <w:tc>
          <w:tcPr>
            <w:tcW w:w="720" w:type="dxa"/>
            <w:vAlign w:val="bottom"/>
            <w:shd w:val="clear" w:color="auto" w:fill="DBEEF4"/>
          </w:tcPr>
          <w:p>
            <w:pPr>
              <w:ind w:left="120"/>
              <w:spacing w:after="0"/>
              <w:rPr>
                <w:sz w:val="20"/>
                <w:szCs w:val="20"/>
                <w:color w:val="auto"/>
              </w:rPr>
            </w:pPr>
            <w:r>
              <w:rPr>
                <w:rFonts w:ascii="Arial" w:cs="Arial" w:eastAsia="Arial" w:hAnsi="Arial"/>
                <w:sz w:val="8"/>
                <w:szCs w:val="8"/>
                <w:color w:val="auto"/>
              </w:rPr>
              <w:t>5/3/2024</w:t>
            </w:r>
          </w:p>
        </w:tc>
        <w:tc>
          <w:tcPr>
            <w:tcW w:w="700" w:type="dxa"/>
            <w:vAlign w:val="bottom"/>
            <w:shd w:val="clear" w:color="auto" w:fill="DBEEF4"/>
          </w:tcPr>
          <w:p>
            <w:pPr>
              <w:jc w:val="right"/>
              <w:ind w:right="198"/>
              <w:spacing w:after="0"/>
              <w:rPr>
                <w:sz w:val="20"/>
                <w:szCs w:val="20"/>
                <w:color w:val="auto"/>
              </w:rPr>
            </w:pPr>
            <w:r>
              <w:rPr>
                <w:rFonts w:ascii="Arial" w:cs="Arial" w:eastAsia="Arial" w:hAnsi="Arial"/>
                <w:sz w:val="8"/>
                <w:szCs w:val="8"/>
                <w:color w:val="auto"/>
              </w:rPr>
              <w:t>12,889</w:t>
            </w:r>
          </w:p>
        </w:tc>
        <w:tc>
          <w:tcPr>
            <w:tcW w:w="160" w:type="dxa"/>
            <w:vAlign w:val="bottom"/>
            <w:shd w:val="clear" w:color="auto" w:fill="DBEEF4"/>
          </w:tcPr>
          <w:p>
            <w:pPr>
              <w:spacing w:after="0"/>
              <w:rPr>
                <w:sz w:val="11"/>
                <w:szCs w:val="11"/>
                <w:color w:val="auto"/>
              </w:rPr>
            </w:pPr>
          </w:p>
        </w:tc>
        <w:tc>
          <w:tcPr>
            <w:tcW w:w="400" w:type="dxa"/>
            <w:vAlign w:val="bottom"/>
            <w:shd w:val="clear" w:color="auto" w:fill="DBEEF4"/>
          </w:tcPr>
          <w:p>
            <w:pPr>
              <w:jc w:val="right"/>
              <w:spacing w:after="0"/>
              <w:rPr>
                <w:sz w:val="20"/>
                <w:szCs w:val="20"/>
                <w:color w:val="auto"/>
              </w:rPr>
            </w:pPr>
            <w:r>
              <w:rPr>
                <w:rFonts w:ascii="Arial" w:cs="Arial" w:eastAsia="Arial" w:hAnsi="Arial"/>
                <w:sz w:val="8"/>
                <w:szCs w:val="8"/>
                <w:color w:val="auto"/>
              </w:rPr>
              <w:t>12,782</w:t>
            </w:r>
          </w:p>
        </w:tc>
        <w:tc>
          <w:tcPr>
            <w:tcW w:w="2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360" w:type="dxa"/>
            <w:vAlign w:val="bottom"/>
            <w:shd w:val="clear" w:color="auto" w:fill="DBEEF4"/>
          </w:tcPr>
          <w:p>
            <w:pPr>
              <w:jc w:val="right"/>
              <w:spacing w:after="0"/>
              <w:rPr>
                <w:sz w:val="20"/>
                <w:szCs w:val="20"/>
                <w:color w:val="auto"/>
              </w:rPr>
            </w:pPr>
            <w:r>
              <w:rPr>
                <w:rFonts w:ascii="Arial" w:cs="Arial" w:eastAsia="Arial" w:hAnsi="Arial"/>
                <w:sz w:val="8"/>
                <w:szCs w:val="8"/>
                <w:color w:val="auto"/>
              </w:rPr>
              <w:t>12,889</w:t>
            </w:r>
          </w:p>
        </w:tc>
        <w:tc>
          <w:tcPr>
            <w:tcW w:w="720" w:type="dxa"/>
            <w:vAlign w:val="bottom"/>
            <w:shd w:val="clear" w:color="auto" w:fill="DBEEF4"/>
          </w:tcPr>
          <w:p>
            <w:pPr>
              <w:spacing w:after="0"/>
              <w:rPr>
                <w:sz w:val="11"/>
                <w:szCs w:val="11"/>
                <w:color w:val="auto"/>
              </w:rPr>
            </w:pPr>
          </w:p>
        </w:tc>
      </w:tr>
      <w:tr>
        <w:trPr>
          <w:trHeight w:val="126"/>
        </w:trPr>
        <w:tc>
          <w:tcPr>
            <w:tcW w:w="3000" w:type="dxa"/>
            <w:vAlign w:val="bottom"/>
          </w:tcPr>
          <w:p>
            <w:pPr>
              <w:ind w:left="100"/>
              <w:spacing w:after="0"/>
              <w:rPr>
                <w:sz w:val="20"/>
                <w:szCs w:val="20"/>
                <w:color w:val="auto"/>
              </w:rPr>
            </w:pPr>
            <w:r>
              <w:rPr>
                <w:rFonts w:ascii="Arial" w:cs="Arial" w:eastAsia="Arial" w:hAnsi="Arial"/>
                <w:sz w:val="8"/>
                <w:szCs w:val="8"/>
                <w:color w:val="auto"/>
              </w:rPr>
              <w:t>Common Equity (596 units) (j)</w:t>
            </w:r>
          </w:p>
        </w:tc>
        <w:tc>
          <w:tcPr>
            <w:tcW w:w="3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8"/>
                <w:szCs w:val="8"/>
                <w:color w:val="auto"/>
              </w:rPr>
              <w:t>5/8/2019</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596</w:t>
            </w: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647</w:t>
            </w:r>
          </w:p>
        </w:tc>
        <w:tc>
          <w:tcPr>
            <w:tcW w:w="720" w:type="dxa"/>
            <w:vAlign w:val="bottom"/>
          </w:tcPr>
          <w:p>
            <w:pPr>
              <w:spacing w:after="0"/>
              <w:rPr>
                <w:sz w:val="10"/>
                <w:szCs w:val="10"/>
                <w:color w:val="auto"/>
              </w:rPr>
            </w:pPr>
          </w:p>
        </w:tc>
      </w:tr>
      <w:tr>
        <w:trPr>
          <w:trHeight w:val="120"/>
        </w:trPr>
        <w:tc>
          <w:tcPr>
            <w:tcW w:w="3000" w:type="dxa"/>
            <w:vAlign w:val="bottom"/>
            <w:shd w:val="clear" w:color="auto" w:fill="DBEEF4"/>
          </w:tcPr>
          <w:p>
            <w:pPr>
              <w:spacing w:after="0"/>
              <w:rPr>
                <w:sz w:val="10"/>
                <w:szCs w:val="10"/>
                <w:color w:val="auto"/>
              </w:rPr>
            </w:pPr>
          </w:p>
        </w:tc>
        <w:tc>
          <w:tcPr>
            <w:tcW w:w="3360" w:type="dxa"/>
            <w:vAlign w:val="bottom"/>
            <w:shd w:val="clear" w:color="auto" w:fill="DBEEF4"/>
          </w:tcPr>
          <w:p>
            <w:pPr>
              <w:spacing w:after="0"/>
              <w:rPr>
                <w:sz w:val="10"/>
                <w:szCs w:val="10"/>
                <w:color w:val="auto"/>
              </w:rPr>
            </w:pPr>
          </w:p>
        </w:tc>
        <w:tc>
          <w:tcPr>
            <w:tcW w:w="840" w:type="dxa"/>
            <w:vAlign w:val="bottom"/>
            <w:shd w:val="clear" w:color="auto" w:fill="DBEEF4"/>
          </w:tcPr>
          <w:p>
            <w:pPr>
              <w:spacing w:after="0"/>
              <w:rPr>
                <w:sz w:val="10"/>
                <w:szCs w:val="10"/>
                <w:color w:val="auto"/>
              </w:rPr>
            </w:pPr>
          </w:p>
        </w:tc>
        <w:tc>
          <w:tcPr>
            <w:tcW w:w="640" w:type="dxa"/>
            <w:vAlign w:val="bottom"/>
            <w:shd w:val="clear" w:color="auto" w:fill="DBEEF4"/>
          </w:tcPr>
          <w:p>
            <w:pPr>
              <w:spacing w:after="0"/>
              <w:rPr>
                <w:sz w:val="10"/>
                <w:szCs w:val="10"/>
                <w:color w:val="auto"/>
              </w:rPr>
            </w:pPr>
          </w:p>
        </w:tc>
        <w:tc>
          <w:tcPr>
            <w:tcW w:w="720" w:type="dxa"/>
            <w:vAlign w:val="bottom"/>
            <w:shd w:val="clear" w:color="auto" w:fill="DBEEF4"/>
          </w:tcPr>
          <w:p>
            <w:pPr>
              <w:spacing w:after="0"/>
              <w:rPr>
                <w:sz w:val="10"/>
                <w:szCs w:val="10"/>
                <w:color w:val="auto"/>
              </w:rPr>
            </w:pPr>
          </w:p>
        </w:tc>
        <w:tc>
          <w:tcPr>
            <w:tcW w:w="700" w:type="dxa"/>
            <w:vAlign w:val="bottom"/>
            <w:shd w:val="clear" w:color="auto" w:fill="DBEEF4"/>
          </w:tcPr>
          <w:p>
            <w:pPr>
              <w:spacing w:after="0"/>
              <w:rPr>
                <w:sz w:val="10"/>
                <w:szCs w:val="10"/>
                <w:color w:val="auto"/>
              </w:rPr>
            </w:pPr>
          </w:p>
        </w:tc>
        <w:tc>
          <w:tcPr>
            <w:tcW w:w="160" w:type="dxa"/>
            <w:vAlign w:val="bottom"/>
            <w:shd w:val="clear" w:color="auto" w:fill="DBEEF4"/>
          </w:tcPr>
          <w:p>
            <w:pPr>
              <w:spacing w:after="0"/>
              <w:rPr>
                <w:sz w:val="10"/>
                <w:szCs w:val="10"/>
                <w:color w:val="auto"/>
              </w:rPr>
            </w:pPr>
          </w:p>
        </w:tc>
        <w:tc>
          <w:tcPr>
            <w:tcW w:w="400" w:type="dxa"/>
            <w:vAlign w:val="bottom"/>
            <w:shd w:val="clear" w:color="auto" w:fill="DBEEF4"/>
          </w:tcPr>
          <w:p>
            <w:pPr>
              <w:jc w:val="right"/>
              <w:spacing w:after="0"/>
              <w:rPr>
                <w:sz w:val="20"/>
                <w:szCs w:val="20"/>
                <w:color w:val="auto"/>
              </w:rPr>
            </w:pPr>
            <w:r>
              <w:rPr>
                <w:rFonts w:ascii="Arial" w:cs="Arial" w:eastAsia="Arial" w:hAnsi="Arial"/>
                <w:sz w:val="8"/>
                <w:szCs w:val="8"/>
                <w:color w:val="auto"/>
              </w:rPr>
              <w:t>13,378</w:t>
            </w:r>
          </w:p>
        </w:tc>
        <w:tc>
          <w:tcPr>
            <w:tcW w:w="200" w:type="dxa"/>
            <w:vAlign w:val="bottom"/>
            <w:shd w:val="clear" w:color="auto" w:fill="DBEEF4"/>
          </w:tcPr>
          <w:p>
            <w:pPr>
              <w:spacing w:after="0"/>
              <w:rPr>
                <w:sz w:val="10"/>
                <w:szCs w:val="10"/>
                <w:color w:val="auto"/>
              </w:rPr>
            </w:pPr>
          </w:p>
        </w:tc>
        <w:tc>
          <w:tcPr>
            <w:tcW w:w="140" w:type="dxa"/>
            <w:vAlign w:val="bottom"/>
            <w:shd w:val="clear" w:color="auto" w:fill="DBEEF4"/>
          </w:tcPr>
          <w:p>
            <w:pPr>
              <w:spacing w:after="0"/>
              <w:rPr>
                <w:sz w:val="10"/>
                <w:szCs w:val="10"/>
                <w:color w:val="auto"/>
              </w:rPr>
            </w:pPr>
          </w:p>
        </w:tc>
        <w:tc>
          <w:tcPr>
            <w:tcW w:w="360" w:type="dxa"/>
            <w:vAlign w:val="bottom"/>
            <w:shd w:val="clear" w:color="auto" w:fill="DBEEF4"/>
          </w:tcPr>
          <w:p>
            <w:pPr>
              <w:jc w:val="right"/>
              <w:spacing w:after="0"/>
              <w:rPr>
                <w:sz w:val="20"/>
                <w:szCs w:val="20"/>
                <w:color w:val="auto"/>
              </w:rPr>
            </w:pPr>
            <w:r>
              <w:rPr>
                <w:rFonts w:ascii="Arial" w:cs="Arial" w:eastAsia="Arial" w:hAnsi="Arial"/>
                <w:sz w:val="8"/>
                <w:szCs w:val="8"/>
                <w:color w:val="auto"/>
              </w:rPr>
              <w:t>13,536</w:t>
            </w:r>
          </w:p>
        </w:tc>
        <w:tc>
          <w:tcPr>
            <w:tcW w:w="720" w:type="dxa"/>
            <w:vAlign w:val="bottom"/>
            <w:shd w:val="clear" w:color="auto" w:fill="DBEEF4"/>
          </w:tcPr>
          <w:p>
            <w:pPr>
              <w:jc w:val="right"/>
              <w:spacing w:after="0"/>
              <w:rPr>
                <w:sz w:val="20"/>
                <w:szCs w:val="20"/>
                <w:color w:val="auto"/>
              </w:rPr>
            </w:pPr>
            <w:r>
              <w:rPr>
                <w:rFonts w:ascii="Arial" w:cs="Arial" w:eastAsia="Arial" w:hAnsi="Arial"/>
                <w:sz w:val="8"/>
                <w:szCs w:val="8"/>
                <w:color w:val="auto"/>
              </w:rPr>
              <w:t>3 %</w:t>
            </w:r>
          </w:p>
        </w:tc>
      </w:tr>
      <w:tr>
        <w:trPr>
          <w:trHeight w:val="120"/>
        </w:trPr>
        <w:tc>
          <w:tcPr>
            <w:tcW w:w="3000" w:type="dxa"/>
            <w:vAlign w:val="bottom"/>
          </w:tcPr>
          <w:p>
            <w:pPr>
              <w:ind w:left="20"/>
              <w:spacing w:after="0"/>
              <w:rPr>
                <w:sz w:val="20"/>
                <w:szCs w:val="20"/>
                <w:color w:val="auto"/>
              </w:rPr>
            </w:pPr>
            <w:r>
              <w:rPr>
                <w:rFonts w:ascii="Arial" w:cs="Arial" w:eastAsia="Arial" w:hAnsi="Arial"/>
                <w:sz w:val="8"/>
                <w:szCs w:val="8"/>
                <w:i w:val="1"/>
                <w:iCs w:val="1"/>
                <w:color w:val="auto"/>
              </w:rPr>
              <w:t>SpendMend LLC</w:t>
            </w:r>
          </w:p>
        </w:tc>
        <w:tc>
          <w:tcPr>
            <w:tcW w:w="3360" w:type="dxa"/>
            <w:vAlign w:val="bottom"/>
          </w:tcPr>
          <w:p>
            <w:pPr>
              <w:ind w:left="720"/>
              <w:spacing w:after="0"/>
              <w:rPr>
                <w:sz w:val="20"/>
                <w:szCs w:val="20"/>
                <w:color w:val="auto"/>
              </w:rPr>
            </w:pPr>
            <w:r>
              <w:rPr>
                <w:rFonts w:ascii="Arial" w:cs="Arial" w:eastAsia="Arial" w:hAnsi="Arial"/>
                <w:sz w:val="8"/>
                <w:szCs w:val="8"/>
                <w:color w:val="auto"/>
              </w:rPr>
              <w:t>Business Services</w:t>
            </w:r>
          </w:p>
        </w:tc>
        <w:tc>
          <w:tcPr>
            <w:tcW w:w="8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34"/>
        </w:trPr>
        <w:tc>
          <w:tcPr>
            <w:tcW w:w="3000" w:type="dxa"/>
            <w:vAlign w:val="bottom"/>
            <w:shd w:val="clear" w:color="auto" w:fill="DBEEF4"/>
          </w:tcPr>
          <w:p>
            <w:pPr>
              <w:ind w:left="100"/>
              <w:spacing w:after="0"/>
              <w:rPr>
                <w:sz w:val="20"/>
                <w:szCs w:val="20"/>
                <w:color w:val="auto"/>
              </w:rPr>
            </w:pPr>
            <w:r>
              <w:rPr>
                <w:rFonts w:ascii="Arial" w:cs="Arial" w:eastAsia="Arial" w:hAnsi="Arial"/>
                <w:sz w:val="8"/>
                <w:szCs w:val="8"/>
                <w:color w:val="auto"/>
              </w:rPr>
              <w:t>Common Equity (1,000,000 units)</w:t>
            </w:r>
          </w:p>
        </w:tc>
        <w:tc>
          <w:tcPr>
            <w:tcW w:w="3360" w:type="dxa"/>
            <w:vAlign w:val="bottom"/>
            <w:shd w:val="clear" w:color="auto" w:fill="DBEEF4"/>
          </w:tcPr>
          <w:p>
            <w:pPr>
              <w:spacing w:after="0"/>
              <w:rPr>
                <w:sz w:val="11"/>
                <w:szCs w:val="11"/>
                <w:color w:val="auto"/>
              </w:rPr>
            </w:pPr>
          </w:p>
        </w:tc>
        <w:tc>
          <w:tcPr>
            <w:tcW w:w="840" w:type="dxa"/>
            <w:vAlign w:val="bottom"/>
            <w:shd w:val="clear" w:color="auto" w:fill="DBEEF4"/>
          </w:tcPr>
          <w:p>
            <w:pPr>
              <w:spacing w:after="0"/>
              <w:rPr>
                <w:sz w:val="11"/>
                <w:szCs w:val="11"/>
                <w:color w:val="auto"/>
              </w:rPr>
            </w:pPr>
          </w:p>
        </w:tc>
        <w:tc>
          <w:tcPr>
            <w:tcW w:w="640" w:type="dxa"/>
            <w:vAlign w:val="bottom"/>
            <w:shd w:val="clear" w:color="auto" w:fill="DBEEF4"/>
          </w:tcPr>
          <w:p>
            <w:pPr>
              <w:ind w:left="120"/>
              <w:spacing w:after="0"/>
              <w:rPr>
                <w:sz w:val="20"/>
                <w:szCs w:val="20"/>
                <w:color w:val="auto"/>
              </w:rPr>
            </w:pPr>
            <w:r>
              <w:rPr>
                <w:rFonts w:ascii="Arial" w:cs="Arial" w:eastAsia="Arial" w:hAnsi="Arial"/>
                <w:sz w:val="8"/>
                <w:szCs w:val="8"/>
                <w:color w:val="auto"/>
              </w:rPr>
              <w:t>1/8/2018</w:t>
            </w: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60" w:type="dxa"/>
            <w:vAlign w:val="bottom"/>
            <w:shd w:val="clear" w:color="auto" w:fill="DBEEF4"/>
          </w:tcPr>
          <w:p>
            <w:pPr>
              <w:spacing w:after="0"/>
              <w:rPr>
                <w:sz w:val="11"/>
                <w:szCs w:val="11"/>
                <w:color w:val="auto"/>
              </w:rPr>
            </w:pPr>
          </w:p>
        </w:tc>
        <w:tc>
          <w:tcPr>
            <w:tcW w:w="400" w:type="dxa"/>
            <w:vAlign w:val="bottom"/>
            <w:shd w:val="clear" w:color="auto" w:fill="DBEEF4"/>
          </w:tcPr>
          <w:p>
            <w:pPr>
              <w:jc w:val="right"/>
              <w:spacing w:after="0"/>
              <w:rPr>
                <w:sz w:val="20"/>
                <w:szCs w:val="20"/>
                <w:color w:val="auto"/>
              </w:rPr>
            </w:pPr>
            <w:r>
              <w:rPr>
                <w:rFonts w:ascii="Arial" w:cs="Arial" w:eastAsia="Arial" w:hAnsi="Arial"/>
                <w:sz w:val="8"/>
                <w:szCs w:val="8"/>
                <w:color w:val="auto"/>
              </w:rPr>
              <w:t>972</w:t>
            </w:r>
          </w:p>
        </w:tc>
        <w:tc>
          <w:tcPr>
            <w:tcW w:w="2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360" w:type="dxa"/>
            <w:vAlign w:val="bottom"/>
            <w:shd w:val="clear" w:color="auto" w:fill="DBEEF4"/>
          </w:tcPr>
          <w:p>
            <w:pPr>
              <w:jc w:val="right"/>
              <w:spacing w:after="0"/>
              <w:rPr>
                <w:sz w:val="20"/>
                <w:szCs w:val="20"/>
                <w:color w:val="auto"/>
              </w:rPr>
            </w:pPr>
            <w:r>
              <w:rPr>
                <w:rFonts w:ascii="Arial" w:cs="Arial" w:eastAsia="Arial" w:hAnsi="Arial"/>
                <w:sz w:val="8"/>
                <w:szCs w:val="8"/>
                <w:color w:val="auto"/>
              </w:rPr>
              <w:t>1,915</w:t>
            </w:r>
          </w:p>
        </w:tc>
        <w:tc>
          <w:tcPr>
            <w:tcW w:w="720" w:type="dxa"/>
            <w:vAlign w:val="bottom"/>
            <w:shd w:val="clear" w:color="auto" w:fill="DBEEF4"/>
          </w:tcPr>
          <w:p>
            <w:pPr>
              <w:jc w:val="right"/>
              <w:spacing w:after="0"/>
              <w:rPr>
                <w:sz w:val="20"/>
                <w:szCs w:val="20"/>
                <w:color w:val="auto"/>
              </w:rPr>
            </w:pPr>
            <w:r>
              <w:rPr>
                <w:rFonts w:ascii="Arial" w:cs="Arial" w:eastAsia="Arial" w:hAnsi="Arial"/>
                <w:sz w:val="8"/>
                <w:szCs w:val="8"/>
                <w:color w:val="auto"/>
              </w:rPr>
              <w:t>0 %</w:t>
            </w:r>
          </w:p>
        </w:tc>
      </w:tr>
      <w:tr>
        <w:trPr>
          <w:trHeight w:val="127"/>
        </w:trPr>
        <w:tc>
          <w:tcPr>
            <w:tcW w:w="300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7"/>
        </w:trPr>
        <w:tc>
          <w:tcPr>
            <w:tcW w:w="3000" w:type="dxa"/>
            <w:vAlign w:val="bottom"/>
            <w:shd w:val="clear" w:color="auto" w:fill="DBEEF4"/>
          </w:tcPr>
          <w:p>
            <w:pPr>
              <w:ind w:left="20"/>
              <w:spacing w:after="0"/>
              <w:rPr>
                <w:sz w:val="20"/>
                <w:szCs w:val="20"/>
                <w:color w:val="auto"/>
              </w:rPr>
            </w:pPr>
            <w:r>
              <w:rPr>
                <w:rFonts w:ascii="Arial" w:cs="Arial" w:eastAsia="Arial" w:hAnsi="Arial"/>
                <w:sz w:val="8"/>
                <w:szCs w:val="8"/>
                <w:i w:val="1"/>
                <w:iCs w:val="1"/>
                <w:color w:val="auto"/>
              </w:rPr>
              <w:t>TransGo, LLC</w:t>
            </w:r>
          </w:p>
        </w:tc>
        <w:tc>
          <w:tcPr>
            <w:tcW w:w="3360" w:type="dxa"/>
            <w:vAlign w:val="bottom"/>
            <w:shd w:val="clear" w:color="auto" w:fill="DBEEF4"/>
          </w:tcPr>
          <w:p>
            <w:pPr>
              <w:ind w:left="720"/>
              <w:spacing w:after="0"/>
              <w:rPr>
                <w:sz w:val="20"/>
                <w:szCs w:val="20"/>
                <w:color w:val="auto"/>
              </w:rPr>
            </w:pPr>
            <w:r>
              <w:rPr>
                <w:rFonts w:ascii="Arial" w:cs="Arial" w:eastAsia="Arial" w:hAnsi="Arial"/>
                <w:sz w:val="8"/>
                <w:szCs w:val="8"/>
                <w:color w:val="auto"/>
              </w:rPr>
              <w:t>Component Manufacturing</w:t>
            </w:r>
          </w:p>
        </w:tc>
        <w:tc>
          <w:tcPr>
            <w:tcW w:w="84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60" w:type="dxa"/>
            <w:vAlign w:val="bottom"/>
            <w:shd w:val="clear" w:color="auto" w:fill="DBEEF4"/>
          </w:tcPr>
          <w:p>
            <w:pPr>
              <w:spacing w:after="0"/>
              <w:rPr>
                <w:sz w:val="11"/>
                <w:szCs w:val="11"/>
                <w:color w:val="auto"/>
              </w:rPr>
            </w:pPr>
          </w:p>
        </w:tc>
        <w:tc>
          <w:tcPr>
            <w:tcW w:w="40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36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r>
      <w:tr>
        <w:trPr>
          <w:trHeight w:val="120"/>
        </w:trPr>
        <w:tc>
          <w:tcPr>
            <w:tcW w:w="3000" w:type="dxa"/>
            <w:vAlign w:val="bottom"/>
          </w:tcPr>
          <w:p>
            <w:pPr>
              <w:ind w:left="100"/>
              <w:spacing w:after="0"/>
              <w:rPr>
                <w:sz w:val="20"/>
                <w:szCs w:val="20"/>
                <w:color w:val="auto"/>
              </w:rPr>
            </w:pPr>
            <w:r>
              <w:rPr>
                <w:rFonts w:ascii="Arial" w:cs="Arial" w:eastAsia="Arial" w:hAnsi="Arial"/>
                <w:sz w:val="8"/>
                <w:szCs w:val="8"/>
                <w:color w:val="auto"/>
              </w:rPr>
              <w:t>Common Equity (500 units) (j)</w:t>
            </w:r>
          </w:p>
        </w:tc>
        <w:tc>
          <w:tcPr>
            <w:tcW w:w="3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8"/>
                <w:szCs w:val="8"/>
                <w:color w:val="auto"/>
              </w:rPr>
              <w:t>2/28/2017</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8"/>
                <w:szCs w:val="8"/>
                <w:color w:val="auto"/>
              </w:rPr>
              <w:t>474</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996</w:t>
            </w:r>
          </w:p>
        </w:tc>
        <w:tc>
          <w:tcPr>
            <w:tcW w:w="720" w:type="dxa"/>
            <w:vAlign w:val="bottom"/>
          </w:tcPr>
          <w:p>
            <w:pPr>
              <w:jc w:val="right"/>
              <w:spacing w:after="0"/>
              <w:rPr>
                <w:sz w:val="20"/>
                <w:szCs w:val="20"/>
                <w:color w:val="auto"/>
              </w:rPr>
            </w:pPr>
            <w:r>
              <w:rPr>
                <w:rFonts w:ascii="Arial" w:cs="Arial" w:eastAsia="Arial" w:hAnsi="Arial"/>
                <w:sz w:val="8"/>
                <w:szCs w:val="8"/>
                <w:color w:val="auto"/>
              </w:rPr>
              <w:t>0 %</w:t>
            </w:r>
          </w:p>
        </w:tc>
      </w:tr>
      <w:tr>
        <w:trPr>
          <w:trHeight w:val="134"/>
        </w:trPr>
        <w:tc>
          <w:tcPr>
            <w:tcW w:w="3000" w:type="dxa"/>
            <w:vAlign w:val="bottom"/>
            <w:shd w:val="clear" w:color="auto" w:fill="DBEEF4"/>
          </w:tcPr>
          <w:p>
            <w:pPr>
              <w:spacing w:after="0"/>
              <w:rPr>
                <w:sz w:val="11"/>
                <w:szCs w:val="11"/>
                <w:color w:val="auto"/>
              </w:rPr>
            </w:pPr>
          </w:p>
        </w:tc>
        <w:tc>
          <w:tcPr>
            <w:tcW w:w="3360" w:type="dxa"/>
            <w:vAlign w:val="bottom"/>
            <w:shd w:val="clear" w:color="auto" w:fill="DBEEF4"/>
          </w:tcPr>
          <w:p>
            <w:pPr>
              <w:spacing w:after="0"/>
              <w:rPr>
                <w:sz w:val="11"/>
                <w:szCs w:val="11"/>
                <w:color w:val="auto"/>
              </w:rPr>
            </w:pPr>
          </w:p>
        </w:tc>
        <w:tc>
          <w:tcPr>
            <w:tcW w:w="84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60" w:type="dxa"/>
            <w:vAlign w:val="bottom"/>
            <w:shd w:val="clear" w:color="auto" w:fill="DBEEF4"/>
          </w:tcPr>
          <w:p>
            <w:pPr>
              <w:spacing w:after="0"/>
              <w:rPr>
                <w:sz w:val="11"/>
                <w:szCs w:val="11"/>
                <w:color w:val="auto"/>
              </w:rPr>
            </w:pPr>
          </w:p>
        </w:tc>
        <w:tc>
          <w:tcPr>
            <w:tcW w:w="40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36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r>
      <w:tr>
        <w:trPr>
          <w:trHeight w:val="120"/>
        </w:trPr>
        <w:tc>
          <w:tcPr>
            <w:tcW w:w="3000" w:type="dxa"/>
            <w:vAlign w:val="bottom"/>
          </w:tcPr>
          <w:p>
            <w:pPr>
              <w:ind w:left="20"/>
              <w:spacing w:after="0"/>
              <w:rPr>
                <w:sz w:val="20"/>
                <w:szCs w:val="20"/>
                <w:color w:val="auto"/>
              </w:rPr>
            </w:pPr>
            <w:r>
              <w:rPr>
                <w:rFonts w:ascii="Arial" w:cs="Arial" w:eastAsia="Arial" w:hAnsi="Arial"/>
                <w:sz w:val="8"/>
                <w:szCs w:val="8"/>
                <w:i w:val="1"/>
                <w:iCs w:val="1"/>
                <w:color w:val="auto"/>
              </w:rPr>
              <w:t>The Tranzonic Companies</w:t>
            </w:r>
          </w:p>
        </w:tc>
        <w:tc>
          <w:tcPr>
            <w:tcW w:w="3360" w:type="dxa"/>
            <w:vAlign w:val="bottom"/>
          </w:tcPr>
          <w:p>
            <w:pPr>
              <w:ind w:left="720"/>
              <w:spacing w:after="0"/>
              <w:rPr>
                <w:sz w:val="20"/>
                <w:szCs w:val="20"/>
                <w:color w:val="auto"/>
              </w:rPr>
            </w:pPr>
            <w:r>
              <w:rPr>
                <w:rFonts w:ascii="Arial" w:cs="Arial" w:eastAsia="Arial" w:hAnsi="Arial"/>
                <w:sz w:val="8"/>
                <w:szCs w:val="8"/>
                <w:color w:val="auto"/>
              </w:rPr>
              <w:t>Specialty Distribution</w:t>
            </w:r>
          </w:p>
        </w:tc>
        <w:tc>
          <w:tcPr>
            <w:tcW w:w="8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34"/>
        </w:trPr>
        <w:tc>
          <w:tcPr>
            <w:tcW w:w="3000" w:type="dxa"/>
            <w:vAlign w:val="bottom"/>
            <w:shd w:val="clear" w:color="auto" w:fill="DBEEF4"/>
          </w:tcPr>
          <w:p>
            <w:pPr>
              <w:ind w:left="100"/>
              <w:spacing w:after="0"/>
              <w:rPr>
                <w:sz w:val="20"/>
                <w:szCs w:val="20"/>
                <w:color w:val="auto"/>
              </w:rPr>
            </w:pPr>
            <w:r>
              <w:rPr>
                <w:rFonts w:ascii="Arial" w:cs="Arial" w:eastAsia="Arial" w:hAnsi="Arial"/>
                <w:sz w:val="8"/>
                <w:szCs w:val="8"/>
                <w:color w:val="auto"/>
              </w:rPr>
              <w:t>Subordinated Debt (j)</w:t>
            </w:r>
          </w:p>
        </w:tc>
        <w:tc>
          <w:tcPr>
            <w:tcW w:w="3360" w:type="dxa"/>
            <w:vAlign w:val="bottom"/>
            <w:shd w:val="clear" w:color="auto" w:fill="DBEEF4"/>
          </w:tcPr>
          <w:p>
            <w:pPr>
              <w:spacing w:after="0"/>
              <w:rPr>
                <w:sz w:val="11"/>
                <w:szCs w:val="11"/>
                <w:color w:val="auto"/>
              </w:rPr>
            </w:pPr>
          </w:p>
        </w:tc>
        <w:tc>
          <w:tcPr>
            <w:tcW w:w="840" w:type="dxa"/>
            <w:vAlign w:val="bottom"/>
            <w:shd w:val="clear" w:color="auto" w:fill="DBEEF4"/>
          </w:tcPr>
          <w:p>
            <w:pPr>
              <w:ind w:left="200"/>
              <w:spacing w:after="0"/>
              <w:rPr>
                <w:sz w:val="20"/>
                <w:szCs w:val="20"/>
                <w:color w:val="auto"/>
              </w:rPr>
            </w:pPr>
            <w:r>
              <w:rPr>
                <w:rFonts w:ascii="Arial" w:cs="Arial" w:eastAsia="Arial" w:hAnsi="Arial"/>
                <w:sz w:val="8"/>
                <w:szCs w:val="8"/>
                <w:color w:val="auto"/>
              </w:rPr>
              <w:t>10.00%/1.00%</w:t>
            </w:r>
          </w:p>
        </w:tc>
        <w:tc>
          <w:tcPr>
            <w:tcW w:w="640" w:type="dxa"/>
            <w:vAlign w:val="bottom"/>
            <w:shd w:val="clear" w:color="auto" w:fill="DBEEF4"/>
          </w:tcPr>
          <w:p>
            <w:pPr>
              <w:ind w:left="120"/>
              <w:spacing w:after="0"/>
              <w:rPr>
                <w:sz w:val="20"/>
                <w:szCs w:val="20"/>
                <w:color w:val="auto"/>
              </w:rPr>
            </w:pPr>
            <w:r>
              <w:rPr>
                <w:rFonts w:ascii="Arial" w:cs="Arial" w:eastAsia="Arial" w:hAnsi="Arial"/>
                <w:sz w:val="8"/>
                <w:szCs w:val="8"/>
                <w:color w:val="auto"/>
              </w:rPr>
              <w:t>3/27/2018</w:t>
            </w:r>
          </w:p>
        </w:tc>
        <w:tc>
          <w:tcPr>
            <w:tcW w:w="720" w:type="dxa"/>
            <w:vAlign w:val="bottom"/>
            <w:shd w:val="clear" w:color="auto" w:fill="DBEEF4"/>
          </w:tcPr>
          <w:p>
            <w:pPr>
              <w:ind w:left="120"/>
              <w:spacing w:after="0"/>
              <w:rPr>
                <w:sz w:val="20"/>
                <w:szCs w:val="20"/>
                <w:color w:val="auto"/>
              </w:rPr>
            </w:pPr>
            <w:r>
              <w:rPr>
                <w:rFonts w:ascii="Arial" w:cs="Arial" w:eastAsia="Arial" w:hAnsi="Arial"/>
                <w:sz w:val="8"/>
                <w:szCs w:val="8"/>
                <w:color w:val="auto"/>
              </w:rPr>
              <w:t>3/27/2025</w:t>
            </w:r>
          </w:p>
        </w:tc>
        <w:tc>
          <w:tcPr>
            <w:tcW w:w="700" w:type="dxa"/>
            <w:vAlign w:val="bottom"/>
            <w:shd w:val="clear" w:color="auto" w:fill="DBEEF4"/>
          </w:tcPr>
          <w:p>
            <w:pPr>
              <w:jc w:val="right"/>
              <w:ind w:right="198"/>
              <w:spacing w:after="0"/>
              <w:rPr>
                <w:sz w:val="20"/>
                <w:szCs w:val="20"/>
                <w:color w:val="auto"/>
              </w:rPr>
            </w:pPr>
            <w:r>
              <w:rPr>
                <w:rFonts w:ascii="Arial" w:cs="Arial" w:eastAsia="Arial" w:hAnsi="Arial"/>
                <w:sz w:val="8"/>
                <w:szCs w:val="8"/>
                <w:color w:val="auto"/>
              </w:rPr>
              <w:t>7,001</w:t>
            </w:r>
          </w:p>
        </w:tc>
        <w:tc>
          <w:tcPr>
            <w:tcW w:w="160" w:type="dxa"/>
            <w:vAlign w:val="bottom"/>
            <w:shd w:val="clear" w:color="auto" w:fill="DBEEF4"/>
          </w:tcPr>
          <w:p>
            <w:pPr>
              <w:spacing w:after="0"/>
              <w:rPr>
                <w:sz w:val="11"/>
                <w:szCs w:val="11"/>
                <w:color w:val="auto"/>
              </w:rPr>
            </w:pPr>
          </w:p>
        </w:tc>
        <w:tc>
          <w:tcPr>
            <w:tcW w:w="400" w:type="dxa"/>
            <w:vAlign w:val="bottom"/>
            <w:shd w:val="clear" w:color="auto" w:fill="DBEEF4"/>
          </w:tcPr>
          <w:p>
            <w:pPr>
              <w:jc w:val="right"/>
              <w:spacing w:after="0"/>
              <w:rPr>
                <w:sz w:val="20"/>
                <w:szCs w:val="20"/>
                <w:color w:val="auto"/>
              </w:rPr>
            </w:pPr>
            <w:r>
              <w:rPr>
                <w:rFonts w:ascii="Arial" w:cs="Arial" w:eastAsia="Arial" w:hAnsi="Arial"/>
                <w:sz w:val="8"/>
                <w:szCs w:val="8"/>
                <w:color w:val="auto"/>
              </w:rPr>
              <w:t>6,959</w:t>
            </w:r>
          </w:p>
        </w:tc>
        <w:tc>
          <w:tcPr>
            <w:tcW w:w="2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360" w:type="dxa"/>
            <w:vAlign w:val="bottom"/>
            <w:shd w:val="clear" w:color="auto" w:fill="DBEEF4"/>
          </w:tcPr>
          <w:p>
            <w:pPr>
              <w:jc w:val="right"/>
              <w:spacing w:after="0"/>
              <w:rPr>
                <w:sz w:val="20"/>
                <w:szCs w:val="20"/>
                <w:color w:val="auto"/>
              </w:rPr>
            </w:pPr>
            <w:r>
              <w:rPr>
                <w:rFonts w:ascii="Arial" w:cs="Arial" w:eastAsia="Arial" w:hAnsi="Arial"/>
                <w:sz w:val="8"/>
                <w:szCs w:val="8"/>
                <w:color w:val="auto"/>
              </w:rPr>
              <w:t>7,001</w:t>
            </w:r>
          </w:p>
        </w:tc>
        <w:tc>
          <w:tcPr>
            <w:tcW w:w="720" w:type="dxa"/>
            <w:vAlign w:val="bottom"/>
            <w:shd w:val="clear" w:color="auto" w:fill="DBEEF4"/>
          </w:tcPr>
          <w:p>
            <w:pPr>
              <w:spacing w:after="0"/>
              <w:rPr>
                <w:sz w:val="11"/>
                <w:szCs w:val="11"/>
                <w:color w:val="auto"/>
              </w:rPr>
            </w:pPr>
          </w:p>
        </w:tc>
      </w:tr>
      <w:tr>
        <w:trPr>
          <w:trHeight w:val="120"/>
        </w:trPr>
        <w:tc>
          <w:tcPr>
            <w:tcW w:w="3000" w:type="dxa"/>
            <w:vAlign w:val="bottom"/>
          </w:tcPr>
          <w:p>
            <w:pPr>
              <w:ind w:left="100"/>
              <w:spacing w:after="0"/>
              <w:rPr>
                <w:sz w:val="20"/>
                <w:szCs w:val="20"/>
                <w:color w:val="auto"/>
              </w:rPr>
            </w:pPr>
            <w:r>
              <w:rPr>
                <w:rFonts w:ascii="Arial" w:cs="Arial" w:eastAsia="Arial" w:hAnsi="Arial"/>
                <w:sz w:val="8"/>
                <w:szCs w:val="8"/>
                <w:color w:val="auto"/>
              </w:rPr>
              <w:t>Preferred Equity (5,653 units) (j)</w:t>
            </w:r>
          </w:p>
        </w:tc>
        <w:tc>
          <w:tcPr>
            <w:tcW w:w="3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8"/>
                <w:szCs w:val="8"/>
                <w:color w:val="auto"/>
              </w:rPr>
              <w:t>3/27/2018</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8"/>
                <w:szCs w:val="8"/>
                <w:color w:val="auto"/>
              </w:rPr>
              <w:t>565</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730</w:t>
            </w:r>
          </w:p>
        </w:tc>
        <w:tc>
          <w:tcPr>
            <w:tcW w:w="720" w:type="dxa"/>
            <w:vAlign w:val="bottom"/>
          </w:tcPr>
          <w:p>
            <w:pPr>
              <w:spacing w:after="0"/>
              <w:rPr>
                <w:sz w:val="10"/>
                <w:szCs w:val="10"/>
                <w:color w:val="auto"/>
              </w:rPr>
            </w:pPr>
          </w:p>
        </w:tc>
      </w:tr>
      <w:tr>
        <w:trPr>
          <w:trHeight w:val="133"/>
        </w:trPr>
        <w:tc>
          <w:tcPr>
            <w:tcW w:w="3000" w:type="dxa"/>
            <w:vAlign w:val="bottom"/>
            <w:tcBorders>
              <w:bottom w:val="single" w:sz="8" w:color="DBEEF4"/>
            </w:tcBorders>
            <w:shd w:val="clear" w:color="auto" w:fill="DBEEF4"/>
          </w:tcPr>
          <w:p>
            <w:pPr>
              <w:ind w:left="100"/>
              <w:spacing w:after="0"/>
              <w:rPr>
                <w:sz w:val="20"/>
                <w:szCs w:val="20"/>
                <w:color w:val="auto"/>
              </w:rPr>
            </w:pPr>
            <w:r>
              <w:rPr>
                <w:rFonts w:ascii="Arial" w:cs="Arial" w:eastAsia="Arial" w:hAnsi="Arial"/>
                <w:sz w:val="8"/>
                <w:szCs w:val="8"/>
                <w:color w:val="auto"/>
              </w:rPr>
              <w:t>Common Equity (1 units) (j)</w:t>
            </w:r>
          </w:p>
        </w:tc>
        <w:tc>
          <w:tcPr>
            <w:tcW w:w="3360" w:type="dxa"/>
            <w:vAlign w:val="bottom"/>
            <w:tcBorders>
              <w:bottom w:val="single" w:sz="8" w:color="DBEEF4"/>
            </w:tcBorders>
            <w:shd w:val="clear" w:color="auto" w:fill="DBEEF4"/>
          </w:tcPr>
          <w:p>
            <w:pPr>
              <w:spacing w:after="0"/>
              <w:rPr>
                <w:sz w:val="11"/>
                <w:szCs w:val="11"/>
                <w:color w:val="auto"/>
              </w:rPr>
            </w:pPr>
          </w:p>
        </w:tc>
        <w:tc>
          <w:tcPr>
            <w:tcW w:w="840" w:type="dxa"/>
            <w:vAlign w:val="bottom"/>
            <w:tcBorders>
              <w:bottom w:val="single" w:sz="8" w:color="DBEEF4"/>
            </w:tcBorders>
            <w:shd w:val="clear" w:color="auto" w:fill="DBEEF4"/>
          </w:tcPr>
          <w:p>
            <w:pPr>
              <w:spacing w:after="0"/>
              <w:rPr>
                <w:sz w:val="11"/>
                <w:szCs w:val="11"/>
                <w:color w:val="auto"/>
              </w:rPr>
            </w:pPr>
          </w:p>
        </w:tc>
        <w:tc>
          <w:tcPr>
            <w:tcW w:w="6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8"/>
                <w:szCs w:val="8"/>
                <w:color w:val="auto"/>
              </w:rPr>
              <w:t>3/27/2018</w:t>
            </w:r>
          </w:p>
        </w:tc>
        <w:tc>
          <w:tcPr>
            <w:tcW w:w="720" w:type="dxa"/>
            <w:vAlign w:val="bottom"/>
            <w:tcBorders>
              <w:bottom w:val="single" w:sz="8" w:color="DBEEF4"/>
            </w:tcBorders>
            <w:shd w:val="clear" w:color="auto" w:fill="DBEEF4"/>
          </w:tcPr>
          <w:p>
            <w:pPr>
              <w:spacing w:after="0"/>
              <w:rPr>
                <w:sz w:val="11"/>
                <w:szCs w:val="11"/>
                <w:color w:val="auto"/>
              </w:rPr>
            </w:pPr>
          </w:p>
        </w:tc>
        <w:tc>
          <w:tcPr>
            <w:tcW w:w="700" w:type="dxa"/>
            <w:vAlign w:val="bottom"/>
            <w:tcBorders>
              <w:bottom w:val="single" w:sz="8" w:color="DBEEF4"/>
            </w:tcBorders>
            <w:shd w:val="clear" w:color="auto" w:fill="DBEEF4"/>
          </w:tcPr>
          <w:p>
            <w:pPr>
              <w:spacing w:after="0"/>
              <w:rPr>
                <w:sz w:val="11"/>
                <w:szCs w:val="11"/>
                <w:color w:val="auto"/>
              </w:rPr>
            </w:pPr>
          </w:p>
        </w:tc>
        <w:tc>
          <w:tcPr>
            <w:tcW w:w="160" w:type="dxa"/>
            <w:vAlign w:val="bottom"/>
            <w:tcBorders>
              <w:bottom w:val="single" w:sz="8" w:color="auto"/>
            </w:tcBorders>
            <w:shd w:val="clear" w:color="auto" w:fill="DBEEF4"/>
          </w:tcPr>
          <w:p>
            <w:pPr>
              <w:spacing w:after="0"/>
              <w:rPr>
                <w:sz w:val="11"/>
                <w:szCs w:val="11"/>
                <w:color w:val="auto"/>
              </w:rPr>
            </w:pPr>
          </w:p>
        </w:tc>
        <w:tc>
          <w:tcPr>
            <w:tcW w:w="4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w:t>
            </w:r>
          </w:p>
        </w:tc>
        <w:tc>
          <w:tcPr>
            <w:tcW w:w="200" w:type="dxa"/>
            <w:vAlign w:val="bottom"/>
            <w:tcBorders>
              <w:bottom w:val="single" w:sz="8" w:color="DBEEF4"/>
            </w:tcBorders>
            <w:shd w:val="clear" w:color="auto" w:fill="DBEEF4"/>
          </w:tcPr>
          <w:p>
            <w:pPr>
              <w:spacing w:after="0"/>
              <w:rPr>
                <w:sz w:val="11"/>
                <w:szCs w:val="11"/>
                <w:color w:val="auto"/>
              </w:rPr>
            </w:pPr>
          </w:p>
        </w:tc>
        <w:tc>
          <w:tcPr>
            <w:tcW w:w="140" w:type="dxa"/>
            <w:vAlign w:val="bottom"/>
            <w:tcBorders>
              <w:bottom w:val="single" w:sz="8" w:color="auto"/>
            </w:tcBorders>
            <w:shd w:val="clear" w:color="auto" w:fill="DBEEF4"/>
          </w:tcPr>
          <w:p>
            <w:pPr>
              <w:spacing w:after="0"/>
              <w:rPr>
                <w:sz w:val="11"/>
                <w:szCs w:val="11"/>
                <w:color w:val="auto"/>
              </w:rPr>
            </w:pPr>
          </w:p>
        </w:tc>
        <w:tc>
          <w:tcPr>
            <w:tcW w:w="36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683</w:t>
            </w:r>
          </w:p>
        </w:tc>
        <w:tc>
          <w:tcPr>
            <w:tcW w:w="720" w:type="dxa"/>
            <w:vAlign w:val="bottom"/>
            <w:tcBorders>
              <w:bottom w:val="single" w:sz="8" w:color="DBEEF4"/>
            </w:tcBorders>
            <w:shd w:val="clear" w:color="auto" w:fill="DBEEF4"/>
          </w:tcPr>
          <w:p>
            <w:pPr>
              <w:spacing w:after="0"/>
              <w:rPr>
                <w:sz w:val="11"/>
                <w:szCs w:val="11"/>
                <w:color w:val="auto"/>
              </w:rPr>
            </w:pPr>
          </w:p>
        </w:tc>
      </w:tr>
      <w:tr>
        <w:trPr>
          <w:trHeight w:val="113"/>
        </w:trPr>
        <w:tc>
          <w:tcPr>
            <w:tcW w:w="3000" w:type="dxa"/>
            <w:vAlign w:val="bottom"/>
          </w:tcPr>
          <w:p>
            <w:pPr>
              <w:spacing w:after="0"/>
              <w:rPr>
                <w:sz w:val="9"/>
                <w:szCs w:val="9"/>
                <w:color w:val="auto"/>
              </w:rPr>
            </w:pPr>
          </w:p>
        </w:tc>
        <w:tc>
          <w:tcPr>
            <w:tcW w:w="3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8"/>
                <w:szCs w:val="8"/>
                <w:color w:val="auto"/>
              </w:rPr>
              <w:t>7,524</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8,414</w:t>
            </w:r>
          </w:p>
        </w:tc>
        <w:tc>
          <w:tcPr>
            <w:tcW w:w="720" w:type="dxa"/>
            <w:vAlign w:val="bottom"/>
          </w:tcPr>
          <w:p>
            <w:pPr>
              <w:jc w:val="right"/>
              <w:spacing w:after="0"/>
              <w:rPr>
                <w:sz w:val="20"/>
                <w:szCs w:val="20"/>
                <w:color w:val="auto"/>
              </w:rPr>
            </w:pPr>
            <w:r>
              <w:rPr>
                <w:rFonts w:ascii="Arial" w:cs="Arial" w:eastAsia="Arial" w:hAnsi="Arial"/>
                <w:sz w:val="8"/>
                <w:szCs w:val="8"/>
                <w:color w:val="auto"/>
              </w:rPr>
              <w:t>2 %</w:t>
            </w:r>
          </w:p>
        </w:tc>
      </w:tr>
      <w:tr>
        <w:trPr>
          <w:trHeight w:val="134"/>
        </w:trPr>
        <w:tc>
          <w:tcPr>
            <w:tcW w:w="3000" w:type="dxa"/>
            <w:vAlign w:val="bottom"/>
            <w:shd w:val="clear" w:color="auto" w:fill="DBEEF4"/>
          </w:tcPr>
          <w:p>
            <w:pPr>
              <w:ind w:left="20"/>
              <w:spacing w:after="0"/>
              <w:rPr>
                <w:sz w:val="20"/>
                <w:szCs w:val="20"/>
                <w:color w:val="auto"/>
              </w:rPr>
            </w:pPr>
            <w:r>
              <w:rPr>
                <w:rFonts w:ascii="Arial" w:cs="Arial" w:eastAsia="Arial" w:hAnsi="Arial"/>
                <w:sz w:val="8"/>
                <w:szCs w:val="8"/>
                <w:i w:val="1"/>
                <w:iCs w:val="1"/>
                <w:color w:val="auto"/>
              </w:rPr>
              <w:t>UBEO, LLC</w:t>
            </w:r>
          </w:p>
        </w:tc>
        <w:tc>
          <w:tcPr>
            <w:tcW w:w="3360" w:type="dxa"/>
            <w:vAlign w:val="bottom"/>
            <w:shd w:val="clear" w:color="auto" w:fill="DBEEF4"/>
          </w:tcPr>
          <w:p>
            <w:pPr>
              <w:ind w:left="720"/>
              <w:spacing w:after="0"/>
              <w:rPr>
                <w:sz w:val="20"/>
                <w:szCs w:val="20"/>
                <w:color w:val="auto"/>
              </w:rPr>
            </w:pPr>
            <w:r>
              <w:rPr>
                <w:rFonts w:ascii="Arial" w:cs="Arial" w:eastAsia="Arial" w:hAnsi="Arial"/>
                <w:sz w:val="8"/>
                <w:szCs w:val="8"/>
                <w:color w:val="auto"/>
              </w:rPr>
              <w:t>Business Services</w:t>
            </w:r>
          </w:p>
        </w:tc>
        <w:tc>
          <w:tcPr>
            <w:tcW w:w="84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60" w:type="dxa"/>
            <w:vAlign w:val="bottom"/>
            <w:shd w:val="clear" w:color="auto" w:fill="DBEEF4"/>
          </w:tcPr>
          <w:p>
            <w:pPr>
              <w:spacing w:after="0"/>
              <w:rPr>
                <w:sz w:val="11"/>
                <w:szCs w:val="11"/>
                <w:color w:val="auto"/>
              </w:rPr>
            </w:pPr>
          </w:p>
        </w:tc>
        <w:tc>
          <w:tcPr>
            <w:tcW w:w="40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36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r>
      <w:tr>
        <w:trPr>
          <w:trHeight w:val="120"/>
        </w:trPr>
        <w:tc>
          <w:tcPr>
            <w:tcW w:w="3000" w:type="dxa"/>
            <w:vAlign w:val="bottom"/>
          </w:tcPr>
          <w:p>
            <w:pPr>
              <w:ind w:left="100"/>
              <w:spacing w:after="0"/>
              <w:rPr>
                <w:sz w:val="20"/>
                <w:szCs w:val="20"/>
                <w:color w:val="auto"/>
              </w:rPr>
            </w:pPr>
            <w:r>
              <w:rPr>
                <w:rFonts w:ascii="Arial" w:cs="Arial" w:eastAsia="Arial" w:hAnsi="Arial"/>
                <w:sz w:val="8"/>
                <w:szCs w:val="8"/>
                <w:color w:val="auto"/>
              </w:rPr>
              <w:t>Subordinated Debt (j)</w:t>
            </w:r>
          </w:p>
        </w:tc>
        <w:tc>
          <w:tcPr>
            <w:tcW w:w="3360" w:type="dxa"/>
            <w:vAlign w:val="bottom"/>
          </w:tcPr>
          <w:p>
            <w:pPr>
              <w:spacing w:after="0"/>
              <w:rPr>
                <w:sz w:val="10"/>
                <w:szCs w:val="10"/>
                <w:color w:val="auto"/>
              </w:rPr>
            </w:pPr>
          </w:p>
        </w:tc>
        <w:tc>
          <w:tcPr>
            <w:tcW w:w="840" w:type="dxa"/>
            <w:vAlign w:val="bottom"/>
          </w:tcPr>
          <w:p>
            <w:pPr>
              <w:ind w:left="200"/>
              <w:spacing w:after="0"/>
              <w:rPr>
                <w:sz w:val="20"/>
                <w:szCs w:val="20"/>
                <w:color w:val="auto"/>
              </w:rPr>
            </w:pPr>
            <w:r>
              <w:rPr>
                <w:rFonts w:ascii="Arial" w:cs="Arial" w:eastAsia="Arial" w:hAnsi="Arial"/>
                <w:sz w:val="8"/>
                <w:szCs w:val="8"/>
                <w:color w:val="auto"/>
              </w:rPr>
              <w:t>11.00%/0.00%</w:t>
            </w:r>
          </w:p>
        </w:tc>
        <w:tc>
          <w:tcPr>
            <w:tcW w:w="640" w:type="dxa"/>
            <w:vAlign w:val="bottom"/>
          </w:tcPr>
          <w:p>
            <w:pPr>
              <w:ind w:left="120"/>
              <w:spacing w:after="0"/>
              <w:rPr>
                <w:sz w:val="20"/>
                <w:szCs w:val="20"/>
                <w:color w:val="auto"/>
              </w:rPr>
            </w:pPr>
            <w:r>
              <w:rPr>
                <w:rFonts w:ascii="Arial" w:cs="Arial" w:eastAsia="Arial" w:hAnsi="Arial"/>
                <w:sz w:val="8"/>
                <w:szCs w:val="8"/>
                <w:color w:val="auto"/>
              </w:rPr>
              <w:t>4/3/2018</w:t>
            </w:r>
          </w:p>
        </w:tc>
        <w:tc>
          <w:tcPr>
            <w:tcW w:w="720" w:type="dxa"/>
            <w:vAlign w:val="bottom"/>
          </w:tcPr>
          <w:p>
            <w:pPr>
              <w:ind w:left="120"/>
              <w:spacing w:after="0"/>
              <w:rPr>
                <w:sz w:val="20"/>
                <w:szCs w:val="20"/>
                <w:color w:val="auto"/>
              </w:rPr>
            </w:pPr>
            <w:r>
              <w:rPr>
                <w:rFonts w:ascii="Arial" w:cs="Arial" w:eastAsia="Arial" w:hAnsi="Arial"/>
                <w:sz w:val="8"/>
                <w:szCs w:val="8"/>
                <w:color w:val="auto"/>
              </w:rPr>
              <w:t>10/3/2024</w:t>
            </w:r>
          </w:p>
        </w:tc>
        <w:tc>
          <w:tcPr>
            <w:tcW w:w="700" w:type="dxa"/>
            <w:vAlign w:val="bottom"/>
          </w:tcPr>
          <w:p>
            <w:pPr>
              <w:jc w:val="right"/>
              <w:ind w:right="198"/>
              <w:spacing w:after="0"/>
              <w:rPr>
                <w:sz w:val="20"/>
                <w:szCs w:val="20"/>
                <w:color w:val="auto"/>
              </w:rPr>
            </w:pPr>
            <w:r>
              <w:rPr>
                <w:rFonts w:ascii="Arial" w:cs="Arial" w:eastAsia="Arial" w:hAnsi="Arial"/>
                <w:sz w:val="8"/>
                <w:szCs w:val="8"/>
                <w:color w:val="auto"/>
              </w:rPr>
              <w:t>13,893</w:t>
            </w:r>
          </w:p>
        </w:tc>
        <w:tc>
          <w:tcPr>
            <w:tcW w:w="1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8"/>
                <w:szCs w:val="8"/>
                <w:color w:val="auto"/>
              </w:rPr>
              <w:t>13,814</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13,893</w:t>
            </w:r>
          </w:p>
        </w:tc>
        <w:tc>
          <w:tcPr>
            <w:tcW w:w="720" w:type="dxa"/>
            <w:vAlign w:val="bottom"/>
          </w:tcPr>
          <w:p>
            <w:pPr>
              <w:spacing w:after="0"/>
              <w:rPr>
                <w:sz w:val="10"/>
                <w:szCs w:val="10"/>
                <w:color w:val="auto"/>
              </w:rPr>
            </w:pPr>
          </w:p>
        </w:tc>
      </w:tr>
      <w:tr>
        <w:trPr>
          <w:trHeight w:val="133"/>
        </w:trPr>
        <w:tc>
          <w:tcPr>
            <w:tcW w:w="3000" w:type="dxa"/>
            <w:vAlign w:val="bottom"/>
            <w:tcBorders>
              <w:bottom w:val="single" w:sz="8" w:color="DBEEF4"/>
            </w:tcBorders>
            <w:shd w:val="clear" w:color="auto" w:fill="DBEEF4"/>
          </w:tcPr>
          <w:p>
            <w:pPr>
              <w:ind w:left="100"/>
              <w:spacing w:after="0"/>
              <w:rPr>
                <w:sz w:val="20"/>
                <w:szCs w:val="20"/>
                <w:color w:val="auto"/>
              </w:rPr>
            </w:pPr>
            <w:r>
              <w:rPr>
                <w:rFonts w:ascii="Arial" w:cs="Arial" w:eastAsia="Arial" w:hAnsi="Arial"/>
                <w:sz w:val="8"/>
                <w:szCs w:val="8"/>
                <w:color w:val="auto"/>
              </w:rPr>
              <w:t>Common Equity (705,000 units) (h)(j)</w:t>
            </w:r>
          </w:p>
        </w:tc>
        <w:tc>
          <w:tcPr>
            <w:tcW w:w="3360" w:type="dxa"/>
            <w:vAlign w:val="bottom"/>
            <w:tcBorders>
              <w:bottom w:val="single" w:sz="8" w:color="DBEEF4"/>
            </w:tcBorders>
            <w:shd w:val="clear" w:color="auto" w:fill="DBEEF4"/>
          </w:tcPr>
          <w:p>
            <w:pPr>
              <w:spacing w:after="0"/>
              <w:rPr>
                <w:sz w:val="11"/>
                <w:szCs w:val="11"/>
                <w:color w:val="auto"/>
              </w:rPr>
            </w:pPr>
          </w:p>
        </w:tc>
        <w:tc>
          <w:tcPr>
            <w:tcW w:w="840" w:type="dxa"/>
            <w:vAlign w:val="bottom"/>
            <w:tcBorders>
              <w:bottom w:val="single" w:sz="8" w:color="DBEEF4"/>
            </w:tcBorders>
            <w:shd w:val="clear" w:color="auto" w:fill="DBEEF4"/>
          </w:tcPr>
          <w:p>
            <w:pPr>
              <w:spacing w:after="0"/>
              <w:rPr>
                <w:sz w:val="11"/>
                <w:szCs w:val="11"/>
                <w:color w:val="auto"/>
              </w:rPr>
            </w:pPr>
          </w:p>
        </w:tc>
        <w:tc>
          <w:tcPr>
            <w:tcW w:w="6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8"/>
                <w:szCs w:val="8"/>
                <w:color w:val="auto"/>
              </w:rPr>
              <w:t>4/3/2018</w:t>
            </w:r>
          </w:p>
        </w:tc>
        <w:tc>
          <w:tcPr>
            <w:tcW w:w="720" w:type="dxa"/>
            <w:vAlign w:val="bottom"/>
            <w:tcBorders>
              <w:bottom w:val="single" w:sz="8" w:color="DBEEF4"/>
            </w:tcBorders>
            <w:shd w:val="clear" w:color="auto" w:fill="DBEEF4"/>
          </w:tcPr>
          <w:p>
            <w:pPr>
              <w:spacing w:after="0"/>
              <w:rPr>
                <w:sz w:val="11"/>
                <w:szCs w:val="11"/>
                <w:color w:val="auto"/>
              </w:rPr>
            </w:pPr>
          </w:p>
        </w:tc>
        <w:tc>
          <w:tcPr>
            <w:tcW w:w="700" w:type="dxa"/>
            <w:vAlign w:val="bottom"/>
            <w:tcBorders>
              <w:bottom w:val="single" w:sz="8" w:color="DBEEF4"/>
            </w:tcBorders>
            <w:shd w:val="clear" w:color="auto" w:fill="DBEEF4"/>
          </w:tcPr>
          <w:p>
            <w:pPr>
              <w:spacing w:after="0"/>
              <w:rPr>
                <w:sz w:val="11"/>
                <w:szCs w:val="11"/>
                <w:color w:val="auto"/>
              </w:rPr>
            </w:pPr>
          </w:p>
        </w:tc>
        <w:tc>
          <w:tcPr>
            <w:tcW w:w="160" w:type="dxa"/>
            <w:vAlign w:val="bottom"/>
            <w:tcBorders>
              <w:bottom w:val="single" w:sz="8" w:color="auto"/>
            </w:tcBorders>
            <w:shd w:val="clear" w:color="auto" w:fill="DBEEF4"/>
          </w:tcPr>
          <w:p>
            <w:pPr>
              <w:spacing w:after="0"/>
              <w:rPr>
                <w:sz w:val="11"/>
                <w:szCs w:val="11"/>
                <w:color w:val="auto"/>
              </w:rPr>
            </w:pPr>
          </w:p>
        </w:tc>
        <w:tc>
          <w:tcPr>
            <w:tcW w:w="4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668</w:t>
            </w:r>
          </w:p>
        </w:tc>
        <w:tc>
          <w:tcPr>
            <w:tcW w:w="200" w:type="dxa"/>
            <w:vAlign w:val="bottom"/>
            <w:tcBorders>
              <w:bottom w:val="single" w:sz="8" w:color="DBEEF4"/>
            </w:tcBorders>
            <w:shd w:val="clear" w:color="auto" w:fill="DBEEF4"/>
          </w:tcPr>
          <w:p>
            <w:pPr>
              <w:spacing w:after="0"/>
              <w:rPr>
                <w:sz w:val="11"/>
                <w:szCs w:val="11"/>
                <w:color w:val="auto"/>
              </w:rPr>
            </w:pPr>
          </w:p>
        </w:tc>
        <w:tc>
          <w:tcPr>
            <w:tcW w:w="140" w:type="dxa"/>
            <w:vAlign w:val="bottom"/>
            <w:tcBorders>
              <w:bottom w:val="single" w:sz="8" w:color="auto"/>
            </w:tcBorders>
            <w:shd w:val="clear" w:color="auto" w:fill="DBEEF4"/>
          </w:tcPr>
          <w:p>
            <w:pPr>
              <w:spacing w:after="0"/>
              <w:rPr>
                <w:sz w:val="11"/>
                <w:szCs w:val="11"/>
                <w:color w:val="auto"/>
              </w:rPr>
            </w:pPr>
          </w:p>
        </w:tc>
        <w:tc>
          <w:tcPr>
            <w:tcW w:w="36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661</w:t>
            </w:r>
          </w:p>
        </w:tc>
        <w:tc>
          <w:tcPr>
            <w:tcW w:w="720" w:type="dxa"/>
            <w:vAlign w:val="bottom"/>
            <w:tcBorders>
              <w:bottom w:val="single" w:sz="8" w:color="DBEEF4"/>
            </w:tcBorders>
            <w:shd w:val="clear" w:color="auto" w:fill="DBEEF4"/>
          </w:tcPr>
          <w:p>
            <w:pPr>
              <w:spacing w:after="0"/>
              <w:rPr>
                <w:sz w:val="11"/>
                <w:szCs w:val="11"/>
                <w:color w:val="auto"/>
              </w:rPr>
            </w:pPr>
          </w:p>
        </w:tc>
      </w:tr>
      <w:tr>
        <w:trPr>
          <w:trHeight w:val="113"/>
        </w:trPr>
        <w:tc>
          <w:tcPr>
            <w:tcW w:w="3000" w:type="dxa"/>
            <w:vAlign w:val="bottom"/>
          </w:tcPr>
          <w:p>
            <w:pPr>
              <w:spacing w:after="0"/>
              <w:rPr>
                <w:sz w:val="9"/>
                <w:szCs w:val="9"/>
                <w:color w:val="auto"/>
              </w:rPr>
            </w:pPr>
          </w:p>
        </w:tc>
        <w:tc>
          <w:tcPr>
            <w:tcW w:w="3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8"/>
                <w:szCs w:val="8"/>
                <w:color w:val="auto"/>
              </w:rPr>
              <w:t>14,482</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14,554</w:t>
            </w:r>
          </w:p>
        </w:tc>
        <w:tc>
          <w:tcPr>
            <w:tcW w:w="720" w:type="dxa"/>
            <w:vAlign w:val="bottom"/>
          </w:tcPr>
          <w:p>
            <w:pPr>
              <w:jc w:val="right"/>
              <w:spacing w:after="0"/>
              <w:rPr>
                <w:sz w:val="20"/>
                <w:szCs w:val="20"/>
                <w:color w:val="auto"/>
              </w:rPr>
            </w:pPr>
            <w:r>
              <w:rPr>
                <w:rFonts w:ascii="Arial" w:cs="Arial" w:eastAsia="Arial" w:hAnsi="Arial"/>
                <w:sz w:val="8"/>
                <w:szCs w:val="8"/>
                <w:color w:val="auto"/>
              </w:rPr>
              <w:t>3 %</w:t>
            </w:r>
          </w:p>
        </w:tc>
      </w:tr>
      <w:tr>
        <w:trPr>
          <w:trHeight w:val="134"/>
        </w:trPr>
        <w:tc>
          <w:tcPr>
            <w:tcW w:w="3000" w:type="dxa"/>
            <w:vAlign w:val="bottom"/>
            <w:shd w:val="clear" w:color="auto" w:fill="DBEEF4"/>
          </w:tcPr>
          <w:p>
            <w:pPr>
              <w:ind w:left="20"/>
              <w:spacing w:after="0"/>
              <w:rPr>
                <w:sz w:val="20"/>
                <w:szCs w:val="20"/>
                <w:color w:val="auto"/>
              </w:rPr>
            </w:pPr>
            <w:r>
              <w:rPr>
                <w:rFonts w:ascii="Arial" w:cs="Arial" w:eastAsia="Arial" w:hAnsi="Arial"/>
                <w:sz w:val="8"/>
                <w:szCs w:val="8"/>
                <w:i w:val="1"/>
                <w:iCs w:val="1"/>
                <w:color w:val="auto"/>
              </w:rPr>
              <w:t>United Biologics, LLC</w:t>
            </w:r>
          </w:p>
        </w:tc>
        <w:tc>
          <w:tcPr>
            <w:tcW w:w="3360" w:type="dxa"/>
            <w:vAlign w:val="bottom"/>
            <w:shd w:val="clear" w:color="auto" w:fill="DBEEF4"/>
          </w:tcPr>
          <w:p>
            <w:pPr>
              <w:ind w:left="720"/>
              <w:spacing w:after="0"/>
              <w:rPr>
                <w:sz w:val="20"/>
                <w:szCs w:val="20"/>
                <w:color w:val="auto"/>
              </w:rPr>
            </w:pPr>
            <w:r>
              <w:rPr>
                <w:rFonts w:ascii="Arial" w:cs="Arial" w:eastAsia="Arial" w:hAnsi="Arial"/>
                <w:sz w:val="8"/>
                <w:szCs w:val="8"/>
                <w:color w:val="auto"/>
              </w:rPr>
              <w:t>Healthcare Services</w:t>
            </w:r>
          </w:p>
        </w:tc>
        <w:tc>
          <w:tcPr>
            <w:tcW w:w="84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60" w:type="dxa"/>
            <w:vAlign w:val="bottom"/>
            <w:shd w:val="clear" w:color="auto" w:fill="DBEEF4"/>
          </w:tcPr>
          <w:p>
            <w:pPr>
              <w:spacing w:after="0"/>
              <w:rPr>
                <w:sz w:val="11"/>
                <w:szCs w:val="11"/>
                <w:color w:val="auto"/>
              </w:rPr>
            </w:pPr>
          </w:p>
        </w:tc>
        <w:tc>
          <w:tcPr>
            <w:tcW w:w="40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36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r>
      <w:tr>
        <w:trPr>
          <w:trHeight w:val="120"/>
        </w:trPr>
        <w:tc>
          <w:tcPr>
            <w:tcW w:w="3000" w:type="dxa"/>
            <w:vAlign w:val="bottom"/>
          </w:tcPr>
          <w:p>
            <w:pPr>
              <w:ind w:left="100"/>
              <w:spacing w:after="0"/>
              <w:rPr>
                <w:sz w:val="20"/>
                <w:szCs w:val="20"/>
                <w:color w:val="auto"/>
              </w:rPr>
            </w:pPr>
            <w:r>
              <w:rPr>
                <w:rFonts w:ascii="Arial" w:cs="Arial" w:eastAsia="Arial" w:hAnsi="Arial"/>
                <w:sz w:val="8"/>
                <w:szCs w:val="8"/>
                <w:color w:val="auto"/>
              </w:rPr>
              <w:t>Preferred Equity (98,377 units) (h)(j)</w:t>
            </w:r>
          </w:p>
        </w:tc>
        <w:tc>
          <w:tcPr>
            <w:tcW w:w="3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8"/>
                <w:szCs w:val="8"/>
                <w:color w:val="auto"/>
              </w:rPr>
              <w:t>4/1/2012</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8"/>
                <w:szCs w:val="8"/>
                <w:color w:val="auto"/>
              </w:rPr>
              <w:t>1,008</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720" w:type="dxa"/>
            <w:vAlign w:val="bottom"/>
          </w:tcPr>
          <w:p>
            <w:pPr>
              <w:spacing w:after="0"/>
              <w:rPr>
                <w:sz w:val="10"/>
                <w:szCs w:val="10"/>
                <w:color w:val="auto"/>
              </w:rPr>
            </w:pPr>
          </w:p>
        </w:tc>
      </w:tr>
      <w:tr>
        <w:trPr>
          <w:trHeight w:val="133"/>
        </w:trPr>
        <w:tc>
          <w:tcPr>
            <w:tcW w:w="3000" w:type="dxa"/>
            <w:vAlign w:val="bottom"/>
            <w:tcBorders>
              <w:bottom w:val="single" w:sz="8" w:color="DBEEF4"/>
            </w:tcBorders>
            <w:shd w:val="clear" w:color="auto" w:fill="DBEEF4"/>
          </w:tcPr>
          <w:p>
            <w:pPr>
              <w:ind w:left="100"/>
              <w:spacing w:after="0"/>
              <w:rPr>
                <w:sz w:val="20"/>
                <w:szCs w:val="20"/>
                <w:color w:val="auto"/>
              </w:rPr>
            </w:pPr>
            <w:r>
              <w:rPr>
                <w:rFonts w:ascii="Arial" w:cs="Arial" w:eastAsia="Arial" w:hAnsi="Arial"/>
                <w:sz w:val="8"/>
                <w:szCs w:val="8"/>
                <w:color w:val="auto"/>
              </w:rPr>
              <w:t>Warrant (57,469 units) (j)(m)</w:t>
            </w:r>
          </w:p>
        </w:tc>
        <w:tc>
          <w:tcPr>
            <w:tcW w:w="3360" w:type="dxa"/>
            <w:vAlign w:val="bottom"/>
            <w:tcBorders>
              <w:bottom w:val="single" w:sz="8" w:color="DBEEF4"/>
            </w:tcBorders>
            <w:shd w:val="clear" w:color="auto" w:fill="DBEEF4"/>
          </w:tcPr>
          <w:p>
            <w:pPr>
              <w:spacing w:after="0"/>
              <w:rPr>
                <w:sz w:val="11"/>
                <w:szCs w:val="11"/>
                <w:color w:val="auto"/>
              </w:rPr>
            </w:pPr>
          </w:p>
        </w:tc>
        <w:tc>
          <w:tcPr>
            <w:tcW w:w="840" w:type="dxa"/>
            <w:vAlign w:val="bottom"/>
            <w:tcBorders>
              <w:bottom w:val="single" w:sz="8" w:color="DBEEF4"/>
            </w:tcBorders>
            <w:shd w:val="clear" w:color="auto" w:fill="DBEEF4"/>
          </w:tcPr>
          <w:p>
            <w:pPr>
              <w:spacing w:after="0"/>
              <w:rPr>
                <w:sz w:val="11"/>
                <w:szCs w:val="11"/>
                <w:color w:val="auto"/>
              </w:rPr>
            </w:pPr>
          </w:p>
        </w:tc>
        <w:tc>
          <w:tcPr>
            <w:tcW w:w="6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8"/>
                <w:szCs w:val="8"/>
                <w:color w:val="auto"/>
              </w:rPr>
              <w:t>3/5/2012</w:t>
            </w:r>
          </w:p>
        </w:tc>
        <w:tc>
          <w:tcPr>
            <w:tcW w:w="720" w:type="dxa"/>
            <w:vAlign w:val="bottom"/>
            <w:tcBorders>
              <w:bottom w:val="single" w:sz="8" w:color="DBEEF4"/>
            </w:tcBorders>
            <w:shd w:val="clear" w:color="auto" w:fill="DBEEF4"/>
          </w:tcPr>
          <w:p>
            <w:pPr>
              <w:spacing w:after="0"/>
              <w:rPr>
                <w:sz w:val="11"/>
                <w:szCs w:val="11"/>
                <w:color w:val="auto"/>
              </w:rPr>
            </w:pPr>
          </w:p>
        </w:tc>
        <w:tc>
          <w:tcPr>
            <w:tcW w:w="700" w:type="dxa"/>
            <w:vAlign w:val="bottom"/>
            <w:tcBorders>
              <w:bottom w:val="single" w:sz="8" w:color="DBEEF4"/>
            </w:tcBorders>
            <w:shd w:val="clear" w:color="auto" w:fill="DBEEF4"/>
          </w:tcPr>
          <w:p>
            <w:pPr>
              <w:spacing w:after="0"/>
              <w:rPr>
                <w:sz w:val="11"/>
                <w:szCs w:val="11"/>
                <w:color w:val="auto"/>
              </w:rPr>
            </w:pPr>
          </w:p>
        </w:tc>
        <w:tc>
          <w:tcPr>
            <w:tcW w:w="160" w:type="dxa"/>
            <w:vAlign w:val="bottom"/>
            <w:tcBorders>
              <w:bottom w:val="single" w:sz="8" w:color="auto"/>
            </w:tcBorders>
            <w:shd w:val="clear" w:color="auto" w:fill="DBEEF4"/>
          </w:tcPr>
          <w:p>
            <w:pPr>
              <w:spacing w:after="0"/>
              <w:rPr>
                <w:sz w:val="11"/>
                <w:szCs w:val="11"/>
                <w:color w:val="auto"/>
              </w:rPr>
            </w:pPr>
          </w:p>
        </w:tc>
        <w:tc>
          <w:tcPr>
            <w:tcW w:w="4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566</w:t>
            </w:r>
          </w:p>
        </w:tc>
        <w:tc>
          <w:tcPr>
            <w:tcW w:w="200" w:type="dxa"/>
            <w:vAlign w:val="bottom"/>
            <w:tcBorders>
              <w:bottom w:val="single" w:sz="8" w:color="DBEEF4"/>
            </w:tcBorders>
            <w:shd w:val="clear" w:color="auto" w:fill="DBEEF4"/>
          </w:tcPr>
          <w:p>
            <w:pPr>
              <w:spacing w:after="0"/>
              <w:rPr>
                <w:sz w:val="11"/>
                <w:szCs w:val="11"/>
                <w:color w:val="auto"/>
              </w:rPr>
            </w:pPr>
          </w:p>
        </w:tc>
        <w:tc>
          <w:tcPr>
            <w:tcW w:w="140" w:type="dxa"/>
            <w:vAlign w:val="bottom"/>
            <w:tcBorders>
              <w:bottom w:val="single" w:sz="8" w:color="auto"/>
            </w:tcBorders>
            <w:shd w:val="clear" w:color="auto" w:fill="DBEEF4"/>
          </w:tcPr>
          <w:p>
            <w:pPr>
              <w:spacing w:after="0"/>
              <w:rPr>
                <w:sz w:val="11"/>
                <w:szCs w:val="11"/>
                <w:color w:val="auto"/>
              </w:rPr>
            </w:pPr>
          </w:p>
        </w:tc>
        <w:tc>
          <w:tcPr>
            <w:tcW w:w="36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w:t>
            </w:r>
          </w:p>
        </w:tc>
        <w:tc>
          <w:tcPr>
            <w:tcW w:w="720" w:type="dxa"/>
            <w:vAlign w:val="bottom"/>
            <w:tcBorders>
              <w:bottom w:val="single" w:sz="8" w:color="DBEEF4"/>
            </w:tcBorders>
            <w:shd w:val="clear" w:color="auto" w:fill="DBEEF4"/>
          </w:tcPr>
          <w:p>
            <w:pPr>
              <w:spacing w:after="0"/>
              <w:rPr>
                <w:sz w:val="11"/>
                <w:szCs w:val="11"/>
                <w:color w:val="auto"/>
              </w:rPr>
            </w:pPr>
          </w:p>
        </w:tc>
      </w:tr>
      <w:tr>
        <w:trPr>
          <w:trHeight w:val="113"/>
        </w:trPr>
        <w:tc>
          <w:tcPr>
            <w:tcW w:w="3000" w:type="dxa"/>
            <w:vAlign w:val="bottom"/>
          </w:tcPr>
          <w:p>
            <w:pPr>
              <w:spacing w:after="0"/>
              <w:rPr>
                <w:sz w:val="9"/>
                <w:szCs w:val="9"/>
                <w:color w:val="auto"/>
              </w:rPr>
            </w:pPr>
          </w:p>
        </w:tc>
        <w:tc>
          <w:tcPr>
            <w:tcW w:w="3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8"/>
                <w:szCs w:val="8"/>
                <w:color w:val="auto"/>
              </w:rPr>
              <w:t>1,574</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720" w:type="dxa"/>
            <w:vAlign w:val="bottom"/>
          </w:tcPr>
          <w:p>
            <w:pPr>
              <w:jc w:val="right"/>
              <w:spacing w:after="0"/>
              <w:rPr>
                <w:sz w:val="20"/>
                <w:szCs w:val="20"/>
                <w:color w:val="auto"/>
              </w:rPr>
            </w:pPr>
            <w:r>
              <w:rPr>
                <w:rFonts w:ascii="Arial" w:cs="Arial" w:eastAsia="Arial" w:hAnsi="Arial"/>
                <w:sz w:val="8"/>
                <w:szCs w:val="8"/>
                <w:color w:val="auto"/>
              </w:rPr>
              <w:t>0 %</w:t>
            </w:r>
          </w:p>
        </w:tc>
      </w:tr>
      <w:tr>
        <w:trPr>
          <w:trHeight w:val="134"/>
        </w:trPr>
        <w:tc>
          <w:tcPr>
            <w:tcW w:w="3000" w:type="dxa"/>
            <w:vAlign w:val="bottom"/>
            <w:shd w:val="clear" w:color="auto" w:fill="DBEEF4"/>
          </w:tcPr>
          <w:p>
            <w:pPr>
              <w:ind w:left="20"/>
              <w:spacing w:after="0"/>
              <w:rPr>
                <w:sz w:val="20"/>
                <w:szCs w:val="20"/>
                <w:color w:val="auto"/>
              </w:rPr>
            </w:pPr>
            <w:r>
              <w:rPr>
                <w:rFonts w:ascii="Arial" w:cs="Arial" w:eastAsia="Arial" w:hAnsi="Arial"/>
                <w:sz w:val="8"/>
                <w:szCs w:val="8"/>
                <w:i w:val="1"/>
                <w:iCs w:val="1"/>
                <w:color w:val="auto"/>
              </w:rPr>
              <w:t>Virginia Tile Company, LLC</w:t>
            </w:r>
          </w:p>
        </w:tc>
        <w:tc>
          <w:tcPr>
            <w:tcW w:w="3360" w:type="dxa"/>
            <w:vAlign w:val="bottom"/>
            <w:shd w:val="clear" w:color="auto" w:fill="DBEEF4"/>
          </w:tcPr>
          <w:p>
            <w:pPr>
              <w:ind w:left="720"/>
              <w:spacing w:after="0"/>
              <w:rPr>
                <w:sz w:val="20"/>
                <w:szCs w:val="20"/>
                <w:color w:val="auto"/>
              </w:rPr>
            </w:pPr>
            <w:r>
              <w:rPr>
                <w:rFonts w:ascii="Arial" w:cs="Arial" w:eastAsia="Arial" w:hAnsi="Arial"/>
                <w:sz w:val="8"/>
                <w:szCs w:val="8"/>
                <w:color w:val="auto"/>
              </w:rPr>
              <w:t>Specialty Distribution</w:t>
            </w:r>
          </w:p>
        </w:tc>
        <w:tc>
          <w:tcPr>
            <w:tcW w:w="84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60" w:type="dxa"/>
            <w:vAlign w:val="bottom"/>
            <w:shd w:val="clear" w:color="auto" w:fill="DBEEF4"/>
          </w:tcPr>
          <w:p>
            <w:pPr>
              <w:spacing w:after="0"/>
              <w:rPr>
                <w:sz w:val="11"/>
                <w:szCs w:val="11"/>
                <w:color w:val="auto"/>
              </w:rPr>
            </w:pPr>
          </w:p>
        </w:tc>
        <w:tc>
          <w:tcPr>
            <w:tcW w:w="40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36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r>
      <w:tr>
        <w:trPr>
          <w:trHeight w:val="120"/>
        </w:trPr>
        <w:tc>
          <w:tcPr>
            <w:tcW w:w="3000" w:type="dxa"/>
            <w:vAlign w:val="bottom"/>
          </w:tcPr>
          <w:p>
            <w:pPr>
              <w:ind w:left="100"/>
              <w:spacing w:after="0"/>
              <w:rPr>
                <w:sz w:val="20"/>
                <w:szCs w:val="20"/>
                <w:color w:val="auto"/>
              </w:rPr>
            </w:pPr>
            <w:r>
              <w:rPr>
                <w:rFonts w:ascii="Arial" w:cs="Arial" w:eastAsia="Arial" w:hAnsi="Arial"/>
                <w:sz w:val="8"/>
                <w:szCs w:val="8"/>
                <w:color w:val="auto"/>
              </w:rPr>
              <w:t>Second Lien Debt (j)</w:t>
            </w:r>
          </w:p>
        </w:tc>
        <w:tc>
          <w:tcPr>
            <w:tcW w:w="3360" w:type="dxa"/>
            <w:vAlign w:val="bottom"/>
          </w:tcPr>
          <w:p>
            <w:pPr>
              <w:spacing w:after="0"/>
              <w:rPr>
                <w:sz w:val="10"/>
                <w:szCs w:val="10"/>
                <w:color w:val="auto"/>
              </w:rPr>
            </w:pPr>
          </w:p>
        </w:tc>
        <w:tc>
          <w:tcPr>
            <w:tcW w:w="840" w:type="dxa"/>
            <w:vAlign w:val="bottom"/>
          </w:tcPr>
          <w:p>
            <w:pPr>
              <w:ind w:left="200"/>
              <w:spacing w:after="0"/>
              <w:rPr>
                <w:sz w:val="20"/>
                <w:szCs w:val="20"/>
                <w:color w:val="auto"/>
              </w:rPr>
            </w:pPr>
            <w:r>
              <w:rPr>
                <w:rFonts w:ascii="Arial" w:cs="Arial" w:eastAsia="Arial" w:hAnsi="Arial"/>
                <w:sz w:val="8"/>
                <w:szCs w:val="8"/>
                <w:color w:val="auto"/>
              </w:rPr>
              <w:t>12.25%/0.00%</w:t>
            </w:r>
          </w:p>
        </w:tc>
        <w:tc>
          <w:tcPr>
            <w:tcW w:w="640" w:type="dxa"/>
            <w:vAlign w:val="bottom"/>
          </w:tcPr>
          <w:p>
            <w:pPr>
              <w:ind w:left="120"/>
              <w:spacing w:after="0"/>
              <w:rPr>
                <w:sz w:val="20"/>
                <w:szCs w:val="20"/>
                <w:color w:val="auto"/>
              </w:rPr>
            </w:pPr>
            <w:r>
              <w:rPr>
                <w:rFonts w:ascii="Arial" w:cs="Arial" w:eastAsia="Arial" w:hAnsi="Arial"/>
                <w:sz w:val="8"/>
                <w:szCs w:val="8"/>
                <w:color w:val="auto"/>
              </w:rPr>
              <w:t>12/19/2014</w:t>
            </w:r>
          </w:p>
        </w:tc>
        <w:tc>
          <w:tcPr>
            <w:tcW w:w="720" w:type="dxa"/>
            <w:vAlign w:val="bottom"/>
          </w:tcPr>
          <w:p>
            <w:pPr>
              <w:ind w:left="120"/>
              <w:spacing w:after="0"/>
              <w:rPr>
                <w:sz w:val="20"/>
                <w:szCs w:val="20"/>
                <w:color w:val="auto"/>
              </w:rPr>
            </w:pPr>
            <w:r>
              <w:rPr>
                <w:rFonts w:ascii="Arial" w:cs="Arial" w:eastAsia="Arial" w:hAnsi="Arial"/>
                <w:sz w:val="8"/>
                <w:szCs w:val="8"/>
                <w:color w:val="auto"/>
              </w:rPr>
              <w:t>4/7/2022</w:t>
            </w:r>
          </w:p>
        </w:tc>
        <w:tc>
          <w:tcPr>
            <w:tcW w:w="700" w:type="dxa"/>
            <w:vAlign w:val="bottom"/>
          </w:tcPr>
          <w:p>
            <w:pPr>
              <w:jc w:val="right"/>
              <w:ind w:right="198"/>
              <w:spacing w:after="0"/>
              <w:rPr>
                <w:sz w:val="20"/>
                <w:szCs w:val="20"/>
                <w:color w:val="auto"/>
              </w:rPr>
            </w:pPr>
            <w:r>
              <w:rPr>
                <w:rFonts w:ascii="Arial" w:cs="Arial" w:eastAsia="Arial" w:hAnsi="Arial"/>
                <w:sz w:val="8"/>
                <w:szCs w:val="8"/>
                <w:color w:val="auto"/>
              </w:rPr>
              <w:t>12,000</w:t>
            </w:r>
          </w:p>
        </w:tc>
        <w:tc>
          <w:tcPr>
            <w:tcW w:w="1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8"/>
                <w:szCs w:val="8"/>
                <w:color w:val="auto"/>
              </w:rPr>
              <w:t>11,998</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12,000</w:t>
            </w:r>
          </w:p>
        </w:tc>
        <w:tc>
          <w:tcPr>
            <w:tcW w:w="720" w:type="dxa"/>
            <w:vAlign w:val="bottom"/>
          </w:tcPr>
          <w:p>
            <w:pPr>
              <w:spacing w:after="0"/>
              <w:rPr>
                <w:sz w:val="10"/>
                <w:szCs w:val="10"/>
                <w:color w:val="auto"/>
              </w:rPr>
            </w:pPr>
          </w:p>
        </w:tc>
      </w:tr>
      <w:tr>
        <w:trPr>
          <w:trHeight w:val="133"/>
        </w:trPr>
        <w:tc>
          <w:tcPr>
            <w:tcW w:w="3000" w:type="dxa"/>
            <w:vAlign w:val="bottom"/>
            <w:tcBorders>
              <w:bottom w:val="single" w:sz="8" w:color="DBEEF4"/>
            </w:tcBorders>
            <w:shd w:val="clear" w:color="auto" w:fill="DBEEF4"/>
          </w:tcPr>
          <w:p>
            <w:pPr>
              <w:ind w:left="100"/>
              <w:spacing w:after="0"/>
              <w:rPr>
                <w:sz w:val="20"/>
                <w:szCs w:val="20"/>
                <w:color w:val="auto"/>
              </w:rPr>
            </w:pPr>
            <w:r>
              <w:rPr>
                <w:rFonts w:ascii="Arial" w:cs="Arial" w:eastAsia="Arial" w:hAnsi="Arial"/>
                <w:sz w:val="8"/>
                <w:szCs w:val="8"/>
                <w:color w:val="auto"/>
              </w:rPr>
              <w:t>Common Equity (17 units) (j)</w:t>
            </w:r>
          </w:p>
        </w:tc>
        <w:tc>
          <w:tcPr>
            <w:tcW w:w="3360" w:type="dxa"/>
            <w:vAlign w:val="bottom"/>
            <w:tcBorders>
              <w:bottom w:val="single" w:sz="8" w:color="DBEEF4"/>
            </w:tcBorders>
            <w:shd w:val="clear" w:color="auto" w:fill="DBEEF4"/>
          </w:tcPr>
          <w:p>
            <w:pPr>
              <w:spacing w:after="0"/>
              <w:rPr>
                <w:sz w:val="11"/>
                <w:szCs w:val="11"/>
                <w:color w:val="auto"/>
              </w:rPr>
            </w:pPr>
          </w:p>
        </w:tc>
        <w:tc>
          <w:tcPr>
            <w:tcW w:w="840" w:type="dxa"/>
            <w:vAlign w:val="bottom"/>
            <w:tcBorders>
              <w:bottom w:val="single" w:sz="8" w:color="DBEEF4"/>
            </w:tcBorders>
            <w:shd w:val="clear" w:color="auto" w:fill="DBEEF4"/>
          </w:tcPr>
          <w:p>
            <w:pPr>
              <w:spacing w:after="0"/>
              <w:rPr>
                <w:sz w:val="11"/>
                <w:szCs w:val="11"/>
                <w:color w:val="auto"/>
              </w:rPr>
            </w:pPr>
          </w:p>
        </w:tc>
        <w:tc>
          <w:tcPr>
            <w:tcW w:w="640" w:type="dxa"/>
            <w:vAlign w:val="bottom"/>
            <w:tcBorders>
              <w:bottom w:val="single" w:sz="8" w:color="DBEEF4"/>
            </w:tcBorders>
            <w:shd w:val="clear" w:color="auto" w:fill="DBEEF4"/>
          </w:tcPr>
          <w:p>
            <w:pPr>
              <w:ind w:left="120"/>
              <w:spacing w:after="0"/>
              <w:rPr>
                <w:sz w:val="20"/>
                <w:szCs w:val="20"/>
                <w:color w:val="auto"/>
              </w:rPr>
            </w:pPr>
            <w:r>
              <w:rPr>
                <w:rFonts w:ascii="Arial" w:cs="Arial" w:eastAsia="Arial" w:hAnsi="Arial"/>
                <w:sz w:val="8"/>
                <w:szCs w:val="8"/>
                <w:color w:val="auto"/>
              </w:rPr>
              <w:t>12/19/2014</w:t>
            </w:r>
          </w:p>
        </w:tc>
        <w:tc>
          <w:tcPr>
            <w:tcW w:w="720" w:type="dxa"/>
            <w:vAlign w:val="bottom"/>
            <w:tcBorders>
              <w:bottom w:val="single" w:sz="8" w:color="DBEEF4"/>
            </w:tcBorders>
            <w:shd w:val="clear" w:color="auto" w:fill="DBEEF4"/>
          </w:tcPr>
          <w:p>
            <w:pPr>
              <w:spacing w:after="0"/>
              <w:rPr>
                <w:sz w:val="11"/>
                <w:szCs w:val="11"/>
                <w:color w:val="auto"/>
              </w:rPr>
            </w:pPr>
          </w:p>
        </w:tc>
        <w:tc>
          <w:tcPr>
            <w:tcW w:w="700" w:type="dxa"/>
            <w:vAlign w:val="bottom"/>
            <w:tcBorders>
              <w:bottom w:val="single" w:sz="8" w:color="DBEEF4"/>
            </w:tcBorders>
            <w:shd w:val="clear" w:color="auto" w:fill="DBEEF4"/>
          </w:tcPr>
          <w:p>
            <w:pPr>
              <w:spacing w:after="0"/>
              <w:rPr>
                <w:sz w:val="11"/>
                <w:szCs w:val="11"/>
                <w:color w:val="auto"/>
              </w:rPr>
            </w:pPr>
          </w:p>
        </w:tc>
        <w:tc>
          <w:tcPr>
            <w:tcW w:w="160" w:type="dxa"/>
            <w:vAlign w:val="bottom"/>
            <w:tcBorders>
              <w:bottom w:val="single" w:sz="8" w:color="auto"/>
            </w:tcBorders>
            <w:shd w:val="clear" w:color="auto" w:fill="DBEEF4"/>
          </w:tcPr>
          <w:p>
            <w:pPr>
              <w:spacing w:after="0"/>
              <w:rPr>
                <w:sz w:val="11"/>
                <w:szCs w:val="11"/>
                <w:color w:val="auto"/>
              </w:rPr>
            </w:pPr>
          </w:p>
        </w:tc>
        <w:tc>
          <w:tcPr>
            <w:tcW w:w="4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342</w:t>
            </w:r>
          </w:p>
        </w:tc>
        <w:tc>
          <w:tcPr>
            <w:tcW w:w="200" w:type="dxa"/>
            <w:vAlign w:val="bottom"/>
            <w:tcBorders>
              <w:bottom w:val="single" w:sz="8" w:color="DBEEF4"/>
            </w:tcBorders>
            <w:shd w:val="clear" w:color="auto" w:fill="DBEEF4"/>
          </w:tcPr>
          <w:p>
            <w:pPr>
              <w:spacing w:after="0"/>
              <w:rPr>
                <w:sz w:val="11"/>
                <w:szCs w:val="11"/>
                <w:color w:val="auto"/>
              </w:rPr>
            </w:pPr>
          </w:p>
        </w:tc>
        <w:tc>
          <w:tcPr>
            <w:tcW w:w="140" w:type="dxa"/>
            <w:vAlign w:val="bottom"/>
            <w:tcBorders>
              <w:bottom w:val="single" w:sz="8" w:color="auto"/>
            </w:tcBorders>
            <w:shd w:val="clear" w:color="auto" w:fill="DBEEF4"/>
          </w:tcPr>
          <w:p>
            <w:pPr>
              <w:spacing w:after="0"/>
              <w:rPr>
                <w:sz w:val="11"/>
                <w:szCs w:val="11"/>
                <w:color w:val="auto"/>
              </w:rPr>
            </w:pPr>
          </w:p>
        </w:tc>
        <w:tc>
          <w:tcPr>
            <w:tcW w:w="36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521</w:t>
            </w:r>
          </w:p>
        </w:tc>
        <w:tc>
          <w:tcPr>
            <w:tcW w:w="720" w:type="dxa"/>
            <w:vAlign w:val="bottom"/>
            <w:tcBorders>
              <w:bottom w:val="single" w:sz="8" w:color="DBEEF4"/>
            </w:tcBorders>
            <w:shd w:val="clear" w:color="auto" w:fill="DBEEF4"/>
          </w:tcPr>
          <w:p>
            <w:pPr>
              <w:spacing w:after="0"/>
              <w:rPr>
                <w:sz w:val="11"/>
                <w:szCs w:val="11"/>
                <w:color w:val="auto"/>
              </w:rPr>
            </w:pPr>
          </w:p>
        </w:tc>
      </w:tr>
      <w:tr>
        <w:trPr>
          <w:trHeight w:val="113"/>
        </w:trPr>
        <w:tc>
          <w:tcPr>
            <w:tcW w:w="3000" w:type="dxa"/>
            <w:vAlign w:val="bottom"/>
          </w:tcPr>
          <w:p>
            <w:pPr>
              <w:spacing w:after="0"/>
              <w:rPr>
                <w:sz w:val="9"/>
                <w:szCs w:val="9"/>
                <w:color w:val="auto"/>
              </w:rPr>
            </w:pPr>
          </w:p>
        </w:tc>
        <w:tc>
          <w:tcPr>
            <w:tcW w:w="3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8"/>
                <w:szCs w:val="8"/>
                <w:color w:val="auto"/>
              </w:rPr>
              <w:t>12,340</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12,521</w:t>
            </w:r>
          </w:p>
        </w:tc>
        <w:tc>
          <w:tcPr>
            <w:tcW w:w="720" w:type="dxa"/>
            <w:vAlign w:val="bottom"/>
          </w:tcPr>
          <w:p>
            <w:pPr>
              <w:jc w:val="right"/>
              <w:spacing w:after="0"/>
              <w:rPr>
                <w:sz w:val="20"/>
                <w:szCs w:val="20"/>
                <w:color w:val="auto"/>
              </w:rPr>
            </w:pPr>
            <w:r>
              <w:rPr>
                <w:rFonts w:ascii="Arial" w:cs="Arial" w:eastAsia="Arial" w:hAnsi="Arial"/>
                <w:sz w:val="8"/>
                <w:szCs w:val="8"/>
                <w:color w:val="auto"/>
              </w:rPr>
              <w:t>3 %</w:t>
            </w:r>
          </w:p>
        </w:tc>
      </w:tr>
      <w:tr>
        <w:trPr>
          <w:trHeight w:val="134"/>
        </w:trPr>
        <w:tc>
          <w:tcPr>
            <w:tcW w:w="3000" w:type="dxa"/>
            <w:vAlign w:val="bottom"/>
            <w:shd w:val="clear" w:color="auto" w:fill="DBEEF4"/>
          </w:tcPr>
          <w:p>
            <w:pPr>
              <w:ind w:left="20"/>
              <w:spacing w:after="0"/>
              <w:rPr>
                <w:sz w:val="20"/>
                <w:szCs w:val="20"/>
                <w:color w:val="auto"/>
              </w:rPr>
            </w:pPr>
            <w:r>
              <w:rPr>
                <w:rFonts w:ascii="Arial" w:cs="Arial" w:eastAsia="Arial" w:hAnsi="Arial"/>
                <w:sz w:val="8"/>
                <w:szCs w:val="8"/>
                <w:i w:val="1"/>
                <w:iCs w:val="1"/>
                <w:color w:val="auto"/>
              </w:rPr>
              <w:t>Western's Smokehouse, LLC</w:t>
            </w:r>
          </w:p>
        </w:tc>
        <w:tc>
          <w:tcPr>
            <w:tcW w:w="3360" w:type="dxa"/>
            <w:vAlign w:val="bottom"/>
            <w:shd w:val="clear" w:color="auto" w:fill="DBEEF4"/>
          </w:tcPr>
          <w:p>
            <w:pPr>
              <w:ind w:left="720"/>
              <w:spacing w:after="0"/>
              <w:rPr>
                <w:sz w:val="20"/>
                <w:szCs w:val="20"/>
                <w:color w:val="auto"/>
              </w:rPr>
            </w:pPr>
            <w:r>
              <w:rPr>
                <w:rFonts w:ascii="Arial" w:cs="Arial" w:eastAsia="Arial" w:hAnsi="Arial"/>
                <w:sz w:val="8"/>
                <w:szCs w:val="8"/>
                <w:color w:val="auto"/>
              </w:rPr>
              <w:t>Consumer Products</w:t>
            </w:r>
          </w:p>
        </w:tc>
        <w:tc>
          <w:tcPr>
            <w:tcW w:w="84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60" w:type="dxa"/>
            <w:vAlign w:val="bottom"/>
            <w:shd w:val="clear" w:color="auto" w:fill="DBEEF4"/>
          </w:tcPr>
          <w:p>
            <w:pPr>
              <w:spacing w:after="0"/>
              <w:rPr>
                <w:sz w:val="11"/>
                <w:szCs w:val="11"/>
                <w:color w:val="auto"/>
              </w:rPr>
            </w:pPr>
          </w:p>
        </w:tc>
        <w:tc>
          <w:tcPr>
            <w:tcW w:w="40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36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r>
      <w:tr>
        <w:trPr>
          <w:trHeight w:val="120"/>
        </w:trPr>
        <w:tc>
          <w:tcPr>
            <w:tcW w:w="3000" w:type="dxa"/>
            <w:vAlign w:val="bottom"/>
          </w:tcPr>
          <w:p>
            <w:pPr>
              <w:ind w:left="100"/>
              <w:spacing w:after="0"/>
              <w:rPr>
                <w:sz w:val="20"/>
                <w:szCs w:val="20"/>
                <w:color w:val="auto"/>
              </w:rPr>
            </w:pPr>
            <w:r>
              <w:rPr>
                <w:rFonts w:ascii="Arial" w:cs="Arial" w:eastAsia="Arial" w:hAnsi="Arial"/>
                <w:sz w:val="8"/>
                <w:szCs w:val="8"/>
                <w:color w:val="auto"/>
              </w:rPr>
              <w:t>First Lien Debt (j)(ab)</w:t>
            </w:r>
          </w:p>
        </w:tc>
        <w:tc>
          <w:tcPr>
            <w:tcW w:w="3360" w:type="dxa"/>
            <w:vAlign w:val="bottom"/>
          </w:tcPr>
          <w:p>
            <w:pPr>
              <w:ind w:left="2380"/>
              <w:spacing w:after="0"/>
              <w:rPr>
                <w:sz w:val="20"/>
                <w:szCs w:val="20"/>
                <w:color w:val="auto"/>
              </w:rPr>
            </w:pPr>
            <w:r>
              <w:rPr>
                <w:rFonts w:ascii="Arial" w:cs="Arial" w:eastAsia="Arial" w:hAnsi="Arial"/>
                <w:sz w:val="8"/>
                <w:szCs w:val="8"/>
                <w:color w:val="auto"/>
              </w:rPr>
              <w:t>(L + 6.50%) / (1.25%)</w:t>
            </w:r>
          </w:p>
        </w:tc>
        <w:tc>
          <w:tcPr>
            <w:tcW w:w="840" w:type="dxa"/>
            <w:vAlign w:val="bottom"/>
          </w:tcPr>
          <w:p>
            <w:pPr>
              <w:ind w:left="200"/>
              <w:spacing w:after="0"/>
              <w:rPr>
                <w:sz w:val="20"/>
                <w:szCs w:val="20"/>
                <w:color w:val="auto"/>
              </w:rPr>
            </w:pPr>
            <w:r>
              <w:rPr>
                <w:rFonts w:ascii="Arial" w:cs="Arial" w:eastAsia="Arial" w:hAnsi="Arial"/>
                <w:sz w:val="8"/>
                <w:szCs w:val="8"/>
                <w:color w:val="auto"/>
              </w:rPr>
              <w:t>7.75%/0.00%</w:t>
            </w:r>
          </w:p>
        </w:tc>
        <w:tc>
          <w:tcPr>
            <w:tcW w:w="640" w:type="dxa"/>
            <w:vAlign w:val="bottom"/>
          </w:tcPr>
          <w:p>
            <w:pPr>
              <w:ind w:left="120"/>
              <w:spacing w:after="0"/>
              <w:rPr>
                <w:sz w:val="20"/>
                <w:szCs w:val="20"/>
                <w:color w:val="auto"/>
              </w:rPr>
            </w:pPr>
            <w:r>
              <w:rPr>
                <w:rFonts w:ascii="Arial" w:cs="Arial" w:eastAsia="Arial" w:hAnsi="Arial"/>
                <w:sz w:val="8"/>
                <w:szCs w:val="8"/>
                <w:color w:val="auto"/>
              </w:rPr>
              <w:t>2/28/2020</w:t>
            </w:r>
          </w:p>
        </w:tc>
        <w:tc>
          <w:tcPr>
            <w:tcW w:w="720" w:type="dxa"/>
            <w:vAlign w:val="bottom"/>
          </w:tcPr>
          <w:p>
            <w:pPr>
              <w:ind w:left="120"/>
              <w:spacing w:after="0"/>
              <w:rPr>
                <w:sz w:val="20"/>
                <w:szCs w:val="20"/>
                <w:color w:val="auto"/>
              </w:rPr>
            </w:pPr>
            <w:r>
              <w:rPr>
                <w:rFonts w:ascii="Arial" w:cs="Arial" w:eastAsia="Arial" w:hAnsi="Arial"/>
                <w:sz w:val="8"/>
                <w:szCs w:val="8"/>
                <w:color w:val="auto"/>
              </w:rPr>
              <w:t>12/23/2024</w:t>
            </w:r>
          </w:p>
        </w:tc>
        <w:tc>
          <w:tcPr>
            <w:tcW w:w="700" w:type="dxa"/>
            <w:vAlign w:val="bottom"/>
          </w:tcPr>
          <w:p>
            <w:pPr>
              <w:jc w:val="right"/>
              <w:ind w:right="198"/>
              <w:spacing w:after="0"/>
              <w:rPr>
                <w:sz w:val="20"/>
                <w:szCs w:val="20"/>
                <w:color w:val="auto"/>
              </w:rPr>
            </w:pPr>
            <w:r>
              <w:rPr>
                <w:rFonts w:ascii="Arial" w:cs="Arial" w:eastAsia="Arial" w:hAnsi="Arial"/>
                <w:sz w:val="8"/>
                <w:szCs w:val="8"/>
                <w:color w:val="auto"/>
              </w:rPr>
              <w:t>10,000</w:t>
            </w:r>
          </w:p>
        </w:tc>
        <w:tc>
          <w:tcPr>
            <w:tcW w:w="1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8"/>
                <w:szCs w:val="8"/>
                <w:color w:val="auto"/>
              </w:rPr>
              <w:t>9,876</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10,000</w:t>
            </w:r>
          </w:p>
        </w:tc>
        <w:tc>
          <w:tcPr>
            <w:tcW w:w="720" w:type="dxa"/>
            <w:vAlign w:val="bottom"/>
          </w:tcPr>
          <w:p>
            <w:pPr>
              <w:jc w:val="right"/>
              <w:spacing w:after="0"/>
              <w:rPr>
                <w:sz w:val="20"/>
                <w:szCs w:val="20"/>
                <w:color w:val="auto"/>
              </w:rPr>
            </w:pPr>
            <w:r>
              <w:rPr>
                <w:rFonts w:ascii="Arial" w:cs="Arial" w:eastAsia="Arial" w:hAnsi="Arial"/>
                <w:sz w:val="8"/>
                <w:szCs w:val="8"/>
                <w:color w:val="auto"/>
              </w:rPr>
              <w:t>2 %</w:t>
            </w:r>
          </w:p>
        </w:tc>
      </w:tr>
      <w:tr>
        <w:trPr>
          <w:trHeight w:val="134"/>
        </w:trPr>
        <w:tc>
          <w:tcPr>
            <w:tcW w:w="3000" w:type="dxa"/>
            <w:vAlign w:val="bottom"/>
            <w:shd w:val="clear" w:color="auto" w:fill="DBEEF4"/>
          </w:tcPr>
          <w:p>
            <w:pPr>
              <w:spacing w:after="0"/>
              <w:rPr>
                <w:sz w:val="11"/>
                <w:szCs w:val="11"/>
                <w:color w:val="auto"/>
              </w:rPr>
            </w:pPr>
          </w:p>
        </w:tc>
        <w:tc>
          <w:tcPr>
            <w:tcW w:w="3360" w:type="dxa"/>
            <w:vAlign w:val="bottom"/>
            <w:shd w:val="clear" w:color="auto" w:fill="DBEEF4"/>
          </w:tcPr>
          <w:p>
            <w:pPr>
              <w:spacing w:after="0"/>
              <w:rPr>
                <w:sz w:val="11"/>
                <w:szCs w:val="11"/>
                <w:color w:val="auto"/>
              </w:rPr>
            </w:pPr>
          </w:p>
        </w:tc>
        <w:tc>
          <w:tcPr>
            <w:tcW w:w="840" w:type="dxa"/>
            <w:vAlign w:val="bottom"/>
            <w:shd w:val="clear" w:color="auto" w:fill="DBEEF4"/>
          </w:tcPr>
          <w:p>
            <w:pPr>
              <w:spacing w:after="0"/>
              <w:rPr>
                <w:sz w:val="11"/>
                <w:szCs w:val="11"/>
                <w:color w:val="auto"/>
              </w:rPr>
            </w:pPr>
          </w:p>
        </w:tc>
        <w:tc>
          <w:tcPr>
            <w:tcW w:w="64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c>
          <w:tcPr>
            <w:tcW w:w="700" w:type="dxa"/>
            <w:vAlign w:val="bottom"/>
            <w:shd w:val="clear" w:color="auto" w:fill="DBEEF4"/>
          </w:tcPr>
          <w:p>
            <w:pPr>
              <w:spacing w:after="0"/>
              <w:rPr>
                <w:sz w:val="11"/>
                <w:szCs w:val="11"/>
                <w:color w:val="auto"/>
              </w:rPr>
            </w:pPr>
          </w:p>
        </w:tc>
        <w:tc>
          <w:tcPr>
            <w:tcW w:w="160" w:type="dxa"/>
            <w:vAlign w:val="bottom"/>
            <w:shd w:val="clear" w:color="auto" w:fill="DBEEF4"/>
          </w:tcPr>
          <w:p>
            <w:pPr>
              <w:spacing w:after="0"/>
              <w:rPr>
                <w:sz w:val="11"/>
                <w:szCs w:val="11"/>
                <w:color w:val="auto"/>
              </w:rPr>
            </w:pPr>
          </w:p>
        </w:tc>
        <w:tc>
          <w:tcPr>
            <w:tcW w:w="400" w:type="dxa"/>
            <w:vAlign w:val="bottom"/>
            <w:shd w:val="clear" w:color="auto" w:fill="DBEEF4"/>
          </w:tcPr>
          <w:p>
            <w:pPr>
              <w:spacing w:after="0"/>
              <w:rPr>
                <w:sz w:val="11"/>
                <w:szCs w:val="11"/>
                <w:color w:val="auto"/>
              </w:rPr>
            </w:pPr>
          </w:p>
        </w:tc>
        <w:tc>
          <w:tcPr>
            <w:tcW w:w="2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360" w:type="dxa"/>
            <w:vAlign w:val="bottom"/>
            <w:shd w:val="clear" w:color="auto" w:fill="DBEEF4"/>
          </w:tcPr>
          <w:p>
            <w:pPr>
              <w:spacing w:after="0"/>
              <w:rPr>
                <w:sz w:val="11"/>
                <w:szCs w:val="11"/>
                <w:color w:val="auto"/>
              </w:rPr>
            </w:pPr>
          </w:p>
        </w:tc>
        <w:tc>
          <w:tcPr>
            <w:tcW w:w="720" w:type="dxa"/>
            <w:vAlign w:val="bottom"/>
            <w:shd w:val="clear" w:color="auto" w:fill="DBEEF4"/>
          </w:tcPr>
          <w:p>
            <w:pPr>
              <w:spacing w:after="0"/>
              <w:rPr>
                <w:sz w:val="11"/>
                <w:szCs w:val="11"/>
                <w:color w:val="auto"/>
              </w:rPr>
            </w:pPr>
          </w:p>
        </w:tc>
      </w:tr>
      <w:tr>
        <w:trPr>
          <w:trHeight w:val="120"/>
        </w:trPr>
        <w:tc>
          <w:tcPr>
            <w:tcW w:w="3000" w:type="dxa"/>
            <w:vAlign w:val="bottom"/>
          </w:tcPr>
          <w:p>
            <w:pPr>
              <w:ind w:left="20"/>
              <w:spacing w:after="0"/>
              <w:rPr>
                <w:sz w:val="20"/>
                <w:szCs w:val="20"/>
                <w:color w:val="auto"/>
              </w:rPr>
            </w:pPr>
            <w:r>
              <w:rPr>
                <w:rFonts w:ascii="Arial" w:cs="Arial" w:eastAsia="Arial" w:hAnsi="Arial"/>
                <w:sz w:val="8"/>
                <w:szCs w:val="8"/>
                <w:i w:val="1"/>
                <w:iCs w:val="1"/>
                <w:color w:val="auto"/>
              </w:rPr>
              <w:t>Wheel Pros, Inc.</w:t>
            </w:r>
          </w:p>
        </w:tc>
        <w:tc>
          <w:tcPr>
            <w:tcW w:w="3360" w:type="dxa"/>
            <w:vAlign w:val="bottom"/>
          </w:tcPr>
          <w:p>
            <w:pPr>
              <w:ind w:left="720"/>
              <w:spacing w:after="0"/>
              <w:rPr>
                <w:sz w:val="20"/>
                <w:szCs w:val="20"/>
                <w:color w:val="auto"/>
              </w:rPr>
            </w:pPr>
            <w:r>
              <w:rPr>
                <w:rFonts w:ascii="Arial" w:cs="Arial" w:eastAsia="Arial" w:hAnsi="Arial"/>
                <w:sz w:val="8"/>
                <w:szCs w:val="8"/>
                <w:color w:val="auto"/>
              </w:rPr>
              <w:t>Specialty Distribution</w:t>
            </w:r>
          </w:p>
        </w:tc>
        <w:tc>
          <w:tcPr>
            <w:tcW w:w="8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34"/>
        </w:trPr>
        <w:tc>
          <w:tcPr>
            <w:tcW w:w="3000" w:type="dxa"/>
            <w:vAlign w:val="bottom"/>
            <w:shd w:val="clear" w:color="auto" w:fill="DBEEF4"/>
          </w:tcPr>
          <w:p>
            <w:pPr>
              <w:ind w:left="100"/>
              <w:spacing w:after="0"/>
              <w:rPr>
                <w:sz w:val="20"/>
                <w:szCs w:val="20"/>
                <w:color w:val="auto"/>
              </w:rPr>
            </w:pPr>
            <w:r>
              <w:rPr>
                <w:rFonts w:ascii="Arial" w:cs="Arial" w:eastAsia="Arial" w:hAnsi="Arial"/>
                <w:sz w:val="8"/>
                <w:szCs w:val="8"/>
                <w:color w:val="auto"/>
              </w:rPr>
              <w:t>Second Lien Debt (j)</w:t>
            </w:r>
          </w:p>
        </w:tc>
        <w:tc>
          <w:tcPr>
            <w:tcW w:w="3360" w:type="dxa"/>
            <w:vAlign w:val="bottom"/>
            <w:shd w:val="clear" w:color="auto" w:fill="DBEEF4"/>
          </w:tcPr>
          <w:p>
            <w:pPr>
              <w:ind w:left="2380"/>
              <w:spacing w:after="0"/>
              <w:rPr>
                <w:sz w:val="20"/>
                <w:szCs w:val="20"/>
                <w:color w:val="auto"/>
              </w:rPr>
            </w:pPr>
            <w:r>
              <w:rPr>
                <w:rFonts w:ascii="Arial" w:cs="Arial" w:eastAsia="Arial" w:hAnsi="Arial"/>
                <w:sz w:val="8"/>
                <w:szCs w:val="8"/>
                <w:color w:val="auto"/>
              </w:rPr>
              <w:t>(L + 9.00%) / (1.00%)</w:t>
            </w:r>
          </w:p>
        </w:tc>
        <w:tc>
          <w:tcPr>
            <w:tcW w:w="840" w:type="dxa"/>
            <w:vAlign w:val="bottom"/>
            <w:shd w:val="clear" w:color="auto" w:fill="DBEEF4"/>
          </w:tcPr>
          <w:p>
            <w:pPr>
              <w:ind w:left="200"/>
              <w:spacing w:after="0"/>
              <w:rPr>
                <w:sz w:val="20"/>
                <w:szCs w:val="20"/>
                <w:color w:val="auto"/>
              </w:rPr>
            </w:pPr>
            <w:r>
              <w:rPr>
                <w:rFonts w:ascii="Arial" w:cs="Arial" w:eastAsia="Arial" w:hAnsi="Arial"/>
                <w:sz w:val="8"/>
                <w:szCs w:val="8"/>
                <w:color w:val="auto"/>
              </w:rPr>
              <w:t>10.00%/0.00%</w:t>
            </w:r>
          </w:p>
        </w:tc>
        <w:tc>
          <w:tcPr>
            <w:tcW w:w="640" w:type="dxa"/>
            <w:vAlign w:val="bottom"/>
            <w:shd w:val="clear" w:color="auto" w:fill="DBEEF4"/>
          </w:tcPr>
          <w:p>
            <w:pPr>
              <w:ind w:left="120"/>
              <w:spacing w:after="0"/>
              <w:rPr>
                <w:sz w:val="20"/>
                <w:szCs w:val="20"/>
                <w:color w:val="auto"/>
              </w:rPr>
            </w:pPr>
            <w:r>
              <w:rPr>
                <w:rFonts w:ascii="Arial" w:cs="Arial" w:eastAsia="Arial" w:hAnsi="Arial"/>
                <w:sz w:val="8"/>
                <w:szCs w:val="8"/>
                <w:color w:val="auto"/>
              </w:rPr>
              <w:t>11/10/2020</w:t>
            </w:r>
          </w:p>
        </w:tc>
        <w:tc>
          <w:tcPr>
            <w:tcW w:w="720" w:type="dxa"/>
            <w:vAlign w:val="bottom"/>
            <w:shd w:val="clear" w:color="auto" w:fill="DBEEF4"/>
          </w:tcPr>
          <w:p>
            <w:pPr>
              <w:ind w:left="120"/>
              <w:spacing w:after="0"/>
              <w:rPr>
                <w:sz w:val="20"/>
                <w:szCs w:val="20"/>
                <w:color w:val="auto"/>
              </w:rPr>
            </w:pPr>
            <w:r>
              <w:rPr>
                <w:rFonts w:ascii="Arial" w:cs="Arial" w:eastAsia="Arial" w:hAnsi="Arial"/>
                <w:sz w:val="8"/>
                <w:szCs w:val="8"/>
                <w:color w:val="auto"/>
              </w:rPr>
              <w:t>11/10/2028</w:t>
            </w:r>
          </w:p>
        </w:tc>
        <w:tc>
          <w:tcPr>
            <w:tcW w:w="700" w:type="dxa"/>
            <w:vAlign w:val="bottom"/>
            <w:shd w:val="clear" w:color="auto" w:fill="DBEEF4"/>
          </w:tcPr>
          <w:p>
            <w:pPr>
              <w:jc w:val="right"/>
              <w:ind w:right="198"/>
              <w:spacing w:after="0"/>
              <w:rPr>
                <w:sz w:val="20"/>
                <w:szCs w:val="20"/>
                <w:color w:val="auto"/>
              </w:rPr>
            </w:pPr>
            <w:r>
              <w:rPr>
                <w:rFonts w:ascii="Arial" w:cs="Arial" w:eastAsia="Arial" w:hAnsi="Arial"/>
                <w:sz w:val="8"/>
                <w:szCs w:val="8"/>
                <w:color w:val="auto"/>
              </w:rPr>
              <w:t>20,000</w:t>
            </w:r>
          </w:p>
        </w:tc>
        <w:tc>
          <w:tcPr>
            <w:tcW w:w="160" w:type="dxa"/>
            <w:vAlign w:val="bottom"/>
            <w:shd w:val="clear" w:color="auto" w:fill="DBEEF4"/>
          </w:tcPr>
          <w:p>
            <w:pPr>
              <w:spacing w:after="0"/>
              <w:rPr>
                <w:sz w:val="11"/>
                <w:szCs w:val="11"/>
                <w:color w:val="auto"/>
              </w:rPr>
            </w:pPr>
          </w:p>
        </w:tc>
        <w:tc>
          <w:tcPr>
            <w:tcW w:w="400" w:type="dxa"/>
            <w:vAlign w:val="bottom"/>
            <w:shd w:val="clear" w:color="auto" w:fill="DBEEF4"/>
          </w:tcPr>
          <w:p>
            <w:pPr>
              <w:jc w:val="right"/>
              <w:spacing w:after="0"/>
              <w:rPr>
                <w:sz w:val="20"/>
                <w:szCs w:val="20"/>
                <w:color w:val="auto"/>
              </w:rPr>
            </w:pPr>
            <w:r>
              <w:rPr>
                <w:rFonts w:ascii="Arial" w:cs="Arial" w:eastAsia="Arial" w:hAnsi="Arial"/>
                <w:sz w:val="8"/>
                <w:szCs w:val="8"/>
                <w:color w:val="auto"/>
              </w:rPr>
              <w:t>19,411</w:t>
            </w:r>
          </w:p>
        </w:tc>
        <w:tc>
          <w:tcPr>
            <w:tcW w:w="2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360" w:type="dxa"/>
            <w:vAlign w:val="bottom"/>
            <w:shd w:val="clear" w:color="auto" w:fill="DBEEF4"/>
          </w:tcPr>
          <w:p>
            <w:pPr>
              <w:jc w:val="right"/>
              <w:spacing w:after="0"/>
              <w:rPr>
                <w:sz w:val="20"/>
                <w:szCs w:val="20"/>
                <w:color w:val="auto"/>
              </w:rPr>
            </w:pPr>
            <w:r>
              <w:rPr>
                <w:rFonts w:ascii="Arial" w:cs="Arial" w:eastAsia="Arial" w:hAnsi="Arial"/>
                <w:sz w:val="8"/>
                <w:szCs w:val="8"/>
                <w:color w:val="auto"/>
              </w:rPr>
              <w:t>19,411</w:t>
            </w:r>
          </w:p>
        </w:tc>
        <w:tc>
          <w:tcPr>
            <w:tcW w:w="720" w:type="dxa"/>
            <w:vAlign w:val="bottom"/>
            <w:shd w:val="clear" w:color="auto" w:fill="DBEEF4"/>
          </w:tcPr>
          <w:p>
            <w:pPr>
              <w:spacing w:after="0"/>
              <w:rPr>
                <w:sz w:val="11"/>
                <w:szCs w:val="11"/>
                <w:color w:val="auto"/>
              </w:rPr>
            </w:pPr>
          </w:p>
        </w:tc>
      </w:tr>
      <w:tr>
        <w:trPr>
          <w:trHeight w:val="126"/>
        </w:trPr>
        <w:tc>
          <w:tcPr>
            <w:tcW w:w="3000" w:type="dxa"/>
            <w:vAlign w:val="bottom"/>
          </w:tcPr>
          <w:p>
            <w:pPr>
              <w:ind w:left="100"/>
              <w:spacing w:after="0"/>
              <w:rPr>
                <w:sz w:val="20"/>
                <w:szCs w:val="20"/>
                <w:color w:val="auto"/>
              </w:rPr>
            </w:pPr>
            <w:r>
              <w:rPr>
                <w:rFonts w:ascii="Arial" w:cs="Arial" w:eastAsia="Arial" w:hAnsi="Arial"/>
                <w:sz w:val="8"/>
                <w:szCs w:val="8"/>
                <w:color w:val="auto"/>
              </w:rPr>
              <w:t>Preferred Equity (347,222 units) (j)</w:t>
            </w:r>
          </w:p>
        </w:tc>
        <w:tc>
          <w:tcPr>
            <w:tcW w:w="3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8"/>
                <w:szCs w:val="8"/>
                <w:color w:val="auto"/>
              </w:rPr>
              <w:t>5/15/2019</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301</w:t>
            </w: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1,031</w:t>
            </w:r>
          </w:p>
        </w:tc>
        <w:tc>
          <w:tcPr>
            <w:tcW w:w="720" w:type="dxa"/>
            <w:vAlign w:val="bottom"/>
          </w:tcPr>
          <w:p>
            <w:pPr>
              <w:spacing w:after="0"/>
              <w:rPr>
                <w:sz w:val="10"/>
                <w:szCs w:val="10"/>
                <w:color w:val="auto"/>
              </w:rPr>
            </w:pPr>
          </w:p>
        </w:tc>
      </w:tr>
      <w:tr>
        <w:trPr>
          <w:trHeight w:val="120"/>
        </w:trPr>
        <w:tc>
          <w:tcPr>
            <w:tcW w:w="3000" w:type="dxa"/>
            <w:vAlign w:val="bottom"/>
            <w:shd w:val="clear" w:color="auto" w:fill="DBEEF4"/>
          </w:tcPr>
          <w:p>
            <w:pPr>
              <w:spacing w:after="0"/>
              <w:rPr>
                <w:sz w:val="10"/>
                <w:szCs w:val="10"/>
                <w:color w:val="auto"/>
              </w:rPr>
            </w:pPr>
          </w:p>
        </w:tc>
        <w:tc>
          <w:tcPr>
            <w:tcW w:w="3360" w:type="dxa"/>
            <w:vAlign w:val="bottom"/>
            <w:shd w:val="clear" w:color="auto" w:fill="DBEEF4"/>
          </w:tcPr>
          <w:p>
            <w:pPr>
              <w:spacing w:after="0"/>
              <w:rPr>
                <w:sz w:val="10"/>
                <w:szCs w:val="10"/>
                <w:color w:val="auto"/>
              </w:rPr>
            </w:pPr>
          </w:p>
        </w:tc>
        <w:tc>
          <w:tcPr>
            <w:tcW w:w="840" w:type="dxa"/>
            <w:vAlign w:val="bottom"/>
            <w:shd w:val="clear" w:color="auto" w:fill="DBEEF4"/>
          </w:tcPr>
          <w:p>
            <w:pPr>
              <w:spacing w:after="0"/>
              <w:rPr>
                <w:sz w:val="10"/>
                <w:szCs w:val="10"/>
                <w:color w:val="auto"/>
              </w:rPr>
            </w:pPr>
          </w:p>
        </w:tc>
        <w:tc>
          <w:tcPr>
            <w:tcW w:w="640" w:type="dxa"/>
            <w:vAlign w:val="bottom"/>
            <w:shd w:val="clear" w:color="auto" w:fill="DBEEF4"/>
          </w:tcPr>
          <w:p>
            <w:pPr>
              <w:spacing w:after="0"/>
              <w:rPr>
                <w:sz w:val="10"/>
                <w:szCs w:val="10"/>
                <w:color w:val="auto"/>
              </w:rPr>
            </w:pPr>
          </w:p>
        </w:tc>
        <w:tc>
          <w:tcPr>
            <w:tcW w:w="720" w:type="dxa"/>
            <w:vAlign w:val="bottom"/>
            <w:shd w:val="clear" w:color="auto" w:fill="DBEEF4"/>
          </w:tcPr>
          <w:p>
            <w:pPr>
              <w:spacing w:after="0"/>
              <w:rPr>
                <w:sz w:val="10"/>
                <w:szCs w:val="10"/>
                <w:color w:val="auto"/>
              </w:rPr>
            </w:pPr>
          </w:p>
        </w:tc>
        <w:tc>
          <w:tcPr>
            <w:tcW w:w="700" w:type="dxa"/>
            <w:vAlign w:val="bottom"/>
            <w:shd w:val="clear" w:color="auto" w:fill="DBEEF4"/>
          </w:tcPr>
          <w:p>
            <w:pPr>
              <w:spacing w:after="0"/>
              <w:rPr>
                <w:sz w:val="10"/>
                <w:szCs w:val="10"/>
                <w:color w:val="auto"/>
              </w:rPr>
            </w:pPr>
          </w:p>
        </w:tc>
        <w:tc>
          <w:tcPr>
            <w:tcW w:w="160" w:type="dxa"/>
            <w:vAlign w:val="bottom"/>
            <w:shd w:val="clear" w:color="auto" w:fill="DBEEF4"/>
          </w:tcPr>
          <w:p>
            <w:pPr>
              <w:spacing w:after="0"/>
              <w:rPr>
                <w:sz w:val="10"/>
                <w:szCs w:val="10"/>
                <w:color w:val="auto"/>
              </w:rPr>
            </w:pPr>
          </w:p>
        </w:tc>
        <w:tc>
          <w:tcPr>
            <w:tcW w:w="400" w:type="dxa"/>
            <w:vAlign w:val="bottom"/>
            <w:shd w:val="clear" w:color="auto" w:fill="DBEEF4"/>
          </w:tcPr>
          <w:p>
            <w:pPr>
              <w:jc w:val="right"/>
              <w:spacing w:after="0"/>
              <w:rPr>
                <w:sz w:val="20"/>
                <w:szCs w:val="20"/>
                <w:color w:val="auto"/>
              </w:rPr>
            </w:pPr>
            <w:r>
              <w:rPr>
                <w:rFonts w:ascii="Arial" w:cs="Arial" w:eastAsia="Arial" w:hAnsi="Arial"/>
                <w:sz w:val="8"/>
                <w:szCs w:val="8"/>
                <w:color w:val="auto"/>
              </w:rPr>
              <w:t>19,712</w:t>
            </w:r>
          </w:p>
        </w:tc>
        <w:tc>
          <w:tcPr>
            <w:tcW w:w="200" w:type="dxa"/>
            <w:vAlign w:val="bottom"/>
            <w:shd w:val="clear" w:color="auto" w:fill="DBEEF4"/>
          </w:tcPr>
          <w:p>
            <w:pPr>
              <w:spacing w:after="0"/>
              <w:rPr>
                <w:sz w:val="10"/>
                <w:szCs w:val="10"/>
                <w:color w:val="auto"/>
              </w:rPr>
            </w:pPr>
          </w:p>
        </w:tc>
        <w:tc>
          <w:tcPr>
            <w:tcW w:w="140" w:type="dxa"/>
            <w:vAlign w:val="bottom"/>
            <w:shd w:val="clear" w:color="auto" w:fill="DBEEF4"/>
          </w:tcPr>
          <w:p>
            <w:pPr>
              <w:spacing w:after="0"/>
              <w:rPr>
                <w:sz w:val="10"/>
                <w:szCs w:val="10"/>
                <w:color w:val="auto"/>
              </w:rPr>
            </w:pPr>
          </w:p>
        </w:tc>
        <w:tc>
          <w:tcPr>
            <w:tcW w:w="360" w:type="dxa"/>
            <w:vAlign w:val="bottom"/>
            <w:shd w:val="clear" w:color="auto" w:fill="DBEEF4"/>
          </w:tcPr>
          <w:p>
            <w:pPr>
              <w:jc w:val="right"/>
              <w:spacing w:after="0"/>
              <w:rPr>
                <w:sz w:val="20"/>
                <w:szCs w:val="20"/>
                <w:color w:val="auto"/>
              </w:rPr>
            </w:pPr>
            <w:r>
              <w:rPr>
                <w:rFonts w:ascii="Arial" w:cs="Arial" w:eastAsia="Arial" w:hAnsi="Arial"/>
                <w:sz w:val="8"/>
                <w:szCs w:val="8"/>
                <w:color w:val="auto"/>
              </w:rPr>
              <w:t>20,442</w:t>
            </w:r>
          </w:p>
        </w:tc>
        <w:tc>
          <w:tcPr>
            <w:tcW w:w="720" w:type="dxa"/>
            <w:vAlign w:val="bottom"/>
            <w:shd w:val="clear" w:color="auto" w:fill="DBEEF4"/>
          </w:tcPr>
          <w:p>
            <w:pPr>
              <w:jc w:val="right"/>
              <w:spacing w:after="0"/>
              <w:rPr>
                <w:sz w:val="20"/>
                <w:szCs w:val="20"/>
                <w:color w:val="auto"/>
              </w:rPr>
            </w:pPr>
            <w:r>
              <w:rPr>
                <w:rFonts w:ascii="Arial" w:cs="Arial" w:eastAsia="Arial" w:hAnsi="Arial"/>
                <w:sz w:val="8"/>
                <w:szCs w:val="8"/>
                <w:color w:val="auto"/>
              </w:rPr>
              <w:t>5 %</w:t>
            </w:r>
          </w:p>
        </w:tc>
      </w:tr>
      <w:tr>
        <w:trPr>
          <w:trHeight w:val="120"/>
        </w:trPr>
        <w:tc>
          <w:tcPr>
            <w:tcW w:w="3000" w:type="dxa"/>
            <w:vAlign w:val="bottom"/>
          </w:tcPr>
          <w:p>
            <w:pPr>
              <w:ind w:left="20"/>
              <w:spacing w:after="0"/>
              <w:rPr>
                <w:sz w:val="20"/>
                <w:szCs w:val="20"/>
                <w:color w:val="auto"/>
              </w:rPr>
            </w:pPr>
            <w:r>
              <w:rPr>
                <w:rFonts w:ascii="Arial" w:cs="Arial" w:eastAsia="Arial" w:hAnsi="Arial"/>
                <w:sz w:val="8"/>
                <w:szCs w:val="8"/>
                <w:i w:val="1"/>
                <w:iCs w:val="1"/>
                <w:color w:val="auto"/>
              </w:rPr>
              <w:t>Worldwide Express Operations, LLC</w:t>
            </w:r>
          </w:p>
        </w:tc>
        <w:tc>
          <w:tcPr>
            <w:tcW w:w="3360" w:type="dxa"/>
            <w:vAlign w:val="bottom"/>
          </w:tcPr>
          <w:p>
            <w:pPr>
              <w:ind w:left="720"/>
              <w:spacing w:after="0"/>
              <w:rPr>
                <w:sz w:val="20"/>
                <w:szCs w:val="20"/>
                <w:color w:val="auto"/>
              </w:rPr>
            </w:pPr>
            <w:r>
              <w:rPr>
                <w:rFonts w:ascii="Arial" w:cs="Arial" w:eastAsia="Arial" w:hAnsi="Arial"/>
                <w:sz w:val="8"/>
                <w:szCs w:val="8"/>
                <w:color w:val="auto"/>
              </w:rPr>
              <w:t>Transportation services</w:t>
            </w:r>
          </w:p>
        </w:tc>
        <w:tc>
          <w:tcPr>
            <w:tcW w:w="8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34"/>
        </w:trPr>
        <w:tc>
          <w:tcPr>
            <w:tcW w:w="3000" w:type="dxa"/>
            <w:vAlign w:val="bottom"/>
            <w:shd w:val="clear" w:color="auto" w:fill="DBEEF4"/>
          </w:tcPr>
          <w:p>
            <w:pPr>
              <w:ind w:left="100"/>
              <w:spacing w:after="0"/>
              <w:rPr>
                <w:sz w:val="20"/>
                <w:szCs w:val="20"/>
                <w:color w:val="auto"/>
              </w:rPr>
            </w:pPr>
            <w:r>
              <w:rPr>
                <w:rFonts w:ascii="Arial" w:cs="Arial" w:eastAsia="Arial" w:hAnsi="Arial"/>
                <w:sz w:val="8"/>
                <w:szCs w:val="8"/>
                <w:color w:val="auto"/>
              </w:rPr>
              <w:t>Second Lien Debt (j)</w:t>
            </w:r>
          </w:p>
        </w:tc>
        <w:tc>
          <w:tcPr>
            <w:tcW w:w="3360" w:type="dxa"/>
            <w:vAlign w:val="bottom"/>
            <w:shd w:val="clear" w:color="auto" w:fill="DBEEF4"/>
          </w:tcPr>
          <w:p>
            <w:pPr>
              <w:ind w:left="2380"/>
              <w:spacing w:after="0"/>
              <w:rPr>
                <w:sz w:val="20"/>
                <w:szCs w:val="20"/>
                <w:color w:val="auto"/>
              </w:rPr>
            </w:pPr>
            <w:r>
              <w:rPr>
                <w:rFonts w:ascii="Arial" w:cs="Arial" w:eastAsia="Arial" w:hAnsi="Arial"/>
                <w:sz w:val="8"/>
                <w:szCs w:val="8"/>
                <w:color w:val="auto"/>
              </w:rPr>
              <w:t>(L + 8.00%) / (1.00%)</w:t>
            </w:r>
          </w:p>
        </w:tc>
        <w:tc>
          <w:tcPr>
            <w:tcW w:w="840" w:type="dxa"/>
            <w:vAlign w:val="bottom"/>
            <w:shd w:val="clear" w:color="auto" w:fill="DBEEF4"/>
          </w:tcPr>
          <w:p>
            <w:pPr>
              <w:ind w:left="200"/>
              <w:spacing w:after="0"/>
              <w:rPr>
                <w:sz w:val="20"/>
                <w:szCs w:val="20"/>
                <w:color w:val="auto"/>
              </w:rPr>
            </w:pPr>
            <w:r>
              <w:rPr>
                <w:rFonts w:ascii="Arial" w:cs="Arial" w:eastAsia="Arial" w:hAnsi="Arial"/>
                <w:sz w:val="8"/>
                <w:szCs w:val="8"/>
                <w:color w:val="auto"/>
              </w:rPr>
              <w:t>9.00%/0.00%</w:t>
            </w:r>
          </w:p>
        </w:tc>
        <w:tc>
          <w:tcPr>
            <w:tcW w:w="640" w:type="dxa"/>
            <w:vAlign w:val="bottom"/>
            <w:shd w:val="clear" w:color="auto" w:fill="DBEEF4"/>
          </w:tcPr>
          <w:p>
            <w:pPr>
              <w:ind w:left="120"/>
              <w:spacing w:after="0"/>
              <w:rPr>
                <w:sz w:val="20"/>
                <w:szCs w:val="20"/>
                <w:color w:val="auto"/>
              </w:rPr>
            </w:pPr>
            <w:r>
              <w:rPr>
                <w:rFonts w:ascii="Arial" w:cs="Arial" w:eastAsia="Arial" w:hAnsi="Arial"/>
                <w:sz w:val="8"/>
                <w:szCs w:val="8"/>
                <w:color w:val="auto"/>
              </w:rPr>
              <w:t>2/27/2017</w:t>
            </w:r>
          </w:p>
        </w:tc>
        <w:tc>
          <w:tcPr>
            <w:tcW w:w="720" w:type="dxa"/>
            <w:vAlign w:val="bottom"/>
            <w:shd w:val="clear" w:color="auto" w:fill="DBEEF4"/>
          </w:tcPr>
          <w:p>
            <w:pPr>
              <w:ind w:left="120"/>
              <w:spacing w:after="0"/>
              <w:rPr>
                <w:sz w:val="20"/>
                <w:szCs w:val="20"/>
                <w:color w:val="auto"/>
              </w:rPr>
            </w:pPr>
            <w:r>
              <w:rPr>
                <w:rFonts w:ascii="Arial" w:cs="Arial" w:eastAsia="Arial" w:hAnsi="Arial"/>
                <w:sz w:val="8"/>
                <w:szCs w:val="8"/>
                <w:color w:val="auto"/>
              </w:rPr>
              <w:t>2/3/2025</w:t>
            </w:r>
          </w:p>
        </w:tc>
        <w:tc>
          <w:tcPr>
            <w:tcW w:w="700" w:type="dxa"/>
            <w:vAlign w:val="bottom"/>
            <w:shd w:val="clear" w:color="auto" w:fill="DBEEF4"/>
          </w:tcPr>
          <w:p>
            <w:pPr>
              <w:jc w:val="right"/>
              <w:ind w:right="198"/>
              <w:spacing w:after="0"/>
              <w:rPr>
                <w:sz w:val="20"/>
                <w:szCs w:val="20"/>
                <w:color w:val="auto"/>
              </w:rPr>
            </w:pPr>
            <w:r>
              <w:rPr>
                <w:rFonts w:ascii="Arial" w:cs="Arial" w:eastAsia="Arial" w:hAnsi="Arial"/>
                <w:sz w:val="8"/>
                <w:szCs w:val="8"/>
                <w:color w:val="auto"/>
              </w:rPr>
              <w:t>20,000</w:t>
            </w:r>
          </w:p>
        </w:tc>
        <w:tc>
          <w:tcPr>
            <w:tcW w:w="160" w:type="dxa"/>
            <w:vAlign w:val="bottom"/>
            <w:shd w:val="clear" w:color="auto" w:fill="DBEEF4"/>
          </w:tcPr>
          <w:p>
            <w:pPr>
              <w:spacing w:after="0"/>
              <w:rPr>
                <w:sz w:val="11"/>
                <w:szCs w:val="11"/>
                <w:color w:val="auto"/>
              </w:rPr>
            </w:pPr>
          </w:p>
        </w:tc>
        <w:tc>
          <w:tcPr>
            <w:tcW w:w="400" w:type="dxa"/>
            <w:vAlign w:val="bottom"/>
            <w:shd w:val="clear" w:color="auto" w:fill="DBEEF4"/>
          </w:tcPr>
          <w:p>
            <w:pPr>
              <w:jc w:val="right"/>
              <w:spacing w:after="0"/>
              <w:rPr>
                <w:sz w:val="20"/>
                <w:szCs w:val="20"/>
                <w:color w:val="auto"/>
              </w:rPr>
            </w:pPr>
            <w:r>
              <w:rPr>
                <w:rFonts w:ascii="Arial" w:cs="Arial" w:eastAsia="Arial" w:hAnsi="Arial"/>
                <w:sz w:val="8"/>
                <w:szCs w:val="8"/>
                <w:color w:val="auto"/>
              </w:rPr>
              <w:t>19,791</w:t>
            </w:r>
          </w:p>
        </w:tc>
        <w:tc>
          <w:tcPr>
            <w:tcW w:w="200" w:type="dxa"/>
            <w:vAlign w:val="bottom"/>
            <w:shd w:val="clear" w:color="auto" w:fill="DBEEF4"/>
          </w:tcPr>
          <w:p>
            <w:pPr>
              <w:spacing w:after="0"/>
              <w:rPr>
                <w:sz w:val="11"/>
                <w:szCs w:val="11"/>
                <w:color w:val="auto"/>
              </w:rPr>
            </w:pPr>
          </w:p>
        </w:tc>
        <w:tc>
          <w:tcPr>
            <w:tcW w:w="140" w:type="dxa"/>
            <w:vAlign w:val="bottom"/>
            <w:shd w:val="clear" w:color="auto" w:fill="DBEEF4"/>
          </w:tcPr>
          <w:p>
            <w:pPr>
              <w:spacing w:after="0"/>
              <w:rPr>
                <w:sz w:val="11"/>
                <w:szCs w:val="11"/>
                <w:color w:val="auto"/>
              </w:rPr>
            </w:pPr>
          </w:p>
        </w:tc>
        <w:tc>
          <w:tcPr>
            <w:tcW w:w="360" w:type="dxa"/>
            <w:vAlign w:val="bottom"/>
            <w:shd w:val="clear" w:color="auto" w:fill="DBEEF4"/>
          </w:tcPr>
          <w:p>
            <w:pPr>
              <w:jc w:val="right"/>
              <w:spacing w:after="0"/>
              <w:rPr>
                <w:sz w:val="20"/>
                <w:szCs w:val="20"/>
                <w:color w:val="auto"/>
              </w:rPr>
            </w:pPr>
            <w:r>
              <w:rPr>
                <w:rFonts w:ascii="Arial" w:cs="Arial" w:eastAsia="Arial" w:hAnsi="Arial"/>
                <w:sz w:val="8"/>
                <w:szCs w:val="8"/>
                <w:color w:val="auto"/>
              </w:rPr>
              <w:t>20,000</w:t>
            </w:r>
          </w:p>
        </w:tc>
        <w:tc>
          <w:tcPr>
            <w:tcW w:w="720" w:type="dxa"/>
            <w:vAlign w:val="bottom"/>
            <w:shd w:val="clear" w:color="auto" w:fill="DBEEF4"/>
          </w:tcPr>
          <w:p>
            <w:pPr>
              <w:spacing w:after="0"/>
              <w:rPr>
                <w:sz w:val="11"/>
                <w:szCs w:val="11"/>
                <w:color w:val="auto"/>
              </w:rPr>
            </w:pPr>
          </w:p>
        </w:tc>
      </w:tr>
      <w:tr>
        <w:trPr>
          <w:trHeight w:val="126"/>
        </w:trPr>
        <w:tc>
          <w:tcPr>
            <w:tcW w:w="3000" w:type="dxa"/>
            <w:vAlign w:val="bottom"/>
          </w:tcPr>
          <w:p>
            <w:pPr>
              <w:ind w:left="100"/>
              <w:spacing w:after="0"/>
              <w:rPr>
                <w:sz w:val="20"/>
                <w:szCs w:val="20"/>
                <w:color w:val="auto"/>
              </w:rPr>
            </w:pPr>
            <w:r>
              <w:rPr>
                <w:rFonts w:ascii="Arial" w:cs="Arial" w:eastAsia="Arial" w:hAnsi="Arial"/>
                <w:sz w:val="8"/>
                <w:szCs w:val="8"/>
                <w:color w:val="auto"/>
              </w:rPr>
              <w:t>Common Equity (2,000 units) (h)(j)</w:t>
            </w:r>
          </w:p>
        </w:tc>
        <w:tc>
          <w:tcPr>
            <w:tcW w:w="3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8"/>
                <w:szCs w:val="8"/>
                <w:color w:val="auto"/>
              </w:rPr>
              <w:t>2/27/2017</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1,478</w:t>
            </w: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1,942</w:t>
            </w:r>
          </w:p>
        </w:tc>
        <w:tc>
          <w:tcPr>
            <w:tcW w:w="720" w:type="dxa"/>
            <w:vAlign w:val="bottom"/>
          </w:tcPr>
          <w:p>
            <w:pPr>
              <w:spacing w:after="0"/>
              <w:rPr>
                <w:sz w:val="10"/>
                <w:szCs w:val="10"/>
                <w:color w:val="auto"/>
              </w:rPr>
            </w:pPr>
          </w:p>
        </w:tc>
      </w:tr>
      <w:tr>
        <w:trPr>
          <w:trHeight w:val="120"/>
        </w:trPr>
        <w:tc>
          <w:tcPr>
            <w:tcW w:w="3000" w:type="dxa"/>
            <w:vAlign w:val="bottom"/>
            <w:shd w:val="clear" w:color="auto" w:fill="DBEEF4"/>
          </w:tcPr>
          <w:p>
            <w:pPr>
              <w:spacing w:after="0"/>
              <w:rPr>
                <w:sz w:val="10"/>
                <w:szCs w:val="10"/>
                <w:color w:val="auto"/>
              </w:rPr>
            </w:pPr>
          </w:p>
        </w:tc>
        <w:tc>
          <w:tcPr>
            <w:tcW w:w="3360" w:type="dxa"/>
            <w:vAlign w:val="bottom"/>
            <w:shd w:val="clear" w:color="auto" w:fill="DBEEF4"/>
          </w:tcPr>
          <w:p>
            <w:pPr>
              <w:spacing w:after="0"/>
              <w:rPr>
                <w:sz w:val="10"/>
                <w:szCs w:val="10"/>
                <w:color w:val="auto"/>
              </w:rPr>
            </w:pPr>
          </w:p>
        </w:tc>
        <w:tc>
          <w:tcPr>
            <w:tcW w:w="840" w:type="dxa"/>
            <w:vAlign w:val="bottom"/>
            <w:shd w:val="clear" w:color="auto" w:fill="DBEEF4"/>
          </w:tcPr>
          <w:p>
            <w:pPr>
              <w:spacing w:after="0"/>
              <w:rPr>
                <w:sz w:val="10"/>
                <w:szCs w:val="10"/>
                <w:color w:val="auto"/>
              </w:rPr>
            </w:pPr>
          </w:p>
        </w:tc>
        <w:tc>
          <w:tcPr>
            <w:tcW w:w="640" w:type="dxa"/>
            <w:vAlign w:val="bottom"/>
            <w:shd w:val="clear" w:color="auto" w:fill="DBEEF4"/>
          </w:tcPr>
          <w:p>
            <w:pPr>
              <w:spacing w:after="0"/>
              <w:rPr>
                <w:sz w:val="10"/>
                <w:szCs w:val="10"/>
                <w:color w:val="auto"/>
              </w:rPr>
            </w:pPr>
          </w:p>
        </w:tc>
        <w:tc>
          <w:tcPr>
            <w:tcW w:w="720" w:type="dxa"/>
            <w:vAlign w:val="bottom"/>
            <w:shd w:val="clear" w:color="auto" w:fill="DBEEF4"/>
          </w:tcPr>
          <w:p>
            <w:pPr>
              <w:spacing w:after="0"/>
              <w:rPr>
                <w:sz w:val="10"/>
                <w:szCs w:val="10"/>
                <w:color w:val="auto"/>
              </w:rPr>
            </w:pPr>
          </w:p>
        </w:tc>
        <w:tc>
          <w:tcPr>
            <w:tcW w:w="700" w:type="dxa"/>
            <w:vAlign w:val="bottom"/>
            <w:shd w:val="clear" w:color="auto" w:fill="DBEEF4"/>
          </w:tcPr>
          <w:p>
            <w:pPr>
              <w:spacing w:after="0"/>
              <w:rPr>
                <w:sz w:val="10"/>
                <w:szCs w:val="10"/>
                <w:color w:val="auto"/>
              </w:rPr>
            </w:pPr>
          </w:p>
        </w:tc>
        <w:tc>
          <w:tcPr>
            <w:tcW w:w="160" w:type="dxa"/>
            <w:vAlign w:val="bottom"/>
            <w:shd w:val="clear" w:color="auto" w:fill="DBEEF4"/>
          </w:tcPr>
          <w:p>
            <w:pPr>
              <w:spacing w:after="0"/>
              <w:rPr>
                <w:sz w:val="10"/>
                <w:szCs w:val="10"/>
                <w:color w:val="auto"/>
              </w:rPr>
            </w:pPr>
          </w:p>
        </w:tc>
        <w:tc>
          <w:tcPr>
            <w:tcW w:w="400" w:type="dxa"/>
            <w:vAlign w:val="bottom"/>
            <w:shd w:val="clear" w:color="auto" w:fill="DBEEF4"/>
          </w:tcPr>
          <w:p>
            <w:pPr>
              <w:jc w:val="right"/>
              <w:spacing w:after="0"/>
              <w:rPr>
                <w:sz w:val="20"/>
                <w:szCs w:val="20"/>
                <w:color w:val="auto"/>
              </w:rPr>
            </w:pPr>
            <w:r>
              <w:rPr>
                <w:rFonts w:ascii="Arial" w:cs="Arial" w:eastAsia="Arial" w:hAnsi="Arial"/>
                <w:sz w:val="8"/>
                <w:szCs w:val="8"/>
                <w:color w:val="auto"/>
              </w:rPr>
              <w:t>21,269</w:t>
            </w:r>
          </w:p>
        </w:tc>
        <w:tc>
          <w:tcPr>
            <w:tcW w:w="200" w:type="dxa"/>
            <w:vAlign w:val="bottom"/>
            <w:shd w:val="clear" w:color="auto" w:fill="DBEEF4"/>
          </w:tcPr>
          <w:p>
            <w:pPr>
              <w:spacing w:after="0"/>
              <w:rPr>
                <w:sz w:val="10"/>
                <w:szCs w:val="10"/>
                <w:color w:val="auto"/>
              </w:rPr>
            </w:pPr>
          </w:p>
        </w:tc>
        <w:tc>
          <w:tcPr>
            <w:tcW w:w="140" w:type="dxa"/>
            <w:vAlign w:val="bottom"/>
            <w:shd w:val="clear" w:color="auto" w:fill="DBEEF4"/>
          </w:tcPr>
          <w:p>
            <w:pPr>
              <w:spacing w:after="0"/>
              <w:rPr>
                <w:sz w:val="10"/>
                <w:szCs w:val="10"/>
                <w:color w:val="auto"/>
              </w:rPr>
            </w:pPr>
          </w:p>
        </w:tc>
        <w:tc>
          <w:tcPr>
            <w:tcW w:w="360" w:type="dxa"/>
            <w:vAlign w:val="bottom"/>
            <w:shd w:val="clear" w:color="auto" w:fill="DBEEF4"/>
          </w:tcPr>
          <w:p>
            <w:pPr>
              <w:jc w:val="right"/>
              <w:spacing w:after="0"/>
              <w:rPr>
                <w:sz w:val="20"/>
                <w:szCs w:val="20"/>
                <w:color w:val="auto"/>
              </w:rPr>
            </w:pPr>
            <w:r>
              <w:rPr>
                <w:rFonts w:ascii="Arial" w:cs="Arial" w:eastAsia="Arial" w:hAnsi="Arial"/>
                <w:sz w:val="8"/>
                <w:szCs w:val="8"/>
                <w:color w:val="auto"/>
              </w:rPr>
              <w:t>21,942</w:t>
            </w:r>
          </w:p>
        </w:tc>
        <w:tc>
          <w:tcPr>
            <w:tcW w:w="720" w:type="dxa"/>
            <w:vAlign w:val="bottom"/>
            <w:shd w:val="clear" w:color="auto" w:fill="DBEEF4"/>
          </w:tcPr>
          <w:p>
            <w:pPr>
              <w:jc w:val="right"/>
              <w:spacing w:after="0"/>
              <w:rPr>
                <w:sz w:val="20"/>
                <w:szCs w:val="20"/>
                <w:color w:val="auto"/>
              </w:rPr>
            </w:pPr>
            <w:r>
              <w:rPr>
                <w:rFonts w:ascii="Arial" w:cs="Arial" w:eastAsia="Arial" w:hAnsi="Arial"/>
                <w:sz w:val="8"/>
                <w:szCs w:val="8"/>
                <w:color w:val="auto"/>
              </w:rPr>
              <w:t>5 %</w:t>
            </w:r>
          </w:p>
        </w:tc>
      </w:tr>
      <w:tr>
        <w:trPr>
          <w:trHeight w:val="127"/>
        </w:trPr>
        <w:tc>
          <w:tcPr>
            <w:tcW w:w="300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r>
      <w:tr>
        <w:trPr>
          <w:trHeight w:val="159"/>
        </w:trPr>
        <w:tc>
          <w:tcPr>
            <w:tcW w:w="3000" w:type="dxa"/>
            <w:vAlign w:val="bottom"/>
            <w:tcBorders>
              <w:bottom w:val="single" w:sz="8" w:color="DBEEF4"/>
            </w:tcBorders>
            <w:shd w:val="clear" w:color="auto" w:fill="DBEEF4"/>
          </w:tcPr>
          <w:p>
            <w:pPr>
              <w:ind w:left="20"/>
              <w:spacing w:after="0"/>
              <w:rPr>
                <w:sz w:val="20"/>
                <w:szCs w:val="20"/>
                <w:color w:val="auto"/>
              </w:rPr>
            </w:pPr>
            <w:r>
              <w:rPr>
                <w:rFonts w:ascii="Arial" w:cs="Arial" w:eastAsia="Arial" w:hAnsi="Arial"/>
                <w:sz w:val="8"/>
                <w:szCs w:val="8"/>
                <w:b w:val="1"/>
                <w:bCs w:val="1"/>
                <w:color w:val="auto"/>
              </w:rPr>
              <w:t>Total Non-control/Non-affiliate Investments</w:t>
            </w:r>
          </w:p>
        </w:tc>
        <w:tc>
          <w:tcPr>
            <w:tcW w:w="3360" w:type="dxa"/>
            <w:vAlign w:val="bottom"/>
            <w:tcBorders>
              <w:bottom w:val="single" w:sz="8" w:color="DBEEF4"/>
            </w:tcBorders>
            <w:shd w:val="clear" w:color="auto" w:fill="DBEEF4"/>
          </w:tcPr>
          <w:p>
            <w:pPr>
              <w:spacing w:after="0"/>
              <w:rPr>
                <w:sz w:val="13"/>
                <w:szCs w:val="13"/>
                <w:color w:val="auto"/>
              </w:rPr>
            </w:pPr>
          </w:p>
        </w:tc>
        <w:tc>
          <w:tcPr>
            <w:tcW w:w="840" w:type="dxa"/>
            <w:vAlign w:val="bottom"/>
            <w:tcBorders>
              <w:bottom w:val="single" w:sz="8" w:color="DBEEF4"/>
            </w:tcBorders>
            <w:shd w:val="clear" w:color="auto" w:fill="DBEEF4"/>
          </w:tcPr>
          <w:p>
            <w:pPr>
              <w:spacing w:after="0"/>
              <w:rPr>
                <w:sz w:val="13"/>
                <w:szCs w:val="13"/>
                <w:color w:val="auto"/>
              </w:rPr>
            </w:pPr>
          </w:p>
        </w:tc>
        <w:tc>
          <w:tcPr>
            <w:tcW w:w="640" w:type="dxa"/>
            <w:vAlign w:val="bottom"/>
            <w:tcBorders>
              <w:bottom w:val="single" w:sz="8" w:color="DBEEF4"/>
            </w:tcBorders>
            <w:shd w:val="clear" w:color="auto" w:fill="DBEEF4"/>
          </w:tcPr>
          <w:p>
            <w:pPr>
              <w:spacing w:after="0"/>
              <w:rPr>
                <w:sz w:val="13"/>
                <w:szCs w:val="13"/>
                <w:color w:val="auto"/>
              </w:rPr>
            </w:pPr>
          </w:p>
        </w:tc>
        <w:tc>
          <w:tcPr>
            <w:tcW w:w="720" w:type="dxa"/>
            <w:vAlign w:val="bottom"/>
            <w:tcBorders>
              <w:bottom w:val="single" w:sz="8" w:color="DBEEF4"/>
            </w:tcBorders>
            <w:shd w:val="clear" w:color="auto" w:fill="DBEEF4"/>
          </w:tcPr>
          <w:p>
            <w:pPr>
              <w:spacing w:after="0"/>
              <w:rPr>
                <w:sz w:val="13"/>
                <w:szCs w:val="13"/>
                <w:color w:val="auto"/>
              </w:rPr>
            </w:pPr>
          </w:p>
        </w:tc>
        <w:tc>
          <w:tcPr>
            <w:tcW w:w="700" w:type="dxa"/>
            <w:vAlign w:val="bottom"/>
            <w:tcBorders>
              <w:bottom w:val="single" w:sz="8" w:color="DBEEF4"/>
            </w:tcBorders>
            <w:shd w:val="clear" w:color="auto" w:fill="DBEEF4"/>
          </w:tcPr>
          <w:p>
            <w:pPr>
              <w:spacing w:after="0"/>
              <w:rPr>
                <w:sz w:val="13"/>
                <w:szCs w:val="13"/>
                <w:color w:val="auto"/>
              </w:rPr>
            </w:pPr>
          </w:p>
        </w:tc>
        <w:tc>
          <w:tcPr>
            <w:tcW w:w="160" w:type="dxa"/>
            <w:vAlign w:val="bottom"/>
            <w:tcBorders>
              <w:bottom w:val="single" w:sz="8" w:color="auto"/>
            </w:tcBorders>
            <w:shd w:val="clear" w:color="auto" w:fill="DBEEF4"/>
          </w:tcPr>
          <w:p>
            <w:pPr>
              <w:jc w:val="right"/>
              <w:ind w:right="58"/>
              <w:spacing w:after="0"/>
              <w:rPr>
                <w:sz w:val="20"/>
                <w:szCs w:val="20"/>
                <w:color w:val="auto"/>
              </w:rPr>
            </w:pPr>
            <w:r>
              <w:rPr>
                <w:rFonts w:ascii="Arial" w:cs="Arial" w:eastAsia="Arial" w:hAnsi="Arial"/>
                <w:sz w:val="8"/>
                <w:szCs w:val="8"/>
                <w:color w:val="auto"/>
                <w:w w:val="88"/>
              </w:rPr>
              <w:t>$</w:t>
            </w:r>
          </w:p>
        </w:tc>
        <w:tc>
          <w:tcPr>
            <w:tcW w:w="4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622,222</w:t>
            </w:r>
          </w:p>
        </w:tc>
        <w:tc>
          <w:tcPr>
            <w:tcW w:w="200" w:type="dxa"/>
            <w:vAlign w:val="bottom"/>
            <w:tcBorders>
              <w:bottom w:val="single" w:sz="8" w:color="DBEEF4"/>
            </w:tcBorders>
            <w:shd w:val="clear" w:color="auto" w:fill="DBEEF4"/>
          </w:tcPr>
          <w:p>
            <w:pPr>
              <w:spacing w:after="0"/>
              <w:rPr>
                <w:sz w:val="13"/>
                <w:szCs w:val="13"/>
                <w:color w:val="auto"/>
              </w:rPr>
            </w:pPr>
          </w:p>
        </w:tc>
        <w:tc>
          <w:tcPr>
            <w:tcW w:w="140" w:type="dxa"/>
            <w:vAlign w:val="bottom"/>
            <w:tcBorders>
              <w:bottom w:val="single" w:sz="8" w:color="auto"/>
            </w:tcBorders>
            <w:shd w:val="clear" w:color="auto" w:fill="DBEEF4"/>
          </w:tcPr>
          <w:p>
            <w:pPr>
              <w:jc w:val="right"/>
              <w:ind w:right="38"/>
              <w:spacing w:after="0"/>
              <w:rPr>
                <w:sz w:val="20"/>
                <w:szCs w:val="20"/>
                <w:color w:val="auto"/>
              </w:rPr>
            </w:pPr>
            <w:r>
              <w:rPr>
                <w:rFonts w:ascii="Arial" w:cs="Arial" w:eastAsia="Arial" w:hAnsi="Arial"/>
                <w:sz w:val="8"/>
                <w:szCs w:val="8"/>
                <w:color w:val="auto"/>
                <w:w w:val="88"/>
              </w:rPr>
              <w:t>$</w:t>
            </w:r>
          </w:p>
        </w:tc>
        <w:tc>
          <w:tcPr>
            <w:tcW w:w="36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633,222</w:t>
            </w:r>
          </w:p>
        </w:tc>
        <w:tc>
          <w:tcPr>
            <w:tcW w:w="720" w:type="dxa"/>
            <w:vAlign w:val="bottom"/>
            <w:tcBorders>
              <w:bottom w:val="single" w:sz="8" w:color="DBEEF4"/>
            </w:tcBorders>
            <w:shd w:val="clear" w:color="auto" w:fill="DBEEF4"/>
          </w:tcPr>
          <w:p>
            <w:pPr>
              <w:jc w:val="right"/>
              <w:spacing w:after="0"/>
              <w:rPr>
                <w:sz w:val="20"/>
                <w:szCs w:val="20"/>
                <w:color w:val="auto"/>
              </w:rPr>
            </w:pPr>
            <w:r>
              <w:rPr>
                <w:rFonts w:ascii="Arial" w:cs="Arial" w:eastAsia="Arial" w:hAnsi="Arial"/>
                <w:sz w:val="8"/>
                <w:szCs w:val="8"/>
                <w:color w:val="auto"/>
              </w:rPr>
              <w:t>154 %</w:t>
            </w:r>
          </w:p>
        </w:tc>
      </w:tr>
      <w:tr>
        <w:trPr>
          <w:trHeight w:val="105"/>
        </w:trPr>
        <w:tc>
          <w:tcPr>
            <w:tcW w:w="3000" w:type="dxa"/>
            <w:vAlign w:val="bottom"/>
          </w:tcPr>
          <w:p>
            <w:pPr>
              <w:spacing w:after="0"/>
              <w:rPr>
                <w:sz w:val="9"/>
                <w:szCs w:val="9"/>
                <w:color w:val="auto"/>
              </w:rPr>
            </w:pPr>
          </w:p>
        </w:tc>
        <w:tc>
          <w:tcPr>
            <w:tcW w:w="3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r>
      <w:tr>
        <w:trPr>
          <w:trHeight w:val="159"/>
        </w:trPr>
        <w:tc>
          <w:tcPr>
            <w:tcW w:w="3000" w:type="dxa"/>
            <w:vAlign w:val="bottom"/>
            <w:tcBorders>
              <w:bottom w:val="single" w:sz="8" w:color="DBEEF4"/>
            </w:tcBorders>
            <w:shd w:val="clear" w:color="auto" w:fill="DBEEF4"/>
          </w:tcPr>
          <w:p>
            <w:pPr>
              <w:ind w:left="20"/>
              <w:spacing w:after="0"/>
              <w:rPr>
                <w:sz w:val="20"/>
                <w:szCs w:val="20"/>
                <w:color w:val="auto"/>
              </w:rPr>
            </w:pPr>
            <w:r>
              <w:rPr>
                <w:rFonts w:ascii="Arial" w:cs="Arial" w:eastAsia="Arial" w:hAnsi="Arial"/>
                <w:sz w:val="8"/>
                <w:szCs w:val="8"/>
                <w:b w:val="1"/>
                <w:bCs w:val="1"/>
                <w:color w:val="auto"/>
              </w:rPr>
              <w:t>Total Investments</w:t>
            </w:r>
          </w:p>
        </w:tc>
        <w:tc>
          <w:tcPr>
            <w:tcW w:w="3360" w:type="dxa"/>
            <w:vAlign w:val="bottom"/>
            <w:tcBorders>
              <w:bottom w:val="single" w:sz="8" w:color="DBEEF4"/>
            </w:tcBorders>
            <w:shd w:val="clear" w:color="auto" w:fill="DBEEF4"/>
          </w:tcPr>
          <w:p>
            <w:pPr>
              <w:spacing w:after="0"/>
              <w:rPr>
                <w:sz w:val="13"/>
                <w:szCs w:val="13"/>
                <w:color w:val="auto"/>
              </w:rPr>
            </w:pPr>
          </w:p>
        </w:tc>
        <w:tc>
          <w:tcPr>
            <w:tcW w:w="840" w:type="dxa"/>
            <w:vAlign w:val="bottom"/>
            <w:tcBorders>
              <w:bottom w:val="single" w:sz="8" w:color="DBEEF4"/>
            </w:tcBorders>
            <w:shd w:val="clear" w:color="auto" w:fill="DBEEF4"/>
          </w:tcPr>
          <w:p>
            <w:pPr>
              <w:spacing w:after="0"/>
              <w:rPr>
                <w:sz w:val="13"/>
                <w:szCs w:val="13"/>
                <w:color w:val="auto"/>
              </w:rPr>
            </w:pPr>
          </w:p>
        </w:tc>
        <w:tc>
          <w:tcPr>
            <w:tcW w:w="640" w:type="dxa"/>
            <w:vAlign w:val="bottom"/>
            <w:tcBorders>
              <w:bottom w:val="single" w:sz="8" w:color="DBEEF4"/>
            </w:tcBorders>
            <w:shd w:val="clear" w:color="auto" w:fill="DBEEF4"/>
          </w:tcPr>
          <w:p>
            <w:pPr>
              <w:spacing w:after="0"/>
              <w:rPr>
                <w:sz w:val="13"/>
                <w:szCs w:val="13"/>
                <w:color w:val="auto"/>
              </w:rPr>
            </w:pPr>
          </w:p>
        </w:tc>
        <w:tc>
          <w:tcPr>
            <w:tcW w:w="720" w:type="dxa"/>
            <w:vAlign w:val="bottom"/>
            <w:tcBorders>
              <w:bottom w:val="single" w:sz="8" w:color="DBEEF4"/>
            </w:tcBorders>
            <w:shd w:val="clear" w:color="auto" w:fill="DBEEF4"/>
          </w:tcPr>
          <w:p>
            <w:pPr>
              <w:spacing w:after="0"/>
              <w:rPr>
                <w:sz w:val="13"/>
                <w:szCs w:val="13"/>
                <w:color w:val="auto"/>
              </w:rPr>
            </w:pPr>
          </w:p>
        </w:tc>
        <w:tc>
          <w:tcPr>
            <w:tcW w:w="700" w:type="dxa"/>
            <w:vAlign w:val="bottom"/>
            <w:tcBorders>
              <w:bottom w:val="single" w:sz="8" w:color="DBEEF4"/>
            </w:tcBorders>
            <w:shd w:val="clear" w:color="auto" w:fill="DBEEF4"/>
          </w:tcPr>
          <w:p>
            <w:pPr>
              <w:spacing w:after="0"/>
              <w:rPr>
                <w:sz w:val="13"/>
                <w:szCs w:val="13"/>
                <w:color w:val="auto"/>
              </w:rPr>
            </w:pPr>
          </w:p>
        </w:tc>
        <w:tc>
          <w:tcPr>
            <w:tcW w:w="160" w:type="dxa"/>
            <w:vAlign w:val="bottom"/>
            <w:tcBorders>
              <w:bottom w:val="single" w:sz="8" w:color="auto"/>
            </w:tcBorders>
            <w:shd w:val="clear" w:color="auto" w:fill="DBEEF4"/>
          </w:tcPr>
          <w:p>
            <w:pPr>
              <w:jc w:val="right"/>
              <w:ind w:right="58"/>
              <w:spacing w:after="0"/>
              <w:rPr>
                <w:sz w:val="20"/>
                <w:szCs w:val="20"/>
                <w:color w:val="auto"/>
              </w:rPr>
            </w:pPr>
            <w:r>
              <w:rPr>
                <w:rFonts w:ascii="Arial" w:cs="Arial" w:eastAsia="Arial" w:hAnsi="Arial"/>
                <w:sz w:val="8"/>
                <w:szCs w:val="8"/>
                <w:color w:val="auto"/>
                <w:w w:val="88"/>
              </w:rPr>
              <w:t>$</w:t>
            </w:r>
          </w:p>
        </w:tc>
        <w:tc>
          <w:tcPr>
            <w:tcW w:w="40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687,027</w:t>
            </w:r>
          </w:p>
        </w:tc>
        <w:tc>
          <w:tcPr>
            <w:tcW w:w="200" w:type="dxa"/>
            <w:vAlign w:val="bottom"/>
            <w:tcBorders>
              <w:bottom w:val="single" w:sz="8" w:color="DBEEF4"/>
            </w:tcBorders>
            <w:shd w:val="clear" w:color="auto" w:fill="DBEEF4"/>
          </w:tcPr>
          <w:p>
            <w:pPr>
              <w:spacing w:after="0"/>
              <w:rPr>
                <w:sz w:val="13"/>
                <w:szCs w:val="13"/>
                <w:color w:val="auto"/>
              </w:rPr>
            </w:pPr>
          </w:p>
        </w:tc>
        <w:tc>
          <w:tcPr>
            <w:tcW w:w="140" w:type="dxa"/>
            <w:vAlign w:val="bottom"/>
            <w:tcBorders>
              <w:bottom w:val="single" w:sz="8" w:color="auto"/>
            </w:tcBorders>
            <w:shd w:val="clear" w:color="auto" w:fill="DBEEF4"/>
          </w:tcPr>
          <w:p>
            <w:pPr>
              <w:jc w:val="right"/>
              <w:ind w:right="38"/>
              <w:spacing w:after="0"/>
              <w:rPr>
                <w:sz w:val="20"/>
                <w:szCs w:val="20"/>
                <w:color w:val="auto"/>
              </w:rPr>
            </w:pPr>
            <w:r>
              <w:rPr>
                <w:rFonts w:ascii="Arial" w:cs="Arial" w:eastAsia="Arial" w:hAnsi="Arial"/>
                <w:sz w:val="8"/>
                <w:szCs w:val="8"/>
                <w:color w:val="auto"/>
                <w:w w:val="88"/>
              </w:rPr>
              <w:t>$</w:t>
            </w:r>
          </w:p>
        </w:tc>
        <w:tc>
          <w:tcPr>
            <w:tcW w:w="360" w:type="dxa"/>
            <w:vAlign w:val="bottom"/>
            <w:tcBorders>
              <w:bottom w:val="single" w:sz="8" w:color="auto"/>
            </w:tcBorders>
            <w:shd w:val="clear" w:color="auto" w:fill="DBEEF4"/>
          </w:tcPr>
          <w:p>
            <w:pPr>
              <w:jc w:val="right"/>
              <w:spacing w:after="0"/>
              <w:rPr>
                <w:sz w:val="20"/>
                <w:szCs w:val="20"/>
                <w:color w:val="auto"/>
              </w:rPr>
            </w:pPr>
            <w:r>
              <w:rPr>
                <w:rFonts w:ascii="Arial" w:cs="Arial" w:eastAsia="Arial" w:hAnsi="Arial"/>
                <w:sz w:val="8"/>
                <w:szCs w:val="8"/>
                <w:color w:val="auto"/>
              </w:rPr>
              <w:t>742,869</w:t>
            </w:r>
          </w:p>
        </w:tc>
        <w:tc>
          <w:tcPr>
            <w:tcW w:w="720" w:type="dxa"/>
            <w:vAlign w:val="bottom"/>
            <w:tcBorders>
              <w:bottom w:val="single" w:sz="8" w:color="DBEEF4"/>
            </w:tcBorders>
            <w:shd w:val="clear" w:color="auto" w:fill="DBEEF4"/>
          </w:tcPr>
          <w:p>
            <w:pPr>
              <w:jc w:val="right"/>
              <w:spacing w:after="0"/>
              <w:rPr>
                <w:sz w:val="20"/>
                <w:szCs w:val="20"/>
                <w:color w:val="auto"/>
              </w:rPr>
            </w:pPr>
            <w:r>
              <w:rPr>
                <w:rFonts w:ascii="Arial" w:cs="Arial" w:eastAsia="Arial" w:hAnsi="Arial"/>
                <w:sz w:val="8"/>
                <w:szCs w:val="8"/>
                <w:color w:val="auto"/>
              </w:rPr>
              <w:t>181 %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6231890</wp:posOffset>
            </wp:positionH>
            <wp:positionV relativeFrom="paragraph">
              <wp:posOffset>-5148580</wp:posOffset>
            </wp:positionV>
            <wp:extent cx="909955" cy="857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09955" cy="85725"/>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-4819015</wp:posOffset>
            </wp:positionV>
            <wp:extent cx="909955" cy="857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09955" cy="85725"/>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-4488815</wp:posOffset>
            </wp:positionV>
            <wp:extent cx="909955" cy="857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09955" cy="85725"/>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-2363470</wp:posOffset>
            </wp:positionV>
            <wp:extent cx="909955" cy="857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09955" cy="85725"/>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-2033270</wp:posOffset>
            </wp:positionV>
            <wp:extent cx="829310" cy="857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9310" cy="85725"/>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-1703070</wp:posOffset>
            </wp:positionV>
            <wp:extent cx="909955" cy="857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09955" cy="85725"/>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-1373505</wp:posOffset>
            </wp:positionV>
            <wp:extent cx="909955" cy="857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09955" cy="85725"/>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-216535</wp:posOffset>
            </wp:positionV>
            <wp:extent cx="499110" cy="1123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99110" cy="112395"/>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-23495</wp:posOffset>
            </wp:positionV>
            <wp:extent cx="12890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-7620</wp:posOffset>
            </wp:positionV>
            <wp:extent cx="12890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-23495</wp:posOffset>
            </wp:positionV>
            <wp:extent cx="482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8260"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-7620</wp:posOffset>
            </wp:positionV>
            <wp:extent cx="482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8260" cy="8255"/>
                    </a:xfrm>
                    <a:prstGeom prst="rect">
                      <a:avLst/>
                    </a:prstGeom>
                    <a:noFill/>
                  </pic:spPr>
                </pic:pic>
              </a:graphicData>
            </a:graphic>
          </wp:anchor>
        </w:drawing>
      </w:r>
    </w:p>
    <w:p>
      <w:pPr>
        <w:spacing w:after="0" w:line="190" w:lineRule="exact"/>
        <w:rPr>
          <w:sz w:val="20"/>
          <w:szCs w:val="20"/>
          <w:color w:val="auto"/>
        </w:rPr>
      </w:pPr>
    </w:p>
    <w:p>
      <w:pPr>
        <w:ind w:left="180" w:hanging="179"/>
        <w:spacing w:after="0"/>
        <w:tabs>
          <w:tab w:leader="none" w:pos="180" w:val="left"/>
        </w:tabs>
        <w:numPr>
          <w:ilvl w:val="0"/>
          <w:numId w:val="7"/>
        </w:numPr>
        <w:rPr>
          <w:rFonts w:ascii="Arial" w:cs="Arial" w:eastAsia="Arial" w:hAnsi="Arial"/>
          <w:sz w:val="14"/>
          <w:szCs w:val="14"/>
          <w:color w:val="auto"/>
        </w:rPr>
      </w:pPr>
      <w:r>
        <w:rPr>
          <w:rFonts w:ascii="Arial" w:cs="Arial" w:eastAsia="Arial" w:hAnsi="Arial"/>
          <w:sz w:val="14"/>
          <w:szCs w:val="14"/>
          <w:color w:val="auto"/>
        </w:rPr>
        <w:t>See Note 3 to the consolidated financial statements for portfolio composition by geographic location.</w:t>
      </w:r>
    </w:p>
    <w:p>
      <w:pPr>
        <w:spacing w:after="0" w:line="168" w:lineRule="exact"/>
        <w:rPr>
          <w:rFonts w:ascii="Arial" w:cs="Arial" w:eastAsia="Arial" w:hAnsi="Arial"/>
          <w:sz w:val="14"/>
          <w:szCs w:val="14"/>
          <w:color w:val="auto"/>
        </w:rPr>
      </w:pPr>
    </w:p>
    <w:p>
      <w:pPr>
        <w:ind w:left="200" w:hanging="199"/>
        <w:spacing w:after="0"/>
        <w:tabs>
          <w:tab w:leader="none" w:pos="200" w:val="left"/>
        </w:tabs>
        <w:numPr>
          <w:ilvl w:val="0"/>
          <w:numId w:val="7"/>
        </w:numPr>
        <w:rPr>
          <w:rFonts w:ascii="Arial" w:cs="Arial" w:eastAsia="Arial" w:hAnsi="Arial"/>
          <w:sz w:val="14"/>
          <w:szCs w:val="14"/>
          <w:color w:val="auto"/>
        </w:rPr>
      </w:pPr>
      <w:r>
        <w:rPr>
          <w:rFonts w:ascii="Arial" w:cs="Arial" w:eastAsia="Arial" w:hAnsi="Arial"/>
          <w:sz w:val="14"/>
          <w:szCs w:val="14"/>
          <w:color w:val="auto"/>
        </w:rPr>
        <w:t>Equity ownership may be held in shares or units of companies related to the portfolio companies.</w:t>
      </w:r>
    </w:p>
    <w:p>
      <w:pPr>
        <w:spacing w:after="0" w:line="168" w:lineRule="exact"/>
        <w:rPr>
          <w:rFonts w:ascii="Arial" w:cs="Arial" w:eastAsia="Arial" w:hAnsi="Arial"/>
          <w:sz w:val="14"/>
          <w:szCs w:val="14"/>
          <w:color w:val="auto"/>
        </w:rPr>
      </w:pPr>
    </w:p>
    <w:p>
      <w:pPr>
        <w:ind w:left="180" w:hanging="179"/>
        <w:spacing w:after="0"/>
        <w:tabs>
          <w:tab w:leader="none" w:pos="180" w:val="left"/>
        </w:tabs>
        <w:numPr>
          <w:ilvl w:val="0"/>
          <w:numId w:val="7"/>
        </w:numPr>
        <w:rPr>
          <w:rFonts w:ascii="Arial" w:cs="Arial" w:eastAsia="Arial" w:hAnsi="Arial"/>
          <w:sz w:val="14"/>
          <w:szCs w:val="14"/>
          <w:color w:val="auto"/>
        </w:rPr>
      </w:pPr>
      <w:r>
        <w:rPr>
          <w:rFonts w:ascii="Arial" w:cs="Arial" w:eastAsia="Arial" w:hAnsi="Arial"/>
          <w:sz w:val="14"/>
          <w:szCs w:val="14"/>
          <w:color w:val="auto"/>
        </w:rPr>
        <w:t>All debt investments are income producing, unless otherwise indicated. Equity investments are non-income producing unless otherwise noted.</w:t>
      </w:r>
    </w:p>
    <w:p>
      <w:pPr>
        <w:spacing w:after="0" w:line="168" w:lineRule="exact"/>
        <w:rPr>
          <w:rFonts w:ascii="Arial" w:cs="Arial" w:eastAsia="Arial" w:hAnsi="Arial"/>
          <w:sz w:val="14"/>
          <w:szCs w:val="14"/>
          <w:color w:val="auto"/>
        </w:rPr>
      </w:pPr>
    </w:p>
    <w:p>
      <w:pPr>
        <w:ind w:right="120" w:firstLine="1"/>
        <w:spacing w:after="0" w:line="262" w:lineRule="auto"/>
        <w:tabs>
          <w:tab w:leader="none" w:pos="191" w:val="left"/>
        </w:tabs>
        <w:numPr>
          <w:ilvl w:val="0"/>
          <w:numId w:val="7"/>
        </w:numPr>
        <w:rPr>
          <w:rFonts w:ascii="Arial" w:cs="Arial" w:eastAsia="Arial" w:hAnsi="Arial"/>
          <w:sz w:val="14"/>
          <w:szCs w:val="14"/>
          <w:color w:val="auto"/>
        </w:rPr>
      </w:pPr>
      <w:r>
        <w:rPr>
          <w:rFonts w:ascii="Arial" w:cs="Arial" w:eastAsia="Arial" w:hAnsi="Arial"/>
          <w:sz w:val="14"/>
          <w:szCs w:val="14"/>
          <w:color w:val="auto"/>
        </w:rPr>
        <w:t>Variable rate investments bear interest at a rate indexed to LIBOR (L), which is reset monthly, bimonthly, quarterly, or semi-annually. Certain variable rate investments also include a LIBOR interest rate floor. For each investment, the Company has provided the spread over the reference rate and the LIBOR floor, if any, as of December 31, 2020.</w:t>
      </w:r>
    </w:p>
    <w:p>
      <w:pPr>
        <w:spacing w:after="0" w:line="142" w:lineRule="exact"/>
        <w:rPr>
          <w:rFonts w:ascii="Arial" w:cs="Arial" w:eastAsia="Arial" w:hAnsi="Arial"/>
          <w:sz w:val="14"/>
          <w:szCs w:val="14"/>
          <w:color w:val="auto"/>
        </w:rPr>
      </w:pPr>
    </w:p>
    <w:p>
      <w:pPr>
        <w:ind w:left="180" w:hanging="179"/>
        <w:spacing w:after="0"/>
        <w:tabs>
          <w:tab w:leader="none" w:pos="180" w:val="left"/>
        </w:tabs>
        <w:numPr>
          <w:ilvl w:val="0"/>
          <w:numId w:val="7"/>
        </w:numPr>
        <w:rPr>
          <w:rFonts w:ascii="Arial" w:cs="Arial" w:eastAsia="Arial" w:hAnsi="Arial"/>
          <w:sz w:val="12"/>
          <w:szCs w:val="12"/>
          <w:color w:val="auto"/>
        </w:rPr>
      </w:pPr>
      <w:r>
        <w:rPr>
          <w:rFonts w:ascii="Arial" w:cs="Arial" w:eastAsia="Arial" w:hAnsi="Arial"/>
          <w:sz w:val="12"/>
          <w:szCs w:val="12"/>
          <w:color w:val="auto"/>
        </w:rPr>
        <w:t>Rate includes the cash interest or dividend rate and paid-in-kind interest or dividend rate, if any, as of December 31, 2020. Generally, payment-in-kind interest can be paid-in-kind or all in cash.</w:t>
      </w:r>
    </w:p>
    <w:p>
      <w:pPr>
        <w:spacing w:after="0" w:line="191" w:lineRule="exact"/>
        <w:rPr>
          <w:rFonts w:ascii="Arial" w:cs="Arial" w:eastAsia="Arial" w:hAnsi="Arial"/>
          <w:sz w:val="12"/>
          <w:szCs w:val="12"/>
          <w:color w:val="auto"/>
        </w:rPr>
      </w:pPr>
    </w:p>
    <w:p>
      <w:pPr>
        <w:ind w:left="180" w:hanging="179"/>
        <w:spacing w:after="0"/>
        <w:tabs>
          <w:tab w:leader="none" w:pos="1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Investment date represents the date of the initial investment in the security.</w:t>
      </w:r>
    </w:p>
    <w:p>
      <w:pPr>
        <w:spacing w:after="0" w:line="168" w:lineRule="exact"/>
        <w:rPr>
          <w:rFonts w:ascii="Arial" w:cs="Arial" w:eastAsia="Arial" w:hAnsi="Arial"/>
          <w:sz w:val="14"/>
          <w:szCs w:val="14"/>
          <w:color w:val="auto"/>
        </w:rPr>
      </w:pPr>
    </w:p>
    <w:p>
      <w:pPr>
        <w:ind w:right="120" w:firstLine="1"/>
        <w:spacing w:after="0" w:line="346" w:lineRule="auto"/>
        <w:tabs>
          <w:tab w:leader="none" w:pos="191"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spacing w:after="0" w:line="96" w:lineRule="exact"/>
        <w:rPr>
          <w:rFonts w:ascii="Arial" w:cs="Arial" w:eastAsia="Arial" w:hAnsi="Arial"/>
          <w:sz w:val="12"/>
          <w:szCs w:val="12"/>
          <w:color w:val="auto"/>
        </w:rPr>
      </w:pPr>
    </w:p>
    <w:p>
      <w:pPr>
        <w:ind w:left="200" w:hanging="199"/>
        <w:spacing w:after="0"/>
        <w:tabs>
          <w:tab w:leader="none" w:pos="2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Investment is held by a taxable subsidiary of the Company.</w:t>
      </w:r>
    </w:p>
    <w:p>
      <w:pPr>
        <w:spacing w:after="0" w:line="168" w:lineRule="exact"/>
        <w:rPr>
          <w:rFonts w:ascii="Arial" w:cs="Arial" w:eastAsia="Arial" w:hAnsi="Arial"/>
          <w:sz w:val="14"/>
          <w:szCs w:val="14"/>
          <w:color w:val="auto"/>
        </w:rPr>
      </w:pPr>
    </w:p>
    <w:p>
      <w:pPr>
        <w:ind w:right="340" w:firstLine="1"/>
        <w:spacing w:after="0" w:line="262" w:lineRule="auto"/>
        <w:tabs>
          <w:tab w:leader="none" w:pos="161"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disclosed commitment represents the unfunded amount as of December 31, 2020. The Company is earning 0.50% interest on the unfunded balance of the commitment. The interest rate disclosed represents the rate which will be earned if the commitment is funded.</w:t>
      </w:r>
    </w:p>
    <w:p>
      <w:pPr>
        <w:spacing w:after="0" w:line="142" w:lineRule="exact"/>
        <w:rPr>
          <w:rFonts w:ascii="Arial" w:cs="Arial" w:eastAsia="Arial" w:hAnsi="Arial"/>
          <w:sz w:val="14"/>
          <w:szCs w:val="14"/>
          <w:color w:val="auto"/>
        </w:rPr>
      </w:pPr>
    </w:p>
    <w:p>
      <w:pPr>
        <w:ind w:right="500" w:firstLine="1"/>
        <w:spacing w:after="0" w:line="262" w:lineRule="auto"/>
        <w:tabs>
          <w:tab w:leader="none" w:pos="161" w:val="left"/>
        </w:tabs>
        <w:numPr>
          <w:ilvl w:val="0"/>
          <w:numId w:val="7"/>
        </w:numPr>
        <w:rPr>
          <w:rFonts w:ascii="Arial" w:cs="Arial" w:eastAsia="Arial" w:hAnsi="Arial"/>
          <w:sz w:val="14"/>
          <w:szCs w:val="14"/>
          <w:color w:val="auto"/>
        </w:rPr>
      </w:pPr>
      <w:r>
        <w:rPr>
          <w:rFonts w:ascii="Arial" w:cs="Arial" w:eastAsia="Arial" w:hAnsi="Arial"/>
          <w:sz w:val="14"/>
          <w:szCs w:val="14"/>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pacing w:after="0" w:line="142" w:lineRule="exact"/>
        <w:rPr>
          <w:rFonts w:ascii="Arial" w:cs="Arial" w:eastAsia="Arial" w:hAnsi="Arial"/>
          <w:sz w:val="14"/>
          <w:szCs w:val="14"/>
          <w:color w:val="auto"/>
        </w:rPr>
      </w:pPr>
    </w:p>
    <w:p>
      <w:pPr>
        <w:ind w:right="120" w:firstLine="1"/>
        <w:spacing w:after="0" w:line="251" w:lineRule="auto"/>
        <w:tabs>
          <w:tab w:leader="none" w:pos="191"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w:t>
      </w: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5975" cy="412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color w:val="auto"/>
        </w:rPr>
        <w:t>statements).</w:t>
      </w:r>
    </w:p>
    <w:p>
      <w:pPr>
        <w:spacing w:after="0" w:line="169" w:lineRule="exact"/>
        <w:rPr>
          <w:sz w:val="20"/>
          <w:szCs w:val="20"/>
          <w:color w:val="auto"/>
        </w:rPr>
      </w:pPr>
    </w:p>
    <w:p>
      <w:pPr>
        <w:jc w:val="both"/>
        <w:ind w:right="20" w:firstLine="1"/>
        <w:spacing w:after="0" w:line="346" w:lineRule="auto"/>
        <w:tabs>
          <w:tab w:leader="none" w:pos="161" w:val="left"/>
        </w:tabs>
        <w:numPr>
          <w:ilvl w:val="0"/>
          <w:numId w:val="8"/>
        </w:numPr>
        <w:rPr>
          <w:rFonts w:ascii="Arial" w:cs="Arial" w:eastAsia="Arial" w:hAnsi="Arial"/>
          <w:sz w:val="12"/>
          <w:szCs w:val="12"/>
          <w:color w:val="auto"/>
        </w:rPr>
      </w:pPr>
      <w:r>
        <w:rPr>
          <w:rFonts w:ascii="Arial" w:cs="Arial" w:eastAsia="Arial" w:hAnsi="Arial"/>
          <w:sz w:val="12"/>
          <w:szCs w:val="12"/>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spacing w:after="0" w:line="96" w:lineRule="exact"/>
        <w:rPr>
          <w:rFonts w:ascii="Arial" w:cs="Arial" w:eastAsia="Arial" w:hAnsi="Arial"/>
          <w:sz w:val="12"/>
          <w:szCs w:val="12"/>
          <w:color w:val="auto"/>
        </w:rPr>
      </w:pPr>
    </w:p>
    <w:p>
      <w:pPr>
        <w:ind w:firstLine="1"/>
        <w:spacing w:after="0" w:line="262" w:lineRule="auto"/>
        <w:tabs>
          <w:tab w:leader="none" w:pos="229" w:val="left"/>
        </w:tabs>
        <w:numPr>
          <w:ilvl w:val="0"/>
          <w:numId w:val="8"/>
        </w:numPr>
        <w:rPr>
          <w:rFonts w:ascii="Arial" w:cs="Arial" w:eastAsia="Arial" w:hAnsi="Arial"/>
          <w:sz w:val="14"/>
          <w:szCs w:val="14"/>
          <w:color w:val="auto"/>
        </w:rPr>
      </w:pPr>
      <w:r>
        <w:rPr>
          <w:rFonts w:ascii="Arial" w:cs="Arial" w:eastAsia="Arial" w:hAnsi="Arial"/>
          <w:sz w:val="14"/>
          <w:szCs w:val="14"/>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spacing w:after="0" w:line="142" w:lineRule="exact"/>
        <w:rPr>
          <w:rFonts w:ascii="Arial" w:cs="Arial" w:eastAsia="Arial" w:hAnsi="Arial"/>
          <w:sz w:val="14"/>
          <w:szCs w:val="14"/>
          <w:color w:val="auto"/>
        </w:rPr>
      </w:pPr>
    </w:p>
    <w:p>
      <w:pPr>
        <w:ind w:left="200" w:hanging="199"/>
        <w:spacing w:after="0"/>
        <w:tabs>
          <w:tab w:leader="none" w:pos="20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Investment in portfolio company that has sold its operations and is in the process of winding down.</w:t>
      </w:r>
    </w:p>
    <w:p>
      <w:pPr>
        <w:spacing w:after="0" w:line="168" w:lineRule="exact"/>
        <w:rPr>
          <w:rFonts w:ascii="Arial" w:cs="Arial" w:eastAsia="Arial" w:hAnsi="Arial"/>
          <w:sz w:val="14"/>
          <w:szCs w:val="14"/>
          <w:color w:val="auto"/>
        </w:rPr>
      </w:pPr>
    </w:p>
    <w:p>
      <w:pPr>
        <w:ind w:left="200" w:hanging="199"/>
        <w:spacing w:after="0"/>
        <w:tabs>
          <w:tab w:leader="none" w:pos="20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Income producing. Maturity date, if any, represents mandatory redemption date.</w:t>
      </w:r>
    </w:p>
    <w:p>
      <w:pPr>
        <w:spacing w:after="0" w:line="168" w:lineRule="exact"/>
        <w:rPr>
          <w:rFonts w:ascii="Arial" w:cs="Arial" w:eastAsia="Arial" w:hAnsi="Arial"/>
          <w:sz w:val="14"/>
          <w:szCs w:val="14"/>
          <w:color w:val="auto"/>
        </w:rPr>
      </w:pPr>
    </w:p>
    <w:p>
      <w:pPr>
        <w:ind w:left="200" w:hanging="199"/>
        <w:spacing w:after="0"/>
        <w:tabs>
          <w:tab w:leader="none" w:pos="20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Investment was on PIK-only non-accrual status as of December 31, 2020, meaning the Company has ceased recognizing PIK interest income on the investment.</w:t>
      </w:r>
    </w:p>
    <w:p>
      <w:pPr>
        <w:spacing w:after="0" w:line="168" w:lineRule="exact"/>
        <w:rPr>
          <w:rFonts w:ascii="Arial" w:cs="Arial" w:eastAsia="Arial" w:hAnsi="Arial"/>
          <w:sz w:val="14"/>
          <w:szCs w:val="14"/>
          <w:color w:val="auto"/>
        </w:rPr>
      </w:pPr>
    </w:p>
    <w:p>
      <w:pPr>
        <w:ind w:left="200" w:hanging="199"/>
        <w:spacing w:after="0"/>
        <w:tabs>
          <w:tab w:leader="none" w:pos="200" w:val="left"/>
        </w:tabs>
        <w:numPr>
          <w:ilvl w:val="0"/>
          <w:numId w:val="8"/>
        </w:numPr>
        <w:rPr>
          <w:rFonts w:ascii="Arial" w:cs="Arial" w:eastAsia="Arial" w:hAnsi="Arial"/>
          <w:sz w:val="14"/>
          <w:szCs w:val="14"/>
          <w:color w:val="auto"/>
        </w:rPr>
      </w:pPr>
      <w:r>
        <w:rPr>
          <w:rFonts w:ascii="Arial" w:cs="Arial" w:eastAsia="Arial" w:hAnsi="Arial"/>
          <w:sz w:val="14"/>
          <w:szCs w:val="14"/>
          <w:color w:val="auto"/>
        </w:rPr>
        <w:t>Warrant entitles the Company to purchase 4.79% of the outstanding principal of Junior Subordinated Notes prior to exercise, and is non-income producing.</w:t>
      </w:r>
    </w:p>
    <w:p>
      <w:pPr>
        <w:spacing w:after="0" w:line="168" w:lineRule="exact"/>
        <w:rPr>
          <w:rFonts w:ascii="Arial" w:cs="Arial" w:eastAsia="Arial" w:hAnsi="Arial"/>
          <w:sz w:val="14"/>
          <w:szCs w:val="14"/>
          <w:color w:val="auto"/>
        </w:rPr>
      </w:pPr>
    </w:p>
    <w:p>
      <w:pPr>
        <w:ind w:right="80" w:firstLine="1"/>
        <w:spacing w:after="0" w:line="254" w:lineRule="auto"/>
        <w:tabs>
          <w:tab w:leader="none" w:pos="169"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5.92%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48" w:lineRule="exact"/>
        <w:rPr>
          <w:rFonts w:ascii="Arial" w:cs="Arial" w:eastAsia="Arial" w:hAnsi="Arial"/>
          <w:sz w:val="14"/>
          <w:szCs w:val="14"/>
          <w:color w:val="auto"/>
        </w:rPr>
      </w:pPr>
    </w:p>
    <w:p>
      <w:pPr>
        <w:ind w:right="80" w:firstLine="1"/>
        <w:spacing w:after="0" w:line="254" w:lineRule="auto"/>
        <w:tabs>
          <w:tab w:leader="none" w:pos="176"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3.34%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48" w:lineRule="exact"/>
        <w:rPr>
          <w:rFonts w:ascii="Arial" w:cs="Arial" w:eastAsia="Arial" w:hAnsi="Arial"/>
          <w:sz w:val="14"/>
          <w:szCs w:val="14"/>
          <w:color w:val="auto"/>
        </w:rPr>
      </w:pPr>
    </w:p>
    <w:p>
      <w:pPr>
        <w:ind w:right="60" w:firstLine="1"/>
        <w:spacing w:after="0" w:line="254" w:lineRule="auto"/>
        <w:tabs>
          <w:tab w:leader="none" w:pos="161"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spacing w:after="0" w:line="148" w:lineRule="exact"/>
        <w:rPr>
          <w:rFonts w:ascii="Arial" w:cs="Arial" w:eastAsia="Arial" w:hAnsi="Arial"/>
          <w:sz w:val="14"/>
          <w:szCs w:val="14"/>
          <w:color w:val="auto"/>
        </w:rPr>
      </w:pPr>
    </w:p>
    <w:p>
      <w:pPr>
        <w:ind w:right="80" w:firstLine="1"/>
        <w:spacing w:after="0" w:line="254" w:lineRule="auto"/>
        <w:tabs>
          <w:tab w:leader="none" w:pos="191"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4.50%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48" w:lineRule="exact"/>
        <w:rPr>
          <w:rFonts w:ascii="Arial" w:cs="Arial" w:eastAsia="Arial" w:hAnsi="Arial"/>
          <w:sz w:val="14"/>
          <w:szCs w:val="14"/>
          <w:color w:val="auto"/>
        </w:rPr>
      </w:pPr>
    </w:p>
    <w:p>
      <w:pPr>
        <w:ind w:right="80" w:firstLine="1"/>
        <w:spacing w:after="0" w:line="254" w:lineRule="auto"/>
        <w:tabs>
          <w:tab w:leader="none" w:pos="191"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4.25%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48" w:lineRule="exact"/>
        <w:rPr>
          <w:rFonts w:ascii="Arial" w:cs="Arial" w:eastAsia="Arial" w:hAnsi="Arial"/>
          <w:sz w:val="14"/>
          <w:szCs w:val="14"/>
          <w:color w:val="auto"/>
        </w:rPr>
      </w:pPr>
    </w:p>
    <w:p>
      <w:pPr>
        <w:ind w:right="80" w:firstLine="1"/>
        <w:spacing w:after="0" w:line="254" w:lineRule="auto"/>
        <w:tabs>
          <w:tab w:leader="none" w:pos="221"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3.27%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48" w:lineRule="exact"/>
        <w:rPr>
          <w:rFonts w:ascii="Arial" w:cs="Arial" w:eastAsia="Arial" w:hAnsi="Arial"/>
          <w:sz w:val="14"/>
          <w:szCs w:val="14"/>
          <w:color w:val="auto"/>
        </w:rPr>
      </w:pPr>
    </w:p>
    <w:p>
      <w:pPr>
        <w:ind w:right="80" w:firstLine="1"/>
        <w:spacing w:after="0" w:line="254" w:lineRule="auto"/>
        <w:tabs>
          <w:tab w:leader="none" w:pos="191"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3.13%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48" w:lineRule="exact"/>
        <w:rPr>
          <w:rFonts w:ascii="Arial" w:cs="Arial" w:eastAsia="Arial" w:hAnsi="Arial"/>
          <w:sz w:val="14"/>
          <w:szCs w:val="14"/>
          <w:color w:val="auto"/>
        </w:rPr>
      </w:pPr>
    </w:p>
    <w:p>
      <w:pPr>
        <w:ind w:right="80" w:firstLine="1"/>
        <w:spacing w:after="0" w:line="254" w:lineRule="auto"/>
        <w:tabs>
          <w:tab w:leader="none" w:pos="191"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3.93%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48" w:lineRule="exact"/>
        <w:rPr>
          <w:rFonts w:ascii="Arial" w:cs="Arial" w:eastAsia="Arial" w:hAnsi="Arial"/>
          <w:sz w:val="14"/>
          <w:szCs w:val="14"/>
          <w:color w:val="auto"/>
        </w:rPr>
      </w:pPr>
    </w:p>
    <w:p>
      <w:pPr>
        <w:ind w:right="80" w:firstLine="1"/>
        <w:spacing w:after="0" w:line="254" w:lineRule="auto"/>
        <w:tabs>
          <w:tab w:leader="none" w:pos="184"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4.21%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48" w:lineRule="exact"/>
        <w:rPr>
          <w:sz w:val="20"/>
          <w:szCs w:val="20"/>
          <w:color w:val="auto"/>
        </w:rPr>
      </w:pPr>
    </w:p>
    <w:p>
      <w:pPr>
        <w:ind w:right="80" w:firstLine="1"/>
        <w:spacing w:after="0" w:line="316" w:lineRule="auto"/>
        <w:tabs>
          <w:tab w:leader="none" w:pos="244" w:val="left"/>
        </w:tabs>
        <w:numPr>
          <w:ilvl w:val="0"/>
          <w:numId w:val="9"/>
        </w:numPr>
        <w:rPr>
          <w:rFonts w:ascii="Arial" w:cs="Arial" w:eastAsia="Arial" w:hAnsi="Arial"/>
          <w:sz w:val="12"/>
          <w:szCs w:val="12"/>
          <w:color w:val="auto"/>
        </w:rPr>
      </w:pPr>
      <w:r>
        <w:rPr>
          <w:rFonts w:ascii="Arial" w:cs="Arial" w:eastAsia="Arial" w:hAnsi="Arial"/>
          <w:sz w:val="12"/>
          <w:szCs w:val="12"/>
          <w:color w:val="auto"/>
        </w:rPr>
        <w:t>In addition to the interest earned based on the stated interest rate of this security, the Company is entitled to receive an additional interest amount of 2.84%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14" w:lineRule="exact"/>
        <w:rPr>
          <w:sz w:val="20"/>
          <w:szCs w:val="20"/>
          <w:color w:val="auto"/>
        </w:rPr>
      </w:pPr>
    </w:p>
    <w:p>
      <w:pPr>
        <w:ind w:right="80"/>
        <w:spacing w:after="0" w:line="254" w:lineRule="auto"/>
        <w:rPr>
          <w:sz w:val="20"/>
          <w:szCs w:val="20"/>
          <w:color w:val="auto"/>
        </w:rPr>
      </w:pPr>
      <w:r>
        <w:rPr>
          <w:rFonts w:ascii="Arial" w:cs="Arial" w:eastAsia="Arial" w:hAnsi="Arial"/>
          <w:sz w:val="14"/>
          <w:szCs w:val="14"/>
          <w:color w:val="auto"/>
        </w:rPr>
        <w:t>(ab) In addition to the interest earned based on the stated interest rate of this security, the Company is entitled to receive an additional interest amount of 2.95%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48" w:lineRule="exact"/>
        <w:rPr>
          <w:sz w:val="20"/>
          <w:szCs w:val="20"/>
          <w:color w:val="auto"/>
        </w:rPr>
      </w:pPr>
    </w:p>
    <w:p>
      <w:pPr>
        <w:ind w:right="240"/>
        <w:spacing w:after="0" w:line="262" w:lineRule="auto"/>
        <w:rPr>
          <w:sz w:val="20"/>
          <w:szCs w:val="20"/>
          <w:color w:val="auto"/>
        </w:rPr>
      </w:pPr>
      <w:r>
        <w:rPr>
          <w:rFonts w:ascii="Arial" w:cs="Arial" w:eastAsia="Arial" w:hAnsi="Arial"/>
          <w:sz w:val="14"/>
          <w:szCs w:val="14"/>
          <w:color w:val="auto"/>
        </w:rPr>
        <w:t>(ac) The disclosed commitment represents the unfunded amount as of December 31, 2020. The Company is earning 1.00% interest on the unfunded balance of the commitment. The interest rate disclosed represents the rate earned on the outstanding, funded balance of the commitment.</w:t>
      </w:r>
    </w:p>
    <w:p>
      <w:pPr>
        <w:spacing w:after="0" w:line="143" w:lineRule="exact"/>
        <w:rPr>
          <w:sz w:val="20"/>
          <w:szCs w:val="20"/>
          <w:color w:val="auto"/>
        </w:rPr>
      </w:pPr>
    </w:p>
    <w:p>
      <w:pPr>
        <w:ind w:right="80"/>
        <w:spacing w:after="0" w:line="254" w:lineRule="auto"/>
        <w:rPr>
          <w:sz w:val="20"/>
          <w:szCs w:val="20"/>
          <w:color w:val="auto"/>
        </w:rPr>
      </w:pPr>
      <w:r>
        <w:rPr>
          <w:rFonts w:ascii="Arial" w:cs="Arial" w:eastAsia="Arial" w:hAnsi="Arial"/>
          <w:sz w:val="14"/>
          <w:szCs w:val="14"/>
          <w:color w:val="auto"/>
        </w:rPr>
        <w:t>(ad) In addition to the interest earned based on the stated interest rate of this security, the Company is entitled to receive an additional interest amount of 3.33%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48" w:lineRule="exact"/>
        <w:rPr>
          <w:sz w:val="20"/>
          <w:szCs w:val="20"/>
          <w:color w:val="auto"/>
        </w:rPr>
      </w:pPr>
    </w:p>
    <w:p>
      <w:pPr>
        <w:ind w:right="80"/>
        <w:spacing w:after="0" w:line="254" w:lineRule="auto"/>
        <w:rPr>
          <w:sz w:val="20"/>
          <w:szCs w:val="20"/>
          <w:color w:val="auto"/>
        </w:rPr>
      </w:pPr>
      <w:r>
        <w:rPr>
          <w:rFonts w:ascii="Arial" w:cs="Arial" w:eastAsia="Arial" w:hAnsi="Arial"/>
          <w:sz w:val="14"/>
          <w:szCs w:val="14"/>
          <w:color w:val="auto"/>
        </w:rPr>
        <w:t>(ae) In addition to the interest earned based on the stated interest rate of this security, the Company is entitled to receive an additional interest amount of 3.31%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48" w:lineRule="exact"/>
        <w:rPr>
          <w:sz w:val="20"/>
          <w:szCs w:val="20"/>
          <w:color w:val="auto"/>
        </w:rPr>
      </w:pPr>
    </w:p>
    <w:p>
      <w:pPr>
        <w:ind w:right="480"/>
        <w:spacing w:after="0" w:line="251" w:lineRule="auto"/>
        <w:rPr>
          <w:sz w:val="20"/>
          <w:szCs w:val="20"/>
          <w:color w:val="auto"/>
        </w:rPr>
      </w:pPr>
      <w:r>
        <w:rPr>
          <w:rFonts w:ascii="Arial" w:cs="Arial" w:eastAsia="Arial" w:hAnsi="Arial"/>
          <w:sz w:val="14"/>
          <w:szCs w:val="14"/>
          <w:color w:val="auto"/>
        </w:rPr>
        <w:t>(af) In addition to the interest earned based on the stated interest rate of this security, the Company is entitled to receive an additional interest amount of 4.03% on its “last out” tranche of the portfolio company’s senior term debt, which was previously syndicated into “first out” and “last out” tranches, whereby the “first out”</w:t>
      </w: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5975" cy="412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349" w:right="359" w:bottom="1440" w:gutter="0" w:footer="0" w:header="0"/>
        </w:sectPr>
      </w:pPr>
    </w:p>
    <w:bookmarkStart w:id="15" w:name="page16"/>
    <w:bookmarkEnd w:id="15"/>
    <w:p>
      <w:pPr>
        <w:spacing w:after="0"/>
        <w:rPr>
          <w:sz w:val="20"/>
          <w:szCs w:val="20"/>
          <w:color w:val="auto"/>
        </w:rPr>
      </w:pPr>
      <w:r>
        <w:rPr>
          <w:rFonts w:ascii="Arial" w:cs="Arial" w:eastAsia="Arial" w:hAnsi="Arial"/>
          <w:sz w:val="12"/>
          <w:szCs w:val="12"/>
          <w:color w:val="auto"/>
        </w:rPr>
        <w:t>tranche will have priority as to the “last out” tranche with respect to payments of principal, interest and any other amounts due thereunder.</w:t>
      </w:r>
    </w:p>
    <w:p>
      <w:pPr>
        <w:sectPr>
          <w:pgSz w:w="11900" w:h="16838" w:orient="portrait"/>
          <w:cols w:equalWidth="0" w:num="1">
            <w:col w:w="10139"/>
          </w:cols>
          <w:pgMar w:left="320" w:top="3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300"/>
        <w:spacing w:after="0"/>
        <w:rPr>
          <w:sz w:val="20"/>
          <w:szCs w:val="20"/>
          <w:color w:val="auto"/>
        </w:rPr>
      </w:pPr>
      <w:r>
        <w:rPr>
          <w:rFonts w:ascii="Arial" w:cs="Arial" w:eastAsia="Arial" w:hAnsi="Arial"/>
          <w:sz w:val="12"/>
          <w:szCs w:val="12"/>
          <w:i w:val="1"/>
          <w:iCs w:val="1"/>
          <w:color w:val="auto"/>
        </w:rPr>
        <w:t>See Notes to Consolidated Financial Statements.</w:t>
      </w:r>
    </w:p>
    <w:p>
      <w:pPr>
        <w:spacing w:after="0" w:line="200" w:lineRule="exact"/>
        <w:rPr>
          <w:sz w:val="20"/>
          <w:szCs w:val="20"/>
          <w:color w:val="auto"/>
        </w:rPr>
      </w:pPr>
    </w:p>
    <w:p>
      <w:pPr>
        <w:spacing w:after="0" w:line="264"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0139"/>
          </w:cols>
          <w:pgMar w:left="320" w:top="349" w:right="1440"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(unaudited)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Organization and Nature of Business</w:t>
      </w:r>
    </w:p>
    <w:p>
      <w:pPr>
        <w:spacing w:after="0" w:line="176" w:lineRule="exact"/>
        <w:rPr>
          <w:sz w:val="20"/>
          <w:szCs w:val="20"/>
          <w:color w:val="auto"/>
        </w:rPr>
      </w:pPr>
    </w:p>
    <w:p>
      <w:pPr>
        <w:jc w:val="both"/>
        <w:ind w:firstLine="480"/>
        <w:spacing w:after="0" w:line="294" w:lineRule="auto"/>
        <w:rPr>
          <w:sz w:val="20"/>
          <w:szCs w:val="20"/>
          <w:color w:val="auto"/>
        </w:rPr>
      </w:pPr>
      <w:r>
        <w:rPr>
          <w:rFonts w:ascii="Arial" w:cs="Arial" w:eastAsia="Arial" w:hAnsi="Arial"/>
          <w:sz w:val="16"/>
          <w:szCs w:val="16"/>
          <w:color w:val="auto"/>
        </w:rPr>
        <w:t>Fidus Investment Corporation (“FIC,” and together with its subsidiaries, the “Company”), a Maryland corporation, operates as an externally managed, closed-end, non-diversified business development company (“BDC”) under the Investment Company Act of 1940, as amended (“1940 Act”). FIC completed its initial public offering, or IPO, in June 2011. In addition, for federal income tax purposes, the Company has elected, and intends to qualify annually, to be treated as a regulated investment company (“RIC”) under Subchapter M of the Internal Revenue Code of 1986, as amended (the “Code”).</w:t>
      </w:r>
    </w:p>
    <w:p>
      <w:pPr>
        <w:spacing w:after="0" w:line="113" w:lineRule="exact"/>
        <w:rPr>
          <w:sz w:val="20"/>
          <w:szCs w:val="20"/>
          <w:color w:val="auto"/>
        </w:rPr>
      </w:pPr>
    </w:p>
    <w:p>
      <w:pPr>
        <w:jc w:val="both"/>
        <w:ind w:firstLine="480"/>
        <w:spacing w:after="0" w:line="268" w:lineRule="auto"/>
        <w:rPr>
          <w:sz w:val="20"/>
          <w:szCs w:val="20"/>
          <w:color w:val="auto"/>
        </w:rPr>
      </w:pPr>
      <w:r>
        <w:rPr>
          <w:rFonts w:ascii="Arial" w:cs="Arial" w:eastAsia="Arial" w:hAnsi="Arial"/>
          <w:sz w:val="17"/>
          <w:szCs w:val="17"/>
          <w:color w:val="auto"/>
        </w:rPr>
        <w:t>The Company provides customized debt and equity financing solutions to lower middle-market companies, and may make investments directly or through its two wholly-owned investment company subsidiaries, Fidus Mezzanine Capital II, L.P. (“Fund II”) and Fidus Mezzanine Capital III, L.P. (“Fund III”) (collectively, Fund II and Fund III are referred to as the “Funds”). The Funds are licensed by the U.S. Small Business Administration (the “SBA”) as small business investment companies (“SBIC”). The SBIC licenses allow the Funds to obtain leverage by issuing SBA-guaranteed debentures (“SBA debentures”), subject to the issuance of leverage commitments by the SBA and other customary procedures. As SBICs, the Funds are subject to a variety of regulations and oversight by the SBA under the Small Business Investment Act of 1958, as amended (the “SBIC Act”), concerning, among other things, the size and nature of the companies in which they may invest and the structure of those investments.</w:t>
      </w:r>
    </w:p>
    <w:p>
      <w:pPr>
        <w:spacing w:after="0" w:line="133" w:lineRule="exact"/>
        <w:rPr>
          <w:sz w:val="20"/>
          <w:szCs w:val="20"/>
          <w:color w:val="auto"/>
        </w:rPr>
      </w:pPr>
    </w:p>
    <w:p>
      <w:pPr>
        <w:jc w:val="both"/>
        <w:ind w:firstLine="480"/>
        <w:spacing w:after="0" w:line="272" w:lineRule="auto"/>
        <w:rPr>
          <w:sz w:val="20"/>
          <w:szCs w:val="20"/>
          <w:color w:val="auto"/>
        </w:rPr>
      </w:pPr>
      <w:r>
        <w:rPr>
          <w:rFonts w:ascii="Arial" w:cs="Arial" w:eastAsia="Arial" w:hAnsi="Arial"/>
          <w:sz w:val="17"/>
          <w:szCs w:val="17"/>
          <w:color w:val="auto"/>
        </w:rPr>
        <w:t>We believe that utilizing both FIC and the Funds as investment vehicles provides us with access to a broader array of investment opportunities. Given our access to lower cost capital through the SBA’s SBIC debenture program, we expect that we will continue to make investments through the Funds until the Funds reach their borrowing limit under the program. For two or more SBICs under common control, the maximum amount of outstanding SBA debentures cannot exceed $350,000.</w:t>
      </w:r>
    </w:p>
    <w:p>
      <w:pPr>
        <w:spacing w:after="0" w:line="128" w:lineRule="exact"/>
        <w:rPr>
          <w:sz w:val="20"/>
          <w:szCs w:val="20"/>
          <w:color w:val="auto"/>
        </w:rPr>
      </w:pPr>
    </w:p>
    <w:p>
      <w:pPr>
        <w:jc w:val="both"/>
        <w:ind w:firstLine="480"/>
        <w:spacing w:after="0" w:line="288" w:lineRule="auto"/>
        <w:rPr>
          <w:sz w:val="20"/>
          <w:szCs w:val="20"/>
          <w:color w:val="auto"/>
        </w:rPr>
      </w:pPr>
      <w:r>
        <w:rPr>
          <w:rFonts w:ascii="Arial" w:cs="Arial" w:eastAsia="Arial" w:hAnsi="Arial"/>
          <w:sz w:val="17"/>
          <w:szCs w:val="17"/>
          <w:color w:val="auto"/>
        </w:rPr>
        <w:t>Fund II and Fund III are not registered under the 1940 Act and rely on the exclusion from the definition of investment company contained in Section 3(c)(7) of the 1940 Act.</w:t>
      </w:r>
    </w:p>
    <w:p>
      <w:pPr>
        <w:spacing w:after="0" w:line="114" w:lineRule="exact"/>
        <w:rPr>
          <w:sz w:val="20"/>
          <w:szCs w:val="20"/>
          <w:color w:val="auto"/>
        </w:rPr>
      </w:pPr>
    </w:p>
    <w:p>
      <w:pPr>
        <w:jc w:val="both"/>
        <w:ind w:firstLine="480"/>
        <w:spacing w:after="0" w:line="288" w:lineRule="auto"/>
        <w:rPr>
          <w:sz w:val="20"/>
          <w:szCs w:val="20"/>
          <w:color w:val="auto"/>
        </w:rPr>
      </w:pPr>
      <w:r>
        <w:rPr>
          <w:rFonts w:ascii="Arial" w:cs="Arial" w:eastAsia="Arial" w:hAnsi="Arial"/>
          <w:sz w:val="17"/>
          <w:szCs w:val="17"/>
          <w:color w:val="auto"/>
        </w:rPr>
        <w:t>The Company pays a quarterly base management fee and an incentive fee to Fidus Investment Advisors, LLC, our investment advisor (the “Investment Advisor” or “Fidus Investment Advisors”) under an investment advisory agreement (the “Investment Advisory Agreement”).</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Significant Accounting Policies</w:t>
      </w:r>
    </w:p>
    <w:p>
      <w:pPr>
        <w:spacing w:after="0" w:line="176" w:lineRule="exact"/>
        <w:rPr>
          <w:sz w:val="20"/>
          <w:szCs w:val="20"/>
          <w:color w:val="auto"/>
        </w:rPr>
      </w:pPr>
    </w:p>
    <w:p>
      <w:pPr>
        <w:jc w:val="both"/>
        <w:ind w:firstLine="478"/>
        <w:spacing w:after="0" w:line="287"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The accompanying consolidated financial statements of the Company have been prepared in accordance with generally accepted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accounting principles in the United States of America (“GAAP”) pursuant to the requirements for reporting on Form 10-Q, Accounting Standards Codification (“ASC”) 946, </w:t>
      </w:r>
      <w:r>
        <w:rPr>
          <w:rFonts w:ascii="Arial" w:cs="Arial" w:eastAsia="Arial" w:hAnsi="Arial"/>
          <w:sz w:val="16"/>
          <w:szCs w:val="16"/>
          <w:i w:val="1"/>
          <w:iCs w:val="1"/>
          <w:color w:val="auto"/>
        </w:rPr>
        <w:t>Financial Services – Investment Companies</w:t>
      </w:r>
      <w:r>
        <w:rPr>
          <w:rFonts w:ascii="Arial" w:cs="Arial" w:eastAsia="Arial" w:hAnsi="Arial"/>
          <w:sz w:val="16"/>
          <w:szCs w:val="16"/>
          <w:color w:val="auto"/>
        </w:rPr>
        <w:t xml:space="preserve"> (“ASC 946”), and Articles 6 or 10 of Regulation S-X. In the opinion of management, the consolidated financial statements reflect all adjustments and reclassifications that are necessary for the fair presentation of financial results as of and for the periods presented. Certain prior period amounts have been reclassified to conform to the current period presentation. The current period’s results of operation are not necessarily indicative of results that ultimately may be achieved for the year. Therefore, the unaudited financial statements and notes should be read in conjunction with the audited financial statements and notes thereto for the year ended December 31, 2020.</w:t>
      </w:r>
    </w:p>
    <w:p>
      <w:pPr>
        <w:spacing w:after="0" w:line="121" w:lineRule="exact"/>
        <w:rPr>
          <w:sz w:val="20"/>
          <w:szCs w:val="20"/>
          <w:color w:val="auto"/>
        </w:rPr>
      </w:pPr>
    </w:p>
    <w:p>
      <w:pPr>
        <w:jc w:val="both"/>
        <w:ind w:firstLine="478"/>
        <w:spacing w:after="0" w:line="301"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The preparation of the consolidated financial statements in conformity with GAAP requires management to make estimates and assumptions</w:t>
      </w:r>
      <w:r>
        <w:rPr>
          <w:rFonts w:ascii="Arial" w:cs="Arial" w:eastAsia="Arial" w:hAnsi="Arial"/>
          <w:sz w:val="16"/>
          <w:szCs w:val="16"/>
          <w:i w:val="1"/>
          <w:iCs w:val="1"/>
          <w:color w:val="auto"/>
        </w:rPr>
        <w:t xml:space="preserve"> </w:t>
      </w:r>
      <w:r>
        <w:rPr>
          <w:rFonts w:ascii="Arial" w:cs="Arial" w:eastAsia="Arial" w:hAnsi="Arial"/>
          <w:sz w:val="16"/>
          <w:szCs w:val="16"/>
          <w:color w:val="auto"/>
        </w:rPr>
        <w:t>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06" w:lineRule="exact"/>
        <w:rPr>
          <w:sz w:val="20"/>
          <w:szCs w:val="20"/>
          <w:color w:val="auto"/>
        </w:rPr>
      </w:pPr>
    </w:p>
    <w:p>
      <w:pPr>
        <w:jc w:val="both"/>
        <w:ind w:firstLine="478"/>
        <w:spacing w:after="0" w:line="272" w:lineRule="auto"/>
        <w:rPr>
          <w:sz w:val="20"/>
          <w:szCs w:val="20"/>
          <w:color w:val="auto"/>
        </w:rPr>
      </w:pPr>
      <w:r>
        <w:rPr>
          <w:rFonts w:ascii="Arial" w:cs="Arial" w:eastAsia="Arial" w:hAnsi="Arial"/>
          <w:sz w:val="17"/>
          <w:szCs w:val="17"/>
          <w:i w:val="1"/>
          <w:iCs w:val="1"/>
          <w:color w:val="auto"/>
        </w:rPr>
        <w:t xml:space="preserve">Consolidation: </w:t>
      </w:r>
      <w:r>
        <w:rPr>
          <w:rFonts w:ascii="Arial" w:cs="Arial" w:eastAsia="Arial" w:hAnsi="Arial"/>
          <w:sz w:val="17"/>
          <w:szCs w:val="17"/>
          <w:color w:val="auto"/>
        </w:rPr>
        <w:t>Pursuant to Article 6 of Regulation S-X and ASC 946, the Company will generally not consolidate its investments in a company other than an</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company subsidiary or a controlled operating company whose business consists of providing services to the Company. As a result, the consolidated financial statements of the Company include only the accounts of the Company and its wholly-owned subsidiaries, including the Funds. All significant intercompany balances and transactions have been eliminated.</w:t>
      </w:r>
    </w:p>
    <w:p>
      <w:pPr>
        <w:spacing w:after="0" w:line="128"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 xml:space="preserve">Investment risks: </w:t>
      </w:r>
      <w:r>
        <w:rPr>
          <w:rFonts w:ascii="Arial" w:cs="Arial" w:eastAsia="Arial" w:hAnsi="Arial"/>
          <w:sz w:val="17"/>
          <w:szCs w:val="17"/>
          <w:color w:val="auto"/>
        </w:rPr>
        <w:t>The Company’s investments are subject to a variety of risks. These risks may include, but are not limited to the following:</w:t>
      </w:r>
    </w:p>
    <w:p>
      <w:pPr>
        <w:spacing w:after="0" w:line="20" w:lineRule="exact"/>
        <w:rPr>
          <w:sz w:val="20"/>
          <w:szCs w:val="20"/>
          <w:color w:val="auto"/>
        </w:rPr>
      </w:pPr>
    </w:p>
    <w:p>
      <w:pPr>
        <w:jc w:val="both"/>
        <w:ind w:left="1160"/>
        <w:spacing w:after="0" w:line="281" w:lineRule="auto"/>
        <w:rPr>
          <w:sz w:val="20"/>
          <w:szCs w:val="20"/>
          <w:color w:val="auto"/>
        </w:rPr>
      </w:pPr>
      <w:r>
        <w:rPr>
          <w:rFonts w:ascii="Arial" w:cs="Arial" w:eastAsia="Arial" w:hAnsi="Arial"/>
          <w:sz w:val="16"/>
          <w:szCs w:val="16"/>
          <w:i w:val="1"/>
          <w:iCs w:val="1"/>
          <w:color w:val="auto"/>
        </w:rPr>
        <w:t xml:space="preserve">Market risk - </w:t>
      </w:r>
      <w:r>
        <w:rPr>
          <w:rFonts w:ascii="Arial" w:cs="Arial" w:eastAsia="Arial" w:hAnsi="Arial"/>
          <w:sz w:val="16"/>
          <w:szCs w:val="16"/>
          <w:color w:val="auto"/>
        </w:rPr>
        <w:t>In contrast to investment-grade bonds (the market prices of which change primarily as a reaction to changes in interest rates), the</w:t>
      </w:r>
      <w:r>
        <w:rPr>
          <w:rFonts w:ascii="Arial" w:cs="Arial" w:eastAsia="Arial" w:hAnsi="Arial"/>
          <w:sz w:val="16"/>
          <w:szCs w:val="16"/>
          <w:i w:val="1"/>
          <w:iCs w:val="1"/>
          <w:color w:val="auto"/>
        </w:rPr>
        <w:t xml:space="preserve"> </w:t>
      </w:r>
      <w:r>
        <w:rPr>
          <w:rFonts w:ascii="Arial" w:cs="Arial" w:eastAsia="Arial" w:hAnsi="Arial"/>
          <w:sz w:val="16"/>
          <w:szCs w:val="16"/>
          <w:color w:val="auto"/>
        </w:rPr>
        <w:t>market prices of high-yield bonds (which are also affected by changes in interest rates) are influenced much more by credit factors and financial results of the issuer as well as general economic factors that influence the financial markets as a whole. The portfolio companies in which the Company invests may be unseasoned, unprofitable and/or have little established operating history or earnings. These companies may also lack technical, marketing, financial, and other resources or may be dependent upon the success of one product or service, a unique distribution channel, or the effectiveness of a manager or management team, as compared to larger, more established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(unaudited)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21" w:lineRule="exact"/>
        <w:rPr>
          <w:sz w:val="20"/>
          <w:szCs w:val="20"/>
          <w:color w:val="auto"/>
        </w:rPr>
      </w:pPr>
    </w:p>
    <w:p>
      <w:pPr>
        <w:jc w:val="both"/>
        <w:ind w:left="1160"/>
        <w:spacing w:after="0" w:line="276" w:lineRule="auto"/>
        <w:rPr>
          <w:sz w:val="20"/>
          <w:szCs w:val="20"/>
          <w:color w:val="auto"/>
        </w:rPr>
      </w:pPr>
      <w:r>
        <w:rPr>
          <w:rFonts w:ascii="Arial" w:cs="Arial" w:eastAsia="Arial" w:hAnsi="Arial"/>
          <w:sz w:val="17"/>
          <w:szCs w:val="17"/>
          <w:color w:val="auto"/>
        </w:rPr>
        <w:t>entities. The failure of a single product, service or distribution channel, or the loss or the ineffectiveness of a key executive or executives within the management team may have a materially adverse impact on such companies. Furthermore, these companies may be more vulnerable to competition and to overall economic conditions than larger, more established entities.</w:t>
      </w:r>
    </w:p>
    <w:p>
      <w:pPr>
        <w:spacing w:after="0" w:line="124" w:lineRule="exact"/>
        <w:rPr>
          <w:sz w:val="20"/>
          <w:szCs w:val="20"/>
          <w:color w:val="auto"/>
        </w:rPr>
      </w:pPr>
    </w:p>
    <w:p>
      <w:pPr>
        <w:jc w:val="both"/>
        <w:ind w:left="1160"/>
        <w:spacing w:after="0" w:line="276" w:lineRule="auto"/>
        <w:rPr>
          <w:sz w:val="20"/>
          <w:szCs w:val="20"/>
          <w:color w:val="auto"/>
        </w:rPr>
      </w:pPr>
      <w:r>
        <w:rPr>
          <w:rFonts w:ascii="Arial" w:cs="Arial" w:eastAsia="Arial" w:hAnsi="Arial"/>
          <w:sz w:val="17"/>
          <w:szCs w:val="17"/>
          <w:i w:val="1"/>
          <w:iCs w:val="1"/>
          <w:color w:val="auto"/>
        </w:rPr>
        <w:t xml:space="preserve">Credit risk - </w:t>
      </w:r>
      <w:r>
        <w:rPr>
          <w:rFonts w:ascii="Arial" w:cs="Arial" w:eastAsia="Arial" w:hAnsi="Arial"/>
          <w:sz w:val="17"/>
          <w:szCs w:val="17"/>
          <w:color w:val="auto"/>
        </w:rPr>
        <w:t>Credit risk represents the risk that the Company would incur if the counterparties failed to perform pursuant to the terms of their</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with the Company. Issues of high-yield debt securities in which the Company invests are more likely to default on interest or principal than are issues of investment-grade securities.</w:t>
      </w:r>
    </w:p>
    <w:p>
      <w:pPr>
        <w:spacing w:after="0" w:line="124" w:lineRule="exact"/>
        <w:rPr>
          <w:sz w:val="20"/>
          <w:szCs w:val="20"/>
          <w:color w:val="auto"/>
        </w:rPr>
      </w:pPr>
    </w:p>
    <w:p>
      <w:pPr>
        <w:jc w:val="both"/>
        <w:ind w:left="1160"/>
        <w:spacing w:after="0" w:line="288" w:lineRule="auto"/>
        <w:rPr>
          <w:sz w:val="20"/>
          <w:szCs w:val="20"/>
          <w:color w:val="auto"/>
        </w:rPr>
      </w:pPr>
      <w:r>
        <w:rPr>
          <w:rFonts w:ascii="Arial" w:cs="Arial" w:eastAsia="Arial" w:hAnsi="Arial"/>
          <w:sz w:val="17"/>
          <w:szCs w:val="17"/>
          <w:i w:val="1"/>
          <w:iCs w:val="1"/>
          <w:color w:val="auto"/>
        </w:rPr>
        <w:t xml:space="preserve">Liquidity risk - </w:t>
      </w:r>
      <w:r>
        <w:rPr>
          <w:rFonts w:ascii="Arial" w:cs="Arial" w:eastAsia="Arial" w:hAnsi="Arial"/>
          <w:sz w:val="17"/>
          <w:szCs w:val="17"/>
          <w:color w:val="auto"/>
        </w:rPr>
        <w:t>Liquidity risk represents the possibility that the Company may not be able to sell its investments quickly or at a reasonable price</w:t>
      </w:r>
      <w:r>
        <w:rPr>
          <w:rFonts w:ascii="Arial" w:cs="Arial" w:eastAsia="Arial" w:hAnsi="Arial"/>
          <w:sz w:val="17"/>
          <w:szCs w:val="17"/>
          <w:i w:val="1"/>
          <w:iCs w:val="1"/>
          <w:color w:val="auto"/>
        </w:rPr>
        <w:t xml:space="preserve"> </w:t>
      </w:r>
      <w:r>
        <w:rPr>
          <w:rFonts w:ascii="Arial" w:cs="Arial" w:eastAsia="Arial" w:hAnsi="Arial"/>
          <w:sz w:val="17"/>
          <w:szCs w:val="17"/>
          <w:color w:val="auto"/>
        </w:rPr>
        <w:t>(given the lack of an established market).</w:t>
      </w:r>
    </w:p>
    <w:p>
      <w:pPr>
        <w:spacing w:after="0" w:line="114" w:lineRule="exact"/>
        <w:rPr>
          <w:sz w:val="20"/>
          <w:szCs w:val="20"/>
          <w:color w:val="auto"/>
        </w:rPr>
      </w:pPr>
    </w:p>
    <w:p>
      <w:pPr>
        <w:jc w:val="both"/>
        <w:ind w:left="1160"/>
        <w:spacing w:after="0" w:line="288" w:lineRule="auto"/>
        <w:rPr>
          <w:sz w:val="20"/>
          <w:szCs w:val="20"/>
          <w:color w:val="auto"/>
        </w:rPr>
      </w:pPr>
      <w:r>
        <w:rPr>
          <w:rFonts w:ascii="Arial" w:cs="Arial" w:eastAsia="Arial" w:hAnsi="Arial"/>
          <w:sz w:val="17"/>
          <w:szCs w:val="17"/>
          <w:i w:val="1"/>
          <w:iCs w:val="1"/>
          <w:color w:val="auto"/>
        </w:rPr>
        <w:t xml:space="preserve">Interest rate risk - </w:t>
      </w:r>
      <w:r>
        <w:rPr>
          <w:rFonts w:ascii="Arial" w:cs="Arial" w:eastAsia="Arial" w:hAnsi="Arial"/>
          <w:sz w:val="17"/>
          <w:szCs w:val="17"/>
          <w:color w:val="auto"/>
        </w:rPr>
        <w:t>Interest rate risk represents the likelihood that a change in interest rates could have an adverse impact on the fair value of an</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interest-bearing financial instrument.</w:t>
      </w:r>
    </w:p>
    <w:p>
      <w:pPr>
        <w:spacing w:after="0" w:line="114" w:lineRule="exact"/>
        <w:rPr>
          <w:sz w:val="20"/>
          <w:szCs w:val="20"/>
          <w:color w:val="auto"/>
        </w:rPr>
      </w:pPr>
    </w:p>
    <w:p>
      <w:pPr>
        <w:jc w:val="both"/>
        <w:ind w:left="1160"/>
        <w:spacing w:after="0" w:line="276" w:lineRule="auto"/>
        <w:rPr>
          <w:sz w:val="20"/>
          <w:szCs w:val="20"/>
          <w:color w:val="auto"/>
        </w:rPr>
      </w:pPr>
      <w:r>
        <w:rPr>
          <w:rFonts w:ascii="Arial" w:cs="Arial" w:eastAsia="Arial" w:hAnsi="Arial"/>
          <w:sz w:val="17"/>
          <w:szCs w:val="17"/>
          <w:i w:val="1"/>
          <w:iCs w:val="1"/>
          <w:color w:val="auto"/>
        </w:rPr>
        <w:t xml:space="preserve">Prepayment risk - </w:t>
      </w:r>
      <w:r>
        <w:rPr>
          <w:rFonts w:ascii="Arial" w:cs="Arial" w:eastAsia="Arial" w:hAnsi="Arial"/>
          <w:sz w:val="17"/>
          <w:szCs w:val="17"/>
          <w:color w:val="auto"/>
        </w:rPr>
        <w:t>Certain of the Company’s debt investments allow for prepayment of principal without penalty. Downward changes in market</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rates may cause prepayments to occur at a faster than expected rate, thereby effectively shortening the maturity of the debt investments and making the instrument less likely to be an income producing instrument through the stated maturity date.</w:t>
      </w:r>
    </w:p>
    <w:p>
      <w:pPr>
        <w:spacing w:after="0" w:line="124" w:lineRule="exact"/>
        <w:rPr>
          <w:sz w:val="20"/>
          <w:szCs w:val="20"/>
          <w:color w:val="auto"/>
        </w:rPr>
      </w:pPr>
    </w:p>
    <w:p>
      <w:pPr>
        <w:jc w:val="both"/>
        <w:ind w:left="1160"/>
        <w:spacing w:after="0" w:line="321" w:lineRule="auto"/>
        <w:rPr>
          <w:sz w:val="20"/>
          <w:szCs w:val="20"/>
          <w:color w:val="auto"/>
        </w:rPr>
      </w:pPr>
      <w:r>
        <w:rPr>
          <w:rFonts w:ascii="Arial" w:cs="Arial" w:eastAsia="Arial" w:hAnsi="Arial"/>
          <w:sz w:val="16"/>
          <w:szCs w:val="16"/>
          <w:i w:val="1"/>
          <w:iCs w:val="1"/>
          <w:color w:val="auto"/>
        </w:rPr>
        <w:t xml:space="preserve">Off-Balance sheet risk - </w:t>
      </w:r>
      <w:r>
        <w:rPr>
          <w:rFonts w:ascii="Arial" w:cs="Arial" w:eastAsia="Arial" w:hAnsi="Arial"/>
          <w:sz w:val="16"/>
          <w:szCs w:val="16"/>
          <w:color w:val="auto"/>
        </w:rPr>
        <w:t>Some of the Company’s financial instruments contain off-balance sheet risk. Generally, these financial instruments represent</w:t>
      </w:r>
      <w:r>
        <w:rPr>
          <w:rFonts w:ascii="Arial" w:cs="Arial" w:eastAsia="Arial" w:hAnsi="Arial"/>
          <w:sz w:val="16"/>
          <w:szCs w:val="16"/>
          <w:i w:val="1"/>
          <w:iCs w:val="1"/>
          <w:color w:val="auto"/>
        </w:rPr>
        <w:t xml:space="preserve"> </w:t>
      </w:r>
      <w:r>
        <w:rPr>
          <w:rFonts w:ascii="Arial" w:cs="Arial" w:eastAsia="Arial" w:hAnsi="Arial"/>
          <w:sz w:val="16"/>
          <w:szCs w:val="16"/>
          <w:color w:val="auto"/>
        </w:rPr>
        <w:t>future commitments to purchase other financial instruments at defined terms at defined future dates. See Note 7 for further details.</w:t>
      </w:r>
    </w:p>
    <w:p>
      <w:pPr>
        <w:spacing w:after="0" w:line="91" w:lineRule="exact"/>
        <w:rPr>
          <w:sz w:val="20"/>
          <w:szCs w:val="20"/>
          <w:color w:val="auto"/>
        </w:rPr>
      </w:pPr>
    </w:p>
    <w:p>
      <w:pPr>
        <w:jc w:val="both"/>
        <w:ind w:firstLine="478"/>
        <w:spacing w:after="0" w:line="319" w:lineRule="auto"/>
        <w:rPr>
          <w:sz w:val="20"/>
          <w:szCs w:val="20"/>
          <w:color w:val="auto"/>
        </w:rPr>
      </w:pPr>
      <w:r>
        <w:rPr>
          <w:rFonts w:ascii="Arial" w:cs="Arial" w:eastAsia="Arial" w:hAnsi="Arial"/>
          <w:sz w:val="15"/>
          <w:szCs w:val="15"/>
          <w:i w:val="1"/>
          <w:iCs w:val="1"/>
          <w:color w:val="auto"/>
        </w:rPr>
        <w:t xml:space="preserve">Fair value of financial instruments: </w:t>
      </w:r>
      <w:r>
        <w:rPr>
          <w:rFonts w:ascii="Arial" w:cs="Arial" w:eastAsia="Arial" w:hAnsi="Arial"/>
          <w:sz w:val="15"/>
          <w:szCs w:val="15"/>
          <w:color w:val="auto"/>
        </w:rPr>
        <w:t>The Company measures and discloses fair value with respect to substantially all of its financial instruments in accordance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with ASC Topic 820 — </w:t>
      </w:r>
      <w:r>
        <w:rPr>
          <w:rFonts w:ascii="Arial" w:cs="Arial" w:eastAsia="Arial" w:hAnsi="Arial"/>
          <w:sz w:val="15"/>
          <w:szCs w:val="15"/>
          <w:i w:val="1"/>
          <w:iCs w:val="1"/>
          <w:color w:val="auto"/>
        </w:rPr>
        <w:t>Fair Value Measurements and Disclosures</w:t>
      </w:r>
      <w:r>
        <w:rPr>
          <w:rFonts w:ascii="Arial" w:cs="Arial" w:eastAsia="Arial" w:hAnsi="Arial"/>
          <w:sz w:val="15"/>
          <w:szCs w:val="15"/>
          <w:color w:val="auto"/>
        </w:rPr>
        <w:t xml:space="preserve"> (“ASC Topic 820”). ASC Topic 820 defines fair value, establishes a framework used to measure fair value, and requires disclosures for fair value measurements, including the categorization of financial instruments into a three-level hierarchy based on the transparency of valuation inputs. See Note 4 to the consolidated financial statements for further discussion regarding the fair value measurements and hierarchy.</w:t>
      </w:r>
    </w:p>
    <w:p>
      <w:pPr>
        <w:spacing w:after="0" w:line="97" w:lineRule="exact"/>
        <w:rPr>
          <w:sz w:val="20"/>
          <w:szCs w:val="20"/>
          <w:color w:val="auto"/>
        </w:rPr>
      </w:pPr>
    </w:p>
    <w:p>
      <w:pPr>
        <w:jc w:val="both"/>
        <w:ind w:firstLine="478"/>
        <w:spacing w:after="0" w:line="270" w:lineRule="auto"/>
        <w:rPr>
          <w:sz w:val="20"/>
          <w:szCs w:val="20"/>
          <w:color w:val="auto"/>
        </w:rPr>
      </w:pPr>
      <w:r>
        <w:rPr>
          <w:rFonts w:ascii="Arial" w:cs="Arial" w:eastAsia="Arial" w:hAnsi="Arial"/>
          <w:sz w:val="17"/>
          <w:szCs w:val="17"/>
          <w:i w:val="1"/>
          <w:iCs w:val="1"/>
          <w:color w:val="auto"/>
        </w:rPr>
        <w:t xml:space="preserve">Investment classification: </w:t>
      </w:r>
      <w:r>
        <w:rPr>
          <w:rFonts w:ascii="Arial" w:cs="Arial" w:eastAsia="Arial" w:hAnsi="Arial"/>
          <w:sz w:val="17"/>
          <w:szCs w:val="17"/>
          <w:color w:val="auto"/>
        </w:rPr>
        <w:t>The Company classifies its investments in accordance with the requirements of the 1940 Act. Under the 1940 Act, “Control</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are defined as investments in those companies where the Company owns more than 25% of the voting securities of such company or has rights to maintain greater than 50% of the board representation. Under the 1940 Act, “Affiliate Investments” are defined as investments in those companies where the Company owns between 5% and 25% of the voting securities of such company. “Non-Control/Non-Affiliate Investments” are those that neither qualify as Control Investments nor Affiliate Investments.</w:t>
      </w:r>
    </w:p>
    <w:p>
      <w:pPr>
        <w:spacing w:after="0" w:line="130" w:lineRule="exact"/>
        <w:rPr>
          <w:sz w:val="20"/>
          <w:szCs w:val="20"/>
          <w:color w:val="auto"/>
        </w:rPr>
      </w:pPr>
    </w:p>
    <w:p>
      <w:pPr>
        <w:jc w:val="both"/>
        <w:ind w:firstLine="478"/>
        <w:spacing w:after="0" w:line="288" w:lineRule="auto"/>
        <w:rPr>
          <w:sz w:val="20"/>
          <w:szCs w:val="20"/>
          <w:color w:val="auto"/>
        </w:rPr>
      </w:pPr>
      <w:r>
        <w:rPr>
          <w:rFonts w:ascii="Arial" w:cs="Arial" w:eastAsia="Arial" w:hAnsi="Arial"/>
          <w:sz w:val="17"/>
          <w:szCs w:val="17"/>
          <w:i w:val="1"/>
          <w:iCs w:val="1"/>
          <w:color w:val="auto"/>
        </w:rPr>
        <w:t xml:space="preserve">Segments: </w:t>
      </w:r>
      <w:r>
        <w:rPr>
          <w:rFonts w:ascii="Arial" w:cs="Arial" w:eastAsia="Arial" w:hAnsi="Arial"/>
          <w:sz w:val="17"/>
          <w:szCs w:val="17"/>
          <w:color w:val="auto"/>
        </w:rPr>
        <w:t>In accordance with ASC Topic 280 —</w:t>
      </w:r>
      <w:r>
        <w:rPr>
          <w:rFonts w:ascii="Arial" w:cs="Arial" w:eastAsia="Arial" w:hAnsi="Arial"/>
          <w:sz w:val="17"/>
          <w:szCs w:val="17"/>
          <w:i w:val="1"/>
          <w:iCs w:val="1"/>
          <w:color w:val="auto"/>
        </w:rPr>
        <w:t xml:space="preserve"> Segment Reporting</w:t>
      </w:r>
      <w:r>
        <w:rPr>
          <w:rFonts w:ascii="Arial" w:cs="Arial" w:eastAsia="Arial" w:hAnsi="Arial"/>
          <w:sz w:val="17"/>
          <w:szCs w:val="17"/>
          <w:color w:val="auto"/>
        </w:rPr>
        <w:t>, the Company has determined that it has a single reporting segment and operating unit</w:t>
      </w:r>
      <w:r>
        <w:rPr>
          <w:rFonts w:ascii="Arial" w:cs="Arial" w:eastAsia="Arial" w:hAnsi="Arial"/>
          <w:sz w:val="17"/>
          <w:szCs w:val="17"/>
          <w:i w:val="1"/>
          <w:iCs w:val="1"/>
          <w:color w:val="auto"/>
        </w:rPr>
        <w:t xml:space="preserve"> </w:t>
      </w:r>
      <w:r>
        <w:rPr>
          <w:rFonts w:ascii="Arial" w:cs="Arial" w:eastAsia="Arial" w:hAnsi="Arial"/>
          <w:sz w:val="17"/>
          <w:szCs w:val="17"/>
          <w:color w:val="auto"/>
        </w:rPr>
        <w:t>structure.</w:t>
      </w:r>
    </w:p>
    <w:p>
      <w:pPr>
        <w:spacing w:after="0" w:line="114" w:lineRule="exact"/>
        <w:rPr>
          <w:sz w:val="20"/>
          <w:szCs w:val="20"/>
          <w:color w:val="auto"/>
        </w:rPr>
      </w:pPr>
    </w:p>
    <w:p>
      <w:pPr>
        <w:ind w:left="480"/>
        <w:spacing w:after="0"/>
        <w:rPr>
          <w:sz w:val="20"/>
          <w:szCs w:val="20"/>
          <w:color w:val="auto"/>
        </w:rPr>
      </w:pPr>
      <w:r>
        <w:rPr>
          <w:rFonts w:ascii="Arial" w:cs="Arial" w:eastAsia="Arial" w:hAnsi="Arial"/>
          <w:sz w:val="15"/>
          <w:szCs w:val="15"/>
          <w:i w:val="1"/>
          <w:iCs w:val="1"/>
          <w:color w:val="auto"/>
        </w:rPr>
        <w:t xml:space="preserve">Cash and cash equivalents: </w:t>
      </w:r>
      <w:r>
        <w:rPr>
          <w:rFonts w:ascii="Arial" w:cs="Arial" w:eastAsia="Arial" w:hAnsi="Arial"/>
          <w:sz w:val="15"/>
          <w:szCs w:val="15"/>
          <w:color w:val="auto"/>
        </w:rPr>
        <w:t>Cash and cash equivalents are highly liquid investments with an original maturity of three months or less at the date of acquisition.</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The Company places its cash in financial institutions and, at times, such balances may be in excess of the Federal Deposit Insurance Corporation insurance limits.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The Company does not believe its cash balances are exposed to any significant credit risk.</w:t>
      </w:r>
    </w:p>
    <w:p>
      <w:pPr>
        <w:spacing w:after="0" w:line="172" w:lineRule="exact"/>
        <w:rPr>
          <w:sz w:val="20"/>
          <w:szCs w:val="20"/>
          <w:color w:val="auto"/>
        </w:rPr>
      </w:pPr>
    </w:p>
    <w:p>
      <w:pPr>
        <w:jc w:val="both"/>
        <w:ind w:firstLine="478"/>
        <w:spacing w:after="0" w:line="272" w:lineRule="auto"/>
        <w:rPr>
          <w:sz w:val="20"/>
          <w:szCs w:val="20"/>
          <w:color w:val="auto"/>
        </w:rPr>
      </w:pPr>
      <w:r>
        <w:rPr>
          <w:rFonts w:ascii="Arial" w:cs="Arial" w:eastAsia="Arial" w:hAnsi="Arial"/>
          <w:sz w:val="17"/>
          <w:szCs w:val="17"/>
          <w:i w:val="1"/>
          <w:iCs w:val="1"/>
          <w:color w:val="auto"/>
        </w:rPr>
        <w:t xml:space="preserve">Deferred financing costs: </w:t>
      </w:r>
      <w:r>
        <w:rPr>
          <w:rFonts w:ascii="Arial" w:cs="Arial" w:eastAsia="Arial" w:hAnsi="Arial"/>
          <w:sz w:val="17"/>
          <w:szCs w:val="17"/>
          <w:color w:val="auto"/>
        </w:rPr>
        <w:t>Deferred financing costs consist of fees and expenses paid in connection with the SBA debentures, the Credit Facility and the Notes</w:t>
      </w:r>
      <w:r>
        <w:rPr>
          <w:rFonts w:ascii="Arial" w:cs="Arial" w:eastAsia="Arial" w:hAnsi="Arial"/>
          <w:sz w:val="17"/>
          <w:szCs w:val="17"/>
          <w:i w:val="1"/>
          <w:iCs w:val="1"/>
          <w:color w:val="auto"/>
        </w:rPr>
        <w:t xml:space="preserve"> </w:t>
      </w:r>
      <w:r>
        <w:rPr>
          <w:rFonts w:ascii="Arial" w:cs="Arial" w:eastAsia="Arial" w:hAnsi="Arial"/>
          <w:sz w:val="17"/>
          <w:szCs w:val="17"/>
          <w:color w:val="auto"/>
        </w:rPr>
        <w:t>(as defined in Note 6). Deferred financing costs are capitalized and amortized to interest and financing expenses over the term of the debt agreement using the effective interest method. Unamortized deferred financing costs are presented as an offset to the corresponding debt liabilities on the consolidated statements of assets and liabilities.</w:t>
      </w:r>
    </w:p>
    <w:p>
      <w:pPr>
        <w:spacing w:after="0" w:line="128" w:lineRule="exact"/>
        <w:rPr>
          <w:sz w:val="20"/>
          <w:szCs w:val="20"/>
          <w:color w:val="auto"/>
        </w:rPr>
      </w:pPr>
    </w:p>
    <w:p>
      <w:pPr>
        <w:jc w:val="both"/>
        <w:ind w:firstLine="478"/>
        <w:spacing w:after="0" w:line="272" w:lineRule="auto"/>
        <w:rPr>
          <w:sz w:val="20"/>
          <w:szCs w:val="20"/>
          <w:color w:val="auto"/>
        </w:rPr>
      </w:pPr>
      <w:r>
        <w:rPr>
          <w:rFonts w:ascii="Arial" w:cs="Arial" w:eastAsia="Arial" w:hAnsi="Arial"/>
          <w:sz w:val="17"/>
          <w:szCs w:val="17"/>
          <w:i w:val="1"/>
          <w:iCs w:val="1"/>
          <w:color w:val="auto"/>
        </w:rPr>
        <w:t xml:space="preserve">Realized losses on extinguishment of debt: </w:t>
      </w:r>
      <w:r>
        <w:rPr>
          <w:rFonts w:ascii="Arial" w:cs="Arial" w:eastAsia="Arial" w:hAnsi="Arial"/>
          <w:sz w:val="17"/>
          <w:szCs w:val="17"/>
          <w:color w:val="auto"/>
        </w:rPr>
        <w:t>Upon the repayment of debt obligations which are deemed to be extinguishments, the difference between the</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amount due at maturity, adjusted for any unamortized deferred financing costs, is recognized as a loss (i.e., the unamortized deferred financing costs are recognized as a loss upon extinguishment of the underlying debt obligation). There is no change in historical net increase in net assets resulting from operations due to this change in presentation.</w:t>
      </w:r>
    </w:p>
    <w:p>
      <w:pPr>
        <w:spacing w:after="0" w:line="128" w:lineRule="exact"/>
        <w:rPr>
          <w:sz w:val="20"/>
          <w:szCs w:val="20"/>
          <w:color w:val="auto"/>
        </w:rPr>
      </w:pPr>
    </w:p>
    <w:p>
      <w:pPr>
        <w:jc w:val="both"/>
        <w:ind w:firstLine="478"/>
        <w:spacing w:after="0" w:line="264" w:lineRule="auto"/>
        <w:rPr>
          <w:sz w:val="20"/>
          <w:szCs w:val="20"/>
          <w:color w:val="auto"/>
        </w:rPr>
      </w:pPr>
      <w:r>
        <w:rPr>
          <w:rFonts w:ascii="Arial" w:cs="Arial" w:eastAsia="Arial" w:hAnsi="Arial"/>
          <w:sz w:val="17"/>
          <w:szCs w:val="17"/>
          <w:i w:val="1"/>
          <w:iCs w:val="1"/>
          <w:color w:val="auto"/>
        </w:rPr>
        <w:t xml:space="preserve">Deferred offering costs: </w:t>
      </w:r>
      <w:r>
        <w:rPr>
          <w:rFonts w:ascii="Arial" w:cs="Arial" w:eastAsia="Arial" w:hAnsi="Arial"/>
          <w:sz w:val="17"/>
          <w:szCs w:val="17"/>
          <w:color w:val="auto"/>
        </w:rPr>
        <w:t>Deferred offering costs include registration expenses related to shelf filings. These expenses primarily consist of U.S. Securities and</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Commission (“SEC”) registration fees, legal fees and accounting fees incurred. These expenses are included in prepaid expenses and other assets on the consolidated statements of assets and liabilities. Upon the completion of an equity offering or a debt offering, the deferred expenses are charged to additional paid-in capital or deferred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(unaudited)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financing costs, respectively. If no offering is completed prior to the expiration of the registration statement, the deferred costs are charged to expense.</w:t>
      </w:r>
    </w:p>
    <w:p>
      <w:pPr>
        <w:spacing w:after="0" w:line="184" w:lineRule="exact"/>
        <w:rPr>
          <w:sz w:val="20"/>
          <w:szCs w:val="20"/>
          <w:color w:val="auto"/>
        </w:rPr>
      </w:pPr>
    </w:p>
    <w:p>
      <w:pPr>
        <w:jc w:val="both"/>
        <w:ind w:firstLine="478"/>
        <w:spacing w:after="0" w:line="269" w:lineRule="auto"/>
        <w:rPr>
          <w:sz w:val="20"/>
          <w:szCs w:val="20"/>
          <w:color w:val="auto"/>
        </w:rPr>
      </w:pPr>
      <w:r>
        <w:rPr>
          <w:rFonts w:ascii="Arial" w:cs="Arial" w:eastAsia="Arial" w:hAnsi="Arial"/>
          <w:sz w:val="17"/>
          <w:szCs w:val="17"/>
          <w:i w:val="1"/>
          <w:iCs w:val="1"/>
          <w:color w:val="auto"/>
        </w:rPr>
        <w:t xml:space="preserve">Realized gains or losses and unrealized appreciation or depreciation on investments: </w:t>
      </w:r>
      <w:r>
        <w:rPr>
          <w:rFonts w:ascii="Arial" w:cs="Arial" w:eastAsia="Arial" w:hAnsi="Arial"/>
          <w:sz w:val="17"/>
          <w:szCs w:val="17"/>
          <w:color w:val="auto"/>
        </w:rPr>
        <w:t>Realized gains or losses on investments are recorded upon the sale or</w:t>
      </w:r>
      <w:r>
        <w:rPr>
          <w:rFonts w:ascii="Arial" w:cs="Arial" w:eastAsia="Arial" w:hAnsi="Arial"/>
          <w:sz w:val="17"/>
          <w:szCs w:val="17"/>
          <w:i w:val="1"/>
          <w:iCs w:val="1"/>
          <w:color w:val="auto"/>
        </w:rPr>
        <w:t xml:space="preserve"> </w:t>
      </w:r>
      <w:r>
        <w:rPr>
          <w:rFonts w:ascii="Arial" w:cs="Arial" w:eastAsia="Arial" w:hAnsi="Arial"/>
          <w:sz w:val="17"/>
          <w:szCs w:val="17"/>
          <w:color w:val="auto"/>
        </w:rPr>
        <w:t>disposition of a portfolio 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in good faith by the Company’s board of directors (the “Board”) through the application of the Company’s valuation policy, as well as reclassifications of any prior period unrealized appreciation or depreciation on exited investments to realized gains or losses on investments.</w:t>
      </w:r>
    </w:p>
    <w:p>
      <w:pPr>
        <w:spacing w:after="0" w:line="131" w:lineRule="exact"/>
        <w:rPr>
          <w:sz w:val="20"/>
          <w:szCs w:val="20"/>
          <w:color w:val="auto"/>
        </w:rPr>
      </w:pPr>
    </w:p>
    <w:p>
      <w:pPr>
        <w:jc w:val="both"/>
        <w:ind w:firstLine="478"/>
        <w:spacing w:after="0" w:line="269" w:lineRule="auto"/>
        <w:rPr>
          <w:sz w:val="20"/>
          <w:szCs w:val="20"/>
          <w:color w:val="auto"/>
        </w:rPr>
      </w:pPr>
      <w:r>
        <w:rPr>
          <w:rFonts w:ascii="Arial" w:cs="Arial" w:eastAsia="Arial" w:hAnsi="Arial"/>
          <w:sz w:val="17"/>
          <w:szCs w:val="17"/>
          <w:i w:val="1"/>
          <w:iCs w:val="1"/>
          <w:color w:val="auto"/>
        </w:rPr>
        <w:t xml:space="preserve">Interest and dividend income: </w:t>
      </w:r>
      <w:r>
        <w:rPr>
          <w:rFonts w:ascii="Arial" w:cs="Arial" w:eastAsia="Arial" w:hAnsi="Arial"/>
          <w:sz w:val="17"/>
          <w:szCs w:val="17"/>
          <w:color w:val="auto"/>
        </w:rPr>
        <w:t>Interest and dividend income are recorded on the accrual basis to the extent that the Company expects to collect such amounts.</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spacing w:after="0" w:line="131" w:lineRule="exact"/>
        <w:rPr>
          <w:sz w:val="20"/>
          <w:szCs w:val="20"/>
          <w:color w:val="auto"/>
        </w:rPr>
      </w:pPr>
    </w:p>
    <w:p>
      <w:pPr>
        <w:jc w:val="both"/>
        <w:ind w:firstLine="478"/>
        <w:spacing w:after="0" w:line="286" w:lineRule="auto"/>
        <w:rPr>
          <w:sz w:val="20"/>
          <w:szCs w:val="20"/>
          <w:color w:val="auto"/>
        </w:rPr>
      </w:pPr>
      <w:r>
        <w:rPr>
          <w:rFonts w:ascii="Arial" w:cs="Arial" w:eastAsia="Arial" w:hAnsi="Arial"/>
          <w:sz w:val="16"/>
          <w:szCs w:val="16"/>
          <w:i w:val="1"/>
          <w:iCs w:val="1"/>
          <w:color w:val="auto"/>
        </w:rPr>
        <w:t xml:space="preserve">PIK income: </w:t>
      </w:r>
      <w:r>
        <w:rPr>
          <w:rFonts w:ascii="Arial" w:cs="Arial" w:eastAsia="Arial" w:hAnsi="Arial"/>
          <w:sz w:val="16"/>
          <w:szCs w:val="16"/>
          <w:color w:val="auto"/>
        </w:rPr>
        <w:t>Certain of the Company’s investments contain a payment-in-kind (“PIK”) income provision. The PIK income, computed at the contractual rate</w:t>
      </w:r>
      <w:r>
        <w:rPr>
          <w:rFonts w:ascii="Arial" w:cs="Arial" w:eastAsia="Arial" w:hAnsi="Arial"/>
          <w:sz w:val="16"/>
          <w:szCs w:val="16"/>
          <w:i w:val="1"/>
          <w:iCs w:val="1"/>
          <w:color w:val="auto"/>
        </w:rPr>
        <w:t xml:space="preserve"> </w:t>
      </w:r>
      <w:r>
        <w:rPr>
          <w:rFonts w:ascii="Arial" w:cs="Arial" w:eastAsia="Arial" w:hAnsi="Arial"/>
          <w:sz w:val="16"/>
          <w:szCs w:val="16"/>
          <w:color w:val="auto"/>
        </w:rPr>
        <w:t>specified in the applicable investment agreement, is added to the principal balance of the investment, rather than being paid in cash, and recorded as interest or dividend income, as applicable, on the consolidated statements of operations. Generally, PIK can be paid-in-kind or all in cash. The Company stops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the Company’s taxable income and, therefore, affects the amount the Company is required to pay to shareholders in the form of dividends in order to maintain the Company’s tax treatment as a RIC and to avoid corporate federal income tax, even though the Company has not yet collected the cash.</w:t>
      </w:r>
    </w:p>
    <w:p>
      <w:pPr>
        <w:spacing w:after="0" w:line="122" w:lineRule="exact"/>
        <w:rPr>
          <w:sz w:val="20"/>
          <w:szCs w:val="20"/>
          <w:color w:val="auto"/>
        </w:rPr>
      </w:pPr>
    </w:p>
    <w:p>
      <w:pPr>
        <w:jc w:val="both"/>
        <w:ind w:firstLine="478"/>
        <w:spacing w:after="0" w:line="269" w:lineRule="auto"/>
        <w:rPr>
          <w:sz w:val="20"/>
          <w:szCs w:val="20"/>
          <w:color w:val="auto"/>
        </w:rPr>
      </w:pPr>
      <w:r>
        <w:rPr>
          <w:rFonts w:ascii="Arial" w:cs="Arial" w:eastAsia="Arial" w:hAnsi="Arial"/>
          <w:sz w:val="17"/>
          <w:szCs w:val="17"/>
          <w:i w:val="1"/>
          <w:iCs w:val="1"/>
          <w:color w:val="auto"/>
        </w:rPr>
        <w:t xml:space="preserve">Non-accrual: </w:t>
      </w:r>
      <w:r>
        <w:rPr>
          <w:rFonts w:ascii="Arial" w:cs="Arial" w:eastAsia="Arial" w:hAnsi="Arial"/>
          <w:sz w:val="17"/>
          <w:szCs w:val="17"/>
          <w:color w:val="auto"/>
        </w:rPr>
        <w:t>Debt investments or preferred equity investments (for which the Company is accruing PIK dividends) are placed on non-accrual status when</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interest or dividend payments become materially past due, or when there is reasonable doubt that principal, interest or dividends will be collected. Any original issue discount and market discount are no longer accreted to interest income as of the date the loan is placed on full non-accrual status.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w:t>
      </w:r>
    </w:p>
    <w:p>
      <w:pPr>
        <w:spacing w:after="0" w:line="131" w:lineRule="exact"/>
        <w:rPr>
          <w:sz w:val="20"/>
          <w:szCs w:val="20"/>
          <w:color w:val="auto"/>
        </w:rPr>
      </w:pPr>
    </w:p>
    <w:p>
      <w:pPr>
        <w:jc w:val="both"/>
        <w:ind w:firstLine="478"/>
        <w:spacing w:after="0" w:line="272" w:lineRule="auto"/>
        <w:rPr>
          <w:sz w:val="20"/>
          <w:szCs w:val="20"/>
          <w:color w:val="auto"/>
        </w:rPr>
      </w:pPr>
      <w:r>
        <w:rPr>
          <w:rFonts w:ascii="Arial" w:cs="Arial" w:eastAsia="Arial" w:hAnsi="Arial"/>
          <w:sz w:val="17"/>
          <w:szCs w:val="17"/>
          <w:i w:val="1"/>
          <w:iCs w:val="1"/>
          <w:color w:val="auto"/>
        </w:rPr>
        <w:t xml:space="preserve">Origination and closing fees: </w:t>
      </w:r>
      <w:r>
        <w:rPr>
          <w:rFonts w:ascii="Arial" w:cs="Arial" w:eastAsia="Arial" w:hAnsi="Arial"/>
          <w:sz w:val="17"/>
          <w:szCs w:val="17"/>
          <w:color w:val="auto"/>
        </w:rPr>
        <w:t>The Company also typically receives debt investment origination or closing fees in connection with such investments. Such debt</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origination and closing fees are capitalized as unearned income and offset against investment cost basis on the consolidated statements of assets and liabilities and accreted into interest income over the life of the investment. Upon the prepayment of a debt investment, any unaccreted debt investment origination and closing fees are accelerated into interest income.</w:t>
      </w:r>
    </w:p>
    <w:p>
      <w:pPr>
        <w:spacing w:after="0" w:line="128" w:lineRule="exact"/>
        <w:rPr>
          <w:sz w:val="20"/>
          <w:szCs w:val="20"/>
          <w:color w:val="auto"/>
        </w:rPr>
      </w:pPr>
    </w:p>
    <w:p>
      <w:pPr>
        <w:jc w:val="both"/>
        <w:ind w:firstLine="478"/>
        <w:spacing w:after="0" w:line="291" w:lineRule="auto"/>
        <w:rPr>
          <w:sz w:val="20"/>
          <w:szCs w:val="20"/>
          <w:color w:val="auto"/>
        </w:rPr>
      </w:pPr>
      <w:r>
        <w:rPr>
          <w:rFonts w:ascii="Arial" w:cs="Arial" w:eastAsia="Arial" w:hAnsi="Arial"/>
          <w:sz w:val="16"/>
          <w:szCs w:val="16"/>
          <w:i w:val="1"/>
          <w:iCs w:val="1"/>
          <w:color w:val="auto"/>
        </w:rPr>
        <w:t>Warrants</w:t>
      </w:r>
      <w:r>
        <w:rPr>
          <w:rFonts w:ascii="Arial" w:cs="Arial" w:eastAsia="Arial" w:hAnsi="Arial"/>
          <w:sz w:val="16"/>
          <w:szCs w:val="16"/>
          <w:color w:val="auto"/>
        </w:rPr>
        <w:t>: In connection with the Company’s debt investments, the Company will sometimes receive warrants or other equity-related securities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borrower (“Warrants”). The Company determines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original issue discount (“OID”), and accreted into interest income using the effective interest method over the term of the debt investment. Upon the prepayment of a debt investment, any unaccreted OID is accelerated into interest income.</w:t>
      </w:r>
    </w:p>
    <w:p>
      <w:pPr>
        <w:spacing w:after="0" w:line="114" w:lineRule="exact"/>
        <w:rPr>
          <w:sz w:val="20"/>
          <w:szCs w:val="20"/>
          <w:color w:val="auto"/>
        </w:rPr>
      </w:pPr>
    </w:p>
    <w:p>
      <w:pPr>
        <w:jc w:val="both"/>
        <w:ind w:firstLine="478"/>
        <w:spacing w:after="0" w:line="281" w:lineRule="auto"/>
        <w:rPr>
          <w:sz w:val="20"/>
          <w:szCs w:val="20"/>
          <w:color w:val="auto"/>
        </w:rPr>
      </w:pPr>
      <w:r>
        <w:rPr>
          <w:rFonts w:ascii="Arial" w:cs="Arial" w:eastAsia="Arial" w:hAnsi="Arial"/>
          <w:sz w:val="16"/>
          <w:szCs w:val="16"/>
          <w:i w:val="1"/>
          <w:iCs w:val="1"/>
          <w:color w:val="auto"/>
        </w:rPr>
        <w:t>Fee income</w:t>
      </w:r>
      <w:r>
        <w:rPr>
          <w:rFonts w:ascii="Arial" w:cs="Arial" w:eastAsia="Arial" w:hAnsi="Arial"/>
          <w:sz w:val="16"/>
          <w:szCs w:val="16"/>
          <w:color w:val="auto"/>
        </w:rPr>
        <w:t>: Transaction fees earned in connection with the Company’s investments are recognized as fee income and are generally non-recurring. Such fees</w:t>
      </w:r>
      <w:r>
        <w:rPr>
          <w:rFonts w:ascii="Arial" w:cs="Arial" w:eastAsia="Arial" w:hAnsi="Arial"/>
          <w:sz w:val="16"/>
          <w:szCs w:val="16"/>
          <w:i w:val="1"/>
          <w:iCs w:val="1"/>
          <w:color w:val="auto"/>
        </w:rPr>
        <w:t xml:space="preserve"> </w:t>
      </w:r>
      <w:r>
        <w:rPr>
          <w:rFonts w:ascii="Arial" w:cs="Arial" w:eastAsia="Arial" w:hAnsi="Arial"/>
          <w:sz w:val="16"/>
          <w:szCs w:val="16"/>
          <w:color w:val="auto"/>
        </w:rPr>
        <w:t>typically include fees for services, including structuring and advisory services, provided to portfolio companies. The Company recognizes income from fees for providing such structuring and advisory services when the services are rendered or the transactions are completed. Upon the prepayment of a debt investment, any prepayment penalties are recorded as fee income when earned. In 2020, the Company elected to change the manner in which it presents the recognition of management services fees income. Previously, the Company classified management services fees as a component of interest on idle funds and other income on the consolidated statements of operations. Currently management services fees are a component of fee income on the consolidated statements of operations. Comparative prior periods presented have been reclassified retrospectively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(unaudited)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conform to the revised presentation. There is no change in historical net increase in net assets resulting from operations due to this change in presentation.</w:t>
      </w:r>
    </w:p>
    <w:p>
      <w:pPr>
        <w:spacing w:after="0" w:line="184" w:lineRule="exact"/>
        <w:rPr>
          <w:sz w:val="20"/>
          <w:szCs w:val="20"/>
          <w:color w:val="auto"/>
        </w:rPr>
      </w:pPr>
    </w:p>
    <w:p>
      <w:pPr>
        <w:jc w:val="both"/>
        <w:ind w:firstLine="480"/>
        <w:spacing w:after="0" w:line="268" w:lineRule="auto"/>
        <w:rPr>
          <w:sz w:val="20"/>
          <w:szCs w:val="20"/>
          <w:color w:val="auto"/>
        </w:rPr>
      </w:pPr>
      <w:r>
        <w:rPr>
          <w:rFonts w:ascii="Arial" w:cs="Arial" w:eastAsia="Arial" w:hAnsi="Arial"/>
          <w:sz w:val="17"/>
          <w:szCs w:val="17"/>
          <w:i w:val="1"/>
          <w:iCs w:val="1"/>
          <w:color w:val="auto"/>
        </w:rPr>
        <w:t xml:space="preserve">Partial loan and equity sales: </w:t>
      </w:r>
      <w:r>
        <w:rPr>
          <w:rFonts w:ascii="Arial" w:cs="Arial" w:eastAsia="Arial" w:hAnsi="Arial"/>
          <w:sz w:val="17"/>
          <w:szCs w:val="17"/>
          <w:color w:val="auto"/>
        </w:rPr>
        <w:t>The Company follows the guidance in ASC 860,</w:t>
      </w:r>
      <w:r>
        <w:rPr>
          <w:rFonts w:ascii="Arial" w:cs="Arial" w:eastAsia="Arial" w:hAnsi="Arial"/>
          <w:sz w:val="17"/>
          <w:szCs w:val="17"/>
          <w:i w:val="1"/>
          <w:iCs w:val="1"/>
          <w:color w:val="auto"/>
        </w:rPr>
        <w:t xml:space="preserve"> Transfers and Servicing, </w:t>
      </w:r>
      <w:r>
        <w:rPr>
          <w:rFonts w:ascii="Arial" w:cs="Arial" w:eastAsia="Arial" w:hAnsi="Arial"/>
          <w:sz w:val="17"/>
          <w:szCs w:val="17"/>
          <w:color w:val="auto"/>
        </w:rPr>
        <w:t>when accounting for loan (debt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participations, equity assignments and other partial loan sales. Such guidance requires a participation, assignment or other partial loan or equity sale to meet the definition of a “participating interest,” as defined in the guidance, in order for sale treatment to be allowed. Participations, assignments or other partial loan or equity sales which do not meet the definition of a participating interest should remain on the Company’s consolidated statements of assets and liabilities and the proceeds recorded as a secured borrowing until the definition is met. For these partial loan sales, the interest earned on the entire loan balance is recorded within “interest income” and the interest earned by the buyer in the partial loan sale is recorded within “interest and financing expenses” in the accompanying consolidated statements of operations.</w:t>
      </w:r>
    </w:p>
    <w:p>
      <w:pPr>
        <w:spacing w:after="0" w:line="133" w:lineRule="exact"/>
        <w:rPr>
          <w:sz w:val="20"/>
          <w:szCs w:val="20"/>
          <w:color w:val="auto"/>
        </w:rPr>
      </w:pPr>
    </w:p>
    <w:p>
      <w:pPr>
        <w:jc w:val="both"/>
        <w:ind w:firstLine="478"/>
        <w:spacing w:after="0" w:line="296" w:lineRule="auto"/>
        <w:rPr>
          <w:sz w:val="20"/>
          <w:szCs w:val="20"/>
          <w:color w:val="auto"/>
        </w:rPr>
      </w:pPr>
      <w:r>
        <w:rPr>
          <w:rFonts w:ascii="Arial" w:cs="Arial" w:eastAsia="Arial" w:hAnsi="Arial"/>
          <w:sz w:val="15"/>
          <w:szCs w:val="15"/>
          <w:i w:val="1"/>
          <w:iCs w:val="1"/>
          <w:color w:val="auto"/>
        </w:rPr>
        <w:t xml:space="preserve">Income taxes: </w:t>
      </w:r>
      <w:r>
        <w:rPr>
          <w:rFonts w:ascii="Arial" w:cs="Arial" w:eastAsia="Arial" w:hAnsi="Arial"/>
          <w:sz w:val="15"/>
          <w:szCs w:val="15"/>
          <w:color w:val="auto"/>
        </w:rPr>
        <w:t>The Company has elected, and intends to qualify annually, to be treated as a RIC under Subchapter M of the Code, which will generally relieve</w:t>
      </w:r>
      <w:r>
        <w:rPr>
          <w:rFonts w:ascii="Arial" w:cs="Arial" w:eastAsia="Arial" w:hAnsi="Arial"/>
          <w:sz w:val="15"/>
          <w:szCs w:val="15"/>
          <w:i w:val="1"/>
          <w:iCs w:val="1"/>
          <w:color w:val="auto"/>
        </w:rPr>
        <w:t xml:space="preserve"> </w:t>
      </w:r>
      <w:r>
        <w:rPr>
          <w:rFonts w:ascii="Arial" w:cs="Arial" w:eastAsia="Arial" w:hAnsi="Arial"/>
          <w:sz w:val="15"/>
          <w:szCs w:val="15"/>
          <w:color w:val="auto"/>
        </w:rPr>
        <w:t>the Company from U.S. federal income taxes with respect to all income distributed to stockholders. To maintain the tax treatment of a RIC, the Company is required to timely distribute to its stockholders at least 90.0% of “investment company taxable income,” as defined by Subchapter M of the Code, each year. Depending on the level of taxable income earned in a tax year, the Company may choose to carry forward taxable income in excess of current year distributions into the next tax year; however, the Company will pay a 4.0% excise tax if it does not distribute at least 98.0% of the current year’s ordinary taxable income. Any such carryover taxable income must be distributed through a dividend declared prior to the later of the date on which the final tax return related to the year in which the Company generated such taxable income is filed or the 15</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day of the 10</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month following the close of such taxable year. In addition, the Company will be subject to federal excise tax if it does not distribute at least 98.2% of its net capital gains realized, computed for any one year period ending October 31.</w:t>
      </w:r>
    </w:p>
    <w:p>
      <w:pPr>
        <w:spacing w:after="0" w:line="104" w:lineRule="exact"/>
        <w:rPr>
          <w:sz w:val="20"/>
          <w:szCs w:val="20"/>
          <w:color w:val="auto"/>
        </w:rPr>
      </w:pPr>
    </w:p>
    <w:p>
      <w:pPr>
        <w:jc w:val="both"/>
        <w:ind w:firstLine="478"/>
        <w:spacing w:after="0" w:line="288" w:lineRule="auto"/>
        <w:rPr>
          <w:sz w:val="20"/>
          <w:szCs w:val="20"/>
          <w:color w:val="auto"/>
        </w:rPr>
      </w:pPr>
      <w:r>
        <w:rPr>
          <w:rFonts w:ascii="Arial" w:cs="Arial" w:eastAsia="Arial" w:hAnsi="Arial"/>
          <w:sz w:val="17"/>
          <w:szCs w:val="17"/>
          <w:color w:val="auto"/>
        </w:rPr>
        <w:t>In the future, the Funds may be limited by provisions of the SBIC Act and SBA regulations governing SBICs from making certain distributions to FIC that may be necessary to enable FIC to make the minimum distributions required to maintain the tax treatment of a RIC.</w:t>
      </w:r>
    </w:p>
    <w:p>
      <w:pPr>
        <w:spacing w:after="0" w:line="114" w:lineRule="exact"/>
        <w:rPr>
          <w:sz w:val="20"/>
          <w:szCs w:val="20"/>
          <w:color w:val="auto"/>
        </w:rPr>
      </w:pPr>
    </w:p>
    <w:p>
      <w:pPr>
        <w:jc w:val="both"/>
        <w:ind w:firstLine="478"/>
        <w:spacing w:after="0" w:line="286" w:lineRule="auto"/>
        <w:rPr>
          <w:sz w:val="20"/>
          <w:szCs w:val="20"/>
          <w:color w:val="auto"/>
        </w:rPr>
      </w:pPr>
      <w:r>
        <w:rPr>
          <w:rFonts w:ascii="Arial" w:cs="Arial" w:eastAsia="Arial" w:hAnsi="Arial"/>
          <w:sz w:val="16"/>
          <w:szCs w:val="16"/>
          <w:color w:val="auto"/>
        </w:rPr>
        <w:t>The Company has certain wholly-owned taxable subsidiaries (the “Taxable Subsidiaries”), each of which generally holds one or more of the Company’s portfolio investments listed on the consolidated schedules of investments. The Taxable Subsidiaries are consolidated for financial reporting purposes, such that the Company’s consolidated financial statements reflect the Company’s investment in the portfolio company investments owned by the Taxable Subsidiaries. The purpose of the Taxable Subsidiaries is to permit the Company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the Company for U.S. federal corporate income tax purposes, and each Taxable Subsidiary will be subject to U.S. federal corporate income tax on its taxable income. Any such income or expense is reflected in the consolidated statements of operations.</w:t>
      </w:r>
    </w:p>
    <w:p>
      <w:pPr>
        <w:spacing w:after="0" w:line="122" w:lineRule="exact"/>
        <w:rPr>
          <w:sz w:val="20"/>
          <w:szCs w:val="20"/>
          <w:color w:val="auto"/>
        </w:rPr>
      </w:pPr>
    </w:p>
    <w:p>
      <w:pPr>
        <w:jc w:val="both"/>
        <w:ind w:firstLine="478"/>
        <w:spacing w:after="0" w:line="272" w:lineRule="auto"/>
        <w:rPr>
          <w:sz w:val="20"/>
          <w:szCs w:val="20"/>
          <w:color w:val="auto"/>
        </w:rPr>
      </w:pPr>
      <w:r>
        <w:rPr>
          <w:rFonts w:ascii="Arial" w:cs="Arial" w:eastAsia="Arial" w:hAnsi="Arial"/>
          <w:sz w:val="17"/>
          <w:szCs w:val="17"/>
          <w:color w:val="auto"/>
        </w:rPr>
        <w:t>U.S. federal income tax regulations differ from GAAP, and as a result, distributions in accordance with tax regulations may differ from net investment income and realized gains recognized under GAAP. Differences may be permanent or temporary. Permanent differences may arise as a result of, among other items, a difference in the book and tax basis of certain assets and nondeductible federal income taxes. Temporary differences arise when certain items of income, expense, gain or loss are recognized at some time in the future.</w:t>
      </w:r>
    </w:p>
    <w:p>
      <w:pPr>
        <w:spacing w:after="0" w:line="128" w:lineRule="exact"/>
        <w:rPr>
          <w:sz w:val="20"/>
          <w:szCs w:val="20"/>
          <w:color w:val="auto"/>
        </w:rPr>
      </w:pPr>
    </w:p>
    <w:p>
      <w:pPr>
        <w:jc w:val="both"/>
        <w:ind w:firstLine="478"/>
        <w:spacing w:after="0" w:line="309" w:lineRule="auto"/>
        <w:rPr>
          <w:sz w:val="20"/>
          <w:szCs w:val="20"/>
          <w:color w:val="auto"/>
        </w:rPr>
      </w:pPr>
      <w:r>
        <w:rPr>
          <w:rFonts w:ascii="Arial" w:cs="Arial" w:eastAsia="Arial" w:hAnsi="Arial"/>
          <w:sz w:val="15"/>
          <w:szCs w:val="15"/>
          <w:color w:val="auto"/>
        </w:rPr>
        <w:t xml:space="preserve">ASC Topic 740 — </w:t>
      </w:r>
      <w:r>
        <w:rPr>
          <w:rFonts w:ascii="Arial" w:cs="Arial" w:eastAsia="Arial" w:hAnsi="Arial"/>
          <w:sz w:val="15"/>
          <w:szCs w:val="15"/>
          <w:i w:val="1"/>
          <w:iCs w:val="1"/>
          <w:color w:val="auto"/>
        </w:rPr>
        <w:t>Accounting for Uncertainty in Income Taxes</w:t>
      </w:r>
      <w:r>
        <w:rPr>
          <w:rFonts w:ascii="Arial" w:cs="Arial" w:eastAsia="Arial" w:hAnsi="Arial"/>
          <w:sz w:val="15"/>
          <w:szCs w:val="15"/>
          <w:color w:val="auto"/>
        </w:rPr>
        <w:t xml:space="preserve"> (“ASC Topic 740”) provides guidance for how uncertain tax positions should be recognized, measured, presented and disclosed in the consolidated financial statements. ASC Topic 740 requires the evaluation of tax positions taken in the course of preparing the Company’s tax returns to determine whether the tax positions are “more-likely-than-not” to be respected by the applicable tax authorities. Tax benefits of positions not deemed to meet the more-likely-than-not threshold would be recorded as a tax expense in the current year. It is the Company’s policy to recognize accrued interest and penalties related to uncertain tax benefits included in the income tax provision, if any. There were no material uncertain income tax positions at September 30, 2021 and December 31, 2020. The Company’s tax returns are generally subject to examination by U.S. federal and most state tax authorities for a period of three years from the date the respective returns are filed, and, accordingly, the Company’s 2018 through 2020 tax years remain subject to examination.</w:t>
      </w:r>
    </w:p>
    <w:p>
      <w:pPr>
        <w:spacing w:after="0" w:line="106" w:lineRule="exact"/>
        <w:rPr>
          <w:sz w:val="20"/>
          <w:szCs w:val="20"/>
          <w:color w:val="auto"/>
        </w:rPr>
      </w:pPr>
    </w:p>
    <w:p>
      <w:pPr>
        <w:jc w:val="both"/>
        <w:ind w:firstLine="478"/>
        <w:spacing w:after="0" w:line="276" w:lineRule="auto"/>
        <w:rPr>
          <w:sz w:val="20"/>
          <w:szCs w:val="20"/>
          <w:color w:val="auto"/>
        </w:rPr>
      </w:pPr>
      <w:r>
        <w:rPr>
          <w:rFonts w:ascii="Arial" w:cs="Arial" w:eastAsia="Arial" w:hAnsi="Arial"/>
          <w:sz w:val="17"/>
          <w:szCs w:val="17"/>
          <w:i w:val="1"/>
          <w:iCs w:val="1"/>
          <w:color w:val="auto"/>
        </w:rPr>
        <w:t xml:space="preserve">Dividends to stockholders: </w:t>
      </w:r>
      <w:r>
        <w:rPr>
          <w:rFonts w:ascii="Arial" w:cs="Arial" w:eastAsia="Arial" w:hAnsi="Arial"/>
          <w:sz w:val="17"/>
          <w:szCs w:val="17"/>
          <w:color w:val="auto"/>
        </w:rPr>
        <w:t>Dividends to stockholders are recorded on the record date with respect to such distributions. The amount, if any, to be distributed to</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is determined by the Board each quarter and is generally based upon the earnings estimated by management. Net realized capital gains, if any, may be distributed at least annually, although the Company may decide to retain such capital gains for investment.</w:t>
      </w:r>
    </w:p>
    <w:p>
      <w:pPr>
        <w:spacing w:after="0" w:line="124" w:lineRule="exact"/>
        <w:rPr>
          <w:sz w:val="20"/>
          <w:szCs w:val="20"/>
          <w:color w:val="auto"/>
        </w:rPr>
      </w:pPr>
    </w:p>
    <w:p>
      <w:pPr>
        <w:jc w:val="both"/>
        <w:ind w:firstLine="478"/>
        <w:spacing w:after="0" w:line="264" w:lineRule="auto"/>
        <w:rPr>
          <w:sz w:val="20"/>
          <w:szCs w:val="20"/>
          <w:color w:val="auto"/>
        </w:rPr>
      </w:pPr>
      <w:r>
        <w:rPr>
          <w:rFonts w:ascii="Arial" w:cs="Arial" w:eastAsia="Arial" w:hAnsi="Arial"/>
          <w:sz w:val="17"/>
          <w:szCs w:val="17"/>
          <w:color w:val="auto"/>
        </w:rPr>
        <w:t>The determination of the tax attributes for the Company’s distributions is made annually, and is based upon the Company’s taxable income and distributions paid to its stockholders for the full year. Ordinary dividend distributions from a RIC do not qualify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(unaudited)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the preferential tax rate on qualified dividend income from domestic corporations and qualified foreign corporations, except to the extent that the RIC received the income in the form of qualifying dividends from domestic corporations and qualified foreign corporations. The tax characterization of the Company’s distributions generally includes both ordinary income and capital gains but may also include qualified dividends or return of capital.</w:t>
      </w:r>
    </w:p>
    <w:p>
      <w:pPr>
        <w:spacing w:after="0" w:line="124" w:lineRule="exact"/>
        <w:rPr>
          <w:sz w:val="20"/>
          <w:szCs w:val="20"/>
          <w:color w:val="auto"/>
        </w:rPr>
      </w:pPr>
    </w:p>
    <w:p>
      <w:pPr>
        <w:jc w:val="both"/>
        <w:ind w:firstLine="478"/>
        <w:spacing w:after="0" w:line="267" w:lineRule="auto"/>
        <w:rPr>
          <w:sz w:val="20"/>
          <w:szCs w:val="20"/>
          <w:color w:val="auto"/>
        </w:rPr>
      </w:pPr>
      <w:r>
        <w:rPr>
          <w:rFonts w:ascii="Arial" w:cs="Arial" w:eastAsia="Arial" w:hAnsi="Arial"/>
          <w:sz w:val="17"/>
          <w:szCs w:val="17"/>
          <w:color w:val="auto"/>
        </w:rPr>
        <w:t>The Company has adopted a dividend reinvestment plan (“DRIP”) that provides for the reinvestment of dividends on behalf of its stockholders, unless a stockholder has elected to receive dividends in cash. As a result, if the Company declares a cash dividend, the Company’s stockholders who have not “opted out” of the DRIP at least two days prior to the dividend payment date will have their cash dividend automatically reinvested into additional shares of the Company’s common stock. The Company has the option to satisfy the share requirements of the DRIP through the issuance of new shares of common stock or through open market purchases of common stock by the DRIP plan administrator. Newly issued shares are valued based upon the final closing price of the Company’s common stock on a date determined by the Board. Shares purchased in the open market to satisfy the DRIP requirements will be valued based upon the average price of the applicable shares purchased by the DRIP plan administrator before any associated brokerage or other costs. See Note 9 to the consolidated financial statements regarding dividend declarations and distributions.</w:t>
      </w:r>
    </w:p>
    <w:p>
      <w:pPr>
        <w:spacing w:after="0" w:line="137" w:lineRule="exact"/>
        <w:rPr>
          <w:sz w:val="20"/>
          <w:szCs w:val="20"/>
          <w:color w:val="auto"/>
        </w:rPr>
      </w:pPr>
    </w:p>
    <w:p>
      <w:pPr>
        <w:jc w:val="both"/>
        <w:ind w:firstLine="478"/>
        <w:spacing w:after="0" w:line="276" w:lineRule="auto"/>
        <w:rPr>
          <w:sz w:val="20"/>
          <w:szCs w:val="20"/>
          <w:color w:val="auto"/>
        </w:rPr>
      </w:pPr>
      <w:r>
        <w:rPr>
          <w:rFonts w:ascii="Arial" w:cs="Arial" w:eastAsia="Arial" w:hAnsi="Arial"/>
          <w:sz w:val="17"/>
          <w:szCs w:val="17"/>
          <w:i w:val="1"/>
          <w:iCs w:val="1"/>
          <w:color w:val="auto"/>
        </w:rPr>
        <w:t xml:space="preserve">Earnings and net asset value per share: </w:t>
      </w:r>
      <w:r>
        <w:rPr>
          <w:rFonts w:ascii="Arial" w:cs="Arial" w:eastAsia="Arial" w:hAnsi="Arial"/>
          <w:sz w:val="17"/>
          <w:szCs w:val="17"/>
          <w:color w:val="auto"/>
        </w:rPr>
        <w:t>The earnings per share calculations for the three and nine months ended September 30, 2021 and 2020, are computed</w:t>
      </w:r>
      <w:r>
        <w:rPr>
          <w:rFonts w:ascii="Arial" w:cs="Arial" w:eastAsia="Arial" w:hAnsi="Arial"/>
          <w:sz w:val="17"/>
          <w:szCs w:val="17"/>
          <w:i w:val="1"/>
          <w:iCs w:val="1"/>
          <w:color w:val="auto"/>
        </w:rPr>
        <w:t xml:space="preserve"> </w:t>
      </w:r>
      <w:r>
        <w:rPr>
          <w:rFonts w:ascii="Arial" w:cs="Arial" w:eastAsia="Arial" w:hAnsi="Arial"/>
          <w:sz w:val="17"/>
          <w:szCs w:val="17"/>
          <w:color w:val="auto"/>
        </w:rPr>
        <w:t>utilizing the weighted average shares outstanding for the period. Net asset value per share is calculated using the number of shares outstanding as of the end of the period.</w:t>
      </w:r>
    </w:p>
    <w:p>
      <w:pPr>
        <w:spacing w:after="0" w:line="124" w:lineRule="exact"/>
        <w:rPr>
          <w:sz w:val="20"/>
          <w:szCs w:val="20"/>
          <w:color w:val="auto"/>
        </w:rPr>
      </w:pPr>
    </w:p>
    <w:p>
      <w:pPr>
        <w:jc w:val="both"/>
        <w:ind w:firstLine="478"/>
        <w:spacing w:after="0" w:line="284" w:lineRule="auto"/>
        <w:rPr>
          <w:sz w:val="20"/>
          <w:szCs w:val="20"/>
          <w:color w:val="auto"/>
        </w:rPr>
      </w:pPr>
      <w:r>
        <w:rPr>
          <w:rFonts w:ascii="Arial" w:cs="Arial" w:eastAsia="Arial" w:hAnsi="Arial"/>
          <w:sz w:val="16"/>
          <w:szCs w:val="16"/>
          <w:i w:val="1"/>
          <w:iCs w:val="1"/>
          <w:color w:val="auto"/>
        </w:rPr>
        <w:t xml:space="preserve">Stock Repurchase Program: </w:t>
      </w:r>
      <w:r>
        <w:rPr>
          <w:rFonts w:ascii="Arial" w:cs="Arial" w:eastAsia="Arial" w:hAnsi="Arial"/>
          <w:sz w:val="16"/>
          <w:szCs w:val="16"/>
          <w:color w:val="auto"/>
        </w:rPr>
        <w:t>The Company has an open market stock repurchase program (the “Stock Repurchase Program”) under which the Company may</w:t>
      </w:r>
      <w:r>
        <w:rPr>
          <w:rFonts w:ascii="Arial" w:cs="Arial" w:eastAsia="Arial" w:hAnsi="Arial"/>
          <w:sz w:val="16"/>
          <w:szCs w:val="16"/>
          <w:i w:val="1"/>
          <w:iCs w:val="1"/>
          <w:color w:val="auto"/>
        </w:rPr>
        <w:t xml:space="preserve"> </w:t>
      </w:r>
      <w:r>
        <w:rPr>
          <w:rFonts w:ascii="Arial" w:cs="Arial" w:eastAsia="Arial" w:hAnsi="Arial"/>
          <w:sz w:val="16"/>
          <w:szCs w:val="16"/>
          <w:color w:val="auto"/>
        </w:rPr>
        <w:t>acquire up to $5,000 of its outstanding common stock. Under the Stock Repurchase Program, the Company may, but is not obligated to, repurchase outstanding common stock in the open market from time to time provided that the Company complies with the prohibitions under its insider trading policies and the requirements of Rule 10b-18 of the Securities Exchange Act of 1934, as amended (the “Exchange Act”), including certain price, market value and timing constraints. The timing, manner, price and amount of any share repurchases will be determined by the Company’s management, in its discretion, based upon the evaluation of economic and market conditions, stock price, capital availability, applicable legal and regulatory requirements and other corporate considerations. On October 26, 2020, the Board extended the Stock Repurchase Program through December 31, 2021, or until the approved dollar amount has been used to repurchase shares. The Stock Repurchase Program does not require the Company to repurchase any specific number of shares and the Company cannot assure that any shares will be repurchased under the Stock Repurchase Program. The Stock Repurchase Program may be suspended, extended, modified or discontinued at any time. The Company did not make any repurchases of common stock during the three and nine months ended September 30, 2021. During the three and nine months ended September 30, 2020, the Company repurchased zero and 25,719 shares of common stock on the open market for zero and $268, respectively. Refer to Note 8 for additional information concerning stock repurchases.</w:t>
      </w:r>
    </w:p>
    <w:p>
      <w:pPr>
        <w:spacing w:after="0" w:line="126"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Recent accounting pronouncements:</w:t>
      </w:r>
    </w:p>
    <w:p>
      <w:pPr>
        <w:spacing w:after="0" w:line="121" w:lineRule="exact"/>
        <w:rPr>
          <w:sz w:val="20"/>
          <w:szCs w:val="20"/>
          <w:color w:val="auto"/>
        </w:rPr>
      </w:pPr>
    </w:p>
    <w:p>
      <w:pPr>
        <w:jc w:val="both"/>
        <w:ind w:firstLine="510"/>
        <w:spacing w:after="0" w:line="305" w:lineRule="auto"/>
        <w:rPr>
          <w:sz w:val="20"/>
          <w:szCs w:val="20"/>
          <w:color w:val="auto"/>
        </w:rPr>
      </w:pPr>
      <w:r>
        <w:rPr>
          <w:rFonts w:ascii="Arial" w:cs="Arial" w:eastAsia="Arial" w:hAnsi="Arial"/>
          <w:sz w:val="15"/>
          <w:szCs w:val="15"/>
          <w:color w:val="auto"/>
        </w:rPr>
        <w:t>In March 2020, the Financial Accounting Standards Board (“FASB”) issued Accounting Standards Update (“ASU”) No. 2020-04, “</w:t>
      </w:r>
      <w:r>
        <w:rPr>
          <w:rFonts w:ascii="Arial" w:cs="Arial" w:eastAsia="Arial" w:hAnsi="Arial"/>
          <w:sz w:val="15"/>
          <w:szCs w:val="15"/>
          <w:i w:val="1"/>
          <w:iCs w:val="1"/>
          <w:color w:val="auto"/>
        </w:rPr>
        <w:t>Reference Rate Reform</w:t>
      </w:r>
      <w:r>
        <w:rPr>
          <w:rFonts w:ascii="Arial" w:cs="Arial" w:eastAsia="Arial" w:hAnsi="Arial"/>
          <w:sz w:val="15"/>
          <w:szCs w:val="15"/>
          <w:color w:val="auto"/>
        </w:rPr>
        <w:t xml:space="preserve"> </w:t>
      </w:r>
      <w:r>
        <w:rPr>
          <w:rFonts w:ascii="Arial" w:cs="Arial" w:eastAsia="Arial" w:hAnsi="Arial"/>
          <w:sz w:val="15"/>
          <w:szCs w:val="15"/>
          <w:i w:val="1"/>
          <w:iCs w:val="1"/>
          <w:color w:val="auto"/>
        </w:rPr>
        <w:t>(Topic 848),</w:t>
      </w:r>
      <w:r>
        <w:rPr>
          <w:rFonts w:ascii="Arial" w:cs="Arial" w:eastAsia="Arial" w:hAnsi="Arial"/>
          <w:sz w:val="15"/>
          <w:szCs w:val="15"/>
          <w:color w:val="auto"/>
        </w:rPr>
        <w:t>” which provides optional expedients and exceptions for applying GAAP to contracts, hedging relationships, and other transactions affected by reference</w:t>
      </w:r>
      <w:r>
        <w:rPr>
          <w:rFonts w:ascii="Arial" w:cs="Arial" w:eastAsia="Arial" w:hAnsi="Arial"/>
          <w:sz w:val="15"/>
          <w:szCs w:val="15"/>
          <w:i w:val="1"/>
          <w:iCs w:val="1"/>
          <w:color w:val="auto"/>
        </w:rPr>
        <w:t xml:space="preserve"> </w:t>
      </w:r>
      <w:r>
        <w:rPr>
          <w:rFonts w:ascii="Arial" w:cs="Arial" w:eastAsia="Arial" w:hAnsi="Arial"/>
          <w:sz w:val="15"/>
          <w:szCs w:val="15"/>
          <w:color w:val="auto"/>
        </w:rPr>
        <w:t>rate reform if certain criteria are met. The amendments apply only to contracts, hedging relationships, and other transactions that reference LIBOR or another reference rate expected to be discontinued because of reference rate reform. The Company has agreements that have LIBOR as a reference rate with certain portfolio companies and under the Credit Facility (as described in Note 6). Many of these agreements (including the credit agreement relating to the Credit Facility) include an alternative successor rate or language for choosing an alternative successor rate when LIBOR reference is no longer considered to be appropriate. With respect to other agreements, the Company intends to work with its portfolio companies to modify agreements to choose an alternative successor rate. ASU 2020-04 is effective for all entities as of March 12, 2020 through December 31, 2022. The expedients and exceptions provided by the amendments do not apply to contract modifications and hedging relationships entered into or evaluated after December 31, 2022, except for hedging transactions as of December 31, 2022, that an entity has elected certain optional expedients for and that are retained through the end of the hedging relationship. The Company did not utilize the optional expedients and exceptions provided by ASU 2020-04 during the nine months ended September 30, 2021.</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SEC Rule 1-02(w)(2) Update:</w:t>
      </w:r>
    </w:p>
    <w:p>
      <w:pPr>
        <w:spacing w:after="0" w:line="172" w:lineRule="exact"/>
        <w:rPr>
          <w:sz w:val="20"/>
          <w:szCs w:val="20"/>
          <w:color w:val="auto"/>
        </w:rPr>
      </w:pPr>
    </w:p>
    <w:p>
      <w:pPr>
        <w:jc w:val="both"/>
        <w:ind w:firstLine="562"/>
        <w:spacing w:after="0" w:line="264" w:lineRule="auto"/>
        <w:rPr>
          <w:sz w:val="20"/>
          <w:szCs w:val="20"/>
          <w:color w:val="auto"/>
        </w:rPr>
      </w:pPr>
      <w:r>
        <w:rPr>
          <w:rFonts w:ascii="Arial" w:cs="Arial" w:eastAsia="Arial" w:hAnsi="Arial"/>
          <w:sz w:val="17"/>
          <w:szCs w:val="17"/>
          <w:color w:val="auto"/>
        </w:rPr>
        <w:t>In May 2020, the SEC adopted rule amendments that will impact the requirement of investment companies, including BDCs, to disclose the financial statements of certain of their portfolio companies or certain acquired funds (the “Final Rules”). The Final Rules adopted a new definition of “significant subsidiary” set forth in Rule 1-02(w)(2) of Regulation S-X under the Securities Act. Rules 3-09 and 4-08(g) of Regulation S-X require investment companies to include separate financial statements or summary financial information, respectively, in such investment company’s periodic reports for any portfolio company that meets the definition of “significant subsidiary.” The Final Rules adopted a new definition of “significant subsidiary” applicable only to investment companies that (i) modifies the investment test and the income test, and (ii) eliminates the asset test currently in the definition of “significant subsidiary” in Rule 1-02(w) of Regulation S-X. The new Rule 1-02(w)(2) of Regulation S-X is intended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(unaudited)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more accurately capture those portfolio companies that are more likely to materially impact the financial condition of an investment company. The Final Rules became effective on January 1, 2021; however, the Company elected to early adopt this rule change as of December 31, 2020. The adoption of this guidance did not have a material impact on the Company’s Consolidated Financial Statements.</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SEC Regulation S-K Update:</w:t>
      </w:r>
    </w:p>
    <w:p>
      <w:pPr>
        <w:spacing w:after="0" w:line="172" w:lineRule="exact"/>
        <w:rPr>
          <w:sz w:val="20"/>
          <w:szCs w:val="20"/>
          <w:color w:val="auto"/>
        </w:rPr>
      </w:pPr>
    </w:p>
    <w:p>
      <w:pPr>
        <w:jc w:val="both"/>
        <w:ind w:firstLine="562"/>
        <w:spacing w:after="0" w:line="287" w:lineRule="auto"/>
        <w:rPr>
          <w:sz w:val="20"/>
          <w:szCs w:val="20"/>
          <w:color w:val="auto"/>
        </w:rPr>
      </w:pPr>
      <w:r>
        <w:rPr>
          <w:rFonts w:ascii="Arial" w:cs="Arial" w:eastAsia="Arial" w:hAnsi="Arial"/>
          <w:sz w:val="16"/>
          <w:szCs w:val="16"/>
          <w:color w:val="auto"/>
        </w:rPr>
        <w:t>In November 2020, the SEC issued a final rule that modernized and simplifies Management's Discussion and Analysis and certain financial disclosure requirements in Regulation S-K (the “Amendments”). Specifically, the Amendments: (i) eliminate Item 301 of Regulation S-K (Selected Financial Data); (ii) simplify Item 302 of Regulation S-K (Supplementary Financial Information); and (iii) amend certain aspects of Item 303 of Regulation S-K (Management's Discussion and Analysis of Financial Condition and Results of Operations). The Amendments became effective on February 10, 2021 and compliance will be required for the registrants' fiscal year ending on or after August 9, 2021. Early adoption of the Amendments is permitted on an item-by-item basis after the effective date; however, a registrant must fully comply with each adopted item in its entirety. The Company adopted the Amendments on the effective date which did not have a material impact on the Company’s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Portfolio Company Investments</w:t>
      </w:r>
    </w:p>
    <w:p>
      <w:pPr>
        <w:spacing w:after="0" w:line="176" w:lineRule="exact"/>
        <w:rPr>
          <w:sz w:val="20"/>
          <w:szCs w:val="20"/>
          <w:color w:val="auto"/>
        </w:rPr>
      </w:pPr>
    </w:p>
    <w:p>
      <w:pPr>
        <w:jc w:val="both"/>
        <w:ind w:firstLine="478"/>
        <w:spacing w:after="0" w:line="268" w:lineRule="auto"/>
        <w:rPr>
          <w:sz w:val="20"/>
          <w:szCs w:val="20"/>
          <w:color w:val="auto"/>
        </w:rPr>
      </w:pPr>
      <w:r>
        <w:rPr>
          <w:rFonts w:ascii="Arial" w:cs="Arial" w:eastAsia="Arial" w:hAnsi="Arial"/>
          <w:sz w:val="17"/>
          <w:szCs w:val="17"/>
          <w:color w:val="auto"/>
        </w:rPr>
        <w:t>The Company’s portfolio investments principally consist of secured and unsecured debt, equity warrants and direct equity investments in privately held companies. The debt investments may or may not be secured by either a first or second lien on the assets of the portfolio company. The debt investments bear interest at fixed rates or variable rates, and generally mature between five and seven years from the original investment. In connection with a debt investment, the Company also may receive nominally priced equity warrants and/or make a direct equity investment in the portfolio company. The Company’s warrants or equity investments may be investments in a holding company related to the portfolio company. In addition, the Company periodically makes equity investments in its portfolio companies through Taxable Subsidiaries. In both situations, the investment is generally reported under the name of the operating company on the consolidated schedules of investments.</w:t>
      </w:r>
    </w:p>
    <w:p>
      <w:pPr>
        <w:spacing w:after="0" w:line="133" w:lineRule="exact"/>
        <w:rPr>
          <w:sz w:val="20"/>
          <w:szCs w:val="20"/>
          <w:color w:val="auto"/>
        </w:rPr>
      </w:pPr>
    </w:p>
    <w:p>
      <w:pPr>
        <w:jc w:val="both"/>
        <w:ind w:firstLine="478"/>
        <w:spacing w:after="0" w:line="272" w:lineRule="auto"/>
        <w:rPr>
          <w:sz w:val="20"/>
          <w:szCs w:val="20"/>
          <w:color w:val="auto"/>
        </w:rPr>
      </w:pPr>
      <w:r>
        <w:rPr>
          <w:rFonts w:ascii="Arial" w:cs="Arial" w:eastAsia="Arial" w:hAnsi="Arial"/>
          <w:sz w:val="17"/>
          <w:szCs w:val="17"/>
          <w:color w:val="auto"/>
        </w:rPr>
        <w:t>As of September 30, 2021, the Company had active investments in 70 portfolio companies and residual investments in six portfolio companies that have sold their underlying operations. The aggregate fair value of the total portfolio was $719,124 and the weighted average effective yield on the Company’s debt investments was 12.3% as of such date. As of September 30, 2021, the Company held equity investments in 88.2% of its portfolio companies and the average fully diluted equity ownership in those portfolio companies was 5.6%.</w:t>
      </w:r>
    </w:p>
    <w:p>
      <w:pPr>
        <w:spacing w:after="0" w:line="128" w:lineRule="exact"/>
        <w:rPr>
          <w:sz w:val="20"/>
          <w:szCs w:val="20"/>
          <w:color w:val="auto"/>
        </w:rPr>
      </w:pPr>
    </w:p>
    <w:p>
      <w:pPr>
        <w:jc w:val="both"/>
        <w:ind w:firstLine="478"/>
        <w:spacing w:after="0" w:line="272" w:lineRule="auto"/>
        <w:rPr>
          <w:sz w:val="20"/>
          <w:szCs w:val="20"/>
          <w:color w:val="auto"/>
        </w:rPr>
      </w:pPr>
      <w:r>
        <w:rPr>
          <w:rFonts w:ascii="Arial" w:cs="Arial" w:eastAsia="Arial" w:hAnsi="Arial"/>
          <w:sz w:val="17"/>
          <w:szCs w:val="17"/>
          <w:color w:val="auto"/>
        </w:rPr>
        <w:t>As of December 31, 2020, the Company had active investments in 66 portfolio companies and residual investments in three portfolio companies that have sold their underlying operations. The aggregate fair value of the total portfolio was $742,869 and the weighted average effective yield on the Company’s debt investments was 12.2% as of such date. As of December 31, 2020, the Company held equity investments in 88.4% of its portfolio companies and the average fully diluted equity ownership in those portfolio companies was 5.3%.</w:t>
      </w:r>
    </w:p>
    <w:p>
      <w:pPr>
        <w:spacing w:after="0" w:line="128" w:lineRule="exact"/>
        <w:rPr>
          <w:sz w:val="20"/>
          <w:szCs w:val="20"/>
          <w:color w:val="auto"/>
        </w:rPr>
      </w:pPr>
    </w:p>
    <w:p>
      <w:pPr>
        <w:jc w:val="both"/>
        <w:ind w:firstLine="478"/>
        <w:spacing w:after="0" w:line="319" w:lineRule="auto"/>
        <w:rPr>
          <w:sz w:val="20"/>
          <w:szCs w:val="20"/>
          <w:color w:val="auto"/>
        </w:rPr>
      </w:pPr>
      <w:r>
        <w:rPr>
          <w:rFonts w:ascii="Arial" w:cs="Arial" w:eastAsia="Arial" w:hAnsi="Arial"/>
          <w:sz w:val="15"/>
          <w:szCs w:val="15"/>
          <w:color w:val="auto"/>
        </w:rPr>
        <w:t>The weighted average yield of the Company’s debt investments is not the same as a return on investment for its stockholders but, rather, relates to a portion of the Company’s investment portfolio and is calculated before the payment of all of the Company’s and its subsidiaries’ fees and expenses. The weighted average yields were computed using the effective interest rates for debt investments at cost as of September 30, 2021 and December 31, 2020, including accretion of OID and debt investment origination fees, but excluding investments on non-accrual status and investments recorded as a secured borrowing, if any.</w:t>
      </w:r>
    </w:p>
    <w:p>
      <w:pPr>
        <w:spacing w:after="0" w:line="97" w:lineRule="exact"/>
        <w:rPr>
          <w:sz w:val="20"/>
          <w:szCs w:val="20"/>
          <w:color w:val="auto"/>
        </w:rPr>
      </w:pPr>
    </w:p>
    <w:p>
      <w:pPr>
        <w:jc w:val="both"/>
        <w:ind w:firstLine="478"/>
        <w:spacing w:after="0" w:line="276" w:lineRule="auto"/>
        <w:rPr>
          <w:sz w:val="20"/>
          <w:szCs w:val="20"/>
          <w:color w:val="auto"/>
        </w:rPr>
      </w:pPr>
      <w:r>
        <w:rPr>
          <w:rFonts w:ascii="Arial" w:cs="Arial" w:eastAsia="Arial" w:hAnsi="Arial"/>
          <w:sz w:val="17"/>
          <w:szCs w:val="17"/>
          <w:color w:val="auto"/>
        </w:rPr>
        <w:t>Purchases of debt and equity investments for the nine months ended September 30, 2021 and 2020 totaled $245,544 and $86,121, respectively. Proceeds from sales and repayments, including principal, return of capital distributions and realized gains, of portfolio investments for the nine months ended September 30, 2021 and 2020 totaled $319,036 and $110,149, respectively.</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Investments by type with corresponding percentage of total portfolio investments consisted of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4"/>
                <w:szCs w:val="14"/>
                <w:b w:val="1"/>
                <w:bCs w:val="1"/>
                <w:color w:val="auto"/>
              </w:rPr>
              <w:t>Fair Value</w:t>
            </w:r>
          </w:p>
        </w:tc>
        <w:tc>
          <w:tcPr>
            <w:tcW w:w="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w w:val="83"/>
              </w:rPr>
              <w:t>Cost</w:t>
            </w: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r>
      <w:tr>
        <w:trPr>
          <w:trHeight w:val="177"/>
        </w:trPr>
        <w:tc>
          <w:tcPr>
            <w:tcW w:w="2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3"/>
          </w:tcPr>
          <w:p>
            <w:pPr>
              <w:jc w:val="center"/>
              <w:ind w:left="92"/>
              <w:spacing w:after="0"/>
              <w:rPr>
                <w:sz w:val="20"/>
                <w:szCs w:val="20"/>
                <w:color w:val="auto"/>
              </w:rPr>
            </w:pPr>
            <w:r>
              <w:rPr>
                <w:rFonts w:ascii="Arial" w:cs="Arial" w:eastAsia="Arial" w:hAnsi="Arial"/>
                <w:sz w:val="14"/>
                <w:szCs w:val="14"/>
                <w:b w:val="1"/>
                <w:bCs w:val="1"/>
                <w:color w:val="auto"/>
                <w:w w:val="85"/>
              </w:rPr>
              <w:t>September 30,</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gridSpan w:val="3"/>
          </w:tcPr>
          <w:p>
            <w:pPr>
              <w:jc w:val="center"/>
              <w:ind w:left="52"/>
              <w:spacing w:after="0"/>
              <w:rPr>
                <w:sz w:val="20"/>
                <w:szCs w:val="20"/>
                <w:color w:val="auto"/>
              </w:rPr>
            </w:pPr>
            <w:r>
              <w:rPr>
                <w:rFonts w:ascii="Arial" w:cs="Arial" w:eastAsia="Arial" w:hAnsi="Arial"/>
                <w:sz w:val="14"/>
                <w:szCs w:val="14"/>
                <w:b w:val="1"/>
                <w:bCs w:val="1"/>
                <w:color w:val="auto"/>
                <w:w w:val="85"/>
              </w:rPr>
              <w:t>December 31,</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3"/>
          </w:tcPr>
          <w:p>
            <w:pPr>
              <w:jc w:val="center"/>
              <w:ind w:left="72"/>
              <w:spacing w:after="0"/>
              <w:rPr>
                <w:sz w:val="20"/>
                <w:szCs w:val="20"/>
                <w:color w:val="auto"/>
              </w:rPr>
            </w:pPr>
            <w:r>
              <w:rPr>
                <w:rFonts w:ascii="Arial" w:cs="Arial" w:eastAsia="Arial" w:hAnsi="Arial"/>
                <w:sz w:val="14"/>
                <w:szCs w:val="14"/>
                <w:b w:val="1"/>
                <w:bCs w:val="1"/>
                <w:color w:val="auto"/>
                <w:w w:val="87"/>
              </w:rPr>
              <w:t>September 30,</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3"/>
          </w:tcPr>
          <w:p>
            <w:pPr>
              <w:jc w:val="center"/>
              <w:ind w:left="92"/>
              <w:spacing w:after="0"/>
              <w:rPr>
                <w:sz w:val="20"/>
                <w:szCs w:val="20"/>
                <w:color w:val="auto"/>
              </w:rPr>
            </w:pPr>
            <w:r>
              <w:rPr>
                <w:rFonts w:ascii="Arial" w:cs="Arial" w:eastAsia="Arial" w:hAnsi="Arial"/>
                <w:sz w:val="14"/>
                <w:szCs w:val="14"/>
                <w:b w:val="1"/>
                <w:bCs w:val="1"/>
                <w:color w:val="auto"/>
                <w:w w:val="87"/>
              </w:rPr>
              <w:t>December 31,</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96"/>
        </w:trPr>
        <w:tc>
          <w:tcPr>
            <w:tcW w:w="2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r>
      <w:tr>
        <w:trPr>
          <w:trHeight w:val="188"/>
        </w:trPr>
        <w:tc>
          <w:tcPr>
            <w:tcW w:w="2020" w:type="dxa"/>
            <w:vAlign w:val="bottom"/>
            <w:shd w:val="clear" w:color="auto" w:fill="CFF0FC"/>
          </w:tcPr>
          <w:p>
            <w:pPr>
              <w:ind w:left="20"/>
              <w:spacing w:after="0" w:line="189" w:lineRule="exact"/>
              <w:rPr>
                <w:sz w:val="20"/>
                <w:szCs w:val="20"/>
                <w:color w:val="auto"/>
              </w:rPr>
            </w:pPr>
            <w:r>
              <w:rPr>
                <w:rFonts w:ascii="Arial" w:cs="Arial" w:eastAsia="Arial" w:hAnsi="Arial"/>
                <w:sz w:val="14"/>
                <w:szCs w:val="14"/>
                <w:color w:val="auto"/>
              </w:rPr>
              <w:t>First Lien Debt</w:t>
            </w:r>
            <w:r>
              <w:rPr>
                <w:rFonts w:ascii="Arial" w:cs="Arial" w:eastAsia="Arial" w:hAnsi="Arial"/>
                <w:sz w:val="18"/>
                <w:szCs w:val="18"/>
                <w:color w:val="auto"/>
                <w:vertAlign w:val="superscript"/>
              </w:rPr>
              <w:t>(1)</w:t>
            </w:r>
          </w:p>
        </w:tc>
        <w:tc>
          <w:tcPr>
            <w:tcW w:w="300" w:type="dxa"/>
            <w:vAlign w:val="bottom"/>
            <w:shd w:val="clear" w:color="auto" w:fill="CFF0FC"/>
          </w:tcPr>
          <w:p>
            <w:pPr>
              <w:jc w:val="right"/>
              <w:ind w:right="152"/>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296,998</w:t>
            </w: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41.2</w:t>
            </w:r>
          </w:p>
        </w:tc>
        <w:tc>
          <w:tcPr>
            <w:tcW w:w="460" w:type="dxa"/>
            <w:vAlign w:val="bottom"/>
            <w:shd w:val="clear" w:color="auto" w:fill="CFF0FC"/>
          </w:tcPr>
          <w:p>
            <w:pPr>
              <w:jc w:val="right"/>
              <w:ind w:right="152"/>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jc w:val="right"/>
              <w:ind w:right="192"/>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187,353</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w:t>
            </w:r>
          </w:p>
        </w:tc>
        <w:tc>
          <w:tcPr>
            <w:tcW w:w="340" w:type="dxa"/>
            <w:vAlign w:val="bottom"/>
            <w:shd w:val="clear" w:color="auto" w:fill="CFF0FC"/>
          </w:tcPr>
          <w:p>
            <w:pPr>
              <w:jc w:val="right"/>
              <w:ind w:right="72"/>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ind w:right="152"/>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295,412</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46.8</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jc w:val="right"/>
              <w:ind w:right="132"/>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184,585</w:t>
            </w: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26.9</w:t>
            </w:r>
          </w:p>
        </w:tc>
        <w:tc>
          <w:tcPr>
            <w:tcW w:w="300" w:type="dxa"/>
            <w:vAlign w:val="bottom"/>
            <w:shd w:val="clear" w:color="auto" w:fill="CFF0FC"/>
          </w:tcPr>
          <w:p>
            <w:pPr>
              <w:jc w:val="right"/>
              <w:ind w:right="32"/>
              <w:spacing w:after="0"/>
              <w:rPr>
                <w:sz w:val="20"/>
                <w:szCs w:val="20"/>
                <w:color w:val="auto"/>
              </w:rPr>
            </w:pPr>
            <w:r>
              <w:rPr>
                <w:rFonts w:ascii="Arial" w:cs="Arial" w:eastAsia="Arial" w:hAnsi="Arial"/>
                <w:sz w:val="14"/>
                <w:szCs w:val="14"/>
                <w:color w:val="auto"/>
              </w:rPr>
              <w:t>%</w:t>
            </w:r>
          </w:p>
        </w:tc>
      </w:tr>
      <w:tr>
        <w:trPr>
          <w:trHeight w:val="185"/>
        </w:trPr>
        <w:tc>
          <w:tcPr>
            <w:tcW w:w="2020" w:type="dxa"/>
            <w:vAlign w:val="bottom"/>
          </w:tcPr>
          <w:p>
            <w:pPr>
              <w:ind w:left="20"/>
              <w:spacing w:after="0"/>
              <w:rPr>
                <w:sz w:val="20"/>
                <w:szCs w:val="20"/>
                <w:color w:val="auto"/>
              </w:rPr>
            </w:pPr>
            <w:r>
              <w:rPr>
                <w:rFonts w:ascii="Arial" w:cs="Arial" w:eastAsia="Arial" w:hAnsi="Arial"/>
                <w:sz w:val="14"/>
                <w:szCs w:val="14"/>
                <w:color w:val="auto"/>
              </w:rPr>
              <w:t>Second Lien Debt</w:t>
            </w: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201,305</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28.0</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332,154</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44.7</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212,311</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33.6</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341,947</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49.7</w:t>
            </w:r>
          </w:p>
        </w:tc>
        <w:tc>
          <w:tcPr>
            <w:tcW w:w="300" w:type="dxa"/>
            <w:vAlign w:val="bottom"/>
          </w:tcPr>
          <w:p>
            <w:pPr>
              <w:spacing w:after="0"/>
              <w:rPr>
                <w:sz w:val="16"/>
                <w:szCs w:val="16"/>
                <w:color w:val="auto"/>
              </w:rPr>
            </w:pPr>
          </w:p>
        </w:tc>
      </w:tr>
      <w:tr>
        <w:trPr>
          <w:trHeight w:val="196"/>
        </w:trPr>
        <w:tc>
          <w:tcPr>
            <w:tcW w:w="2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Subordinated Debt</w:t>
            </w: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69,452</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w:t>
            </w:r>
          </w:p>
        </w:tc>
        <w:tc>
          <w:tcPr>
            <w:tcW w:w="4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107,911</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w:t>
            </w:r>
          </w:p>
        </w:tc>
        <w:tc>
          <w:tcPr>
            <w:tcW w:w="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69,192</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w:t>
            </w: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107,343</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w:t>
            </w:r>
          </w:p>
        </w:tc>
        <w:tc>
          <w:tcPr>
            <w:tcW w:w="300" w:type="dxa"/>
            <w:vAlign w:val="bottom"/>
            <w:shd w:val="clear" w:color="auto" w:fill="CFF0FC"/>
          </w:tcPr>
          <w:p>
            <w:pPr>
              <w:spacing w:after="0"/>
              <w:rPr>
                <w:sz w:val="17"/>
                <w:szCs w:val="17"/>
                <w:color w:val="auto"/>
              </w:rPr>
            </w:pPr>
          </w:p>
        </w:tc>
      </w:tr>
      <w:tr>
        <w:trPr>
          <w:trHeight w:val="185"/>
        </w:trPr>
        <w:tc>
          <w:tcPr>
            <w:tcW w:w="2020" w:type="dxa"/>
            <w:vAlign w:val="bottom"/>
          </w:tcPr>
          <w:p>
            <w:pPr>
              <w:ind w:left="20"/>
              <w:spacing w:after="0"/>
              <w:rPr>
                <w:sz w:val="20"/>
                <w:szCs w:val="20"/>
                <w:color w:val="auto"/>
              </w:rPr>
            </w:pPr>
            <w:r>
              <w:rPr>
                <w:rFonts w:ascii="Arial" w:cs="Arial" w:eastAsia="Arial" w:hAnsi="Arial"/>
                <w:sz w:val="14"/>
                <w:szCs w:val="14"/>
                <w:color w:val="auto"/>
              </w:rPr>
              <w:t>Equity</w:t>
            </w: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148,098</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20.6</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112,836</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15.2</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51,154</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8.1</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49,958</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7.3</w:t>
            </w:r>
          </w:p>
        </w:tc>
        <w:tc>
          <w:tcPr>
            <w:tcW w:w="300" w:type="dxa"/>
            <w:vAlign w:val="bottom"/>
          </w:tcPr>
          <w:p>
            <w:pPr>
              <w:spacing w:after="0"/>
              <w:rPr>
                <w:sz w:val="16"/>
                <w:szCs w:val="16"/>
                <w:color w:val="auto"/>
              </w:rPr>
            </w:pPr>
          </w:p>
        </w:tc>
      </w:tr>
      <w:tr>
        <w:trPr>
          <w:trHeight w:val="196"/>
        </w:trPr>
        <w:tc>
          <w:tcPr>
            <w:tcW w:w="2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Warrants</w:t>
            </w:r>
          </w:p>
        </w:tc>
        <w:tc>
          <w:tcPr>
            <w:tcW w:w="3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3,271</w:t>
            </w:r>
          </w:p>
        </w:tc>
        <w:tc>
          <w:tcPr>
            <w:tcW w:w="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0.5</w:t>
            </w:r>
          </w:p>
        </w:tc>
        <w:tc>
          <w:tcPr>
            <w:tcW w:w="4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2,615</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0.4</w:t>
            </w:r>
          </w:p>
        </w:tc>
        <w:tc>
          <w:tcPr>
            <w:tcW w:w="3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3,194</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0.5</w:t>
            </w:r>
          </w:p>
        </w:tc>
        <w:tc>
          <w:tcPr>
            <w:tcW w:w="2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3,194</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0.5</w:t>
            </w:r>
          </w:p>
        </w:tc>
        <w:tc>
          <w:tcPr>
            <w:tcW w:w="300" w:type="dxa"/>
            <w:vAlign w:val="bottom"/>
            <w:tcBorders>
              <w:bottom w:val="single" w:sz="8" w:color="CFF0FC"/>
            </w:tcBorders>
            <w:shd w:val="clear" w:color="auto" w:fill="CFF0FC"/>
          </w:tcPr>
          <w:p>
            <w:pPr>
              <w:spacing w:after="0"/>
              <w:rPr>
                <w:sz w:val="17"/>
                <w:szCs w:val="17"/>
                <w:color w:val="auto"/>
              </w:rPr>
            </w:pPr>
          </w:p>
        </w:tc>
      </w:tr>
      <w:tr>
        <w:trPr>
          <w:trHeight w:val="183"/>
        </w:trPr>
        <w:tc>
          <w:tcPr>
            <w:tcW w:w="2020" w:type="dxa"/>
            <w:vAlign w:val="bottom"/>
          </w:tcPr>
          <w:p>
            <w:pPr>
              <w:ind w:left="20"/>
              <w:spacing w:after="0"/>
              <w:rPr>
                <w:sz w:val="20"/>
                <w:szCs w:val="20"/>
                <w:color w:val="auto"/>
              </w:rPr>
            </w:pPr>
            <w:r>
              <w:rPr>
                <w:rFonts w:ascii="Arial" w:cs="Arial" w:eastAsia="Arial" w:hAnsi="Arial"/>
                <w:sz w:val="14"/>
                <w:szCs w:val="14"/>
                <w:color w:val="auto"/>
              </w:rPr>
              <w:t>Total</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719,124</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100.0</w:t>
            </w:r>
          </w:p>
        </w:tc>
        <w:tc>
          <w:tcPr>
            <w:tcW w:w="4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742,869</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100.0</w:t>
            </w:r>
          </w:p>
        </w:tc>
        <w:tc>
          <w:tcPr>
            <w:tcW w:w="3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631,263</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100.0</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32"/>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687,027</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100.0</w:t>
            </w:r>
          </w:p>
        </w:tc>
        <w:tc>
          <w:tcPr>
            <w:tcW w:w="3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0"/>
        </w:trPr>
        <w:tc>
          <w:tcPr>
            <w:tcW w:w="20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1892935</wp:posOffset>
            </wp:positionH>
            <wp:positionV relativeFrom="paragraph">
              <wp:posOffset>-149860</wp:posOffset>
            </wp:positionV>
            <wp:extent cx="144780" cy="50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44780" cy="5080"/>
                    </a:xfrm>
                    <a:prstGeom prst="rect">
                      <a:avLst/>
                    </a:prstGeom>
                    <a:noFill/>
                  </pic:spPr>
                </pic:pic>
              </a:graphicData>
            </a:graphic>
          </wp:anchor>
        </w:drawing>
        <w:drawing>
          <wp:anchor simplePos="0" relativeHeight="251657728" behindDoc="1" locked="0" layoutInCell="0" allowOverlap="1">
            <wp:simplePos x="0" y="0"/>
            <wp:positionH relativeFrom="column">
              <wp:posOffset>2536825</wp:posOffset>
            </wp:positionH>
            <wp:positionV relativeFrom="paragraph">
              <wp:posOffset>-149860</wp:posOffset>
            </wp:positionV>
            <wp:extent cx="217170" cy="50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7170" cy="508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-149860</wp:posOffset>
            </wp:positionV>
            <wp:extent cx="144780" cy="50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44780" cy="5080"/>
                    </a:xfrm>
                    <a:prstGeom prst="rect">
                      <a:avLst/>
                    </a:prstGeom>
                    <a:noFill/>
                  </pic:spPr>
                </pic:pic>
              </a:graphicData>
            </a:graphic>
          </wp:anchor>
        </w:drawing>
        <w:drawing>
          <wp:anchor simplePos="0" relativeHeight="251657728" behindDoc="1" locked="0" layoutInCell="0" allowOverlap="1">
            <wp:simplePos x="0" y="0"/>
            <wp:positionH relativeFrom="column">
              <wp:posOffset>4090670</wp:posOffset>
            </wp:positionH>
            <wp:positionV relativeFrom="paragraph">
              <wp:posOffset>-149860</wp:posOffset>
            </wp:positionV>
            <wp:extent cx="144780" cy="50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44780" cy="5080"/>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-149860</wp:posOffset>
            </wp:positionV>
            <wp:extent cx="144780" cy="50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44780" cy="5080"/>
                    </a:xfrm>
                    <a:prstGeom prst="rect">
                      <a:avLst/>
                    </a:prstGeom>
                    <a:noFill/>
                  </pic:spPr>
                </pic:pic>
              </a:graphicData>
            </a:graphic>
          </wp:anchor>
        </w:drawing>
        <w:drawing>
          <wp:anchor simplePos="0" relativeHeight="251657728" behindDoc="1" locked="0" layoutInCell="0" allowOverlap="1">
            <wp:simplePos x="0" y="0"/>
            <wp:positionH relativeFrom="column">
              <wp:posOffset>5547360</wp:posOffset>
            </wp:positionH>
            <wp:positionV relativeFrom="paragraph">
              <wp:posOffset>-149860</wp:posOffset>
            </wp:positionV>
            <wp:extent cx="137160" cy="50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37160" cy="5080"/>
                    </a:xfrm>
                    <a:prstGeom prst="rect">
                      <a:avLst/>
                    </a:prstGeom>
                    <a:noFill/>
                  </pic:spPr>
                </pic:pic>
              </a:graphicData>
            </a:graphic>
          </wp:anchor>
        </w:drawing>
        <w:drawing>
          <wp:anchor simplePos="0" relativeHeight="251657728" behindDoc="1" locked="0" layoutInCell="0" allowOverlap="1">
            <wp:simplePos x="0" y="0"/>
            <wp:positionH relativeFrom="column">
              <wp:posOffset>6344285</wp:posOffset>
            </wp:positionH>
            <wp:positionV relativeFrom="paragraph">
              <wp:posOffset>-149860</wp:posOffset>
            </wp:positionV>
            <wp:extent cx="128905" cy="50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8905" cy="5080"/>
                    </a:xfrm>
                    <a:prstGeom prst="rect">
                      <a:avLst/>
                    </a:prstGeom>
                    <a:noFill/>
                  </pic:spPr>
                </pic:pic>
              </a:graphicData>
            </a:graphic>
          </wp:anchor>
        </w:drawing>
        <w:drawing>
          <wp:anchor simplePos="0" relativeHeight="251657728" behindDoc="1" locked="0" layoutInCell="0" allowOverlap="1">
            <wp:simplePos x="0" y="0"/>
            <wp:positionH relativeFrom="column">
              <wp:posOffset>6948170</wp:posOffset>
            </wp:positionH>
            <wp:positionV relativeFrom="paragraph">
              <wp:posOffset>-149860</wp:posOffset>
            </wp:positionV>
            <wp:extent cx="193040" cy="50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93040" cy="5080"/>
                    </a:xfrm>
                    <a:prstGeom prst="rect">
                      <a:avLst/>
                    </a:prstGeom>
                    <a:noFill/>
                  </pic:spPr>
                </pic:pic>
              </a:graphicData>
            </a:graphic>
          </wp:anchor>
        </w:drawing>
      </w:r>
    </w:p>
    <w:p>
      <w:pPr>
        <w:spacing w:after="0" w:line="76" w:lineRule="exact"/>
        <w:rPr>
          <w:sz w:val="20"/>
          <w:szCs w:val="20"/>
          <w:color w:val="auto"/>
        </w:rPr>
      </w:pPr>
    </w:p>
    <w:p>
      <w:pPr>
        <w:ind w:left="420" w:hanging="419"/>
        <w:spacing w:after="0" w:line="251" w:lineRule="auto"/>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unitranche investments, which account for 34.7% and 39.3% of our portfolio on a fair value and cost basis as of September 30, 2021, respectively. Includes unitranche investments, which account for 17.3% and 18.4% of our portfolio on a fair value and cost basis as of December 31, 2020, respectively.</w:t>
      </w: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5975" cy="412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(unaudited)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173" w:lineRule="exact"/>
        <w:rPr>
          <w:sz w:val="20"/>
          <w:szCs w:val="20"/>
          <w:color w:val="auto"/>
        </w:rPr>
      </w:pPr>
    </w:p>
    <w:p>
      <w:pPr>
        <w:jc w:val="both"/>
        <w:ind w:firstLine="480"/>
        <w:spacing w:after="0" w:line="272" w:lineRule="auto"/>
        <w:rPr>
          <w:sz w:val="20"/>
          <w:szCs w:val="20"/>
          <w:color w:val="auto"/>
        </w:rPr>
      </w:pPr>
      <w:r>
        <w:rPr>
          <w:rFonts w:ascii="Arial" w:cs="Arial" w:eastAsia="Arial" w:hAnsi="Arial"/>
          <w:sz w:val="17"/>
          <w:szCs w:val="17"/>
          <w:color w:val="auto"/>
        </w:rPr>
        <w:t>All investments made by the Company as of September 30, 2021 and December 31, 2020 were made in portfolio companies headquartered in the U.S. The following table shows portfolio composition by geographic region at fair value and cost and as a percentage of total investments. The geographic composition is determined by the location of the corporate headquarters of the portfolio company, which may not be indicative of the primary source of the portfolio company’s business.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4"/>
                <w:szCs w:val="14"/>
                <w:b w:val="1"/>
                <w:bCs w:val="1"/>
                <w:color w:val="auto"/>
              </w:rPr>
              <w:t>Fair Value</w:t>
            </w: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6"/>
              </w:rPr>
              <w:t>Cost</w:t>
            </w:r>
          </w:p>
        </w:tc>
        <w:tc>
          <w:tcPr>
            <w:tcW w:w="3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r>
      <w:tr>
        <w:trPr>
          <w:trHeight w:val="177"/>
        </w:trPr>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3"/>
          </w:tcPr>
          <w:p>
            <w:pPr>
              <w:jc w:val="center"/>
              <w:ind w:left="52"/>
              <w:spacing w:after="0"/>
              <w:rPr>
                <w:sz w:val="20"/>
                <w:szCs w:val="20"/>
                <w:color w:val="auto"/>
              </w:rPr>
            </w:pPr>
            <w:r>
              <w:rPr>
                <w:rFonts w:ascii="Arial" w:cs="Arial" w:eastAsia="Arial" w:hAnsi="Arial"/>
                <w:sz w:val="14"/>
                <w:szCs w:val="14"/>
                <w:b w:val="1"/>
                <w:bCs w:val="1"/>
                <w:color w:val="auto"/>
                <w:w w:val="87"/>
              </w:rPr>
              <w:t>September 30,</w:t>
            </w: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3"/>
          </w:tcPr>
          <w:p>
            <w:pPr>
              <w:jc w:val="center"/>
              <w:ind w:left="52"/>
              <w:spacing w:after="0"/>
              <w:rPr>
                <w:sz w:val="20"/>
                <w:szCs w:val="20"/>
                <w:color w:val="auto"/>
              </w:rPr>
            </w:pPr>
            <w:r>
              <w:rPr>
                <w:rFonts w:ascii="Arial" w:cs="Arial" w:eastAsia="Arial" w:hAnsi="Arial"/>
                <w:sz w:val="14"/>
                <w:szCs w:val="14"/>
                <w:b w:val="1"/>
                <w:bCs w:val="1"/>
                <w:color w:val="auto"/>
                <w:w w:val="87"/>
              </w:rPr>
              <w:t>December 31,</w:t>
            </w: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3"/>
          </w:tcPr>
          <w:p>
            <w:pPr>
              <w:jc w:val="center"/>
              <w:ind w:left="52"/>
              <w:spacing w:after="0"/>
              <w:rPr>
                <w:sz w:val="20"/>
                <w:szCs w:val="20"/>
                <w:color w:val="auto"/>
              </w:rPr>
            </w:pPr>
            <w:r>
              <w:rPr>
                <w:rFonts w:ascii="Arial" w:cs="Arial" w:eastAsia="Arial" w:hAnsi="Arial"/>
                <w:sz w:val="14"/>
                <w:szCs w:val="14"/>
                <w:b w:val="1"/>
                <w:bCs w:val="1"/>
                <w:color w:val="auto"/>
                <w:w w:val="85"/>
              </w:rPr>
              <w:t>September 30,</w:t>
            </w: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gridSpan w:val="3"/>
          </w:tcPr>
          <w:p>
            <w:pPr>
              <w:jc w:val="center"/>
              <w:ind w:left="32"/>
              <w:spacing w:after="0"/>
              <w:rPr>
                <w:sz w:val="20"/>
                <w:szCs w:val="20"/>
                <w:color w:val="auto"/>
              </w:rPr>
            </w:pPr>
            <w:r>
              <w:rPr>
                <w:rFonts w:ascii="Arial" w:cs="Arial" w:eastAsia="Arial" w:hAnsi="Arial"/>
                <w:sz w:val="14"/>
                <w:szCs w:val="14"/>
                <w:b w:val="1"/>
                <w:bCs w:val="1"/>
                <w:color w:val="auto"/>
                <w:w w:val="85"/>
              </w:rPr>
              <w:t>December 31,</w:t>
            </w: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6"/>
        </w:trPr>
        <w:tc>
          <w:tcPr>
            <w:tcW w:w="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188"/>
        </w:trPr>
        <w:tc>
          <w:tcPr>
            <w:tcW w:w="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Midwest</w:t>
            </w:r>
          </w:p>
        </w:tc>
        <w:tc>
          <w:tcPr>
            <w:tcW w:w="1680" w:type="dxa"/>
            <w:vAlign w:val="bottom"/>
            <w:gridSpan w:val="2"/>
            <w:shd w:val="clear" w:color="auto" w:fill="CFF0FC"/>
          </w:tcPr>
          <w:p>
            <w:pPr>
              <w:jc w:val="right"/>
              <w:ind w:right="152"/>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133,746</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18.6</w:t>
            </w:r>
          </w:p>
        </w:tc>
        <w:tc>
          <w:tcPr>
            <w:tcW w:w="440" w:type="dxa"/>
            <w:vAlign w:val="bottom"/>
            <w:shd w:val="clear" w:color="auto" w:fill="CFF0FC"/>
          </w:tcPr>
          <w:p>
            <w:pPr>
              <w:jc w:val="right"/>
              <w:ind w:right="132"/>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jc w:val="right"/>
              <w:ind w:right="172"/>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225,745</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30.4</w:t>
            </w:r>
          </w:p>
        </w:tc>
        <w:tc>
          <w:tcPr>
            <w:tcW w:w="460" w:type="dxa"/>
            <w:vAlign w:val="bottom"/>
            <w:shd w:val="clear" w:color="auto" w:fill="CFF0FC"/>
          </w:tcPr>
          <w:p>
            <w:pPr>
              <w:jc w:val="right"/>
              <w:ind w:right="152"/>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ind w:right="152"/>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78,907</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w:t>
            </w:r>
          </w:p>
        </w:tc>
        <w:tc>
          <w:tcPr>
            <w:tcW w:w="4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jc w:val="right"/>
              <w:ind w:right="192"/>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189,560</w:t>
            </w: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w:t>
            </w:r>
          </w:p>
        </w:tc>
        <w:tc>
          <w:tcPr>
            <w:tcW w:w="320" w:type="dxa"/>
            <w:vAlign w:val="bottom"/>
            <w:shd w:val="clear" w:color="auto" w:fill="CFF0FC"/>
          </w:tcPr>
          <w:p>
            <w:pPr>
              <w:jc w:val="right"/>
              <w:ind w:right="32"/>
              <w:spacing w:after="0"/>
              <w:rPr>
                <w:sz w:val="20"/>
                <w:szCs w:val="20"/>
                <w:color w:val="auto"/>
              </w:rPr>
            </w:pPr>
            <w:r>
              <w:rPr>
                <w:rFonts w:ascii="Arial" w:cs="Arial" w:eastAsia="Arial" w:hAnsi="Arial"/>
                <w:sz w:val="14"/>
                <w:szCs w:val="14"/>
                <w:color w:val="auto"/>
              </w:rPr>
              <w:t>%</w:t>
            </w:r>
          </w:p>
        </w:tc>
      </w:tr>
      <w:tr>
        <w:trPr>
          <w:trHeight w:val="185"/>
        </w:trPr>
        <w:tc>
          <w:tcPr>
            <w:tcW w:w="660" w:type="dxa"/>
            <w:vAlign w:val="bottom"/>
          </w:tcPr>
          <w:p>
            <w:pPr>
              <w:ind w:left="20"/>
              <w:spacing w:after="0"/>
              <w:rPr>
                <w:sz w:val="20"/>
                <w:szCs w:val="20"/>
                <w:color w:val="auto"/>
              </w:rPr>
            </w:pPr>
            <w:r>
              <w:rPr>
                <w:rFonts w:ascii="Arial" w:cs="Arial" w:eastAsia="Arial" w:hAnsi="Arial"/>
                <w:sz w:val="14"/>
                <w:szCs w:val="14"/>
                <w:color w:val="auto"/>
                <w:w w:val="98"/>
              </w:rPr>
              <w:t>Southeast</w:t>
            </w: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193,743</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26.9</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153,291</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20.6</w:t>
            </w: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167,516</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26.5</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129,974</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18.9</w:t>
            </w:r>
          </w:p>
        </w:tc>
        <w:tc>
          <w:tcPr>
            <w:tcW w:w="320" w:type="dxa"/>
            <w:vAlign w:val="bottom"/>
          </w:tcPr>
          <w:p>
            <w:pPr>
              <w:spacing w:after="0"/>
              <w:rPr>
                <w:sz w:val="16"/>
                <w:szCs w:val="16"/>
                <w:color w:val="auto"/>
              </w:rPr>
            </w:pPr>
          </w:p>
        </w:tc>
      </w:tr>
      <w:tr>
        <w:trPr>
          <w:trHeight w:val="196"/>
        </w:trPr>
        <w:tc>
          <w:tcPr>
            <w:tcW w:w="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Northeast</w:t>
            </w:r>
          </w:p>
        </w:tc>
        <w:tc>
          <w:tcPr>
            <w:tcW w:w="13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149,247</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w:t>
            </w:r>
          </w:p>
        </w:tc>
        <w:tc>
          <w:tcPr>
            <w:tcW w:w="4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123,268</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w:t>
            </w:r>
          </w:p>
        </w:tc>
        <w:tc>
          <w:tcPr>
            <w:tcW w:w="4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147,986</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23.4</w:t>
            </w:r>
          </w:p>
        </w:tc>
        <w:tc>
          <w:tcPr>
            <w:tcW w:w="4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127,833</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18.6</w:t>
            </w:r>
          </w:p>
        </w:tc>
        <w:tc>
          <w:tcPr>
            <w:tcW w:w="320" w:type="dxa"/>
            <w:vAlign w:val="bottom"/>
            <w:shd w:val="clear" w:color="auto" w:fill="CFF0FC"/>
          </w:tcPr>
          <w:p>
            <w:pPr>
              <w:spacing w:after="0"/>
              <w:rPr>
                <w:sz w:val="17"/>
                <w:szCs w:val="17"/>
                <w:color w:val="auto"/>
              </w:rPr>
            </w:pPr>
          </w:p>
        </w:tc>
      </w:tr>
      <w:tr>
        <w:trPr>
          <w:trHeight w:val="185"/>
        </w:trPr>
        <w:tc>
          <w:tcPr>
            <w:tcW w:w="660" w:type="dxa"/>
            <w:vAlign w:val="bottom"/>
          </w:tcPr>
          <w:p>
            <w:pPr>
              <w:ind w:left="20"/>
              <w:spacing w:after="0"/>
              <w:rPr>
                <w:sz w:val="20"/>
                <w:szCs w:val="20"/>
                <w:color w:val="auto"/>
              </w:rPr>
            </w:pPr>
            <w:r>
              <w:rPr>
                <w:rFonts w:ascii="Arial" w:cs="Arial" w:eastAsia="Arial" w:hAnsi="Arial"/>
                <w:sz w:val="14"/>
                <w:szCs w:val="14"/>
                <w:color w:val="auto"/>
              </w:rPr>
              <w:t>West</w:t>
            </w: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86,538</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12.0</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108,673</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14.6</w:t>
            </w: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80,408</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12.7</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109,221</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15.9</w:t>
            </w:r>
          </w:p>
        </w:tc>
        <w:tc>
          <w:tcPr>
            <w:tcW w:w="320" w:type="dxa"/>
            <w:vAlign w:val="bottom"/>
          </w:tcPr>
          <w:p>
            <w:pPr>
              <w:spacing w:after="0"/>
              <w:rPr>
                <w:sz w:val="16"/>
                <w:szCs w:val="16"/>
                <w:color w:val="auto"/>
              </w:rPr>
            </w:pPr>
          </w:p>
        </w:tc>
      </w:tr>
      <w:tr>
        <w:trPr>
          <w:trHeight w:val="196"/>
        </w:trPr>
        <w:tc>
          <w:tcPr>
            <w:tcW w:w="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w w:val="94"/>
              </w:rPr>
              <w:t>Southwest</w:t>
            </w:r>
          </w:p>
        </w:tc>
        <w:tc>
          <w:tcPr>
            <w:tcW w:w="13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155,850</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21.7</w:t>
            </w:r>
          </w:p>
        </w:tc>
        <w:tc>
          <w:tcPr>
            <w:tcW w:w="4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131,892</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17.8</w:t>
            </w:r>
          </w:p>
        </w:tc>
        <w:tc>
          <w:tcPr>
            <w:tcW w:w="4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156,446</w:t>
            </w: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24.8</w:t>
            </w:r>
          </w:p>
        </w:tc>
        <w:tc>
          <w:tcPr>
            <w:tcW w:w="4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130,439</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19.0</w:t>
            </w:r>
          </w:p>
        </w:tc>
        <w:tc>
          <w:tcPr>
            <w:tcW w:w="320" w:type="dxa"/>
            <w:vAlign w:val="bottom"/>
            <w:tcBorders>
              <w:bottom w:val="single" w:sz="8" w:color="CFF0FC"/>
            </w:tcBorders>
            <w:shd w:val="clear" w:color="auto" w:fill="CFF0FC"/>
          </w:tcPr>
          <w:p>
            <w:pPr>
              <w:spacing w:after="0"/>
              <w:rPr>
                <w:sz w:val="17"/>
                <w:szCs w:val="17"/>
                <w:color w:val="auto"/>
              </w:rPr>
            </w:pPr>
          </w:p>
        </w:tc>
      </w:tr>
      <w:tr>
        <w:trPr>
          <w:trHeight w:val="183"/>
        </w:trPr>
        <w:tc>
          <w:tcPr>
            <w:tcW w:w="660" w:type="dxa"/>
            <w:vAlign w:val="bottom"/>
          </w:tcPr>
          <w:p>
            <w:pPr>
              <w:ind w:left="20"/>
              <w:spacing w:after="0"/>
              <w:rPr>
                <w:sz w:val="20"/>
                <w:szCs w:val="20"/>
                <w:color w:val="auto"/>
              </w:rPr>
            </w:pPr>
            <w:r>
              <w:rPr>
                <w:rFonts w:ascii="Arial" w:cs="Arial" w:eastAsia="Arial" w:hAnsi="Arial"/>
                <w:sz w:val="14"/>
                <w:szCs w:val="14"/>
                <w:color w:val="auto"/>
              </w:rPr>
              <w:t>Total</w:t>
            </w:r>
          </w:p>
        </w:tc>
        <w:tc>
          <w:tcPr>
            <w:tcW w:w="1360" w:type="dxa"/>
            <w:vAlign w:val="bottom"/>
          </w:tcPr>
          <w:p>
            <w:pPr>
              <w:spacing w:after="0"/>
              <w:rPr>
                <w:sz w:val="15"/>
                <w:szCs w:val="15"/>
                <w:color w:val="auto"/>
              </w:rPr>
            </w:pPr>
          </w:p>
        </w:tc>
        <w:tc>
          <w:tcPr>
            <w:tcW w:w="3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719,124</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44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742,869</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4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631,263</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420" w:type="dxa"/>
            <w:vAlign w:val="bottom"/>
          </w:tcPr>
          <w:p>
            <w:pPr>
              <w:ind w:left="1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687,027</w:t>
            </w: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32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0"/>
        </w:trPr>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08"/>
        </w:trPr>
        <w:tc>
          <w:tcPr>
            <w:tcW w:w="660" w:type="dxa"/>
            <w:vAlign w:val="bottom"/>
          </w:tcPr>
          <w:p>
            <w:pPr>
              <w:spacing w:after="0"/>
              <w:rPr>
                <w:sz w:val="24"/>
                <w:szCs w:val="24"/>
                <w:color w:val="auto"/>
              </w:rPr>
            </w:pPr>
          </w:p>
        </w:tc>
        <w:tc>
          <w:tcPr>
            <w:tcW w:w="8700" w:type="dxa"/>
            <w:vAlign w:val="bottom"/>
            <w:gridSpan w:val="20"/>
          </w:tcPr>
          <w:p>
            <w:pPr>
              <w:jc w:val="right"/>
              <w:ind w:right="92"/>
              <w:spacing w:after="0"/>
              <w:rPr>
                <w:sz w:val="20"/>
                <w:szCs w:val="20"/>
                <w:color w:val="auto"/>
              </w:rPr>
            </w:pPr>
            <w:r>
              <w:rPr>
                <w:rFonts w:ascii="Arial" w:cs="Arial" w:eastAsia="Arial" w:hAnsi="Arial"/>
                <w:sz w:val="17"/>
                <w:szCs w:val="17"/>
                <w:color w:val="auto"/>
                <w:w w:val="90"/>
              </w:rPr>
              <w:t>The following table shows portfolio composition by type and by geographic region at fair value as a percentage of net assets.</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1917065</wp:posOffset>
            </wp:positionH>
            <wp:positionV relativeFrom="paragraph">
              <wp:posOffset>-422910</wp:posOffset>
            </wp:positionV>
            <wp:extent cx="144780" cy="50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44780" cy="5080"/>
                    </a:xfrm>
                    <a:prstGeom prst="rect">
                      <a:avLst/>
                    </a:prstGeom>
                    <a:noFill/>
                  </pic:spPr>
                </pic:pic>
              </a:graphicData>
            </a:graphic>
          </wp:anchor>
        </w:drawing>
        <w:drawing>
          <wp:anchor simplePos="0" relativeHeight="251657728" behindDoc="1" locked="0" layoutInCell="0" allowOverlap="1">
            <wp:simplePos x="0" y="0"/>
            <wp:positionH relativeFrom="column">
              <wp:posOffset>2496820</wp:posOffset>
            </wp:positionH>
            <wp:positionV relativeFrom="paragraph">
              <wp:posOffset>-422910</wp:posOffset>
            </wp:positionV>
            <wp:extent cx="217170" cy="50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7170" cy="5080"/>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-422910</wp:posOffset>
            </wp:positionV>
            <wp:extent cx="144780" cy="50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44780" cy="5080"/>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-422910</wp:posOffset>
            </wp:positionV>
            <wp:extent cx="217170" cy="50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7170" cy="5080"/>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-422910</wp:posOffset>
            </wp:positionV>
            <wp:extent cx="128905" cy="50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8905" cy="508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-422910</wp:posOffset>
            </wp:positionV>
            <wp:extent cx="201295" cy="50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01295" cy="5080"/>
                    </a:xfrm>
                    <a:prstGeom prst="rect">
                      <a:avLst/>
                    </a:prstGeom>
                    <a:noFill/>
                  </pic:spPr>
                </pic:pic>
              </a:graphicData>
            </a:graphic>
          </wp:anchor>
        </w:drawing>
        <w:drawing>
          <wp:anchor simplePos="0" relativeHeight="251657728" behindDoc="1" locked="0" layoutInCell="0" allowOverlap="1">
            <wp:simplePos x="0" y="0"/>
            <wp:positionH relativeFrom="column">
              <wp:posOffset>6336665</wp:posOffset>
            </wp:positionH>
            <wp:positionV relativeFrom="paragraph">
              <wp:posOffset>-422910</wp:posOffset>
            </wp:positionV>
            <wp:extent cx="128905" cy="50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8905" cy="5080"/>
                    </a:xfrm>
                    <a:prstGeom prst="rect">
                      <a:avLst/>
                    </a:prstGeom>
                    <a:noFill/>
                  </pic:spPr>
                </pic:pic>
              </a:graphicData>
            </a:graphic>
          </wp:anchor>
        </w:drawing>
        <w:drawing>
          <wp:anchor simplePos="0" relativeHeight="251657728" behindDoc="1" locked="0" layoutInCell="0" allowOverlap="1">
            <wp:simplePos x="0" y="0"/>
            <wp:positionH relativeFrom="column">
              <wp:posOffset>6940550</wp:posOffset>
            </wp:positionH>
            <wp:positionV relativeFrom="paragraph">
              <wp:posOffset>-422910</wp:posOffset>
            </wp:positionV>
            <wp:extent cx="201295" cy="50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01295" cy="508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By Type</w:t>
            </w:r>
          </w:p>
        </w:tc>
        <w:tc>
          <w:tcPr>
            <w:tcW w:w="6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b w:val="1"/>
                <w:bCs w:val="1"/>
                <w:color w:val="auto"/>
              </w:rPr>
              <w:t>By Geographic Region</w:t>
            </w:r>
          </w:p>
        </w:tc>
        <w:tc>
          <w:tcPr>
            <w:tcW w:w="140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r>
      <w:tr>
        <w:trPr>
          <w:trHeight w:val="177"/>
        </w:trPr>
        <w:tc>
          <w:tcPr>
            <w:tcW w:w="2200" w:type="dxa"/>
            <w:vAlign w:val="bottom"/>
          </w:tcPr>
          <w:p>
            <w:pPr>
              <w:spacing w:after="0"/>
              <w:rPr>
                <w:sz w:val="15"/>
                <w:szCs w:val="15"/>
                <w:color w:val="auto"/>
              </w:rPr>
            </w:pPr>
          </w:p>
        </w:tc>
        <w:tc>
          <w:tcPr>
            <w:tcW w:w="1440" w:type="dxa"/>
            <w:vAlign w:val="bottom"/>
          </w:tcPr>
          <w:p>
            <w:pPr>
              <w:jc w:val="right"/>
              <w:ind w:right="232"/>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Pr>
          <w:p>
            <w:pPr>
              <w:spacing w:after="0"/>
              <w:rPr>
                <w:sz w:val="15"/>
                <w:szCs w:val="15"/>
                <w:color w:val="auto"/>
              </w:rPr>
            </w:pPr>
          </w:p>
        </w:tc>
        <w:tc>
          <w:tcPr>
            <w:tcW w:w="1420" w:type="dxa"/>
            <w:vAlign w:val="bottom"/>
          </w:tcPr>
          <w:p>
            <w:pPr>
              <w:jc w:val="right"/>
              <w:ind w:right="252"/>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20" w:type="dxa"/>
            <w:vAlign w:val="bottom"/>
          </w:tcPr>
          <w:p>
            <w:pPr>
              <w:jc w:val="right"/>
              <w:ind w:right="232"/>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Pr>
          <w:p>
            <w:pPr>
              <w:spacing w:after="0"/>
              <w:rPr>
                <w:sz w:val="15"/>
                <w:szCs w:val="15"/>
                <w:color w:val="auto"/>
              </w:rPr>
            </w:pPr>
          </w:p>
        </w:tc>
        <w:tc>
          <w:tcPr>
            <w:tcW w:w="1400" w:type="dxa"/>
            <w:vAlign w:val="bottom"/>
          </w:tcPr>
          <w:p>
            <w:pPr>
              <w:jc w:val="right"/>
              <w:ind w:right="232"/>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5"/>
                <w:szCs w:val="15"/>
                <w:color w:val="auto"/>
              </w:rPr>
            </w:pPr>
          </w:p>
        </w:tc>
      </w:tr>
      <w:tr>
        <w:trPr>
          <w:trHeight w:val="196"/>
        </w:trPr>
        <w:tc>
          <w:tcPr>
            <w:tcW w:w="2200" w:type="dxa"/>
            <w:vAlign w:val="bottom"/>
          </w:tcPr>
          <w:p>
            <w:pPr>
              <w:spacing w:after="0"/>
              <w:rPr>
                <w:sz w:val="17"/>
                <w:szCs w:val="17"/>
                <w:color w:val="auto"/>
              </w:rPr>
            </w:pPr>
          </w:p>
        </w:tc>
        <w:tc>
          <w:tcPr>
            <w:tcW w:w="14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7"/>
                <w:szCs w:val="17"/>
                <w:color w:val="auto"/>
              </w:rPr>
            </w:pPr>
          </w:p>
        </w:tc>
        <w:tc>
          <w:tcPr>
            <w:tcW w:w="14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7"/>
                <w:szCs w:val="17"/>
                <w:color w:val="auto"/>
              </w:rPr>
            </w:pPr>
          </w:p>
        </w:tc>
        <w:tc>
          <w:tcPr>
            <w:tcW w:w="14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7"/>
                <w:szCs w:val="17"/>
                <w:color w:val="auto"/>
              </w:rPr>
            </w:pPr>
          </w:p>
        </w:tc>
      </w:tr>
      <w:tr>
        <w:trPr>
          <w:trHeight w:val="188"/>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First Lien Debt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w:t>
            </w:r>
          </w:p>
        </w:tc>
        <w:tc>
          <w:tcPr>
            <w:tcW w:w="600" w:type="dxa"/>
            <w:vAlign w:val="bottom"/>
            <w:shd w:val="clear" w:color="auto" w:fill="CCEEFF"/>
          </w:tcPr>
          <w:p>
            <w:pPr>
              <w:jc w:val="right"/>
              <w:ind w:right="312"/>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580" w:type="dxa"/>
            <w:vAlign w:val="bottom"/>
            <w:shd w:val="clear" w:color="auto" w:fill="CCEEFF"/>
          </w:tcPr>
          <w:p>
            <w:pPr>
              <w:jc w:val="right"/>
              <w:ind w:right="312"/>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Midwest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580" w:type="dxa"/>
            <w:vAlign w:val="bottom"/>
            <w:shd w:val="clear" w:color="auto" w:fill="CCEEFF"/>
          </w:tcPr>
          <w:p>
            <w:pPr>
              <w:jc w:val="right"/>
              <w:ind w:right="312"/>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r>
      <w:tr>
        <w:trPr>
          <w:trHeight w:val="185"/>
        </w:trPr>
        <w:tc>
          <w:tcPr>
            <w:tcW w:w="2200" w:type="dxa"/>
            <w:vAlign w:val="bottom"/>
          </w:tcPr>
          <w:p>
            <w:pPr>
              <w:ind w:left="20"/>
              <w:spacing w:after="0"/>
              <w:rPr>
                <w:sz w:val="20"/>
                <w:szCs w:val="20"/>
                <w:color w:val="auto"/>
              </w:rPr>
            </w:pPr>
            <w:r>
              <w:rPr>
                <w:rFonts w:ascii="Arial" w:cs="Arial" w:eastAsia="Arial" w:hAnsi="Arial"/>
                <w:sz w:val="14"/>
                <w:szCs w:val="14"/>
                <w:color w:val="auto"/>
              </w:rPr>
              <w:t>Second Lien Debt</w:t>
            </w:r>
          </w:p>
        </w:tc>
        <w:tc>
          <w:tcPr>
            <w:tcW w:w="1440" w:type="dxa"/>
            <w:vAlign w:val="bottom"/>
          </w:tcPr>
          <w:p>
            <w:pPr>
              <w:jc w:val="right"/>
              <w:spacing w:after="0"/>
              <w:rPr>
                <w:sz w:val="20"/>
                <w:szCs w:val="20"/>
                <w:color w:val="auto"/>
              </w:rPr>
            </w:pPr>
            <w:r>
              <w:rPr>
                <w:rFonts w:ascii="Arial" w:cs="Arial" w:eastAsia="Arial" w:hAnsi="Arial"/>
                <w:sz w:val="14"/>
                <w:szCs w:val="14"/>
                <w:color w:val="auto"/>
              </w:rPr>
              <w:t>45.0</w:t>
            </w:r>
          </w:p>
        </w:tc>
        <w:tc>
          <w:tcPr>
            <w:tcW w:w="6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80.9</w:t>
            </w:r>
          </w:p>
        </w:tc>
        <w:tc>
          <w:tcPr>
            <w:tcW w:w="580" w:type="dxa"/>
            <w:vAlign w:val="bottom"/>
          </w:tcPr>
          <w:p>
            <w:pPr>
              <w:spacing w:after="0"/>
              <w:rPr>
                <w:sz w:val="16"/>
                <w:szCs w:val="16"/>
                <w:color w:val="auto"/>
              </w:rPr>
            </w:pPr>
          </w:p>
        </w:tc>
        <w:tc>
          <w:tcPr>
            <w:tcW w:w="1220" w:type="dxa"/>
            <w:vAlign w:val="bottom"/>
          </w:tcPr>
          <w:p>
            <w:pPr>
              <w:ind w:left="20"/>
              <w:spacing w:after="0"/>
              <w:rPr>
                <w:sz w:val="20"/>
                <w:szCs w:val="20"/>
                <w:color w:val="auto"/>
              </w:rPr>
            </w:pPr>
            <w:r>
              <w:rPr>
                <w:rFonts w:ascii="Arial" w:cs="Arial" w:eastAsia="Arial" w:hAnsi="Arial"/>
                <w:sz w:val="14"/>
                <w:szCs w:val="14"/>
                <w:color w:val="auto"/>
              </w:rPr>
              <w:t>Southeast</w:t>
            </w:r>
          </w:p>
        </w:tc>
        <w:tc>
          <w:tcPr>
            <w:tcW w:w="1420" w:type="dxa"/>
            <w:vAlign w:val="bottom"/>
          </w:tcPr>
          <w:p>
            <w:pPr>
              <w:jc w:val="right"/>
              <w:spacing w:after="0"/>
              <w:rPr>
                <w:sz w:val="20"/>
                <w:szCs w:val="20"/>
                <w:color w:val="auto"/>
              </w:rPr>
            </w:pPr>
            <w:r>
              <w:rPr>
                <w:rFonts w:ascii="Arial" w:cs="Arial" w:eastAsia="Arial" w:hAnsi="Arial"/>
                <w:sz w:val="14"/>
                <w:szCs w:val="14"/>
                <w:color w:val="auto"/>
              </w:rPr>
              <w:t>43.3</w:t>
            </w:r>
          </w:p>
        </w:tc>
        <w:tc>
          <w:tcPr>
            <w:tcW w:w="5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37.3</w:t>
            </w:r>
          </w:p>
        </w:tc>
        <w:tc>
          <w:tcPr>
            <w:tcW w:w="380" w:type="dxa"/>
            <w:vAlign w:val="bottom"/>
          </w:tcPr>
          <w:p>
            <w:pPr>
              <w:spacing w:after="0"/>
              <w:rPr>
                <w:sz w:val="16"/>
                <w:szCs w:val="16"/>
                <w:color w:val="auto"/>
              </w:rPr>
            </w:pPr>
          </w:p>
        </w:tc>
      </w:tr>
      <w:tr>
        <w:trPr>
          <w:trHeight w:val="196"/>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Subordinated Debt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6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580" w:type="dxa"/>
            <w:vAlign w:val="bottom"/>
            <w:shd w:val="clear" w:color="auto" w:fill="CCEEFF"/>
          </w:tcPr>
          <w:p>
            <w:pPr>
              <w:spacing w:after="0"/>
              <w:rPr>
                <w:sz w:val="17"/>
                <w:szCs w:val="17"/>
                <w:color w:val="auto"/>
              </w:rPr>
            </w:pPr>
          </w:p>
        </w:tc>
        <w:tc>
          <w:tcPr>
            <w:tcW w:w="1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Northeast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5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380" w:type="dxa"/>
            <w:vAlign w:val="bottom"/>
            <w:shd w:val="clear" w:color="auto" w:fill="CCEEFF"/>
          </w:tcPr>
          <w:p>
            <w:pPr>
              <w:spacing w:after="0"/>
              <w:rPr>
                <w:sz w:val="17"/>
                <w:szCs w:val="17"/>
                <w:color w:val="auto"/>
              </w:rPr>
            </w:pPr>
          </w:p>
        </w:tc>
      </w:tr>
      <w:tr>
        <w:trPr>
          <w:trHeight w:val="185"/>
        </w:trPr>
        <w:tc>
          <w:tcPr>
            <w:tcW w:w="2200" w:type="dxa"/>
            <w:vAlign w:val="bottom"/>
          </w:tcPr>
          <w:p>
            <w:pPr>
              <w:ind w:left="20"/>
              <w:spacing w:after="0"/>
              <w:rPr>
                <w:sz w:val="20"/>
                <w:szCs w:val="20"/>
                <w:color w:val="auto"/>
              </w:rPr>
            </w:pPr>
            <w:r>
              <w:rPr>
                <w:rFonts w:ascii="Arial" w:cs="Arial" w:eastAsia="Arial" w:hAnsi="Arial"/>
                <w:sz w:val="14"/>
                <w:szCs w:val="14"/>
                <w:color w:val="auto"/>
              </w:rPr>
              <w:t>Equity</w:t>
            </w:r>
          </w:p>
        </w:tc>
        <w:tc>
          <w:tcPr>
            <w:tcW w:w="1440" w:type="dxa"/>
            <w:vAlign w:val="bottom"/>
          </w:tcPr>
          <w:p>
            <w:pPr>
              <w:jc w:val="right"/>
              <w:spacing w:after="0"/>
              <w:rPr>
                <w:sz w:val="20"/>
                <w:szCs w:val="20"/>
                <w:color w:val="auto"/>
              </w:rPr>
            </w:pPr>
            <w:r>
              <w:rPr>
                <w:rFonts w:ascii="Arial" w:cs="Arial" w:eastAsia="Arial" w:hAnsi="Arial"/>
                <w:sz w:val="14"/>
                <w:szCs w:val="14"/>
                <w:color w:val="auto"/>
              </w:rPr>
              <w:t>33.1</w:t>
            </w:r>
          </w:p>
        </w:tc>
        <w:tc>
          <w:tcPr>
            <w:tcW w:w="6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27.5</w:t>
            </w:r>
          </w:p>
        </w:tc>
        <w:tc>
          <w:tcPr>
            <w:tcW w:w="580" w:type="dxa"/>
            <w:vAlign w:val="bottom"/>
          </w:tcPr>
          <w:p>
            <w:pPr>
              <w:spacing w:after="0"/>
              <w:rPr>
                <w:sz w:val="16"/>
                <w:szCs w:val="16"/>
                <w:color w:val="auto"/>
              </w:rPr>
            </w:pPr>
          </w:p>
        </w:tc>
        <w:tc>
          <w:tcPr>
            <w:tcW w:w="1220" w:type="dxa"/>
            <w:vAlign w:val="bottom"/>
          </w:tcPr>
          <w:p>
            <w:pPr>
              <w:ind w:left="20"/>
              <w:spacing w:after="0"/>
              <w:rPr>
                <w:sz w:val="20"/>
                <w:szCs w:val="20"/>
                <w:color w:val="auto"/>
              </w:rPr>
            </w:pPr>
            <w:r>
              <w:rPr>
                <w:rFonts w:ascii="Arial" w:cs="Arial" w:eastAsia="Arial" w:hAnsi="Arial"/>
                <w:sz w:val="14"/>
                <w:szCs w:val="14"/>
                <w:color w:val="auto"/>
              </w:rPr>
              <w:t>West</w:t>
            </w:r>
          </w:p>
        </w:tc>
        <w:tc>
          <w:tcPr>
            <w:tcW w:w="1420" w:type="dxa"/>
            <w:vAlign w:val="bottom"/>
          </w:tcPr>
          <w:p>
            <w:pPr>
              <w:jc w:val="right"/>
              <w:spacing w:after="0"/>
              <w:rPr>
                <w:sz w:val="20"/>
                <w:szCs w:val="20"/>
                <w:color w:val="auto"/>
              </w:rPr>
            </w:pPr>
            <w:r>
              <w:rPr>
                <w:rFonts w:ascii="Arial" w:cs="Arial" w:eastAsia="Arial" w:hAnsi="Arial"/>
                <w:sz w:val="14"/>
                <w:szCs w:val="14"/>
                <w:color w:val="auto"/>
              </w:rPr>
              <w:t>19.3</w:t>
            </w:r>
          </w:p>
        </w:tc>
        <w:tc>
          <w:tcPr>
            <w:tcW w:w="5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26.5</w:t>
            </w:r>
          </w:p>
        </w:tc>
        <w:tc>
          <w:tcPr>
            <w:tcW w:w="380" w:type="dxa"/>
            <w:vAlign w:val="bottom"/>
          </w:tcPr>
          <w:p>
            <w:pPr>
              <w:spacing w:after="0"/>
              <w:rPr>
                <w:sz w:val="16"/>
                <w:szCs w:val="16"/>
                <w:color w:val="auto"/>
              </w:rPr>
            </w:pPr>
          </w:p>
        </w:tc>
      </w:tr>
      <w:tr>
        <w:trPr>
          <w:trHeight w:val="196"/>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Warrants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6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5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Southwest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5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380" w:type="dxa"/>
            <w:vAlign w:val="bottom"/>
            <w:tcBorders>
              <w:bottom w:val="single" w:sz="8" w:color="CCEEFF"/>
            </w:tcBorders>
            <w:shd w:val="clear" w:color="auto" w:fill="CCEEFF"/>
          </w:tcPr>
          <w:p>
            <w:pPr>
              <w:spacing w:after="0"/>
              <w:rPr>
                <w:sz w:val="17"/>
                <w:szCs w:val="17"/>
                <w:color w:val="auto"/>
              </w:rPr>
            </w:pPr>
          </w:p>
        </w:tc>
      </w:tr>
      <w:tr>
        <w:trPr>
          <w:trHeight w:val="183"/>
        </w:trPr>
        <w:tc>
          <w:tcPr>
            <w:tcW w:w="2200" w:type="dxa"/>
            <w:vAlign w:val="bottom"/>
          </w:tcPr>
          <w:p>
            <w:pPr>
              <w:ind w:left="20"/>
              <w:spacing w:after="0"/>
              <w:rPr>
                <w:sz w:val="20"/>
                <w:szCs w:val="20"/>
                <w:color w:val="auto"/>
              </w:rPr>
            </w:pPr>
            <w:r>
              <w:rPr>
                <w:rFonts w:ascii="Arial" w:cs="Arial" w:eastAsia="Arial" w:hAnsi="Arial"/>
                <w:sz w:val="14"/>
                <w:szCs w:val="14"/>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160.7</w:t>
            </w:r>
          </w:p>
        </w:tc>
        <w:tc>
          <w:tcPr>
            <w:tcW w:w="60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180.9</w:t>
            </w:r>
          </w:p>
        </w:tc>
        <w:tc>
          <w:tcPr>
            <w:tcW w:w="58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220" w:type="dxa"/>
            <w:vAlign w:val="bottom"/>
          </w:tcPr>
          <w:p>
            <w:pPr>
              <w:ind w:left="20"/>
              <w:spacing w:after="0"/>
              <w:rPr>
                <w:sz w:val="20"/>
                <w:szCs w:val="20"/>
                <w:color w:val="auto"/>
              </w:rPr>
            </w:pPr>
            <w:r>
              <w:rPr>
                <w:rFonts w:ascii="Arial" w:cs="Arial" w:eastAsia="Arial" w:hAnsi="Arial"/>
                <w:sz w:val="14"/>
                <w:szCs w:val="14"/>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160.7</w:t>
            </w:r>
          </w:p>
        </w:tc>
        <w:tc>
          <w:tcPr>
            <w:tcW w:w="58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180.9</w:t>
            </w:r>
          </w:p>
        </w:tc>
        <w:tc>
          <w:tcPr>
            <w:tcW w:w="380" w:type="dxa"/>
            <w:vAlign w:val="bottom"/>
          </w:tcPr>
          <w:p>
            <w:pPr>
              <w:jc w:val="right"/>
              <w:ind w:right="112"/>
              <w:spacing w:after="0"/>
              <w:rPr>
                <w:sz w:val="20"/>
                <w:szCs w:val="20"/>
                <w:color w:val="auto"/>
              </w:rPr>
            </w:pPr>
            <w:r>
              <w:rPr>
                <w:rFonts w:ascii="Arial" w:cs="Arial" w:eastAsia="Arial" w:hAnsi="Arial"/>
                <w:sz w:val="14"/>
                <w:szCs w:val="14"/>
                <w:color w:val="auto"/>
              </w:rPr>
              <w:t>%</w:t>
            </w:r>
          </w:p>
        </w:tc>
      </w:tr>
      <w:tr>
        <w:trPr>
          <w:trHeight w:val="20"/>
        </w:trPr>
        <w:tc>
          <w:tcPr>
            <w:tcW w:w="2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-149860</wp:posOffset>
            </wp:positionV>
            <wp:extent cx="4830445" cy="1504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830445" cy="150495"/>
                    </a:xfrm>
                    <a:prstGeom prst="rect">
                      <a:avLst/>
                    </a:prstGeom>
                    <a:noFill/>
                  </pic:spPr>
                </pic:pic>
              </a:graphicData>
            </a:graphic>
          </wp:anchor>
        </w:drawing>
      </w:r>
    </w:p>
    <w:p>
      <w:pPr>
        <w:spacing w:after="0" w:line="196" w:lineRule="exact"/>
        <w:rPr>
          <w:sz w:val="20"/>
          <w:szCs w:val="20"/>
          <w:color w:val="auto"/>
        </w:rPr>
      </w:pPr>
    </w:p>
    <w:p>
      <w:pPr>
        <w:jc w:val="both"/>
        <w:ind w:firstLine="750"/>
        <w:spacing w:after="0" w:line="301" w:lineRule="auto"/>
        <w:rPr>
          <w:sz w:val="20"/>
          <w:szCs w:val="20"/>
          <w:color w:val="auto"/>
        </w:rPr>
      </w:pPr>
      <w:r>
        <w:rPr>
          <w:rFonts w:ascii="Arial" w:cs="Arial" w:eastAsia="Arial" w:hAnsi="Arial"/>
          <w:sz w:val="16"/>
          <w:szCs w:val="16"/>
          <w:color w:val="auto"/>
        </w:rPr>
        <w:t>As of September 30, 2021 and December 31, 2020, the Company had no portfolio company investments that represented more than 10% of the total investment portfolio on a fair value or cost basis. As of September 30, 2021, the Company had one portfolio company investment that represented more than 5% of its total assets. As of December 31, 2020, the Company had no portfolio company investments that represented more than 5% of its total assets.</w:t>
      </w:r>
    </w:p>
    <w:p>
      <w:pPr>
        <w:spacing w:after="0" w:line="106" w:lineRule="exact"/>
        <w:rPr>
          <w:sz w:val="20"/>
          <w:szCs w:val="20"/>
          <w:color w:val="auto"/>
        </w:rPr>
      </w:pPr>
    </w:p>
    <w:p>
      <w:pPr>
        <w:jc w:val="both"/>
        <w:ind w:firstLine="750"/>
        <w:spacing w:after="0" w:line="288" w:lineRule="auto"/>
        <w:rPr>
          <w:sz w:val="20"/>
          <w:szCs w:val="20"/>
          <w:color w:val="auto"/>
        </w:rPr>
      </w:pPr>
      <w:r>
        <w:rPr>
          <w:rFonts w:ascii="Arial" w:cs="Arial" w:eastAsia="Arial" w:hAnsi="Arial"/>
          <w:sz w:val="17"/>
          <w:szCs w:val="17"/>
          <w:color w:val="auto"/>
        </w:rPr>
        <w:t>As of September 30, 2021, the Company had no debt investments on non-accrual status. As of December 31, 2020, the Company had a debt investment in one portfolio company on non-accrual status.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85"/>
              </w:rPr>
              <w:t>September 30, 2021</w:t>
            </w:r>
          </w:p>
        </w:tc>
        <w:tc>
          <w:tcPr>
            <w:tcW w:w="6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6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r>
      <w:tr>
        <w:trPr>
          <w:trHeight w:val="177"/>
        </w:trPr>
        <w:tc>
          <w:tcPr>
            <w:tcW w:w="5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center"/>
              <w:ind w:right="535"/>
              <w:spacing w:after="0"/>
              <w:rPr>
                <w:sz w:val="20"/>
                <w:szCs w:val="20"/>
                <w:color w:val="auto"/>
              </w:rPr>
            </w:pPr>
            <w:r>
              <w:rPr>
                <w:rFonts w:ascii="Arial" w:cs="Arial" w:eastAsia="Arial" w:hAnsi="Arial"/>
                <w:sz w:val="14"/>
                <w:szCs w:val="14"/>
                <w:b w:val="1"/>
                <w:bCs w:val="1"/>
                <w:color w:val="auto"/>
                <w:w w:val="93"/>
              </w:rPr>
              <w:t>Fair</w:t>
            </w: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352"/>
              <w:spacing w:after="0"/>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96"/>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5"/>
              </w:rPr>
              <w:t>Value</w:t>
            </w:r>
          </w:p>
        </w:tc>
        <w:tc>
          <w:tcPr>
            <w:tcW w:w="3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Cost</w:t>
            </w:r>
          </w:p>
        </w:tc>
        <w:tc>
          <w:tcPr>
            <w:tcW w:w="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3"/>
              </w:rPr>
              <w:t>Cost</w:t>
            </w:r>
          </w:p>
        </w:tc>
        <w:tc>
          <w:tcPr>
            <w:tcW w:w="340" w:type="dxa"/>
            <w:vAlign w:val="bottom"/>
          </w:tcPr>
          <w:p>
            <w:pPr>
              <w:spacing w:after="0"/>
              <w:rPr>
                <w:sz w:val="17"/>
                <w:szCs w:val="17"/>
                <w:color w:val="auto"/>
              </w:rPr>
            </w:pPr>
          </w:p>
        </w:tc>
      </w:tr>
      <w:tr>
        <w:trPr>
          <w:trHeight w:val="188"/>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EBL, LLC (EbLens)</w:t>
            </w:r>
          </w:p>
        </w:tc>
        <w:tc>
          <w:tcPr>
            <w:tcW w:w="2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w w:val="85"/>
              </w:rPr>
              <w:t>—</w:t>
            </w:r>
          </w:p>
        </w:tc>
        <w:tc>
          <w:tcPr>
            <w:tcW w:w="3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9"/>
                <w:szCs w:val="9"/>
                <w:color w:val="auto"/>
              </w:rPr>
              <w:t>(1)</w:t>
            </w:r>
          </w:p>
        </w:tc>
        <w:tc>
          <w:tcPr>
            <w:tcW w:w="40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w w:val="85"/>
              </w:rPr>
              <w:t>—</w:t>
            </w:r>
          </w:p>
        </w:tc>
        <w:tc>
          <w:tcPr>
            <w:tcW w:w="3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9"/>
                <w:szCs w:val="9"/>
                <w:color w:val="auto"/>
              </w:rPr>
              <w:t>(1)</w:t>
            </w:r>
          </w:p>
        </w:tc>
        <w:tc>
          <w:tcPr>
            <w:tcW w:w="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5,454</w:t>
            </w:r>
          </w:p>
        </w:tc>
        <w:tc>
          <w:tcPr>
            <w:tcW w:w="3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9"/>
                <w:szCs w:val="9"/>
                <w:color w:val="auto"/>
              </w:rPr>
              <w:t>(2)</w:t>
            </w:r>
          </w:p>
        </w:tc>
        <w:tc>
          <w:tcPr>
            <w:tcW w:w="3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9,214</w:t>
            </w:r>
          </w:p>
        </w:tc>
        <w:tc>
          <w:tcPr>
            <w:tcW w:w="3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9"/>
                <w:szCs w:val="9"/>
                <w:color w:val="auto"/>
              </w:rPr>
              <w:t>(2)</w:t>
            </w:r>
          </w:p>
        </w:tc>
      </w:tr>
      <w:tr>
        <w:trPr>
          <w:trHeight w:val="183"/>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Pr>
          <w:p>
            <w:pPr>
              <w:jc w:val="right"/>
              <w:ind w:right="92"/>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252"/>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5,454</w:t>
            </w:r>
          </w:p>
        </w:tc>
        <w:tc>
          <w:tcPr>
            <w:tcW w:w="340" w:type="dxa"/>
            <w:vAlign w:val="bottom"/>
          </w:tcPr>
          <w:p>
            <w:pPr>
              <w:spacing w:after="0"/>
              <w:rPr>
                <w:sz w:val="15"/>
                <w:szCs w:val="15"/>
                <w:color w:val="auto"/>
              </w:rPr>
            </w:pPr>
          </w:p>
        </w:tc>
        <w:tc>
          <w:tcPr>
            <w:tcW w:w="380" w:type="dxa"/>
            <w:vAlign w:val="bottom"/>
          </w:tcPr>
          <w:p>
            <w:pPr>
              <w:jc w:val="right"/>
              <w:ind w:right="232"/>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9,214</w:t>
            </w:r>
          </w:p>
        </w:tc>
        <w:tc>
          <w:tcPr>
            <w:tcW w:w="340" w:type="dxa"/>
            <w:vAlign w:val="bottom"/>
          </w:tcPr>
          <w:p>
            <w:pPr>
              <w:spacing w:after="0"/>
              <w:rPr>
                <w:sz w:val="15"/>
                <w:szCs w:val="15"/>
                <w:color w:val="auto"/>
              </w:rPr>
            </w:pPr>
          </w:p>
        </w:tc>
      </w:tr>
      <w:tr>
        <w:trPr>
          <w:trHeight w:val="20"/>
        </w:trPr>
        <w:tc>
          <w:tcPr>
            <w:tcW w:w="5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4243705</wp:posOffset>
            </wp:positionH>
            <wp:positionV relativeFrom="paragraph">
              <wp:posOffset>-149860</wp:posOffset>
            </wp:positionV>
            <wp:extent cx="2898140" cy="1504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898140" cy="150495"/>
                    </a:xfrm>
                    <a:prstGeom prst="rect">
                      <a:avLst/>
                    </a:prstGeom>
                    <a:noFill/>
                  </pic:spPr>
                </pic:pic>
              </a:graphicData>
            </a:graphic>
          </wp:anchor>
        </w:drawing>
      </w:r>
    </w:p>
    <w:p>
      <w:pPr>
        <w:spacing w:after="0" w:line="190" w:lineRule="exact"/>
        <w:rPr>
          <w:sz w:val="20"/>
          <w:szCs w:val="20"/>
          <w:color w:val="auto"/>
        </w:rPr>
      </w:pPr>
    </w:p>
    <w:p>
      <w:pPr>
        <w:ind w:left="360" w:hanging="346"/>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Portfolio company debt investment was not on non-accrual status at September 30, 2021.</w:t>
      </w:r>
    </w:p>
    <w:p>
      <w:pPr>
        <w:spacing w:after="0" w:line="16" w:lineRule="exact"/>
        <w:rPr>
          <w:rFonts w:ascii="Arial" w:cs="Arial" w:eastAsia="Arial" w:hAnsi="Arial"/>
          <w:sz w:val="14"/>
          <w:szCs w:val="14"/>
          <w:color w:val="auto"/>
        </w:rPr>
      </w:pPr>
    </w:p>
    <w:p>
      <w:pPr>
        <w:ind w:left="400" w:hanging="386"/>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Portfolio company was on PIK-only non-accrual status at December 31, 2020, meaning the Company has ceased recognizing PIK interest income on the investment.</w:t>
      </w: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Consolidated Schedule of Investments In and Advances To Affiliates</w:t>
      </w:r>
    </w:p>
    <w:p>
      <w:pPr>
        <w:spacing w:after="0" w:line="172" w:lineRule="exact"/>
        <w:rPr>
          <w:sz w:val="20"/>
          <w:szCs w:val="20"/>
          <w:color w:val="auto"/>
        </w:rPr>
      </w:pPr>
    </w:p>
    <w:p>
      <w:pPr>
        <w:jc w:val="both"/>
        <w:ind w:firstLine="750"/>
        <w:spacing w:after="0" w:line="276" w:lineRule="auto"/>
        <w:rPr>
          <w:sz w:val="20"/>
          <w:szCs w:val="20"/>
          <w:color w:val="auto"/>
        </w:rPr>
      </w:pPr>
      <w:r>
        <w:rPr>
          <w:rFonts w:ascii="Arial" w:cs="Arial" w:eastAsia="Arial" w:hAnsi="Arial"/>
          <w:sz w:val="17"/>
          <w:szCs w:val="17"/>
          <w:color w:val="auto"/>
        </w:rPr>
        <w:t>The table below represents the fair value of control and affiliate investments as of December 31, 2020 and any additions and reductions made to such investments during the nine months ended September 30, 2021, the ending fair value as of September 30, 2021, and the total investment income earned on such investments during the period.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(unaudited)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14"/>
        </w:trPr>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60" w:type="dxa"/>
            <w:vAlign w:val="bottom"/>
            <w:tcBorders>
              <w:bottom w:val="single" w:sz="8" w:color="auto"/>
            </w:tcBorders>
            <w:gridSpan w:val="7"/>
          </w:tcPr>
          <w:p>
            <w:pPr>
              <w:jc w:val="right"/>
              <w:ind w:right="258"/>
              <w:spacing w:after="0"/>
              <w:rPr>
                <w:sz w:val="20"/>
                <w:szCs w:val="20"/>
                <w:color w:val="auto"/>
              </w:rPr>
            </w:pPr>
            <w:r>
              <w:rPr>
                <w:rFonts w:ascii="Arial" w:cs="Arial" w:eastAsia="Arial" w:hAnsi="Arial"/>
                <w:sz w:val="8"/>
                <w:szCs w:val="8"/>
                <w:b w:val="1"/>
                <w:bCs w:val="1"/>
                <w:color w:val="auto"/>
              </w:rPr>
              <w:t>Nine Months Ended September 30, 2021</w:t>
            </w: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center"/>
              <w:ind w:right="58"/>
              <w:spacing w:after="0"/>
              <w:rPr>
                <w:sz w:val="20"/>
                <w:szCs w:val="20"/>
                <w:color w:val="auto"/>
              </w:rPr>
            </w:pPr>
            <w:r>
              <w:rPr>
                <w:rFonts w:ascii="Arial" w:cs="Arial" w:eastAsia="Arial" w:hAnsi="Arial"/>
                <w:sz w:val="8"/>
                <w:szCs w:val="8"/>
                <w:b w:val="1"/>
                <w:bCs w:val="1"/>
                <w:color w:val="auto"/>
                <w:w w:val="94"/>
              </w:rPr>
              <w:t>September 30,</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8"/>
                <w:szCs w:val="8"/>
                <w:b w:val="1"/>
                <w:bCs w:val="1"/>
                <w:color w:val="auto"/>
                <w:w w:val="96"/>
              </w:rPr>
              <w:t>Net Change in</w:t>
            </w: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jc w:val="center"/>
              <w:ind w:right="58"/>
              <w:spacing w:after="0"/>
              <w:rPr>
                <w:sz w:val="20"/>
                <w:szCs w:val="20"/>
                <w:color w:val="auto"/>
              </w:rPr>
            </w:pPr>
            <w:r>
              <w:rPr>
                <w:rFonts w:ascii="Arial" w:cs="Arial" w:eastAsia="Arial" w:hAnsi="Arial"/>
                <w:sz w:val="8"/>
                <w:szCs w:val="8"/>
                <w:b w:val="1"/>
                <w:bCs w:val="1"/>
                <w:color w:val="auto"/>
                <w:w w:val="96"/>
              </w:rPr>
              <w:t>2021 Principal</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jc w:val="center"/>
              <w:ind w:right="38"/>
              <w:spacing w:after="0"/>
              <w:rPr>
                <w:sz w:val="20"/>
                <w:szCs w:val="20"/>
                <w:color w:val="auto"/>
              </w:rPr>
            </w:pPr>
            <w:r>
              <w:rPr>
                <w:rFonts w:ascii="Arial" w:cs="Arial" w:eastAsia="Arial" w:hAnsi="Arial"/>
                <w:sz w:val="8"/>
                <w:szCs w:val="8"/>
                <w:b w:val="1"/>
                <w:bCs w:val="1"/>
                <w:color w:val="auto"/>
                <w:w w:val="96"/>
              </w:rPr>
              <w:t>December 31,</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gridSpan w:val="3"/>
          </w:tcPr>
          <w:p>
            <w:pPr>
              <w:jc w:val="center"/>
              <w:ind w:right="260"/>
              <w:spacing w:after="0"/>
              <w:rPr>
                <w:sz w:val="20"/>
                <w:szCs w:val="20"/>
                <w:color w:val="auto"/>
              </w:rPr>
            </w:pPr>
            <w:r>
              <w:rPr>
                <w:rFonts w:ascii="Arial" w:cs="Arial" w:eastAsia="Arial" w:hAnsi="Arial"/>
                <w:sz w:val="8"/>
                <w:szCs w:val="8"/>
                <w:b w:val="1"/>
                <w:bCs w:val="1"/>
                <w:color w:val="auto"/>
                <w:w w:val="96"/>
              </w:rPr>
              <w:t>Net Realized</w:t>
            </w:r>
          </w:p>
        </w:tc>
        <w:tc>
          <w:tcPr>
            <w:tcW w:w="120" w:type="dxa"/>
            <w:vAlign w:val="bottom"/>
          </w:tcPr>
          <w:p>
            <w:pPr>
              <w:spacing w:after="0"/>
              <w:rPr>
                <w:sz w:val="8"/>
                <w:szCs w:val="8"/>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8"/>
                <w:szCs w:val="8"/>
                <w:b w:val="1"/>
                <w:bCs w:val="1"/>
                <w:color w:val="auto"/>
                <w:w w:val="98"/>
              </w:rPr>
              <w:t>Unrealized</w:t>
            </w: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740" w:type="dxa"/>
            <w:vAlign w:val="bottom"/>
            <w:vMerge w:val="restart"/>
          </w:tcPr>
          <w:p>
            <w:pPr>
              <w:ind w:left="20"/>
              <w:spacing w:after="0"/>
              <w:rPr>
                <w:sz w:val="20"/>
                <w:szCs w:val="20"/>
                <w:color w:val="auto"/>
              </w:rPr>
            </w:pPr>
            <w:r>
              <w:rPr>
                <w:rFonts w:ascii="Arial" w:cs="Arial" w:eastAsia="Arial" w:hAnsi="Arial"/>
                <w:sz w:val="8"/>
                <w:szCs w:val="8"/>
                <w:b w:val="1"/>
                <w:bCs w:val="1"/>
                <w:color w:val="auto"/>
              </w:rPr>
              <w:t xml:space="preserve">Portfolio Company </w:t>
            </w:r>
            <w:r>
              <w:rPr>
                <w:rFonts w:ascii="Arial" w:cs="Arial" w:eastAsia="Arial" w:hAnsi="Arial"/>
                <w:sz w:val="11"/>
                <w:szCs w:val="11"/>
                <w:b w:val="1"/>
                <w:bCs w:val="1"/>
                <w:color w:val="auto"/>
                <w:vertAlign w:val="superscript"/>
              </w:rPr>
              <w:t>(1)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center"/>
              <w:ind w:right="38"/>
              <w:spacing w:after="0"/>
              <w:rPr>
                <w:sz w:val="20"/>
                <w:szCs w:val="20"/>
                <w:color w:val="auto"/>
              </w:rPr>
            </w:pPr>
            <w:r>
              <w:rPr>
                <w:rFonts w:ascii="Arial" w:cs="Arial" w:eastAsia="Arial" w:hAnsi="Arial"/>
                <w:sz w:val="8"/>
                <w:szCs w:val="8"/>
                <w:b w:val="1"/>
                <w:bCs w:val="1"/>
                <w:color w:val="auto"/>
                <w:w w:val="97"/>
              </w:rPr>
              <w:t>Amount - Debt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center"/>
              <w:ind w:right="18"/>
              <w:spacing w:after="0"/>
              <w:rPr>
                <w:sz w:val="20"/>
                <w:szCs w:val="20"/>
                <w:color w:val="auto"/>
              </w:rPr>
            </w:pPr>
            <w:r>
              <w:rPr>
                <w:rFonts w:ascii="Arial" w:cs="Arial" w:eastAsia="Arial" w:hAnsi="Arial"/>
                <w:sz w:val="8"/>
                <w:szCs w:val="8"/>
                <w:b w:val="1"/>
                <w:bCs w:val="1"/>
                <w:color w:val="auto"/>
                <w:w w:val="89"/>
              </w:rPr>
              <w:t>2020</w:t>
            </w:r>
          </w:p>
        </w:tc>
        <w:tc>
          <w:tcPr>
            <w:tcW w:w="220" w:type="dxa"/>
            <w:vAlign w:val="bottom"/>
          </w:tcPr>
          <w:p>
            <w:pPr>
              <w:spacing w:after="0"/>
              <w:rPr>
                <w:sz w:val="10"/>
                <w:szCs w:val="10"/>
                <w:color w:val="auto"/>
              </w:rPr>
            </w:pPr>
          </w:p>
        </w:tc>
        <w:tc>
          <w:tcPr>
            <w:tcW w:w="680" w:type="dxa"/>
            <w:vAlign w:val="bottom"/>
            <w:gridSpan w:val="2"/>
          </w:tcPr>
          <w:p>
            <w:pPr>
              <w:jc w:val="right"/>
              <w:ind w:right="19"/>
              <w:spacing w:after="0"/>
              <w:rPr>
                <w:sz w:val="20"/>
                <w:szCs w:val="20"/>
                <w:color w:val="auto"/>
              </w:rPr>
            </w:pPr>
            <w:r>
              <w:rPr>
                <w:rFonts w:ascii="Arial" w:cs="Arial" w:eastAsia="Arial" w:hAnsi="Arial"/>
                <w:sz w:val="8"/>
                <w:szCs w:val="8"/>
                <w:b w:val="1"/>
                <w:bCs w:val="1"/>
                <w:color w:val="auto"/>
                <w:w w:val="96"/>
              </w:rPr>
              <w:t>Gross Additions</w:t>
            </w:r>
          </w:p>
        </w:tc>
        <w:tc>
          <w:tcPr>
            <w:tcW w:w="240" w:type="dxa"/>
            <w:vAlign w:val="bottom"/>
          </w:tcPr>
          <w:p>
            <w:pPr>
              <w:spacing w:after="0"/>
              <w:rPr>
                <w:sz w:val="10"/>
                <w:szCs w:val="10"/>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8"/>
                <w:szCs w:val="8"/>
                <w:b w:val="1"/>
                <w:bCs w:val="1"/>
                <w:color w:val="auto"/>
                <w:w w:val="92"/>
              </w:rPr>
              <w:t>Gross Reductions</w:t>
            </w:r>
          </w:p>
        </w:tc>
        <w:tc>
          <w:tcPr>
            <w:tcW w:w="1040" w:type="dxa"/>
            <w:vAlign w:val="bottom"/>
            <w:gridSpan w:val="3"/>
          </w:tcPr>
          <w:p>
            <w:pPr>
              <w:jc w:val="center"/>
              <w:ind w:right="240"/>
              <w:spacing w:after="0"/>
              <w:rPr>
                <w:sz w:val="20"/>
                <w:szCs w:val="20"/>
                <w:color w:val="auto"/>
              </w:rPr>
            </w:pPr>
            <w:r>
              <w:rPr>
                <w:rFonts w:ascii="Arial" w:cs="Arial" w:eastAsia="Arial" w:hAnsi="Arial"/>
                <w:sz w:val="8"/>
                <w:szCs w:val="8"/>
                <w:b w:val="1"/>
                <w:bCs w:val="1"/>
                <w:color w:val="auto"/>
                <w:w w:val="96"/>
              </w:rPr>
              <w:t>September 30, 2021</w:t>
            </w:r>
          </w:p>
        </w:tc>
        <w:tc>
          <w:tcPr>
            <w:tcW w:w="60" w:type="dxa"/>
            <w:vAlign w:val="bottom"/>
          </w:tcPr>
          <w:p>
            <w:pPr>
              <w:spacing w:after="0"/>
              <w:rPr>
                <w:sz w:val="10"/>
                <w:szCs w:val="10"/>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8"/>
                <w:szCs w:val="8"/>
                <w:b w:val="1"/>
                <w:bCs w:val="1"/>
                <w:color w:val="auto"/>
                <w:w w:val="89"/>
              </w:rPr>
              <w:t>Gains</w:t>
            </w:r>
          </w:p>
        </w:tc>
        <w:tc>
          <w:tcPr>
            <w:tcW w:w="120" w:type="dxa"/>
            <w:vAlign w:val="bottom"/>
          </w:tcPr>
          <w:p>
            <w:pPr>
              <w:spacing w:after="0"/>
              <w:rPr>
                <w:sz w:val="10"/>
                <w:szCs w:val="10"/>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8"/>
                <w:szCs w:val="8"/>
                <w:b w:val="1"/>
                <w:bCs w:val="1"/>
                <w:color w:val="auto"/>
                <w:w w:val="98"/>
              </w:rPr>
              <w:t>Appreciation</w:t>
            </w:r>
          </w:p>
        </w:tc>
        <w:tc>
          <w:tcPr>
            <w:tcW w:w="60" w:type="dxa"/>
            <w:vAlign w:val="bottom"/>
          </w:tcPr>
          <w:p>
            <w:pPr>
              <w:spacing w:after="0"/>
              <w:rPr>
                <w:sz w:val="10"/>
                <w:szCs w:val="10"/>
                <w:color w:val="auto"/>
              </w:rPr>
            </w:pPr>
          </w:p>
        </w:tc>
        <w:tc>
          <w:tcPr>
            <w:tcW w:w="400" w:type="dxa"/>
            <w:vAlign w:val="bottom"/>
          </w:tcPr>
          <w:p>
            <w:pPr>
              <w:jc w:val="right"/>
              <w:ind w:right="58"/>
              <w:spacing w:after="0"/>
              <w:rPr>
                <w:sz w:val="20"/>
                <w:szCs w:val="20"/>
                <w:color w:val="auto"/>
              </w:rPr>
            </w:pPr>
            <w:r>
              <w:rPr>
                <w:rFonts w:ascii="Arial" w:cs="Arial" w:eastAsia="Arial" w:hAnsi="Arial"/>
                <w:sz w:val="8"/>
                <w:szCs w:val="8"/>
                <w:b w:val="1"/>
                <w:bCs w:val="1"/>
                <w:color w:val="auto"/>
                <w:w w:val="96"/>
              </w:rPr>
              <w:t>Interest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ind w:right="38"/>
              <w:spacing w:after="0"/>
              <w:rPr>
                <w:sz w:val="20"/>
                <w:szCs w:val="20"/>
                <w:color w:val="auto"/>
              </w:rPr>
            </w:pPr>
            <w:r>
              <w:rPr>
                <w:rFonts w:ascii="Arial" w:cs="Arial" w:eastAsia="Arial" w:hAnsi="Arial"/>
                <w:sz w:val="8"/>
                <w:szCs w:val="8"/>
                <w:b w:val="1"/>
                <w:bCs w:val="1"/>
                <w:color w:val="auto"/>
                <w:w w:val="96"/>
              </w:rPr>
              <w:t>Payment-in-kind</w:t>
            </w:r>
          </w:p>
        </w:tc>
        <w:tc>
          <w:tcPr>
            <w:tcW w:w="200" w:type="dxa"/>
            <w:vAlign w:val="bottom"/>
          </w:tcPr>
          <w:p>
            <w:pPr>
              <w:spacing w:after="0"/>
              <w:rPr>
                <w:sz w:val="10"/>
                <w:szCs w:val="10"/>
                <w:color w:val="auto"/>
              </w:rPr>
            </w:pPr>
          </w:p>
        </w:tc>
        <w:tc>
          <w:tcPr>
            <w:tcW w:w="440" w:type="dxa"/>
            <w:vAlign w:val="bottom"/>
            <w:gridSpan w:val="2"/>
          </w:tcPr>
          <w:p>
            <w:pPr>
              <w:jc w:val="right"/>
              <w:ind w:right="18"/>
              <w:spacing w:after="0"/>
              <w:rPr>
                <w:sz w:val="20"/>
                <w:szCs w:val="20"/>
                <w:color w:val="auto"/>
              </w:rPr>
            </w:pPr>
            <w:r>
              <w:rPr>
                <w:rFonts w:ascii="Arial" w:cs="Arial" w:eastAsia="Arial" w:hAnsi="Arial"/>
                <w:sz w:val="8"/>
                <w:szCs w:val="8"/>
                <w:b w:val="1"/>
                <w:bCs w:val="1"/>
                <w:color w:val="auto"/>
              </w:rPr>
              <w:t>Dividend</w:t>
            </w:r>
          </w:p>
        </w:tc>
        <w:tc>
          <w:tcPr>
            <w:tcW w:w="220" w:type="dxa"/>
            <w:vAlign w:val="bottom"/>
          </w:tcPr>
          <w:p>
            <w:pPr>
              <w:spacing w:after="0"/>
              <w:rPr>
                <w:sz w:val="10"/>
                <w:szCs w:val="10"/>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8"/>
                <w:szCs w:val="8"/>
                <w:b w:val="1"/>
                <w:bCs w:val="1"/>
                <w:color w:val="auto"/>
                <w:w w:val="95"/>
              </w:rPr>
              <w:t>Fee Income</w:t>
            </w:r>
          </w:p>
        </w:tc>
        <w:tc>
          <w:tcPr>
            <w:tcW w:w="0" w:type="dxa"/>
            <w:vAlign w:val="bottom"/>
          </w:tcPr>
          <w:p>
            <w:pPr>
              <w:spacing w:after="0"/>
              <w:rPr>
                <w:sz w:val="1"/>
                <w:szCs w:val="1"/>
                <w:color w:val="auto"/>
              </w:rPr>
            </w:pPr>
          </w:p>
        </w:tc>
      </w:tr>
      <w:tr>
        <w:trPr>
          <w:trHeight w:val="101"/>
        </w:trPr>
        <w:tc>
          <w:tcPr>
            <w:tcW w:w="17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jc w:val="center"/>
              <w:ind w:right="18"/>
              <w:spacing w:after="0"/>
              <w:rPr>
                <w:sz w:val="20"/>
                <w:szCs w:val="20"/>
                <w:color w:val="auto"/>
              </w:rPr>
            </w:pPr>
            <w:r>
              <w:rPr>
                <w:rFonts w:ascii="Arial" w:cs="Arial" w:eastAsia="Arial" w:hAnsi="Arial"/>
                <w:sz w:val="8"/>
                <w:szCs w:val="8"/>
                <w:b w:val="1"/>
                <w:bCs w:val="1"/>
                <w:color w:val="auto"/>
                <w:w w:val="94"/>
              </w:rPr>
              <w:t>Investments</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jc w:val="center"/>
              <w:ind w:right="18"/>
              <w:spacing w:after="0"/>
              <w:rPr>
                <w:sz w:val="20"/>
                <w:szCs w:val="20"/>
                <w:color w:val="auto"/>
              </w:rPr>
            </w:pPr>
            <w:r>
              <w:rPr>
                <w:rFonts w:ascii="Arial" w:cs="Arial" w:eastAsia="Arial" w:hAnsi="Arial"/>
                <w:sz w:val="8"/>
                <w:szCs w:val="8"/>
                <w:b w:val="1"/>
                <w:bCs w:val="1"/>
                <w:color w:val="auto"/>
                <w:w w:val="94"/>
              </w:rPr>
              <w:t>Fair Value</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jc w:val="right"/>
              <w:ind w:right="259"/>
              <w:spacing w:after="0"/>
              <w:rPr>
                <w:sz w:val="20"/>
                <w:szCs w:val="20"/>
                <w:color w:val="auto"/>
              </w:rPr>
            </w:pPr>
            <w:r>
              <w:rPr>
                <w:rFonts w:ascii="Arial" w:cs="Arial" w:eastAsia="Arial" w:hAnsi="Arial"/>
                <w:sz w:val="6"/>
                <w:szCs w:val="6"/>
                <w:b w:val="1"/>
                <w:bCs w:val="1"/>
                <w:color w:val="auto"/>
              </w:rPr>
              <w:t>(2)</w:t>
            </w: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jc w:val="right"/>
              <w:ind w:right="279"/>
              <w:spacing w:after="0"/>
              <w:rPr>
                <w:sz w:val="20"/>
                <w:szCs w:val="20"/>
                <w:color w:val="auto"/>
              </w:rPr>
            </w:pPr>
            <w:r>
              <w:rPr>
                <w:rFonts w:ascii="Arial" w:cs="Arial" w:eastAsia="Arial" w:hAnsi="Arial"/>
                <w:sz w:val="6"/>
                <w:szCs w:val="6"/>
                <w:b w:val="1"/>
                <w:bCs w:val="1"/>
                <w:color w:val="auto"/>
              </w:rPr>
              <w:t>(3)</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8"/>
                <w:szCs w:val="8"/>
                <w:b w:val="1"/>
                <w:bCs w:val="1"/>
                <w:color w:val="auto"/>
                <w:w w:val="99"/>
              </w:rPr>
              <w:t>Fair Value</w:t>
            </w:r>
          </w:p>
        </w:tc>
        <w:tc>
          <w:tcPr>
            <w:tcW w:w="60" w:type="dxa"/>
            <w:vAlign w:val="bottom"/>
          </w:tcPr>
          <w:p>
            <w:pPr>
              <w:spacing w:after="0"/>
              <w:rPr>
                <w:sz w:val="8"/>
                <w:szCs w:val="8"/>
                <w:color w:val="auto"/>
              </w:rPr>
            </w:pPr>
          </w:p>
        </w:tc>
        <w:tc>
          <w:tcPr>
            <w:tcW w:w="700" w:type="dxa"/>
            <w:vAlign w:val="bottom"/>
            <w:gridSpan w:val="2"/>
          </w:tcPr>
          <w:p>
            <w:pPr>
              <w:jc w:val="center"/>
              <w:ind w:right="280"/>
              <w:spacing w:after="0" w:line="102" w:lineRule="exact"/>
              <w:rPr>
                <w:sz w:val="20"/>
                <w:szCs w:val="20"/>
                <w:color w:val="auto"/>
              </w:rPr>
            </w:pPr>
            <w:r>
              <w:rPr>
                <w:rFonts w:ascii="Arial" w:cs="Arial" w:eastAsia="Arial" w:hAnsi="Arial"/>
                <w:sz w:val="8"/>
                <w:szCs w:val="8"/>
                <w:b w:val="1"/>
                <w:bCs w:val="1"/>
                <w:color w:val="auto"/>
                <w:w w:val="86"/>
              </w:rPr>
              <w:t xml:space="preserve">(Losses) </w:t>
            </w:r>
            <w:r>
              <w:rPr>
                <w:rFonts w:ascii="Arial" w:cs="Arial" w:eastAsia="Arial" w:hAnsi="Arial"/>
                <w:sz w:val="11"/>
                <w:szCs w:val="11"/>
                <w:b w:val="1"/>
                <w:bCs w:val="1"/>
                <w:color w:val="auto"/>
                <w:w w:val="86"/>
                <w:vertAlign w:val="superscript"/>
              </w:rPr>
              <w:t>(4)</w:t>
            </w:r>
          </w:p>
        </w:tc>
        <w:tc>
          <w:tcPr>
            <w:tcW w:w="120" w:type="dxa"/>
            <w:vAlign w:val="bottom"/>
          </w:tcPr>
          <w:p>
            <w:pPr>
              <w:spacing w:after="0"/>
              <w:rPr>
                <w:sz w:val="8"/>
                <w:szCs w:val="8"/>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8"/>
                <w:szCs w:val="8"/>
                <w:b w:val="1"/>
                <w:bCs w:val="1"/>
                <w:color w:val="auto"/>
                <w:w w:val="96"/>
              </w:rPr>
              <w:t>(Depreciation)</w:t>
            </w:r>
          </w:p>
        </w:tc>
        <w:tc>
          <w:tcPr>
            <w:tcW w:w="60" w:type="dxa"/>
            <w:vAlign w:val="bottom"/>
          </w:tcPr>
          <w:p>
            <w:pPr>
              <w:spacing w:after="0"/>
              <w:rPr>
                <w:sz w:val="8"/>
                <w:szCs w:val="8"/>
                <w:color w:val="auto"/>
              </w:rPr>
            </w:pPr>
          </w:p>
        </w:tc>
        <w:tc>
          <w:tcPr>
            <w:tcW w:w="400" w:type="dxa"/>
            <w:vAlign w:val="bottom"/>
          </w:tcPr>
          <w:p>
            <w:pPr>
              <w:jc w:val="right"/>
              <w:ind w:right="58"/>
              <w:spacing w:after="0"/>
              <w:rPr>
                <w:sz w:val="20"/>
                <w:szCs w:val="20"/>
                <w:color w:val="auto"/>
              </w:rPr>
            </w:pPr>
            <w:r>
              <w:rPr>
                <w:rFonts w:ascii="Arial" w:cs="Arial" w:eastAsia="Arial" w:hAnsi="Arial"/>
                <w:sz w:val="8"/>
                <w:szCs w:val="8"/>
                <w:b w:val="1"/>
                <w:bCs w:val="1"/>
                <w:color w:val="auto"/>
                <w:w w:val="99"/>
              </w:rPr>
              <w:t>Income</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ind w:right="58"/>
              <w:spacing w:after="0"/>
              <w:rPr>
                <w:sz w:val="20"/>
                <w:szCs w:val="20"/>
                <w:color w:val="auto"/>
              </w:rPr>
            </w:pPr>
            <w:r>
              <w:rPr>
                <w:rFonts w:ascii="Arial" w:cs="Arial" w:eastAsia="Arial" w:hAnsi="Arial"/>
                <w:sz w:val="8"/>
                <w:szCs w:val="8"/>
                <w:b w:val="1"/>
                <w:bCs w:val="1"/>
                <w:color w:val="auto"/>
                <w:w w:val="98"/>
              </w:rPr>
              <w:t>Interest Income</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jc w:val="right"/>
              <w:ind w:right="38"/>
              <w:spacing w:after="0"/>
              <w:rPr>
                <w:sz w:val="20"/>
                <w:szCs w:val="20"/>
                <w:color w:val="auto"/>
              </w:rPr>
            </w:pPr>
            <w:r>
              <w:rPr>
                <w:rFonts w:ascii="Arial" w:cs="Arial" w:eastAsia="Arial" w:hAnsi="Arial"/>
                <w:sz w:val="8"/>
                <w:szCs w:val="8"/>
                <w:b w:val="1"/>
                <w:bCs w:val="1"/>
                <w:color w:val="auto"/>
                <w:w w:val="92"/>
              </w:rPr>
              <w:t>Income</w:t>
            </w:r>
          </w:p>
        </w:tc>
        <w:tc>
          <w:tcPr>
            <w:tcW w:w="22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8"/>
                <w:szCs w:val="8"/>
                <w:b w:val="1"/>
                <w:bCs w:val="1"/>
                <w:color w:val="auto"/>
              </w:rPr>
              <w:t>Control Investments</w:t>
            </w:r>
          </w:p>
        </w:tc>
        <w:tc>
          <w:tcPr>
            <w:tcW w:w="12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40" w:type="dxa"/>
            <w:vAlign w:val="bottom"/>
          </w:tcPr>
          <w:p>
            <w:pPr>
              <w:ind w:left="20"/>
              <w:spacing w:after="0"/>
              <w:rPr>
                <w:sz w:val="20"/>
                <w:szCs w:val="20"/>
                <w:color w:val="auto"/>
              </w:rPr>
            </w:pPr>
            <w:r>
              <w:rPr>
                <w:rFonts w:ascii="Arial" w:cs="Arial" w:eastAsia="Arial" w:hAnsi="Arial"/>
                <w:sz w:val="8"/>
                <w:szCs w:val="8"/>
                <w:color w:val="auto"/>
              </w:rPr>
              <w:t>Hilco Plastics Holdings, LLC (dba Hilco</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740" w:type="dxa"/>
            <w:vAlign w:val="bottom"/>
          </w:tcPr>
          <w:p>
            <w:pPr>
              <w:ind w:left="20"/>
              <w:spacing w:after="0"/>
              <w:rPr>
                <w:sz w:val="20"/>
                <w:szCs w:val="20"/>
                <w:color w:val="auto"/>
              </w:rPr>
            </w:pPr>
            <w:r>
              <w:rPr>
                <w:rFonts w:ascii="Arial" w:cs="Arial" w:eastAsia="Arial" w:hAnsi="Arial"/>
                <w:sz w:val="8"/>
                <w:szCs w:val="8"/>
                <w:color w:val="auto"/>
              </w:rPr>
              <w:t>Technologies)</w:t>
            </w:r>
            <w:r>
              <w:rPr>
                <w:rFonts w:ascii="Arial" w:cs="Arial" w:eastAsia="Arial" w:hAnsi="Arial"/>
                <w:sz w:val="11"/>
                <w:szCs w:val="11"/>
                <w:color w:val="auto"/>
                <w:vertAlign w:val="superscript"/>
              </w:rPr>
              <w:t>(6)</w:t>
            </w:r>
          </w:p>
        </w:tc>
        <w:tc>
          <w:tcPr>
            <w:tcW w:w="180" w:type="dxa"/>
            <w:vAlign w:val="bottom"/>
            <w:gridSpan w:val="2"/>
          </w:tcPr>
          <w:p>
            <w:pPr>
              <w:jc w:val="right"/>
              <w:spacing w:after="0"/>
              <w:rPr>
                <w:sz w:val="20"/>
                <w:szCs w:val="20"/>
                <w:color w:val="auto"/>
              </w:rPr>
            </w:pPr>
            <w:r>
              <w:rPr>
                <w:rFonts w:ascii="Arial" w:cs="Arial" w:eastAsia="Arial" w:hAnsi="Arial"/>
                <w:sz w:val="8"/>
                <w:szCs w:val="8"/>
                <w:color w:val="auto"/>
              </w:rPr>
              <w:t>$</w:t>
            </w:r>
          </w:p>
        </w:tc>
        <w:tc>
          <w:tcPr>
            <w:tcW w:w="66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gridSpan w:val="2"/>
          </w:tcPr>
          <w:p>
            <w:pPr>
              <w:jc w:val="right"/>
              <w:spacing w:after="0"/>
              <w:rPr>
                <w:sz w:val="20"/>
                <w:szCs w:val="20"/>
                <w:color w:val="auto"/>
              </w:rPr>
            </w:pPr>
            <w:r>
              <w:rPr>
                <w:rFonts w:ascii="Arial" w:cs="Arial" w:eastAsia="Arial" w:hAnsi="Arial"/>
                <w:sz w:val="8"/>
                <w:szCs w:val="8"/>
                <w:color w:val="auto"/>
              </w:rPr>
              <w:t>$</w:t>
            </w:r>
          </w:p>
        </w:tc>
        <w:tc>
          <w:tcPr>
            <w:tcW w:w="580" w:type="dxa"/>
            <w:vAlign w:val="bottom"/>
          </w:tcPr>
          <w:p>
            <w:pPr>
              <w:jc w:val="right"/>
              <w:spacing w:after="0"/>
              <w:rPr>
                <w:sz w:val="20"/>
                <w:szCs w:val="20"/>
                <w:color w:val="auto"/>
              </w:rPr>
            </w:pPr>
            <w:r>
              <w:rPr>
                <w:rFonts w:ascii="Arial" w:cs="Arial" w:eastAsia="Arial" w:hAnsi="Arial"/>
                <w:sz w:val="8"/>
                <w:szCs w:val="8"/>
                <w:color w:val="auto"/>
              </w:rPr>
              <w:t>—</w:t>
            </w:r>
          </w:p>
        </w:tc>
        <w:tc>
          <w:tcPr>
            <w:tcW w:w="400" w:type="dxa"/>
            <w:vAlign w:val="bottom"/>
            <w:gridSpan w:val="2"/>
          </w:tcPr>
          <w:p>
            <w:pPr>
              <w:jc w:val="right"/>
              <w:ind w:right="78"/>
              <w:spacing w:after="0"/>
              <w:rPr>
                <w:sz w:val="20"/>
                <w:szCs w:val="20"/>
                <w:color w:val="auto"/>
              </w:rPr>
            </w:pPr>
            <w:r>
              <w:rPr>
                <w:rFonts w:ascii="Arial" w:cs="Arial" w:eastAsia="Arial" w:hAnsi="Arial"/>
                <w:sz w:val="8"/>
                <w:szCs w:val="8"/>
                <w:color w:val="auto"/>
              </w:rPr>
              <w:t>$</w:t>
            </w:r>
          </w:p>
        </w:tc>
        <w:tc>
          <w:tcPr>
            <w:tcW w:w="500" w:type="dxa"/>
            <w:vAlign w:val="bottom"/>
          </w:tcPr>
          <w:p>
            <w:pPr>
              <w:jc w:val="right"/>
              <w:spacing w:after="0"/>
              <w:rPr>
                <w:sz w:val="20"/>
                <w:szCs w:val="20"/>
                <w:color w:val="auto"/>
              </w:rPr>
            </w:pPr>
            <w:r>
              <w:rPr>
                <w:rFonts w:ascii="Arial" w:cs="Arial" w:eastAsia="Arial" w:hAnsi="Arial"/>
                <w:sz w:val="8"/>
                <w:szCs w:val="8"/>
                <w:color w:val="auto"/>
              </w:rPr>
              <w:t>1,627</w:t>
            </w:r>
          </w:p>
        </w:tc>
        <w:tc>
          <w:tcPr>
            <w:tcW w:w="420" w:type="dxa"/>
            <w:vAlign w:val="bottom"/>
            <w:gridSpan w:val="2"/>
          </w:tcPr>
          <w:p>
            <w:pPr>
              <w:jc w:val="right"/>
              <w:ind w:right="78"/>
              <w:spacing w:after="0"/>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8"/>
                <w:szCs w:val="8"/>
                <w:color w:val="auto"/>
              </w:rPr>
              <w:t>(1,577 )</w:t>
            </w:r>
          </w:p>
        </w:tc>
        <w:tc>
          <w:tcPr>
            <w:tcW w:w="140" w:type="dxa"/>
            <w:vAlign w:val="bottom"/>
          </w:tcPr>
          <w:p>
            <w:pPr>
              <w:jc w:val="right"/>
              <w:ind w:right="38"/>
              <w:spacing w:after="0"/>
              <w:rPr>
                <w:sz w:val="20"/>
                <w:szCs w:val="20"/>
                <w:color w:val="auto"/>
              </w:rPr>
            </w:pPr>
            <w:r>
              <w:rPr>
                <w:rFonts w:ascii="Arial" w:cs="Arial" w:eastAsia="Arial" w:hAnsi="Arial"/>
                <w:sz w:val="8"/>
                <w:szCs w:val="8"/>
                <w:color w:val="auto"/>
                <w:w w:val="88"/>
              </w:rPr>
              <w:t>$</w:t>
            </w:r>
          </w:p>
        </w:tc>
        <w:tc>
          <w:tcPr>
            <w:tcW w:w="660" w:type="dxa"/>
            <w:vAlign w:val="bottom"/>
          </w:tcPr>
          <w:p>
            <w:pPr>
              <w:jc w:val="right"/>
              <w:spacing w:after="0"/>
              <w:rPr>
                <w:sz w:val="20"/>
                <w:szCs w:val="20"/>
                <w:color w:val="auto"/>
              </w:rPr>
            </w:pPr>
            <w:r>
              <w:rPr>
                <w:rFonts w:ascii="Arial" w:cs="Arial" w:eastAsia="Arial" w:hAnsi="Arial"/>
                <w:sz w:val="8"/>
                <w:szCs w:val="8"/>
                <w:color w:val="auto"/>
              </w:rPr>
              <w:t>50</w:t>
            </w:r>
          </w:p>
        </w:tc>
        <w:tc>
          <w:tcPr>
            <w:tcW w:w="2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88"/>
              </w:rPr>
              <w:t>$</w:t>
            </w:r>
          </w:p>
        </w:tc>
        <w:tc>
          <w:tcPr>
            <w:tcW w:w="700" w:type="dxa"/>
            <w:vAlign w:val="bottom"/>
            <w:gridSpan w:val="2"/>
          </w:tcPr>
          <w:p>
            <w:pPr>
              <w:jc w:val="right"/>
              <w:ind w:right="180"/>
              <w:spacing w:after="0"/>
              <w:rPr>
                <w:sz w:val="20"/>
                <w:szCs w:val="20"/>
                <w:color w:val="auto"/>
              </w:rPr>
            </w:pPr>
            <w:r>
              <w:rPr>
                <w:rFonts w:ascii="Arial" w:cs="Arial" w:eastAsia="Arial" w:hAnsi="Arial"/>
                <w:sz w:val="8"/>
                <w:szCs w:val="8"/>
                <w:color w:val="auto"/>
              </w:rPr>
              <w:t>(990 )</w:t>
            </w:r>
          </w:p>
        </w:tc>
        <w:tc>
          <w:tcPr>
            <w:tcW w:w="120" w:type="dxa"/>
            <w:vAlign w:val="bottom"/>
          </w:tcPr>
          <w:p>
            <w:pPr>
              <w:jc w:val="right"/>
              <w:ind w:right="18"/>
              <w:spacing w:after="0"/>
              <w:rPr>
                <w:sz w:val="20"/>
                <w:szCs w:val="20"/>
                <w:color w:val="auto"/>
              </w:rPr>
            </w:pPr>
            <w:r>
              <w:rPr>
                <w:rFonts w:ascii="Arial" w:cs="Arial" w:eastAsia="Arial" w:hAnsi="Arial"/>
                <w:sz w:val="8"/>
                <w:szCs w:val="8"/>
                <w:color w:val="auto"/>
                <w:w w:val="88"/>
              </w:rPr>
              <w:t>$</w:t>
            </w:r>
          </w:p>
        </w:tc>
        <w:tc>
          <w:tcPr>
            <w:tcW w:w="760" w:type="dxa"/>
            <w:vAlign w:val="bottom"/>
          </w:tcPr>
          <w:p>
            <w:pPr>
              <w:jc w:val="right"/>
              <w:spacing w:after="0"/>
              <w:rPr>
                <w:sz w:val="20"/>
                <w:szCs w:val="20"/>
                <w:color w:val="auto"/>
              </w:rPr>
            </w:pPr>
            <w:r>
              <w:rPr>
                <w:rFonts w:ascii="Arial" w:cs="Arial" w:eastAsia="Arial" w:hAnsi="Arial"/>
                <w:sz w:val="8"/>
                <w:szCs w:val="8"/>
                <w:color w:val="auto"/>
              </w:rPr>
              <w:t>50</w:t>
            </w:r>
          </w:p>
        </w:tc>
        <w:tc>
          <w:tcPr>
            <w:tcW w:w="2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00" w:type="dxa"/>
            <w:vAlign w:val="bottom"/>
          </w:tcPr>
          <w:p>
            <w:pPr>
              <w:jc w:val="right"/>
              <w:spacing w:after="0"/>
              <w:rPr>
                <w:sz w:val="20"/>
                <w:szCs w:val="20"/>
                <w:color w:val="auto"/>
              </w:rPr>
            </w:pPr>
            <w:r>
              <w:rPr>
                <w:rFonts w:ascii="Arial" w:cs="Arial" w:eastAsia="Arial" w:hAnsi="Arial"/>
                <w:sz w:val="8"/>
                <w:szCs w:val="8"/>
                <w:color w:val="auto"/>
              </w:rPr>
              <w:t>308</w:t>
            </w:r>
          </w:p>
        </w:tc>
        <w:tc>
          <w:tcPr>
            <w:tcW w:w="300" w:type="dxa"/>
            <w:vAlign w:val="bottom"/>
            <w:gridSpan w:val="2"/>
          </w:tcPr>
          <w:p>
            <w:pPr>
              <w:jc w:val="right"/>
              <w:ind w:right="20"/>
              <w:spacing w:after="0"/>
              <w:rPr>
                <w:sz w:val="20"/>
                <w:szCs w:val="20"/>
                <w:color w:val="auto"/>
              </w:rPr>
            </w:pPr>
            <w:r>
              <w:rPr>
                <w:rFonts w:ascii="Arial" w:cs="Arial" w:eastAsia="Arial" w:hAnsi="Arial"/>
                <w:sz w:val="8"/>
                <w:szCs w:val="8"/>
                <w:color w:val="auto"/>
              </w:rPr>
              <w:t>$</w:t>
            </w:r>
          </w:p>
        </w:tc>
        <w:tc>
          <w:tcPr>
            <w:tcW w:w="70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gridSpan w:val="2"/>
          </w:tcPr>
          <w:p>
            <w:pPr>
              <w:jc w:val="right"/>
              <w:spacing w:after="0"/>
              <w:rPr>
                <w:sz w:val="20"/>
                <w:szCs w:val="20"/>
                <w:color w:val="auto"/>
              </w:rPr>
            </w:pPr>
            <w:r>
              <w:rPr>
                <w:rFonts w:ascii="Arial" w:cs="Arial" w:eastAsia="Arial" w:hAnsi="Arial"/>
                <w:sz w:val="8"/>
                <w:szCs w:val="8"/>
                <w:color w:val="auto"/>
              </w:rPr>
              <w:t>$</w:t>
            </w:r>
          </w:p>
        </w:tc>
        <w:tc>
          <w:tcPr>
            <w:tcW w:w="360" w:type="dxa"/>
            <w:vAlign w:val="bottom"/>
          </w:tcPr>
          <w:p>
            <w:pPr>
              <w:jc w:val="right"/>
              <w:spacing w:after="0"/>
              <w:rPr>
                <w:sz w:val="20"/>
                <w:szCs w:val="20"/>
                <w:color w:val="auto"/>
              </w:rPr>
            </w:pPr>
            <w:r>
              <w:rPr>
                <w:rFonts w:ascii="Arial" w:cs="Arial" w:eastAsia="Arial" w:hAnsi="Arial"/>
                <w:sz w:val="8"/>
                <w:szCs w:val="8"/>
                <w:color w:val="auto"/>
              </w:rPr>
              <w:t>568</w:t>
            </w:r>
          </w:p>
        </w:tc>
        <w:tc>
          <w:tcPr>
            <w:tcW w:w="400" w:type="dxa"/>
            <w:vAlign w:val="bottom"/>
            <w:gridSpan w:val="2"/>
          </w:tcPr>
          <w:p>
            <w:pPr>
              <w:ind w:left="220"/>
              <w:spacing w:after="0"/>
              <w:rPr>
                <w:sz w:val="20"/>
                <w:szCs w:val="20"/>
                <w:color w:val="auto"/>
              </w:rPr>
            </w:pPr>
            <w:r>
              <w:rPr>
                <w:rFonts w:ascii="Arial" w:cs="Arial" w:eastAsia="Arial" w:hAnsi="Arial"/>
                <w:sz w:val="8"/>
                <w:szCs w:val="8"/>
                <w:color w:val="auto"/>
              </w:rPr>
              <w:t>$</w:t>
            </w:r>
          </w:p>
        </w:tc>
        <w:tc>
          <w:tcPr>
            <w:tcW w:w="30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27"/>
        </w:trPr>
        <w:tc>
          <w:tcPr>
            <w:tcW w:w="1740" w:type="dxa"/>
            <w:vAlign w:val="bottom"/>
            <w:shd w:val="clear" w:color="auto" w:fill="CCEEFF"/>
          </w:tcPr>
          <w:p>
            <w:pPr>
              <w:ind w:left="20"/>
              <w:spacing w:after="0"/>
              <w:rPr>
                <w:sz w:val="20"/>
                <w:szCs w:val="20"/>
                <w:color w:val="auto"/>
              </w:rPr>
            </w:pPr>
            <w:r>
              <w:rPr>
                <w:rFonts w:ascii="Arial" w:cs="Arial" w:eastAsia="Arial" w:hAnsi="Arial"/>
                <w:sz w:val="8"/>
                <w:szCs w:val="8"/>
                <w:color w:val="auto"/>
              </w:rPr>
              <w:t xml:space="preserve">Mesa Line Services, LLC </w:t>
            </w:r>
            <w:r>
              <w:rPr>
                <w:rFonts w:ascii="Arial" w:cs="Arial" w:eastAsia="Arial" w:hAnsi="Arial"/>
                <w:sz w:val="11"/>
                <w:szCs w:val="11"/>
                <w:color w:val="auto"/>
                <w:vertAlign w:val="superscript"/>
              </w:rPr>
              <w:t>(6)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23,684</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8"/>
                <w:szCs w:val="8"/>
                <w:color w:val="auto"/>
              </w:rPr>
              <w:t>24,779</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(5,596 )</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19,183</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(5,596 )</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8"/>
                <w:szCs w:val="8"/>
                <w:color w:val="auto"/>
              </w:rPr>
              <w:t>438</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8"/>
                <w:szCs w:val="8"/>
                <w:color w:val="auto"/>
              </w:rPr>
              <w:t>600</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8"/>
        </w:trPr>
        <w:tc>
          <w:tcPr>
            <w:tcW w:w="1740" w:type="dxa"/>
            <w:vAlign w:val="bottom"/>
          </w:tcPr>
          <w:p>
            <w:pPr>
              <w:ind w:left="20"/>
              <w:spacing w:after="0"/>
              <w:rPr>
                <w:sz w:val="20"/>
                <w:szCs w:val="20"/>
                <w:color w:val="auto"/>
              </w:rPr>
            </w:pPr>
            <w:r>
              <w:rPr>
                <w:rFonts w:ascii="Arial" w:cs="Arial" w:eastAsia="Arial" w:hAnsi="Arial"/>
                <w:sz w:val="8"/>
                <w:szCs w:val="8"/>
                <w:color w:val="auto"/>
              </w:rPr>
              <w:t>Spectra A&amp;D Acquisition, Inc. (fka FDS</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740" w:type="dxa"/>
            <w:vAlign w:val="bottom"/>
          </w:tcPr>
          <w:p>
            <w:pPr>
              <w:ind w:left="20"/>
              <w:spacing w:after="0"/>
              <w:rPr>
                <w:sz w:val="20"/>
                <w:szCs w:val="20"/>
                <w:color w:val="auto"/>
              </w:rPr>
            </w:pPr>
            <w:r>
              <w:rPr>
                <w:rFonts w:ascii="Arial" w:cs="Arial" w:eastAsia="Arial" w:hAnsi="Arial"/>
                <w:sz w:val="8"/>
                <w:szCs w:val="8"/>
                <w:color w:val="auto"/>
              </w:rPr>
              <w:t>Avionics Corp.)</w:t>
            </w:r>
            <w:r>
              <w:rPr>
                <w:rFonts w:ascii="Arial" w:cs="Arial" w:eastAsia="Arial" w:hAnsi="Arial"/>
                <w:sz w:val="11"/>
                <w:szCs w:val="11"/>
                <w:color w:val="auto"/>
                <w:vertAlign w:val="superscript"/>
              </w:rPr>
              <w:t>(5)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7,391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8"/>
                <w:szCs w:val="8"/>
                <w:color w:val="auto"/>
              </w:rPr>
              <w:t>1,986</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8"/>
                <w:szCs w:val="8"/>
                <w:color w:val="auto"/>
              </w:rPr>
              <w:t>(9,377 )</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957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1,028</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8"/>
                <w:szCs w:val="8"/>
                <w:color w:val="auto"/>
              </w:rPr>
              <w:t>90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8"/>
                <w:szCs w:val="8"/>
                <w:color w:val="auto"/>
              </w:rPr>
              <w:t>400</w:t>
            </w:r>
          </w:p>
        </w:tc>
        <w:tc>
          <w:tcPr>
            <w:tcW w:w="0" w:type="dxa"/>
            <w:vAlign w:val="bottom"/>
          </w:tcPr>
          <w:p>
            <w:pPr>
              <w:spacing w:after="0"/>
              <w:rPr>
                <w:sz w:val="1"/>
                <w:szCs w:val="1"/>
                <w:color w:val="auto"/>
              </w:rPr>
            </w:pPr>
          </w:p>
        </w:tc>
      </w:tr>
      <w:tr>
        <w:trPr>
          <w:trHeight w:val="126"/>
        </w:trPr>
        <w:tc>
          <w:tcPr>
            <w:tcW w:w="1740" w:type="dxa"/>
            <w:vAlign w:val="bottom"/>
            <w:shd w:val="clear" w:color="auto" w:fill="CCEEFF"/>
          </w:tcPr>
          <w:p>
            <w:pPr>
              <w:ind w:left="20"/>
              <w:spacing w:after="0"/>
              <w:rPr>
                <w:sz w:val="20"/>
                <w:szCs w:val="20"/>
                <w:color w:val="auto"/>
              </w:rPr>
            </w:pPr>
            <w:r>
              <w:rPr>
                <w:rFonts w:ascii="Arial" w:cs="Arial" w:eastAsia="Arial" w:hAnsi="Arial"/>
                <w:sz w:val="8"/>
                <w:szCs w:val="8"/>
                <w:color w:val="auto"/>
              </w:rPr>
              <w:t>US GreenFiber, LLC</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26,505</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8"/>
                <w:szCs w:val="8"/>
                <w:color w:val="auto"/>
              </w:rPr>
              <w:t>20,862</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8"/>
                <w:szCs w:val="8"/>
                <w:color w:val="auto"/>
              </w:rPr>
              <w:t>3,561</w:t>
            </w: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(372 )</w:t>
            </w: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24,051</w:t>
            </w: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(371 )</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8"/>
                <w:szCs w:val="8"/>
                <w:color w:val="auto"/>
              </w:rPr>
              <w:t>1,659</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8"/>
                <w:szCs w:val="8"/>
                <w:color w:val="auto"/>
              </w:rPr>
              <w:t>1,061</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20"/>
        </w:trPr>
        <w:tc>
          <w:tcPr>
            <w:tcW w:w="1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740" w:type="dxa"/>
            <w:vAlign w:val="bottom"/>
          </w:tcPr>
          <w:p>
            <w:pPr>
              <w:ind w:left="20"/>
              <w:spacing w:after="0"/>
              <w:rPr>
                <w:sz w:val="20"/>
                <w:szCs w:val="20"/>
                <w:color w:val="auto"/>
              </w:rPr>
            </w:pPr>
            <w:r>
              <w:rPr>
                <w:rFonts w:ascii="Arial" w:cs="Arial" w:eastAsia="Arial" w:hAnsi="Arial"/>
                <w:sz w:val="8"/>
                <w:szCs w:val="8"/>
                <w:b w:val="1"/>
                <w:bCs w:val="1"/>
                <w:color w:val="auto"/>
              </w:rPr>
              <w:t>Total Control Investments</w:t>
            </w:r>
          </w:p>
        </w:tc>
        <w:tc>
          <w:tcPr>
            <w:tcW w:w="12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60" w:type="dxa"/>
            <w:vAlign w:val="bottom"/>
          </w:tcPr>
          <w:p>
            <w:pPr>
              <w:jc w:val="right"/>
              <w:spacing w:after="0"/>
              <w:rPr>
                <w:sz w:val="20"/>
                <w:szCs w:val="20"/>
                <w:color w:val="auto"/>
              </w:rPr>
            </w:pPr>
            <w:r>
              <w:rPr>
                <w:rFonts w:ascii="Arial" w:cs="Arial" w:eastAsia="Arial" w:hAnsi="Arial"/>
                <w:sz w:val="8"/>
                <w:szCs w:val="8"/>
                <w:color w:val="auto"/>
              </w:rPr>
              <w:t>50,189</w:t>
            </w:r>
          </w:p>
        </w:tc>
        <w:tc>
          <w:tcPr>
            <w:tcW w:w="22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88"/>
              </w:rPr>
              <w:t>$</w:t>
            </w:r>
          </w:p>
        </w:tc>
        <w:tc>
          <w:tcPr>
            <w:tcW w:w="580" w:type="dxa"/>
            <w:vAlign w:val="bottom"/>
          </w:tcPr>
          <w:p>
            <w:pPr>
              <w:jc w:val="right"/>
              <w:spacing w:after="0"/>
              <w:rPr>
                <w:sz w:val="20"/>
                <w:szCs w:val="20"/>
                <w:color w:val="auto"/>
              </w:rPr>
            </w:pPr>
            <w:r>
              <w:rPr>
                <w:rFonts w:ascii="Arial" w:cs="Arial" w:eastAsia="Arial" w:hAnsi="Arial"/>
                <w:sz w:val="8"/>
                <w:szCs w:val="8"/>
                <w:color w:val="auto"/>
              </w:rPr>
              <w:t>28,253</w:t>
            </w:r>
          </w:p>
        </w:tc>
        <w:tc>
          <w:tcPr>
            <w:tcW w:w="220" w:type="dxa"/>
            <w:vAlign w:val="bottom"/>
          </w:tcPr>
          <w:p>
            <w:pPr>
              <w:spacing w:after="0"/>
              <w:rPr>
                <w:sz w:val="10"/>
                <w:szCs w:val="10"/>
                <w:color w:val="auto"/>
              </w:rPr>
            </w:pPr>
          </w:p>
        </w:tc>
        <w:tc>
          <w:tcPr>
            <w:tcW w:w="180" w:type="dxa"/>
            <w:vAlign w:val="bottom"/>
          </w:tcPr>
          <w:p>
            <w:pPr>
              <w:jc w:val="right"/>
              <w:ind w:right="78"/>
              <w:spacing w:after="0"/>
              <w:rPr>
                <w:sz w:val="20"/>
                <w:szCs w:val="20"/>
                <w:color w:val="auto"/>
              </w:rPr>
            </w:pPr>
            <w:r>
              <w:rPr>
                <w:rFonts w:ascii="Arial" w:cs="Arial" w:eastAsia="Arial" w:hAnsi="Arial"/>
                <w:sz w:val="8"/>
                <w:szCs w:val="8"/>
                <w:color w:val="auto"/>
                <w:w w:val="88"/>
              </w:rPr>
              <w:t>$</w:t>
            </w:r>
          </w:p>
        </w:tc>
        <w:tc>
          <w:tcPr>
            <w:tcW w:w="500" w:type="dxa"/>
            <w:vAlign w:val="bottom"/>
          </w:tcPr>
          <w:p>
            <w:pPr>
              <w:jc w:val="right"/>
              <w:spacing w:after="0"/>
              <w:rPr>
                <w:sz w:val="20"/>
                <w:szCs w:val="20"/>
                <w:color w:val="auto"/>
              </w:rPr>
            </w:pPr>
            <w:r>
              <w:rPr>
                <w:rFonts w:ascii="Arial" w:cs="Arial" w:eastAsia="Arial" w:hAnsi="Arial"/>
                <w:sz w:val="8"/>
                <w:szCs w:val="8"/>
                <w:color w:val="auto"/>
              </w:rPr>
              <w:t>31,953</w:t>
            </w:r>
          </w:p>
        </w:tc>
        <w:tc>
          <w:tcPr>
            <w:tcW w:w="240" w:type="dxa"/>
            <w:vAlign w:val="bottom"/>
          </w:tcPr>
          <w:p>
            <w:pPr>
              <w:spacing w:after="0"/>
              <w:rPr>
                <w:sz w:val="10"/>
                <w:szCs w:val="10"/>
                <w:color w:val="auto"/>
              </w:rPr>
            </w:pPr>
          </w:p>
        </w:tc>
        <w:tc>
          <w:tcPr>
            <w:tcW w:w="180" w:type="dxa"/>
            <w:vAlign w:val="bottom"/>
          </w:tcPr>
          <w:p>
            <w:pPr>
              <w:jc w:val="right"/>
              <w:ind w:right="78"/>
              <w:spacing w:after="0"/>
              <w:rPr>
                <w:sz w:val="20"/>
                <w:szCs w:val="20"/>
                <w:color w:val="auto"/>
              </w:rPr>
            </w:pPr>
            <w:r>
              <w:rPr>
                <w:rFonts w:ascii="Arial" w:cs="Arial" w:eastAsia="Arial" w:hAnsi="Arial"/>
                <w:sz w:val="8"/>
                <w:szCs w:val="8"/>
                <w:color w:val="auto"/>
                <w:w w:val="88"/>
              </w:rPr>
              <w:t>$</w:t>
            </w:r>
          </w:p>
        </w:tc>
        <w:tc>
          <w:tcPr>
            <w:tcW w:w="760" w:type="dxa"/>
            <w:vAlign w:val="bottom"/>
            <w:gridSpan w:val="2"/>
          </w:tcPr>
          <w:p>
            <w:pPr>
              <w:jc w:val="right"/>
              <w:ind w:right="180"/>
              <w:spacing w:after="0"/>
              <w:rPr>
                <w:sz w:val="20"/>
                <w:szCs w:val="20"/>
                <w:color w:val="auto"/>
              </w:rPr>
            </w:pPr>
            <w:r>
              <w:rPr>
                <w:rFonts w:ascii="Arial" w:cs="Arial" w:eastAsia="Arial" w:hAnsi="Arial"/>
                <w:sz w:val="8"/>
                <w:szCs w:val="8"/>
                <w:color w:val="auto"/>
              </w:rPr>
              <w:t>(16,922 )</w:t>
            </w:r>
          </w:p>
        </w:tc>
        <w:tc>
          <w:tcPr>
            <w:tcW w:w="140" w:type="dxa"/>
            <w:vAlign w:val="bottom"/>
          </w:tcPr>
          <w:p>
            <w:pPr>
              <w:jc w:val="right"/>
              <w:ind w:right="38"/>
              <w:spacing w:after="0"/>
              <w:rPr>
                <w:sz w:val="20"/>
                <w:szCs w:val="20"/>
                <w:color w:val="auto"/>
              </w:rPr>
            </w:pPr>
            <w:r>
              <w:rPr>
                <w:rFonts w:ascii="Arial" w:cs="Arial" w:eastAsia="Arial" w:hAnsi="Arial"/>
                <w:sz w:val="8"/>
                <w:szCs w:val="8"/>
                <w:color w:val="auto"/>
                <w:w w:val="88"/>
              </w:rPr>
              <w:t>$</w:t>
            </w:r>
          </w:p>
        </w:tc>
        <w:tc>
          <w:tcPr>
            <w:tcW w:w="660" w:type="dxa"/>
            <w:vAlign w:val="bottom"/>
          </w:tcPr>
          <w:p>
            <w:pPr>
              <w:jc w:val="right"/>
              <w:spacing w:after="0"/>
              <w:rPr>
                <w:sz w:val="20"/>
                <w:szCs w:val="20"/>
                <w:color w:val="auto"/>
              </w:rPr>
            </w:pPr>
            <w:r>
              <w:rPr>
                <w:rFonts w:ascii="Arial" w:cs="Arial" w:eastAsia="Arial" w:hAnsi="Arial"/>
                <w:sz w:val="8"/>
                <w:szCs w:val="8"/>
                <w:color w:val="auto"/>
              </w:rPr>
              <w:t>43,284</w:t>
            </w:r>
          </w:p>
        </w:tc>
        <w:tc>
          <w:tcPr>
            <w:tcW w:w="24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88"/>
              </w:rPr>
              <w:t>$</w:t>
            </w:r>
          </w:p>
        </w:tc>
        <w:tc>
          <w:tcPr>
            <w:tcW w:w="700" w:type="dxa"/>
            <w:vAlign w:val="bottom"/>
            <w:gridSpan w:val="2"/>
          </w:tcPr>
          <w:p>
            <w:pPr>
              <w:jc w:val="right"/>
              <w:ind w:right="180"/>
              <w:spacing w:after="0"/>
              <w:rPr>
                <w:sz w:val="20"/>
                <w:szCs w:val="20"/>
                <w:color w:val="auto"/>
              </w:rPr>
            </w:pPr>
            <w:r>
              <w:rPr>
                <w:rFonts w:ascii="Arial" w:cs="Arial" w:eastAsia="Arial" w:hAnsi="Arial"/>
                <w:sz w:val="8"/>
                <w:szCs w:val="8"/>
                <w:color w:val="auto"/>
              </w:rPr>
              <w:t>(33 )</w:t>
            </w:r>
          </w:p>
        </w:tc>
        <w:tc>
          <w:tcPr>
            <w:tcW w:w="120" w:type="dxa"/>
            <w:vAlign w:val="bottom"/>
          </w:tcPr>
          <w:p>
            <w:pPr>
              <w:jc w:val="right"/>
              <w:ind w:right="18"/>
              <w:spacing w:after="0"/>
              <w:rPr>
                <w:sz w:val="20"/>
                <w:szCs w:val="20"/>
                <w:color w:val="auto"/>
              </w:rPr>
            </w:pPr>
            <w:r>
              <w:rPr>
                <w:rFonts w:ascii="Arial" w:cs="Arial" w:eastAsia="Arial" w:hAnsi="Arial"/>
                <w:sz w:val="8"/>
                <w:szCs w:val="8"/>
                <w:color w:val="auto"/>
                <w:w w:val="88"/>
              </w:rPr>
              <w:t>$</w:t>
            </w:r>
          </w:p>
        </w:tc>
        <w:tc>
          <w:tcPr>
            <w:tcW w:w="1000" w:type="dxa"/>
            <w:vAlign w:val="bottom"/>
            <w:gridSpan w:val="2"/>
          </w:tcPr>
          <w:p>
            <w:pPr>
              <w:jc w:val="right"/>
              <w:ind w:right="200"/>
              <w:spacing w:after="0"/>
              <w:rPr>
                <w:sz w:val="20"/>
                <w:szCs w:val="20"/>
                <w:color w:val="auto"/>
              </w:rPr>
            </w:pPr>
            <w:r>
              <w:rPr>
                <w:rFonts w:ascii="Arial" w:cs="Arial" w:eastAsia="Arial" w:hAnsi="Arial"/>
                <w:sz w:val="8"/>
                <w:szCs w:val="8"/>
                <w:color w:val="auto"/>
              </w:rPr>
              <w:t>(4,889 )</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00" w:type="dxa"/>
            <w:vAlign w:val="bottom"/>
          </w:tcPr>
          <w:p>
            <w:pPr>
              <w:jc w:val="right"/>
              <w:spacing w:after="0"/>
              <w:rPr>
                <w:sz w:val="20"/>
                <w:szCs w:val="20"/>
                <w:color w:val="auto"/>
              </w:rPr>
            </w:pPr>
            <w:r>
              <w:rPr>
                <w:rFonts w:ascii="Arial" w:cs="Arial" w:eastAsia="Arial" w:hAnsi="Arial"/>
                <w:sz w:val="8"/>
                <w:szCs w:val="8"/>
                <w:color w:val="auto"/>
              </w:rPr>
              <w:t>2,495</w:t>
            </w:r>
          </w:p>
        </w:tc>
        <w:tc>
          <w:tcPr>
            <w:tcW w:w="300" w:type="dxa"/>
            <w:vAlign w:val="bottom"/>
            <w:gridSpan w:val="2"/>
          </w:tcPr>
          <w:p>
            <w:pPr>
              <w:jc w:val="right"/>
              <w:ind w:right="20"/>
              <w:spacing w:after="0"/>
              <w:rPr>
                <w:sz w:val="20"/>
                <w:szCs w:val="20"/>
                <w:color w:val="auto"/>
              </w:rPr>
            </w:pPr>
            <w:r>
              <w:rPr>
                <w:rFonts w:ascii="Arial" w:cs="Arial" w:eastAsia="Arial" w:hAnsi="Arial"/>
                <w:sz w:val="8"/>
                <w:szCs w:val="8"/>
                <w:color w:val="auto"/>
              </w:rPr>
              <w:t>$</w:t>
            </w:r>
          </w:p>
        </w:tc>
        <w:tc>
          <w:tcPr>
            <w:tcW w:w="700" w:type="dxa"/>
            <w:vAlign w:val="bottom"/>
          </w:tcPr>
          <w:p>
            <w:pPr>
              <w:jc w:val="right"/>
              <w:spacing w:after="0"/>
              <w:rPr>
                <w:sz w:val="20"/>
                <w:szCs w:val="20"/>
                <w:color w:val="auto"/>
              </w:rPr>
            </w:pPr>
            <w:r>
              <w:rPr>
                <w:rFonts w:ascii="Arial" w:cs="Arial" w:eastAsia="Arial" w:hAnsi="Arial"/>
                <w:sz w:val="8"/>
                <w:szCs w:val="8"/>
                <w:color w:val="auto"/>
              </w:rPr>
              <w:t>1,661</w:t>
            </w:r>
          </w:p>
        </w:tc>
        <w:tc>
          <w:tcPr>
            <w:tcW w:w="280" w:type="dxa"/>
            <w:vAlign w:val="bottom"/>
            <w:gridSpan w:val="2"/>
          </w:tcPr>
          <w:p>
            <w:pPr>
              <w:jc w:val="right"/>
              <w:spacing w:after="0"/>
              <w:rPr>
                <w:sz w:val="20"/>
                <w:szCs w:val="20"/>
                <w:color w:val="auto"/>
              </w:rPr>
            </w:pPr>
            <w:r>
              <w:rPr>
                <w:rFonts w:ascii="Arial" w:cs="Arial" w:eastAsia="Arial" w:hAnsi="Arial"/>
                <w:sz w:val="8"/>
                <w:szCs w:val="8"/>
                <w:color w:val="auto"/>
              </w:rPr>
              <w:t>$</w:t>
            </w:r>
          </w:p>
        </w:tc>
        <w:tc>
          <w:tcPr>
            <w:tcW w:w="360" w:type="dxa"/>
            <w:vAlign w:val="bottom"/>
          </w:tcPr>
          <w:p>
            <w:pPr>
              <w:jc w:val="right"/>
              <w:spacing w:after="0"/>
              <w:rPr>
                <w:sz w:val="20"/>
                <w:szCs w:val="20"/>
                <w:color w:val="auto"/>
              </w:rPr>
            </w:pPr>
            <w:r>
              <w:rPr>
                <w:rFonts w:ascii="Arial" w:cs="Arial" w:eastAsia="Arial" w:hAnsi="Arial"/>
                <w:sz w:val="8"/>
                <w:szCs w:val="8"/>
                <w:color w:val="auto"/>
              </w:rPr>
              <w:t>568</w:t>
            </w:r>
          </w:p>
        </w:tc>
        <w:tc>
          <w:tcPr>
            <w:tcW w:w="400" w:type="dxa"/>
            <w:vAlign w:val="bottom"/>
            <w:gridSpan w:val="2"/>
          </w:tcPr>
          <w:p>
            <w:pPr>
              <w:ind w:left="220"/>
              <w:spacing w:after="0"/>
              <w:rPr>
                <w:sz w:val="20"/>
                <w:szCs w:val="20"/>
                <w:color w:val="auto"/>
              </w:rPr>
            </w:pPr>
            <w:r>
              <w:rPr>
                <w:rFonts w:ascii="Arial" w:cs="Arial" w:eastAsia="Arial" w:hAnsi="Arial"/>
                <w:sz w:val="8"/>
                <w:szCs w:val="8"/>
                <w:color w:val="auto"/>
              </w:rPr>
              <w:t>$</w:t>
            </w:r>
          </w:p>
        </w:tc>
        <w:tc>
          <w:tcPr>
            <w:tcW w:w="300" w:type="dxa"/>
            <w:vAlign w:val="bottom"/>
          </w:tcPr>
          <w:p>
            <w:pPr>
              <w:jc w:val="right"/>
              <w:spacing w:after="0"/>
              <w:rPr>
                <w:sz w:val="20"/>
                <w:szCs w:val="20"/>
                <w:color w:val="auto"/>
              </w:rPr>
            </w:pPr>
            <w:r>
              <w:rPr>
                <w:rFonts w:ascii="Arial" w:cs="Arial" w:eastAsia="Arial" w:hAnsi="Arial"/>
                <w:sz w:val="8"/>
                <w:szCs w:val="8"/>
                <w:color w:val="auto"/>
              </w:rPr>
              <w:t>400</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1740" w:type="dxa"/>
            <w:vAlign w:val="bottom"/>
            <w:shd w:val="clear" w:color="auto" w:fill="CCEEFF"/>
          </w:tcPr>
          <w:p>
            <w:pPr>
              <w:ind w:left="20"/>
              <w:spacing w:after="0"/>
              <w:rPr>
                <w:sz w:val="20"/>
                <w:szCs w:val="20"/>
                <w:color w:val="auto"/>
              </w:rPr>
            </w:pPr>
            <w:r>
              <w:rPr>
                <w:rFonts w:ascii="Arial" w:cs="Arial" w:eastAsia="Arial" w:hAnsi="Arial"/>
                <w:sz w:val="8"/>
                <w:szCs w:val="8"/>
                <w:b w:val="1"/>
                <w:bCs w:val="1"/>
                <w:color w:val="auto"/>
              </w:rPr>
              <w:t>Affiliate Investments</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740" w:type="dxa"/>
            <w:vAlign w:val="bottom"/>
          </w:tcPr>
          <w:p>
            <w:pPr>
              <w:ind w:left="20"/>
              <w:spacing w:after="0"/>
              <w:rPr>
                <w:sz w:val="20"/>
                <w:szCs w:val="20"/>
                <w:color w:val="auto"/>
              </w:rPr>
            </w:pPr>
            <w:r>
              <w:rPr>
                <w:rFonts w:ascii="Arial" w:cs="Arial" w:eastAsia="Arial" w:hAnsi="Arial"/>
                <w:sz w:val="8"/>
                <w:szCs w:val="8"/>
                <w:color w:val="auto"/>
              </w:rPr>
              <w:t>FAR Research Inc.</w:t>
            </w:r>
          </w:p>
        </w:tc>
        <w:tc>
          <w:tcPr>
            <w:tcW w:w="180" w:type="dxa"/>
            <w:vAlign w:val="bottom"/>
            <w:gridSpan w:val="2"/>
          </w:tcPr>
          <w:p>
            <w:pPr>
              <w:jc w:val="right"/>
              <w:spacing w:after="0"/>
              <w:rPr>
                <w:sz w:val="20"/>
                <w:szCs w:val="20"/>
                <w:color w:val="auto"/>
              </w:rPr>
            </w:pPr>
            <w:r>
              <w:rPr>
                <w:rFonts w:ascii="Arial" w:cs="Arial" w:eastAsia="Arial" w:hAnsi="Arial"/>
                <w:sz w:val="8"/>
                <w:szCs w:val="8"/>
                <w:color w:val="auto"/>
              </w:rPr>
              <w:t>$</w:t>
            </w:r>
          </w:p>
        </w:tc>
        <w:tc>
          <w:tcPr>
            <w:tcW w:w="66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gridSpan w:val="2"/>
          </w:tcPr>
          <w:p>
            <w:pPr>
              <w:jc w:val="right"/>
              <w:spacing w:after="0"/>
              <w:rPr>
                <w:sz w:val="20"/>
                <w:szCs w:val="20"/>
                <w:color w:val="auto"/>
              </w:rPr>
            </w:pPr>
            <w:r>
              <w:rPr>
                <w:rFonts w:ascii="Arial" w:cs="Arial" w:eastAsia="Arial" w:hAnsi="Arial"/>
                <w:sz w:val="8"/>
                <w:szCs w:val="8"/>
                <w:color w:val="auto"/>
              </w:rPr>
              <w:t>$</w:t>
            </w:r>
          </w:p>
        </w:tc>
        <w:tc>
          <w:tcPr>
            <w:tcW w:w="580" w:type="dxa"/>
            <w:vAlign w:val="bottom"/>
          </w:tcPr>
          <w:p>
            <w:pPr>
              <w:jc w:val="right"/>
              <w:spacing w:after="0"/>
              <w:rPr>
                <w:sz w:val="20"/>
                <w:szCs w:val="20"/>
                <w:color w:val="auto"/>
              </w:rPr>
            </w:pPr>
            <w:r>
              <w:rPr>
                <w:rFonts w:ascii="Arial" w:cs="Arial" w:eastAsia="Arial" w:hAnsi="Arial"/>
                <w:sz w:val="8"/>
                <w:szCs w:val="8"/>
                <w:color w:val="auto"/>
              </w:rPr>
              <w:t>28</w:t>
            </w:r>
          </w:p>
        </w:tc>
        <w:tc>
          <w:tcPr>
            <w:tcW w:w="400" w:type="dxa"/>
            <w:vAlign w:val="bottom"/>
            <w:gridSpan w:val="2"/>
          </w:tcPr>
          <w:p>
            <w:pPr>
              <w:jc w:val="right"/>
              <w:ind w:right="78"/>
              <w:spacing w:after="0"/>
              <w:rPr>
                <w:sz w:val="20"/>
                <w:szCs w:val="20"/>
                <w:color w:val="auto"/>
              </w:rPr>
            </w:pPr>
            <w:r>
              <w:rPr>
                <w:rFonts w:ascii="Arial" w:cs="Arial" w:eastAsia="Arial" w:hAnsi="Arial"/>
                <w:sz w:val="8"/>
                <w:szCs w:val="8"/>
                <w:color w:val="auto"/>
              </w:rPr>
              <w:t>$</w:t>
            </w:r>
          </w:p>
        </w:tc>
        <w:tc>
          <w:tcPr>
            <w:tcW w:w="500" w:type="dxa"/>
            <w:vAlign w:val="bottom"/>
          </w:tcPr>
          <w:p>
            <w:pPr>
              <w:jc w:val="right"/>
              <w:spacing w:after="0"/>
              <w:rPr>
                <w:sz w:val="20"/>
                <w:szCs w:val="20"/>
                <w:color w:val="auto"/>
              </w:rPr>
            </w:pPr>
            <w:r>
              <w:rPr>
                <w:rFonts w:ascii="Arial" w:cs="Arial" w:eastAsia="Arial" w:hAnsi="Arial"/>
                <w:sz w:val="8"/>
                <w:szCs w:val="8"/>
                <w:color w:val="auto"/>
              </w:rPr>
              <w:t>—</w:t>
            </w:r>
          </w:p>
        </w:tc>
        <w:tc>
          <w:tcPr>
            <w:tcW w:w="420" w:type="dxa"/>
            <w:vAlign w:val="bottom"/>
            <w:gridSpan w:val="2"/>
          </w:tcPr>
          <w:p>
            <w:pPr>
              <w:jc w:val="right"/>
              <w:ind w:right="78"/>
              <w:spacing w:after="0"/>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40" w:type="dxa"/>
            <w:vAlign w:val="bottom"/>
          </w:tcPr>
          <w:p>
            <w:pPr>
              <w:jc w:val="right"/>
              <w:ind w:right="38"/>
              <w:spacing w:after="0"/>
              <w:rPr>
                <w:sz w:val="20"/>
                <w:szCs w:val="20"/>
                <w:color w:val="auto"/>
              </w:rPr>
            </w:pPr>
            <w:r>
              <w:rPr>
                <w:rFonts w:ascii="Arial" w:cs="Arial" w:eastAsia="Arial" w:hAnsi="Arial"/>
                <w:sz w:val="8"/>
                <w:szCs w:val="8"/>
                <w:color w:val="auto"/>
                <w:w w:val="88"/>
              </w:rPr>
              <w:t>$</w:t>
            </w:r>
          </w:p>
        </w:tc>
        <w:tc>
          <w:tcPr>
            <w:tcW w:w="660" w:type="dxa"/>
            <w:vAlign w:val="bottom"/>
          </w:tcPr>
          <w:p>
            <w:pPr>
              <w:jc w:val="right"/>
              <w:spacing w:after="0"/>
              <w:rPr>
                <w:sz w:val="20"/>
                <w:szCs w:val="20"/>
                <w:color w:val="auto"/>
              </w:rPr>
            </w:pPr>
            <w:r>
              <w:rPr>
                <w:rFonts w:ascii="Arial" w:cs="Arial" w:eastAsia="Arial" w:hAnsi="Arial"/>
                <w:sz w:val="8"/>
                <w:szCs w:val="8"/>
                <w:color w:val="auto"/>
              </w:rPr>
              <w:t>28</w:t>
            </w:r>
          </w:p>
        </w:tc>
        <w:tc>
          <w:tcPr>
            <w:tcW w:w="24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88"/>
              </w:rPr>
              <w:t>$</w:t>
            </w:r>
          </w:p>
        </w:tc>
        <w:tc>
          <w:tcPr>
            <w:tcW w:w="70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20" w:type="dxa"/>
            <w:vAlign w:val="bottom"/>
          </w:tcPr>
          <w:p>
            <w:pPr>
              <w:jc w:val="right"/>
              <w:ind w:right="18"/>
              <w:spacing w:after="0"/>
              <w:rPr>
                <w:sz w:val="20"/>
                <w:szCs w:val="20"/>
                <w:color w:val="auto"/>
              </w:rPr>
            </w:pPr>
            <w:r>
              <w:rPr>
                <w:rFonts w:ascii="Arial" w:cs="Arial" w:eastAsia="Arial" w:hAnsi="Arial"/>
                <w:sz w:val="8"/>
                <w:szCs w:val="8"/>
                <w:color w:val="auto"/>
                <w:w w:val="88"/>
              </w:rPr>
              <w:t>$</w:t>
            </w:r>
          </w:p>
        </w:tc>
        <w:tc>
          <w:tcPr>
            <w:tcW w:w="100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00" w:type="dxa"/>
            <w:vAlign w:val="bottom"/>
          </w:tcPr>
          <w:p>
            <w:pPr>
              <w:jc w:val="right"/>
              <w:spacing w:after="0"/>
              <w:rPr>
                <w:sz w:val="20"/>
                <w:szCs w:val="20"/>
                <w:color w:val="auto"/>
              </w:rPr>
            </w:pPr>
            <w:r>
              <w:rPr>
                <w:rFonts w:ascii="Arial" w:cs="Arial" w:eastAsia="Arial" w:hAnsi="Arial"/>
                <w:sz w:val="8"/>
                <w:szCs w:val="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8"/>
                <w:szCs w:val="8"/>
                <w:color w:val="auto"/>
              </w:rPr>
              <w:t>$</w:t>
            </w:r>
          </w:p>
        </w:tc>
        <w:tc>
          <w:tcPr>
            <w:tcW w:w="70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gridSpan w:val="2"/>
          </w:tcPr>
          <w:p>
            <w:pPr>
              <w:jc w:val="right"/>
              <w:spacing w:after="0"/>
              <w:rPr>
                <w:sz w:val="20"/>
                <w:szCs w:val="20"/>
                <w:color w:val="auto"/>
              </w:rPr>
            </w:pPr>
            <w:r>
              <w:rPr>
                <w:rFonts w:ascii="Arial" w:cs="Arial" w:eastAsia="Arial" w:hAnsi="Arial"/>
                <w:sz w:val="8"/>
                <w:szCs w:val="8"/>
                <w:color w:val="auto"/>
              </w:rPr>
              <w:t>$</w:t>
            </w: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400" w:type="dxa"/>
            <w:vAlign w:val="bottom"/>
            <w:gridSpan w:val="2"/>
          </w:tcPr>
          <w:p>
            <w:pPr>
              <w:ind w:left="220"/>
              <w:spacing w:after="0"/>
              <w:rPr>
                <w:sz w:val="20"/>
                <w:szCs w:val="20"/>
                <w:color w:val="auto"/>
              </w:rPr>
            </w:pPr>
            <w:r>
              <w:rPr>
                <w:rFonts w:ascii="Arial" w:cs="Arial" w:eastAsia="Arial" w:hAnsi="Arial"/>
                <w:sz w:val="8"/>
                <w:szCs w:val="8"/>
                <w:color w:val="auto"/>
              </w:rPr>
              <w:t>$</w:t>
            </w:r>
          </w:p>
        </w:tc>
        <w:tc>
          <w:tcPr>
            <w:tcW w:w="30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34"/>
        </w:trPr>
        <w:tc>
          <w:tcPr>
            <w:tcW w:w="1740" w:type="dxa"/>
            <w:vAlign w:val="bottom"/>
            <w:shd w:val="clear" w:color="auto" w:fill="CCEEFF"/>
          </w:tcPr>
          <w:p>
            <w:pPr>
              <w:ind w:left="20"/>
              <w:spacing w:after="0"/>
              <w:rPr>
                <w:sz w:val="20"/>
                <w:szCs w:val="20"/>
                <w:color w:val="auto"/>
              </w:rPr>
            </w:pPr>
            <w:r>
              <w:rPr>
                <w:rFonts w:ascii="Arial" w:cs="Arial" w:eastAsia="Arial" w:hAnsi="Arial"/>
                <w:sz w:val="8"/>
                <w:szCs w:val="8"/>
                <w:color w:val="auto"/>
              </w:rPr>
              <w:t>Fiber Materials, Inc.</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8"/>
                <w:szCs w:val="8"/>
                <w:color w:val="auto"/>
              </w:rPr>
              <w:t>41</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41</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20"/>
        </w:trPr>
        <w:tc>
          <w:tcPr>
            <w:tcW w:w="1740" w:type="dxa"/>
            <w:vAlign w:val="bottom"/>
          </w:tcPr>
          <w:p>
            <w:pPr>
              <w:ind w:left="20"/>
              <w:spacing w:after="0"/>
              <w:rPr>
                <w:sz w:val="20"/>
                <w:szCs w:val="20"/>
                <w:color w:val="auto"/>
              </w:rPr>
            </w:pPr>
            <w:r>
              <w:rPr>
                <w:rFonts w:ascii="Arial" w:cs="Arial" w:eastAsia="Arial" w:hAnsi="Arial"/>
                <w:sz w:val="8"/>
                <w:szCs w:val="8"/>
                <w:color w:val="auto"/>
              </w:rPr>
              <w:t>Medsurant Holdings, LLC</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10,960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8"/>
                <w:szCs w:val="8"/>
                <w:color w:val="auto"/>
              </w:rPr>
              <w:t>1,151</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8"/>
                <w:szCs w:val="8"/>
                <w:color w:val="auto"/>
              </w:rPr>
              <w:t>(8,031 )</w:t>
            </w:r>
          </w:p>
        </w:tc>
        <w:tc>
          <w:tcPr>
            <w:tcW w:w="1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4,080</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1,104</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8"/>
                <w:szCs w:val="8"/>
                <w:color w:val="auto"/>
              </w:rPr>
              <w:t>331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8"/>
                <w:szCs w:val="8"/>
                <w:color w:val="auto"/>
              </w:rPr>
              <w:t>91</w:t>
            </w:r>
          </w:p>
        </w:tc>
        <w:tc>
          <w:tcPr>
            <w:tcW w:w="0" w:type="dxa"/>
            <w:vAlign w:val="bottom"/>
          </w:tcPr>
          <w:p>
            <w:pPr>
              <w:spacing w:after="0"/>
              <w:rPr>
                <w:sz w:val="1"/>
                <w:szCs w:val="1"/>
                <w:color w:val="auto"/>
              </w:rPr>
            </w:pPr>
          </w:p>
        </w:tc>
      </w:tr>
      <w:tr>
        <w:trPr>
          <w:trHeight w:val="134"/>
        </w:trPr>
        <w:tc>
          <w:tcPr>
            <w:tcW w:w="1740" w:type="dxa"/>
            <w:vAlign w:val="bottom"/>
            <w:shd w:val="clear" w:color="auto" w:fill="CCEEFF"/>
          </w:tcPr>
          <w:p>
            <w:pPr>
              <w:ind w:left="20"/>
              <w:spacing w:after="0"/>
              <w:rPr>
                <w:sz w:val="20"/>
                <w:szCs w:val="20"/>
                <w:color w:val="auto"/>
              </w:rPr>
            </w:pPr>
            <w:r>
              <w:rPr>
                <w:rFonts w:ascii="Arial" w:cs="Arial" w:eastAsia="Arial" w:hAnsi="Arial"/>
                <w:sz w:val="8"/>
                <w:szCs w:val="8"/>
                <w:color w:val="auto"/>
              </w:rPr>
              <w:t>Mirage Trailers LLC</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6,618</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8"/>
                <w:szCs w:val="8"/>
                <w:color w:val="auto"/>
              </w:rPr>
              <w:t>6,494</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8"/>
                <w:szCs w:val="8"/>
                <w:color w:val="auto"/>
              </w:rPr>
              <w:t>4,091</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(44 )</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10,541</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8"/>
                <w:szCs w:val="8"/>
                <w:color w:val="auto"/>
              </w:rPr>
              <w:t>3,825</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8"/>
                <w:szCs w:val="8"/>
                <w:color w:val="auto"/>
              </w:rPr>
              <w:t>569</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8"/>
                <w:szCs w:val="8"/>
                <w:color w:val="auto"/>
              </w:rPr>
              <w:t>251</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8"/>
                <w:szCs w:val="8"/>
                <w:color w:val="auto"/>
              </w:rPr>
              <w:t>110</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20"/>
        </w:trPr>
        <w:tc>
          <w:tcPr>
            <w:tcW w:w="1740" w:type="dxa"/>
            <w:vAlign w:val="bottom"/>
          </w:tcPr>
          <w:p>
            <w:pPr>
              <w:ind w:left="20"/>
              <w:spacing w:after="0"/>
              <w:rPr>
                <w:sz w:val="20"/>
                <w:szCs w:val="20"/>
                <w:color w:val="auto"/>
              </w:rPr>
            </w:pPr>
            <w:r>
              <w:rPr>
                <w:rFonts w:ascii="Arial" w:cs="Arial" w:eastAsia="Arial" w:hAnsi="Arial"/>
                <w:sz w:val="8"/>
                <w:szCs w:val="8"/>
                <w:color w:val="auto"/>
              </w:rPr>
              <w:t>Pfanstiehl, Inc.</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33,505</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8"/>
                <w:szCs w:val="8"/>
                <w:color w:val="auto"/>
              </w:rPr>
              <w:t>16,622</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8"/>
                <w:szCs w:val="8"/>
                <w:color w:val="auto"/>
              </w:rPr>
              <w:t>(1 )</w:t>
            </w:r>
          </w:p>
        </w:tc>
        <w:tc>
          <w:tcPr>
            <w:tcW w:w="1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50,126</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16,622</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34"/>
        </w:trPr>
        <w:tc>
          <w:tcPr>
            <w:tcW w:w="1740" w:type="dxa"/>
            <w:vAlign w:val="bottom"/>
            <w:shd w:val="clear" w:color="auto" w:fill="CCEEFF"/>
          </w:tcPr>
          <w:p>
            <w:pPr>
              <w:ind w:left="20"/>
              <w:spacing w:after="0"/>
              <w:rPr>
                <w:sz w:val="20"/>
                <w:szCs w:val="20"/>
                <w:color w:val="auto"/>
              </w:rPr>
            </w:pPr>
            <w:r>
              <w:rPr>
                <w:rFonts w:ascii="Arial" w:cs="Arial" w:eastAsia="Arial" w:hAnsi="Arial"/>
                <w:sz w:val="8"/>
                <w:szCs w:val="8"/>
                <w:color w:val="auto"/>
              </w:rPr>
              <w:t>Pinnergy, Ltd.</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8"/>
                <w:szCs w:val="8"/>
                <w:color w:val="auto"/>
              </w:rPr>
              <w:t>20,589</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8"/>
                <w:szCs w:val="8"/>
                <w:color w:val="auto"/>
              </w:rPr>
              <w:t>104</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20,693</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8"/>
                <w:szCs w:val="8"/>
                <w:color w:val="auto"/>
              </w:rPr>
              <w:t>104</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8"/>
        </w:trPr>
        <w:tc>
          <w:tcPr>
            <w:tcW w:w="1740" w:type="dxa"/>
            <w:vAlign w:val="bottom"/>
          </w:tcPr>
          <w:p>
            <w:pPr>
              <w:ind w:left="20"/>
              <w:spacing w:after="0"/>
              <w:rPr>
                <w:sz w:val="20"/>
                <w:szCs w:val="20"/>
                <w:color w:val="auto"/>
              </w:rPr>
            </w:pPr>
            <w:r>
              <w:rPr>
                <w:rFonts w:ascii="Arial" w:cs="Arial" w:eastAsia="Arial" w:hAnsi="Arial"/>
                <w:sz w:val="8"/>
                <w:szCs w:val="8"/>
                <w:color w:val="auto"/>
              </w:rPr>
              <w:t>Spectra A&amp;D Acquisition, Inc. (fka FDS</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740" w:type="dxa"/>
            <w:vAlign w:val="bottom"/>
          </w:tcPr>
          <w:p>
            <w:pPr>
              <w:ind w:left="20"/>
              <w:spacing w:after="0"/>
              <w:rPr>
                <w:sz w:val="20"/>
                <w:szCs w:val="20"/>
                <w:color w:val="auto"/>
              </w:rPr>
            </w:pPr>
            <w:r>
              <w:rPr>
                <w:rFonts w:ascii="Arial" w:cs="Arial" w:eastAsia="Arial" w:hAnsi="Arial"/>
                <w:sz w:val="8"/>
                <w:szCs w:val="8"/>
                <w:color w:val="auto"/>
              </w:rPr>
              <w:t>Avionics Corp.)</w:t>
            </w:r>
            <w:r>
              <w:rPr>
                <w:rFonts w:ascii="Arial" w:cs="Arial" w:eastAsia="Arial" w:hAnsi="Arial"/>
                <w:sz w:val="11"/>
                <w:szCs w:val="11"/>
                <w:color w:val="auto"/>
                <w:vertAlign w:val="superscript"/>
              </w:rPr>
              <w:t>(5)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13,000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8"/>
                <w:szCs w:val="8"/>
                <w:color w:val="auto"/>
              </w:rPr>
              <w:t>18,464</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8"/>
                <w:szCs w:val="8"/>
                <w:color w:val="auto"/>
              </w:rPr>
              <w:t>(93 )</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18,371</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1,643</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8"/>
                <w:szCs w:val="8"/>
                <w:color w:val="auto"/>
              </w:rPr>
              <w:t>735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8"/>
                <w:szCs w:val="8"/>
                <w:color w:val="auto"/>
              </w:rPr>
              <w:t>279</w:t>
            </w:r>
          </w:p>
        </w:tc>
        <w:tc>
          <w:tcPr>
            <w:tcW w:w="0" w:type="dxa"/>
            <w:vAlign w:val="bottom"/>
          </w:tcPr>
          <w:p>
            <w:pPr>
              <w:spacing w:after="0"/>
              <w:rPr>
                <w:sz w:val="1"/>
                <w:szCs w:val="1"/>
                <w:color w:val="auto"/>
              </w:rPr>
            </w:pPr>
          </w:p>
        </w:tc>
      </w:tr>
      <w:tr>
        <w:trPr>
          <w:trHeight w:val="109"/>
        </w:trPr>
        <w:tc>
          <w:tcPr>
            <w:tcW w:w="1740" w:type="dxa"/>
            <w:vAlign w:val="bottom"/>
            <w:shd w:val="clear" w:color="auto" w:fill="CCEEFF"/>
          </w:tcPr>
          <w:p>
            <w:pPr>
              <w:ind w:left="20"/>
              <w:spacing w:after="0"/>
              <w:rPr>
                <w:sz w:val="20"/>
                <w:szCs w:val="20"/>
                <w:color w:val="auto"/>
              </w:rPr>
            </w:pPr>
            <w:r>
              <w:rPr>
                <w:rFonts w:ascii="Arial" w:cs="Arial" w:eastAsia="Arial" w:hAnsi="Arial"/>
                <w:sz w:val="8"/>
                <w:szCs w:val="8"/>
                <w:color w:val="auto"/>
              </w:rPr>
              <w:t>Steward Holding LLC (dba Steward Advanced</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9,777</w:t>
            </w: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1,208</w:t>
            </w: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8"/>
                <w:szCs w:val="8"/>
                <w:color w:val="auto"/>
              </w:rPr>
              <w:t>(7,812 )</w:t>
            </w:r>
          </w:p>
        </w:tc>
        <w:tc>
          <w:tcPr>
            <w:tcW w:w="14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3,173</w:t>
            </w: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1,176</w:t>
            </w: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461</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30</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06"/>
        </w:trPr>
        <w:tc>
          <w:tcPr>
            <w:tcW w:w="1740" w:type="dxa"/>
            <w:vAlign w:val="bottom"/>
            <w:shd w:val="clear" w:color="auto" w:fill="CCEEFF"/>
          </w:tcPr>
          <w:p>
            <w:pPr>
              <w:ind w:left="20"/>
              <w:spacing w:after="0"/>
              <w:rPr>
                <w:sz w:val="20"/>
                <w:szCs w:val="20"/>
                <w:color w:val="auto"/>
              </w:rPr>
            </w:pPr>
            <w:r>
              <w:rPr>
                <w:rFonts w:ascii="Arial" w:cs="Arial" w:eastAsia="Arial" w:hAnsi="Arial"/>
                <w:sz w:val="8"/>
                <w:szCs w:val="8"/>
                <w:color w:val="auto"/>
              </w:rPr>
              <w:t>Materials)</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tcBorders>
              <w:right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740" w:type="dxa"/>
            <w:vAlign w:val="bottom"/>
          </w:tcPr>
          <w:p>
            <w:pPr>
              <w:ind w:left="20"/>
              <w:spacing w:after="0"/>
              <w:rPr>
                <w:sz w:val="20"/>
                <w:szCs w:val="20"/>
                <w:color w:val="auto"/>
              </w:rPr>
            </w:pPr>
            <w:r>
              <w:rPr>
                <w:rFonts w:ascii="Arial" w:cs="Arial" w:eastAsia="Arial" w:hAnsi="Arial"/>
                <w:sz w:val="8"/>
                <w:szCs w:val="8"/>
                <w:b w:val="1"/>
                <w:bCs w:val="1"/>
                <w:color w:val="auto"/>
              </w:rPr>
              <w:t>Total Affiliate Investments</w:t>
            </w:r>
          </w:p>
        </w:tc>
        <w:tc>
          <w:tcPr>
            <w:tcW w:w="12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60" w:type="dxa"/>
            <w:vAlign w:val="bottom"/>
          </w:tcPr>
          <w:p>
            <w:pPr>
              <w:jc w:val="right"/>
              <w:spacing w:after="0"/>
              <w:rPr>
                <w:sz w:val="20"/>
                <w:szCs w:val="20"/>
                <w:color w:val="auto"/>
              </w:rPr>
            </w:pPr>
            <w:r>
              <w:rPr>
                <w:rFonts w:ascii="Arial" w:cs="Arial" w:eastAsia="Arial" w:hAnsi="Arial"/>
                <w:sz w:val="8"/>
                <w:szCs w:val="8"/>
                <w:color w:val="auto"/>
              </w:rPr>
              <w:t>19,618</w:t>
            </w:r>
          </w:p>
        </w:tc>
        <w:tc>
          <w:tcPr>
            <w:tcW w:w="22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88"/>
              </w:rPr>
              <w:t>$</w:t>
            </w:r>
          </w:p>
        </w:tc>
        <w:tc>
          <w:tcPr>
            <w:tcW w:w="580" w:type="dxa"/>
            <w:vAlign w:val="bottom"/>
          </w:tcPr>
          <w:p>
            <w:pPr>
              <w:jc w:val="right"/>
              <w:spacing w:after="0"/>
              <w:rPr>
                <w:sz w:val="20"/>
                <w:szCs w:val="20"/>
                <w:color w:val="auto"/>
              </w:rPr>
            </w:pPr>
            <w:r>
              <w:rPr>
                <w:rFonts w:ascii="Arial" w:cs="Arial" w:eastAsia="Arial" w:hAnsi="Arial"/>
                <w:sz w:val="8"/>
                <w:szCs w:val="8"/>
                <w:color w:val="auto"/>
              </w:rPr>
              <w:t>81,394</w:t>
            </w:r>
          </w:p>
        </w:tc>
        <w:tc>
          <w:tcPr>
            <w:tcW w:w="220" w:type="dxa"/>
            <w:vAlign w:val="bottom"/>
          </w:tcPr>
          <w:p>
            <w:pPr>
              <w:spacing w:after="0"/>
              <w:rPr>
                <w:sz w:val="10"/>
                <w:szCs w:val="10"/>
                <w:color w:val="auto"/>
              </w:rPr>
            </w:pPr>
          </w:p>
        </w:tc>
        <w:tc>
          <w:tcPr>
            <w:tcW w:w="180" w:type="dxa"/>
            <w:vAlign w:val="bottom"/>
          </w:tcPr>
          <w:p>
            <w:pPr>
              <w:jc w:val="right"/>
              <w:ind w:right="78"/>
              <w:spacing w:after="0"/>
              <w:rPr>
                <w:sz w:val="20"/>
                <w:szCs w:val="20"/>
                <w:color w:val="auto"/>
              </w:rPr>
            </w:pPr>
            <w:r>
              <w:rPr>
                <w:rFonts w:ascii="Arial" w:cs="Arial" w:eastAsia="Arial" w:hAnsi="Arial"/>
                <w:sz w:val="8"/>
                <w:szCs w:val="8"/>
                <w:color w:val="auto"/>
                <w:w w:val="88"/>
              </w:rPr>
              <w:t>$</w:t>
            </w:r>
          </w:p>
        </w:tc>
        <w:tc>
          <w:tcPr>
            <w:tcW w:w="500" w:type="dxa"/>
            <w:vAlign w:val="bottom"/>
          </w:tcPr>
          <w:p>
            <w:pPr>
              <w:jc w:val="right"/>
              <w:spacing w:after="0"/>
              <w:rPr>
                <w:sz w:val="20"/>
                <w:szCs w:val="20"/>
                <w:color w:val="auto"/>
              </w:rPr>
            </w:pPr>
            <w:r>
              <w:rPr>
                <w:rFonts w:ascii="Arial" w:cs="Arial" w:eastAsia="Arial" w:hAnsi="Arial"/>
                <w:sz w:val="8"/>
                <w:szCs w:val="8"/>
                <w:color w:val="auto"/>
              </w:rPr>
              <w:t>41,640</w:t>
            </w:r>
          </w:p>
        </w:tc>
        <w:tc>
          <w:tcPr>
            <w:tcW w:w="240" w:type="dxa"/>
            <w:vAlign w:val="bottom"/>
          </w:tcPr>
          <w:p>
            <w:pPr>
              <w:spacing w:after="0"/>
              <w:rPr>
                <w:sz w:val="10"/>
                <w:szCs w:val="10"/>
                <w:color w:val="auto"/>
              </w:rPr>
            </w:pPr>
          </w:p>
        </w:tc>
        <w:tc>
          <w:tcPr>
            <w:tcW w:w="180" w:type="dxa"/>
            <w:vAlign w:val="bottom"/>
          </w:tcPr>
          <w:p>
            <w:pPr>
              <w:jc w:val="right"/>
              <w:ind w:right="78"/>
              <w:spacing w:after="0"/>
              <w:rPr>
                <w:sz w:val="20"/>
                <w:szCs w:val="20"/>
                <w:color w:val="auto"/>
              </w:rPr>
            </w:pPr>
            <w:r>
              <w:rPr>
                <w:rFonts w:ascii="Arial" w:cs="Arial" w:eastAsia="Arial" w:hAnsi="Arial"/>
                <w:sz w:val="8"/>
                <w:szCs w:val="8"/>
                <w:color w:val="auto"/>
                <w:w w:val="88"/>
              </w:rPr>
              <w:t>$</w:t>
            </w:r>
          </w:p>
        </w:tc>
        <w:tc>
          <w:tcPr>
            <w:tcW w:w="760" w:type="dxa"/>
            <w:vAlign w:val="bottom"/>
            <w:gridSpan w:val="2"/>
          </w:tcPr>
          <w:p>
            <w:pPr>
              <w:jc w:val="right"/>
              <w:ind w:right="180"/>
              <w:spacing w:after="0"/>
              <w:rPr>
                <w:sz w:val="20"/>
                <w:szCs w:val="20"/>
                <w:color w:val="auto"/>
              </w:rPr>
            </w:pPr>
            <w:r>
              <w:rPr>
                <w:rFonts w:ascii="Arial" w:cs="Arial" w:eastAsia="Arial" w:hAnsi="Arial"/>
                <w:sz w:val="8"/>
                <w:szCs w:val="8"/>
                <w:color w:val="auto"/>
              </w:rPr>
              <w:t>(15,981 )</w:t>
            </w:r>
          </w:p>
        </w:tc>
        <w:tc>
          <w:tcPr>
            <w:tcW w:w="140" w:type="dxa"/>
            <w:vAlign w:val="bottom"/>
          </w:tcPr>
          <w:p>
            <w:pPr>
              <w:jc w:val="right"/>
              <w:ind w:right="38"/>
              <w:spacing w:after="0"/>
              <w:rPr>
                <w:sz w:val="20"/>
                <w:szCs w:val="20"/>
                <w:color w:val="auto"/>
              </w:rPr>
            </w:pPr>
            <w:r>
              <w:rPr>
                <w:rFonts w:ascii="Arial" w:cs="Arial" w:eastAsia="Arial" w:hAnsi="Arial"/>
                <w:sz w:val="8"/>
                <w:szCs w:val="8"/>
                <w:color w:val="auto"/>
                <w:w w:val="88"/>
              </w:rPr>
              <w:t>$</w:t>
            </w:r>
          </w:p>
        </w:tc>
        <w:tc>
          <w:tcPr>
            <w:tcW w:w="660" w:type="dxa"/>
            <w:vAlign w:val="bottom"/>
          </w:tcPr>
          <w:p>
            <w:pPr>
              <w:jc w:val="right"/>
              <w:spacing w:after="0"/>
              <w:rPr>
                <w:sz w:val="20"/>
                <w:szCs w:val="20"/>
                <w:color w:val="auto"/>
              </w:rPr>
            </w:pPr>
            <w:r>
              <w:rPr>
                <w:rFonts w:ascii="Arial" w:cs="Arial" w:eastAsia="Arial" w:hAnsi="Arial"/>
                <w:sz w:val="8"/>
                <w:szCs w:val="8"/>
                <w:color w:val="auto"/>
              </w:rPr>
              <w:t>107,053</w:t>
            </w:r>
          </w:p>
        </w:tc>
        <w:tc>
          <w:tcPr>
            <w:tcW w:w="24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88"/>
              </w:rPr>
              <w:t>$</w:t>
            </w:r>
          </w:p>
        </w:tc>
        <w:tc>
          <w:tcPr>
            <w:tcW w:w="70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20" w:type="dxa"/>
            <w:vAlign w:val="bottom"/>
          </w:tcPr>
          <w:p>
            <w:pPr>
              <w:jc w:val="right"/>
              <w:ind w:right="18"/>
              <w:spacing w:after="0"/>
              <w:rPr>
                <w:sz w:val="20"/>
                <w:szCs w:val="20"/>
                <w:color w:val="auto"/>
              </w:rPr>
            </w:pPr>
            <w:r>
              <w:rPr>
                <w:rFonts w:ascii="Arial" w:cs="Arial" w:eastAsia="Arial" w:hAnsi="Arial"/>
                <w:sz w:val="8"/>
                <w:szCs w:val="8"/>
                <w:color w:val="auto"/>
                <w:w w:val="88"/>
              </w:rPr>
              <w:t>$</w:t>
            </w:r>
          </w:p>
        </w:tc>
        <w:tc>
          <w:tcPr>
            <w:tcW w:w="760" w:type="dxa"/>
            <w:vAlign w:val="bottom"/>
          </w:tcPr>
          <w:p>
            <w:pPr>
              <w:jc w:val="right"/>
              <w:spacing w:after="0"/>
              <w:rPr>
                <w:sz w:val="20"/>
                <w:szCs w:val="20"/>
                <w:color w:val="auto"/>
              </w:rPr>
            </w:pPr>
            <w:r>
              <w:rPr>
                <w:rFonts w:ascii="Arial" w:cs="Arial" w:eastAsia="Arial" w:hAnsi="Arial"/>
                <w:sz w:val="8"/>
                <w:szCs w:val="8"/>
                <w:color w:val="auto"/>
              </w:rPr>
              <w:t>24,474</w:t>
            </w:r>
          </w:p>
        </w:tc>
        <w:tc>
          <w:tcPr>
            <w:tcW w:w="24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00" w:type="dxa"/>
            <w:vAlign w:val="bottom"/>
          </w:tcPr>
          <w:p>
            <w:pPr>
              <w:jc w:val="right"/>
              <w:spacing w:after="0"/>
              <w:rPr>
                <w:sz w:val="20"/>
                <w:szCs w:val="20"/>
                <w:color w:val="auto"/>
              </w:rPr>
            </w:pPr>
            <w:r>
              <w:rPr>
                <w:rFonts w:ascii="Arial" w:cs="Arial" w:eastAsia="Arial" w:hAnsi="Arial"/>
                <w:sz w:val="8"/>
                <w:szCs w:val="8"/>
                <w:color w:val="auto"/>
              </w:rPr>
              <w:t>2,096</w:t>
            </w:r>
          </w:p>
        </w:tc>
        <w:tc>
          <w:tcPr>
            <w:tcW w:w="300" w:type="dxa"/>
            <w:vAlign w:val="bottom"/>
            <w:gridSpan w:val="2"/>
          </w:tcPr>
          <w:p>
            <w:pPr>
              <w:jc w:val="right"/>
              <w:ind w:right="20"/>
              <w:spacing w:after="0"/>
              <w:rPr>
                <w:sz w:val="20"/>
                <w:szCs w:val="20"/>
                <w:color w:val="auto"/>
              </w:rPr>
            </w:pPr>
            <w:r>
              <w:rPr>
                <w:rFonts w:ascii="Arial" w:cs="Arial" w:eastAsia="Arial" w:hAnsi="Arial"/>
                <w:sz w:val="8"/>
                <w:szCs w:val="8"/>
                <w:color w:val="auto"/>
              </w:rPr>
              <w:t>$</w:t>
            </w:r>
          </w:p>
        </w:tc>
        <w:tc>
          <w:tcPr>
            <w:tcW w:w="700" w:type="dxa"/>
            <w:vAlign w:val="bottom"/>
          </w:tcPr>
          <w:p>
            <w:pPr>
              <w:jc w:val="right"/>
              <w:spacing w:after="0"/>
              <w:rPr>
                <w:sz w:val="20"/>
                <w:szCs w:val="20"/>
                <w:color w:val="auto"/>
              </w:rPr>
            </w:pPr>
            <w:r>
              <w:rPr>
                <w:rFonts w:ascii="Arial" w:cs="Arial" w:eastAsia="Arial" w:hAnsi="Arial"/>
                <w:sz w:val="8"/>
                <w:szCs w:val="8"/>
                <w:color w:val="auto"/>
              </w:rPr>
              <w:t>281</w:t>
            </w:r>
          </w:p>
        </w:tc>
        <w:tc>
          <w:tcPr>
            <w:tcW w:w="280" w:type="dxa"/>
            <w:vAlign w:val="bottom"/>
            <w:gridSpan w:val="2"/>
          </w:tcPr>
          <w:p>
            <w:pPr>
              <w:jc w:val="right"/>
              <w:spacing w:after="0"/>
              <w:rPr>
                <w:sz w:val="20"/>
                <w:szCs w:val="20"/>
                <w:color w:val="auto"/>
              </w:rPr>
            </w:pPr>
            <w:r>
              <w:rPr>
                <w:rFonts w:ascii="Arial" w:cs="Arial" w:eastAsia="Arial" w:hAnsi="Arial"/>
                <w:sz w:val="8"/>
                <w:szCs w:val="8"/>
                <w:color w:val="auto"/>
              </w:rPr>
              <w:t>$</w:t>
            </w:r>
          </w:p>
        </w:tc>
        <w:tc>
          <w:tcPr>
            <w:tcW w:w="360" w:type="dxa"/>
            <w:vAlign w:val="bottom"/>
          </w:tcPr>
          <w:p>
            <w:pPr>
              <w:jc w:val="right"/>
              <w:spacing w:after="0"/>
              <w:rPr>
                <w:sz w:val="20"/>
                <w:szCs w:val="20"/>
                <w:color w:val="auto"/>
              </w:rPr>
            </w:pPr>
            <w:r>
              <w:rPr>
                <w:rFonts w:ascii="Arial" w:cs="Arial" w:eastAsia="Arial" w:hAnsi="Arial"/>
                <w:sz w:val="8"/>
                <w:szCs w:val="8"/>
                <w:color w:val="auto"/>
              </w:rPr>
              <w:t>110</w:t>
            </w:r>
          </w:p>
        </w:tc>
        <w:tc>
          <w:tcPr>
            <w:tcW w:w="400" w:type="dxa"/>
            <w:vAlign w:val="bottom"/>
            <w:gridSpan w:val="2"/>
          </w:tcPr>
          <w:p>
            <w:pPr>
              <w:ind w:left="220"/>
              <w:spacing w:after="0"/>
              <w:rPr>
                <w:sz w:val="20"/>
                <w:szCs w:val="20"/>
                <w:color w:val="auto"/>
              </w:rPr>
            </w:pPr>
            <w:r>
              <w:rPr>
                <w:rFonts w:ascii="Arial" w:cs="Arial" w:eastAsia="Arial" w:hAnsi="Arial"/>
                <w:sz w:val="8"/>
                <w:szCs w:val="8"/>
                <w:color w:val="auto"/>
              </w:rPr>
              <w:t>$</w:t>
            </w:r>
          </w:p>
        </w:tc>
        <w:tc>
          <w:tcPr>
            <w:tcW w:w="300" w:type="dxa"/>
            <w:vAlign w:val="bottom"/>
          </w:tcPr>
          <w:p>
            <w:pPr>
              <w:jc w:val="right"/>
              <w:spacing w:after="0"/>
              <w:rPr>
                <w:sz w:val="20"/>
                <w:szCs w:val="20"/>
                <w:color w:val="auto"/>
              </w:rPr>
            </w:pPr>
            <w:r>
              <w:rPr>
                <w:rFonts w:ascii="Arial" w:cs="Arial" w:eastAsia="Arial" w:hAnsi="Arial"/>
                <w:sz w:val="8"/>
                <w:szCs w:val="8"/>
                <w:color w:val="auto"/>
              </w:rPr>
              <w:t>370</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1635125</wp:posOffset>
            </wp:positionH>
            <wp:positionV relativeFrom="paragraph">
              <wp:posOffset>-1067435</wp:posOffset>
            </wp:positionV>
            <wp:extent cx="5506720" cy="1098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506720" cy="109855"/>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-109220</wp:posOffset>
            </wp:positionV>
            <wp:extent cx="5506720" cy="1098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506720" cy="109855"/>
                    </a:xfrm>
                    <a:prstGeom prst="rect">
                      <a:avLst/>
                    </a:prstGeom>
                    <a:noFill/>
                  </pic:spPr>
                </pic:pic>
              </a:graphicData>
            </a:graphic>
          </wp:anchor>
        </w:drawing>
      </w:r>
    </w:p>
    <w:p>
      <w:pPr>
        <w:spacing w:after="0" w:line="190" w:lineRule="exact"/>
        <w:rPr>
          <w:sz w:val="20"/>
          <w:szCs w:val="20"/>
          <w:color w:val="auto"/>
        </w:rPr>
      </w:pPr>
    </w:p>
    <w:p>
      <w:pPr>
        <w:ind w:left="360" w:hanging="346"/>
        <w:spacing w:after="0"/>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investment type, industry, ownership detail for equity investments, and if the investment is income producing is disclosed in the consolidated schedule of investments.</w:t>
      </w:r>
    </w:p>
    <w:p>
      <w:pPr>
        <w:spacing w:after="0" w:line="16" w:lineRule="exact"/>
        <w:rPr>
          <w:rFonts w:ascii="Arial" w:cs="Arial" w:eastAsia="Arial" w:hAnsi="Arial"/>
          <w:sz w:val="14"/>
          <w:szCs w:val="14"/>
          <w:color w:val="auto"/>
        </w:rPr>
      </w:pPr>
    </w:p>
    <w:p>
      <w:pPr>
        <w:ind w:left="360" w:right="40" w:hanging="346"/>
        <w:spacing w:after="0" w:line="251" w:lineRule="auto"/>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p>
      <w:pPr>
        <w:spacing w:after="0" w:line="1" w:lineRule="exact"/>
        <w:rPr>
          <w:rFonts w:ascii="Arial" w:cs="Arial" w:eastAsia="Arial" w:hAnsi="Arial"/>
          <w:sz w:val="14"/>
          <w:szCs w:val="14"/>
          <w:color w:val="auto"/>
        </w:rPr>
      </w:pPr>
    </w:p>
    <w:p>
      <w:pPr>
        <w:ind w:left="360" w:right="220" w:hanging="346"/>
        <w:spacing w:after="0" w:line="255" w:lineRule="auto"/>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Gross reductions include decreases in the cost basis of investments resulting from principal repayments or sales and net unrealized (depreciation) recognized during the period. Gross reductions also include transfers of portfolio companies out of the control or affiliate classification during the period, as applicable.</w:t>
      </w:r>
    </w:p>
    <w:p>
      <w:pPr>
        <w:ind w:left="360" w:right="60" w:hanging="346"/>
        <w:spacing w:after="0" w:line="251" w:lineRule="auto"/>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p>
      <w:pPr>
        <w:spacing w:after="0" w:line="1" w:lineRule="exact"/>
        <w:rPr>
          <w:rFonts w:ascii="Arial" w:cs="Arial" w:eastAsia="Arial" w:hAnsi="Arial"/>
          <w:sz w:val="14"/>
          <w:szCs w:val="14"/>
          <w:color w:val="auto"/>
        </w:rPr>
      </w:pPr>
    </w:p>
    <w:p>
      <w:pPr>
        <w:ind w:left="360" w:hanging="346"/>
        <w:spacing w:after="0"/>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Portfolio company was transferred to Affiliate investments from Control investments during the nine months ended September 30, 2021</w:t>
      </w:r>
    </w:p>
    <w:p>
      <w:pPr>
        <w:spacing w:after="0" w:line="16" w:lineRule="exact"/>
        <w:rPr>
          <w:rFonts w:ascii="Arial" w:cs="Arial" w:eastAsia="Arial" w:hAnsi="Arial"/>
          <w:sz w:val="14"/>
          <w:szCs w:val="14"/>
          <w:color w:val="auto"/>
        </w:rPr>
      </w:pPr>
    </w:p>
    <w:p>
      <w:pPr>
        <w:ind w:left="360" w:hanging="346"/>
        <w:spacing w:after="0"/>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Portfolio company was transferred to Control investments from Non-control/Non-affiliate investments during the nine months ended September 30, 2021</w:t>
      </w:r>
    </w:p>
    <w:p>
      <w:pPr>
        <w:spacing w:after="0" w:line="187"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The table below represents the fair value of control and affiliate investments as of December 31, 2019 and any additions and reductions made to such investments during the year ended December 31, 2020, including the total investment income earned on such investments during the period.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14"/>
        </w:trPr>
        <w:tc>
          <w:tcPr>
            <w:tcW w:w="1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gridSpan w:val="5"/>
          </w:tcPr>
          <w:p>
            <w:pPr>
              <w:jc w:val="right"/>
              <w:ind w:right="378"/>
              <w:spacing w:after="0"/>
              <w:rPr>
                <w:sz w:val="20"/>
                <w:szCs w:val="20"/>
                <w:color w:val="auto"/>
              </w:rPr>
            </w:pPr>
            <w:r>
              <w:rPr>
                <w:rFonts w:ascii="Arial" w:cs="Arial" w:eastAsia="Arial" w:hAnsi="Arial"/>
                <w:sz w:val="8"/>
                <w:szCs w:val="8"/>
                <w:b w:val="1"/>
                <w:bCs w:val="1"/>
                <w:color w:val="auto"/>
                <w:w w:val="94"/>
              </w:rPr>
              <w:t>Year Ended December 31, 2020</w:t>
            </w: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gridSpan w:val="2"/>
          </w:tcPr>
          <w:p>
            <w:pPr>
              <w:jc w:val="center"/>
              <w:ind w:right="278"/>
              <w:spacing w:after="0"/>
              <w:rPr>
                <w:sz w:val="20"/>
                <w:szCs w:val="20"/>
                <w:color w:val="auto"/>
              </w:rPr>
            </w:pPr>
            <w:r>
              <w:rPr>
                <w:rFonts w:ascii="Arial" w:cs="Arial" w:eastAsia="Arial" w:hAnsi="Arial"/>
                <w:sz w:val="8"/>
                <w:szCs w:val="8"/>
                <w:b w:val="1"/>
                <w:bCs w:val="1"/>
                <w:color w:val="auto"/>
                <w:w w:val="96"/>
              </w:rPr>
              <w:t>Net Change in</w:t>
            </w: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tcPr>
          <w:p>
            <w:pPr>
              <w:jc w:val="center"/>
              <w:spacing w:after="0"/>
              <w:rPr>
                <w:sz w:val="20"/>
                <w:szCs w:val="20"/>
                <w:color w:val="auto"/>
              </w:rPr>
            </w:pPr>
            <w:r>
              <w:rPr>
                <w:rFonts w:ascii="Arial" w:cs="Arial" w:eastAsia="Arial" w:hAnsi="Arial"/>
                <w:sz w:val="8"/>
                <w:szCs w:val="8"/>
                <w:b w:val="1"/>
                <w:bCs w:val="1"/>
                <w:color w:val="auto"/>
                <w:w w:val="94"/>
              </w:rPr>
              <w:t>December 31, 2020</w:t>
            </w:r>
          </w:p>
        </w:tc>
        <w:tc>
          <w:tcPr>
            <w:tcW w:w="220" w:type="dxa"/>
            <w:vAlign w:val="bottom"/>
          </w:tcPr>
          <w:p>
            <w:pPr>
              <w:spacing w:after="0"/>
              <w:rPr>
                <w:sz w:val="8"/>
                <w:szCs w:val="8"/>
                <w:color w:val="auto"/>
              </w:rPr>
            </w:pPr>
          </w:p>
        </w:tc>
        <w:tc>
          <w:tcPr>
            <w:tcW w:w="580" w:type="dxa"/>
            <w:vAlign w:val="bottom"/>
            <w:gridSpan w:val="2"/>
          </w:tcPr>
          <w:p>
            <w:pPr>
              <w:jc w:val="center"/>
              <w:spacing w:after="0"/>
              <w:rPr>
                <w:sz w:val="20"/>
                <w:szCs w:val="20"/>
                <w:color w:val="auto"/>
              </w:rPr>
            </w:pPr>
            <w:r>
              <w:rPr>
                <w:rFonts w:ascii="Arial" w:cs="Arial" w:eastAsia="Arial" w:hAnsi="Arial"/>
                <w:sz w:val="8"/>
                <w:szCs w:val="8"/>
                <w:b w:val="1"/>
                <w:bCs w:val="1"/>
                <w:color w:val="auto"/>
                <w:w w:val="92"/>
              </w:rPr>
              <w:t>December 31,</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gridSpan w:val="3"/>
          </w:tcPr>
          <w:p>
            <w:pPr>
              <w:jc w:val="center"/>
              <w:ind w:right="240"/>
              <w:spacing w:after="0"/>
              <w:rPr>
                <w:sz w:val="20"/>
                <w:szCs w:val="20"/>
                <w:color w:val="auto"/>
              </w:rPr>
            </w:pPr>
            <w:r>
              <w:rPr>
                <w:rFonts w:ascii="Arial" w:cs="Arial" w:eastAsia="Arial" w:hAnsi="Arial"/>
                <w:sz w:val="8"/>
                <w:szCs w:val="8"/>
                <w:b w:val="1"/>
                <w:bCs w:val="1"/>
                <w:color w:val="auto"/>
                <w:w w:val="92"/>
              </w:rPr>
              <w:t>December 31,</w:t>
            </w: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gridSpan w:val="2"/>
          </w:tcPr>
          <w:p>
            <w:pPr>
              <w:jc w:val="center"/>
              <w:ind w:right="278"/>
              <w:spacing w:after="0"/>
              <w:rPr>
                <w:sz w:val="20"/>
                <w:szCs w:val="20"/>
                <w:color w:val="auto"/>
              </w:rPr>
            </w:pPr>
            <w:r>
              <w:rPr>
                <w:rFonts w:ascii="Arial" w:cs="Arial" w:eastAsia="Arial" w:hAnsi="Arial"/>
                <w:sz w:val="8"/>
                <w:szCs w:val="8"/>
                <w:b w:val="1"/>
                <w:bCs w:val="1"/>
                <w:color w:val="auto"/>
                <w:w w:val="98"/>
              </w:rPr>
              <w:t>Unrealized</w:t>
            </w: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00" w:type="dxa"/>
            <w:vAlign w:val="bottom"/>
            <w:vMerge w:val="restart"/>
          </w:tcPr>
          <w:p>
            <w:pPr>
              <w:ind w:left="20"/>
              <w:spacing w:after="0"/>
              <w:rPr>
                <w:sz w:val="20"/>
                <w:szCs w:val="20"/>
                <w:color w:val="auto"/>
              </w:rPr>
            </w:pPr>
            <w:r>
              <w:rPr>
                <w:rFonts w:ascii="Arial" w:cs="Arial" w:eastAsia="Arial" w:hAnsi="Arial"/>
                <w:sz w:val="8"/>
                <w:szCs w:val="8"/>
                <w:b w:val="1"/>
                <w:bCs w:val="1"/>
                <w:color w:val="auto"/>
              </w:rPr>
              <w:t xml:space="preserve">Portfolio Company </w:t>
            </w:r>
            <w:r>
              <w:rPr>
                <w:rFonts w:ascii="Arial" w:cs="Arial" w:eastAsia="Arial" w:hAnsi="Arial"/>
                <w:sz w:val="11"/>
                <w:szCs w:val="11"/>
                <w:b w:val="1"/>
                <w:bCs w:val="1"/>
                <w:color w:val="auto"/>
                <w:vertAlign w:val="superscript"/>
              </w:rPr>
              <w:t>(1)</w:t>
            </w:r>
          </w:p>
        </w:tc>
        <w:tc>
          <w:tcPr>
            <w:tcW w:w="120" w:type="dxa"/>
            <w:vAlign w:val="bottom"/>
          </w:tcPr>
          <w:p>
            <w:pPr>
              <w:spacing w:after="0"/>
              <w:rPr>
                <w:sz w:val="10"/>
                <w:szCs w:val="10"/>
                <w:color w:val="auto"/>
              </w:rPr>
            </w:pPr>
          </w:p>
        </w:tc>
        <w:tc>
          <w:tcPr>
            <w:tcW w:w="800" w:type="dxa"/>
            <w:vAlign w:val="bottom"/>
            <w:gridSpan w:val="2"/>
          </w:tcPr>
          <w:p>
            <w:pPr>
              <w:jc w:val="center"/>
              <w:spacing w:after="0"/>
              <w:rPr>
                <w:sz w:val="20"/>
                <w:szCs w:val="20"/>
                <w:color w:val="auto"/>
              </w:rPr>
            </w:pPr>
            <w:r>
              <w:rPr>
                <w:rFonts w:ascii="Arial" w:cs="Arial" w:eastAsia="Arial" w:hAnsi="Arial"/>
                <w:sz w:val="8"/>
                <w:szCs w:val="8"/>
                <w:b w:val="1"/>
                <w:bCs w:val="1"/>
                <w:color w:val="auto"/>
                <w:w w:val="98"/>
              </w:rPr>
              <w:t>Principal Amount -</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ind w:right="38"/>
              <w:spacing w:after="0"/>
              <w:rPr>
                <w:sz w:val="20"/>
                <w:szCs w:val="20"/>
                <w:color w:val="auto"/>
              </w:rPr>
            </w:pPr>
            <w:r>
              <w:rPr>
                <w:rFonts w:ascii="Arial" w:cs="Arial" w:eastAsia="Arial" w:hAnsi="Arial"/>
                <w:sz w:val="8"/>
                <w:szCs w:val="8"/>
                <w:b w:val="1"/>
                <w:bCs w:val="1"/>
                <w:color w:val="auto"/>
              </w:rPr>
              <w:t>2019</w:t>
            </w:r>
          </w:p>
        </w:tc>
        <w:tc>
          <w:tcPr>
            <w:tcW w:w="220" w:type="dxa"/>
            <w:vAlign w:val="bottom"/>
          </w:tcPr>
          <w:p>
            <w:pPr>
              <w:spacing w:after="0"/>
              <w:rPr>
                <w:sz w:val="10"/>
                <w:szCs w:val="10"/>
                <w:color w:val="auto"/>
              </w:rPr>
            </w:pPr>
          </w:p>
        </w:tc>
        <w:tc>
          <w:tcPr>
            <w:tcW w:w="680" w:type="dxa"/>
            <w:vAlign w:val="bottom"/>
            <w:gridSpan w:val="2"/>
          </w:tcPr>
          <w:p>
            <w:pPr>
              <w:jc w:val="right"/>
              <w:ind w:right="19"/>
              <w:spacing w:after="0"/>
              <w:rPr>
                <w:sz w:val="20"/>
                <w:szCs w:val="20"/>
                <w:color w:val="auto"/>
              </w:rPr>
            </w:pPr>
            <w:r>
              <w:rPr>
                <w:rFonts w:ascii="Arial" w:cs="Arial" w:eastAsia="Arial" w:hAnsi="Arial"/>
                <w:sz w:val="8"/>
                <w:szCs w:val="8"/>
                <w:b w:val="1"/>
                <w:bCs w:val="1"/>
                <w:color w:val="auto"/>
                <w:w w:val="96"/>
              </w:rPr>
              <w:t>Gross Additions</w:t>
            </w:r>
          </w:p>
        </w:tc>
        <w:tc>
          <w:tcPr>
            <w:tcW w:w="240" w:type="dxa"/>
            <w:vAlign w:val="bottom"/>
          </w:tcPr>
          <w:p>
            <w:pPr>
              <w:spacing w:after="0"/>
              <w:rPr>
                <w:sz w:val="10"/>
                <w:szCs w:val="10"/>
                <w:color w:val="auto"/>
              </w:rPr>
            </w:pPr>
          </w:p>
        </w:tc>
        <w:tc>
          <w:tcPr>
            <w:tcW w:w="900" w:type="dxa"/>
            <w:vAlign w:val="bottom"/>
            <w:gridSpan w:val="3"/>
          </w:tcPr>
          <w:p>
            <w:pPr>
              <w:spacing w:after="0"/>
              <w:rPr>
                <w:sz w:val="20"/>
                <w:szCs w:val="20"/>
                <w:color w:val="auto"/>
              </w:rPr>
            </w:pPr>
            <w:r>
              <w:rPr>
                <w:rFonts w:ascii="Arial" w:cs="Arial" w:eastAsia="Arial" w:hAnsi="Arial"/>
                <w:sz w:val="8"/>
                <w:szCs w:val="8"/>
                <w:b w:val="1"/>
                <w:bCs w:val="1"/>
                <w:color w:val="auto"/>
              </w:rPr>
              <w:t>Gross Reductions</w:t>
            </w:r>
          </w:p>
        </w:tc>
        <w:tc>
          <w:tcPr>
            <w:tcW w:w="80" w:type="dxa"/>
            <w:vAlign w:val="bottom"/>
          </w:tcPr>
          <w:p>
            <w:pPr>
              <w:spacing w:after="0"/>
              <w:rPr>
                <w:sz w:val="10"/>
                <w:szCs w:val="10"/>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8"/>
                <w:szCs w:val="8"/>
                <w:b w:val="1"/>
                <w:bCs w:val="1"/>
                <w:color w:val="auto"/>
              </w:rPr>
              <w:t>2020 Fair</w:t>
            </w:r>
          </w:p>
        </w:tc>
        <w:tc>
          <w:tcPr>
            <w:tcW w:w="80" w:type="dxa"/>
            <w:vAlign w:val="bottom"/>
          </w:tcPr>
          <w:p>
            <w:pPr>
              <w:spacing w:after="0"/>
              <w:rPr>
                <w:sz w:val="10"/>
                <w:szCs w:val="10"/>
                <w:color w:val="auto"/>
              </w:rPr>
            </w:pPr>
          </w:p>
        </w:tc>
        <w:tc>
          <w:tcPr>
            <w:tcW w:w="820" w:type="dxa"/>
            <w:vAlign w:val="bottom"/>
          </w:tcPr>
          <w:p>
            <w:pPr>
              <w:jc w:val="right"/>
              <w:ind w:right="78"/>
              <w:spacing w:after="0"/>
              <w:rPr>
                <w:sz w:val="20"/>
                <w:szCs w:val="20"/>
                <w:color w:val="auto"/>
              </w:rPr>
            </w:pPr>
            <w:r>
              <w:rPr>
                <w:rFonts w:ascii="Arial" w:cs="Arial" w:eastAsia="Arial" w:hAnsi="Arial"/>
                <w:sz w:val="8"/>
                <w:szCs w:val="8"/>
                <w:b w:val="1"/>
                <w:bCs w:val="1"/>
                <w:color w:val="auto"/>
                <w:w w:val="94"/>
              </w:rPr>
              <w:t>Net Realized Gains</w:t>
            </w:r>
          </w:p>
        </w:tc>
        <w:tc>
          <w:tcPr>
            <w:tcW w:w="300" w:type="dxa"/>
            <w:vAlign w:val="bottom"/>
          </w:tcPr>
          <w:p>
            <w:pPr>
              <w:spacing w:after="0"/>
              <w:rPr>
                <w:sz w:val="10"/>
                <w:szCs w:val="10"/>
                <w:color w:val="auto"/>
              </w:rPr>
            </w:pPr>
          </w:p>
        </w:tc>
        <w:tc>
          <w:tcPr>
            <w:tcW w:w="880" w:type="dxa"/>
            <w:vAlign w:val="bottom"/>
            <w:gridSpan w:val="2"/>
          </w:tcPr>
          <w:p>
            <w:pPr>
              <w:jc w:val="center"/>
              <w:ind w:right="278"/>
              <w:spacing w:after="0"/>
              <w:rPr>
                <w:sz w:val="20"/>
                <w:szCs w:val="20"/>
                <w:color w:val="auto"/>
              </w:rPr>
            </w:pPr>
            <w:r>
              <w:rPr>
                <w:rFonts w:ascii="Arial" w:cs="Arial" w:eastAsia="Arial" w:hAnsi="Arial"/>
                <w:sz w:val="8"/>
                <w:szCs w:val="8"/>
                <w:b w:val="1"/>
                <w:bCs w:val="1"/>
                <w:color w:val="auto"/>
                <w:w w:val="98"/>
              </w:rPr>
              <w:t>Appreciation</w:t>
            </w:r>
          </w:p>
        </w:tc>
        <w:tc>
          <w:tcPr>
            <w:tcW w:w="60" w:type="dxa"/>
            <w:vAlign w:val="bottom"/>
          </w:tcPr>
          <w:p>
            <w:pPr>
              <w:spacing w:after="0"/>
              <w:rPr>
                <w:sz w:val="10"/>
                <w:szCs w:val="10"/>
                <w:color w:val="auto"/>
              </w:rPr>
            </w:pPr>
          </w:p>
        </w:tc>
        <w:tc>
          <w:tcPr>
            <w:tcW w:w="380" w:type="dxa"/>
            <w:vAlign w:val="bottom"/>
          </w:tcPr>
          <w:p>
            <w:pPr>
              <w:jc w:val="right"/>
              <w:ind w:right="58"/>
              <w:spacing w:after="0"/>
              <w:rPr>
                <w:sz w:val="20"/>
                <w:szCs w:val="20"/>
                <w:color w:val="auto"/>
              </w:rPr>
            </w:pPr>
            <w:r>
              <w:rPr>
                <w:rFonts w:ascii="Arial" w:cs="Arial" w:eastAsia="Arial" w:hAnsi="Arial"/>
                <w:sz w:val="8"/>
                <w:szCs w:val="8"/>
                <w:b w:val="1"/>
                <w:bCs w:val="1"/>
                <w:color w:val="auto"/>
                <w:w w:val="89"/>
              </w:rPr>
              <w:t>Interest</w:t>
            </w:r>
          </w:p>
        </w:tc>
        <w:tc>
          <w:tcPr>
            <w:tcW w:w="2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8"/>
                <w:szCs w:val="8"/>
                <w:b w:val="1"/>
                <w:bCs w:val="1"/>
                <w:color w:val="auto"/>
                <w:w w:val="89"/>
              </w:rPr>
              <w:t>Payment-in-kind</w:t>
            </w:r>
          </w:p>
        </w:tc>
        <w:tc>
          <w:tcPr>
            <w:tcW w:w="280" w:type="dxa"/>
            <w:vAlign w:val="bottom"/>
          </w:tcPr>
          <w:p>
            <w:pPr>
              <w:spacing w:after="0"/>
              <w:rPr>
                <w:sz w:val="10"/>
                <w:szCs w:val="10"/>
                <w:color w:val="auto"/>
              </w:rPr>
            </w:pPr>
          </w:p>
        </w:tc>
        <w:tc>
          <w:tcPr>
            <w:tcW w:w="420" w:type="dxa"/>
            <w:vAlign w:val="bottom"/>
          </w:tcPr>
          <w:p>
            <w:pPr>
              <w:jc w:val="right"/>
              <w:ind w:right="58"/>
              <w:spacing w:after="0"/>
              <w:rPr>
                <w:sz w:val="20"/>
                <w:szCs w:val="20"/>
                <w:color w:val="auto"/>
              </w:rPr>
            </w:pPr>
            <w:r>
              <w:rPr>
                <w:rFonts w:ascii="Arial" w:cs="Arial" w:eastAsia="Arial" w:hAnsi="Arial"/>
                <w:sz w:val="8"/>
                <w:szCs w:val="8"/>
                <w:b w:val="1"/>
                <w:bCs w:val="1"/>
                <w:color w:val="auto"/>
                <w:w w:val="88"/>
              </w:rPr>
              <w:t>Dividend</w:t>
            </w:r>
          </w:p>
        </w:tc>
        <w:tc>
          <w:tcPr>
            <w:tcW w:w="260" w:type="dxa"/>
            <w:vAlign w:val="bottom"/>
          </w:tcPr>
          <w:p>
            <w:pPr>
              <w:spacing w:after="0"/>
              <w:rPr>
                <w:sz w:val="10"/>
                <w:szCs w:val="10"/>
                <w:color w:val="auto"/>
              </w:rPr>
            </w:pPr>
          </w:p>
        </w:tc>
        <w:tc>
          <w:tcPr>
            <w:tcW w:w="500" w:type="dxa"/>
            <w:vAlign w:val="bottom"/>
            <w:vMerge w:val="restart"/>
          </w:tcPr>
          <w:p>
            <w:pPr>
              <w:jc w:val="right"/>
              <w:ind w:right="58"/>
              <w:spacing w:after="0"/>
              <w:rPr>
                <w:sz w:val="20"/>
                <w:szCs w:val="20"/>
                <w:color w:val="auto"/>
              </w:rPr>
            </w:pPr>
            <w:r>
              <w:rPr>
                <w:rFonts w:ascii="Arial" w:cs="Arial" w:eastAsia="Arial" w:hAnsi="Arial"/>
                <w:sz w:val="8"/>
                <w:szCs w:val="8"/>
                <w:b w:val="1"/>
                <w:bCs w:val="1"/>
                <w:color w:val="auto"/>
                <w:w w:val="86"/>
              </w:rPr>
              <w:t>Fee Income</w:t>
            </w: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jc w:val="center"/>
              <w:ind w:right="18"/>
              <w:spacing w:after="0"/>
              <w:rPr>
                <w:sz w:val="20"/>
                <w:szCs w:val="20"/>
                <w:color w:val="auto"/>
              </w:rPr>
            </w:pPr>
            <w:r>
              <w:rPr>
                <w:rFonts w:ascii="Arial" w:cs="Arial" w:eastAsia="Arial" w:hAnsi="Arial"/>
                <w:sz w:val="8"/>
                <w:szCs w:val="8"/>
                <w:b w:val="1"/>
                <w:bCs w:val="1"/>
                <w:color w:val="auto"/>
                <w:w w:val="95"/>
              </w:rPr>
              <w:t>Debt Investments</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center"/>
              <w:ind w:right="38"/>
              <w:spacing w:after="0"/>
              <w:rPr>
                <w:sz w:val="20"/>
                <w:szCs w:val="20"/>
                <w:color w:val="auto"/>
              </w:rPr>
            </w:pPr>
            <w:r>
              <w:rPr>
                <w:rFonts w:ascii="Arial" w:cs="Arial" w:eastAsia="Arial" w:hAnsi="Arial"/>
                <w:sz w:val="8"/>
                <w:szCs w:val="8"/>
                <w:b w:val="1"/>
                <w:bCs w:val="1"/>
                <w:color w:val="auto"/>
                <w:w w:val="99"/>
              </w:rPr>
              <w:t>Fair Value</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jc w:val="right"/>
              <w:ind w:right="259"/>
              <w:spacing w:after="0"/>
              <w:rPr>
                <w:sz w:val="20"/>
                <w:szCs w:val="20"/>
                <w:color w:val="auto"/>
              </w:rPr>
            </w:pPr>
            <w:r>
              <w:rPr>
                <w:rFonts w:ascii="Arial" w:cs="Arial" w:eastAsia="Arial" w:hAnsi="Arial"/>
                <w:sz w:val="6"/>
                <w:szCs w:val="6"/>
                <w:b w:val="1"/>
                <w:bCs w:val="1"/>
                <w:color w:val="auto"/>
              </w:rPr>
              <w:t>(2)</w:t>
            </w: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jc w:val="right"/>
              <w:ind w:right="279"/>
              <w:spacing w:after="0"/>
              <w:rPr>
                <w:sz w:val="20"/>
                <w:szCs w:val="20"/>
                <w:color w:val="auto"/>
              </w:rPr>
            </w:pPr>
            <w:r>
              <w:rPr>
                <w:rFonts w:ascii="Arial" w:cs="Arial" w:eastAsia="Arial" w:hAnsi="Arial"/>
                <w:sz w:val="6"/>
                <w:szCs w:val="6"/>
                <w:b w:val="1"/>
                <w:bCs w:val="1"/>
                <w:color w:val="auto"/>
              </w:rPr>
              <w:t>(3)</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w w:val="93"/>
              </w:rPr>
              <w:t>Value</w:t>
            </w:r>
          </w:p>
        </w:tc>
        <w:tc>
          <w:tcPr>
            <w:tcW w:w="80" w:type="dxa"/>
            <w:vAlign w:val="bottom"/>
          </w:tcPr>
          <w:p>
            <w:pPr>
              <w:spacing w:after="0"/>
              <w:rPr>
                <w:sz w:val="8"/>
                <w:szCs w:val="8"/>
                <w:color w:val="auto"/>
              </w:rPr>
            </w:pPr>
          </w:p>
        </w:tc>
        <w:tc>
          <w:tcPr>
            <w:tcW w:w="820" w:type="dxa"/>
            <w:vAlign w:val="bottom"/>
          </w:tcPr>
          <w:p>
            <w:pPr>
              <w:jc w:val="right"/>
              <w:ind w:right="218"/>
              <w:spacing w:after="0" w:line="102" w:lineRule="exact"/>
              <w:rPr>
                <w:sz w:val="20"/>
                <w:szCs w:val="20"/>
                <w:color w:val="auto"/>
              </w:rPr>
            </w:pPr>
            <w:r>
              <w:rPr>
                <w:rFonts w:ascii="Arial" w:cs="Arial" w:eastAsia="Arial" w:hAnsi="Arial"/>
                <w:sz w:val="8"/>
                <w:szCs w:val="8"/>
                <w:b w:val="1"/>
                <w:bCs w:val="1"/>
                <w:color w:val="auto"/>
              </w:rPr>
              <w:t xml:space="preserve">(Losses) </w:t>
            </w:r>
            <w:r>
              <w:rPr>
                <w:rFonts w:ascii="Arial" w:cs="Arial" w:eastAsia="Arial" w:hAnsi="Arial"/>
                <w:sz w:val="11"/>
                <w:szCs w:val="11"/>
                <w:b w:val="1"/>
                <w:bCs w:val="1"/>
                <w:color w:val="auto"/>
                <w:vertAlign w:val="superscript"/>
              </w:rPr>
              <w:t>(4)</w:t>
            </w:r>
          </w:p>
        </w:tc>
        <w:tc>
          <w:tcPr>
            <w:tcW w:w="300" w:type="dxa"/>
            <w:vAlign w:val="bottom"/>
          </w:tcPr>
          <w:p>
            <w:pPr>
              <w:spacing w:after="0"/>
              <w:rPr>
                <w:sz w:val="8"/>
                <w:szCs w:val="8"/>
                <w:color w:val="auto"/>
              </w:rPr>
            </w:pPr>
          </w:p>
        </w:tc>
        <w:tc>
          <w:tcPr>
            <w:tcW w:w="880" w:type="dxa"/>
            <w:vAlign w:val="bottom"/>
            <w:gridSpan w:val="2"/>
          </w:tcPr>
          <w:p>
            <w:pPr>
              <w:jc w:val="center"/>
              <w:ind w:right="238"/>
              <w:spacing w:after="0"/>
              <w:rPr>
                <w:sz w:val="20"/>
                <w:szCs w:val="20"/>
                <w:color w:val="auto"/>
              </w:rPr>
            </w:pPr>
            <w:r>
              <w:rPr>
                <w:rFonts w:ascii="Arial" w:cs="Arial" w:eastAsia="Arial" w:hAnsi="Arial"/>
                <w:sz w:val="8"/>
                <w:szCs w:val="8"/>
                <w:b w:val="1"/>
                <w:bCs w:val="1"/>
                <w:color w:val="auto"/>
                <w:w w:val="96"/>
              </w:rPr>
              <w:t>(Depreciation)</w:t>
            </w:r>
          </w:p>
        </w:tc>
        <w:tc>
          <w:tcPr>
            <w:tcW w:w="60" w:type="dxa"/>
            <w:vAlign w:val="bottom"/>
          </w:tcPr>
          <w:p>
            <w:pPr>
              <w:spacing w:after="0"/>
              <w:rPr>
                <w:sz w:val="8"/>
                <w:szCs w:val="8"/>
                <w:color w:val="auto"/>
              </w:rPr>
            </w:pPr>
          </w:p>
        </w:tc>
        <w:tc>
          <w:tcPr>
            <w:tcW w:w="380" w:type="dxa"/>
            <w:vAlign w:val="bottom"/>
          </w:tcPr>
          <w:p>
            <w:pPr>
              <w:jc w:val="right"/>
              <w:ind w:right="38"/>
              <w:spacing w:after="0"/>
              <w:rPr>
                <w:sz w:val="20"/>
                <w:szCs w:val="20"/>
                <w:color w:val="auto"/>
              </w:rPr>
            </w:pPr>
            <w:r>
              <w:rPr>
                <w:rFonts w:ascii="Arial" w:cs="Arial" w:eastAsia="Arial" w:hAnsi="Arial"/>
                <w:sz w:val="8"/>
                <w:szCs w:val="8"/>
                <w:b w:val="1"/>
                <w:bCs w:val="1"/>
                <w:color w:val="auto"/>
                <w:w w:val="99"/>
              </w:rPr>
              <w:t>Income</w:t>
            </w:r>
          </w:p>
        </w:tc>
        <w:tc>
          <w:tcPr>
            <w:tcW w:w="280" w:type="dxa"/>
            <w:vAlign w:val="bottom"/>
          </w:tcPr>
          <w:p>
            <w:pPr>
              <w:spacing w:after="0"/>
              <w:rPr>
                <w:sz w:val="8"/>
                <w:szCs w:val="8"/>
                <w:color w:val="auto"/>
              </w:rPr>
            </w:pPr>
          </w:p>
        </w:tc>
        <w:tc>
          <w:tcPr>
            <w:tcW w:w="620" w:type="dxa"/>
            <w:vAlign w:val="bottom"/>
          </w:tcPr>
          <w:p>
            <w:pPr>
              <w:jc w:val="right"/>
              <w:ind w:right="18"/>
              <w:spacing w:after="0"/>
              <w:rPr>
                <w:sz w:val="20"/>
                <w:szCs w:val="20"/>
                <w:color w:val="auto"/>
              </w:rPr>
            </w:pPr>
            <w:r>
              <w:rPr>
                <w:rFonts w:ascii="Arial" w:cs="Arial" w:eastAsia="Arial" w:hAnsi="Arial"/>
                <w:sz w:val="8"/>
                <w:szCs w:val="8"/>
                <w:b w:val="1"/>
                <w:bCs w:val="1"/>
                <w:color w:val="auto"/>
                <w:w w:val="91"/>
              </w:rPr>
              <w:t>Interest Income</w:t>
            </w:r>
          </w:p>
        </w:tc>
        <w:tc>
          <w:tcPr>
            <w:tcW w:w="280" w:type="dxa"/>
            <w:vAlign w:val="bottom"/>
          </w:tcPr>
          <w:p>
            <w:pPr>
              <w:spacing w:after="0"/>
              <w:rPr>
                <w:sz w:val="8"/>
                <w:szCs w:val="8"/>
                <w:color w:val="auto"/>
              </w:rPr>
            </w:pPr>
          </w:p>
        </w:tc>
        <w:tc>
          <w:tcPr>
            <w:tcW w:w="420" w:type="dxa"/>
            <w:vAlign w:val="bottom"/>
          </w:tcPr>
          <w:p>
            <w:pPr>
              <w:jc w:val="right"/>
              <w:ind w:right="78"/>
              <w:spacing w:after="0"/>
              <w:rPr>
                <w:sz w:val="20"/>
                <w:szCs w:val="20"/>
                <w:color w:val="auto"/>
              </w:rPr>
            </w:pPr>
            <w:r>
              <w:rPr>
                <w:rFonts w:ascii="Arial" w:cs="Arial" w:eastAsia="Arial" w:hAnsi="Arial"/>
                <w:sz w:val="8"/>
                <w:szCs w:val="8"/>
                <w:b w:val="1"/>
                <w:bCs w:val="1"/>
                <w:color w:val="auto"/>
                <w:w w:val="99"/>
              </w:rPr>
              <w:t>Income</w:t>
            </w:r>
          </w:p>
        </w:tc>
        <w:tc>
          <w:tcPr>
            <w:tcW w:w="2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8"/>
                <w:szCs w:val="8"/>
                <w:b w:val="1"/>
                <w:bCs w:val="1"/>
                <w:color w:val="auto"/>
              </w:rPr>
              <w:t>Control Investments</w:t>
            </w:r>
          </w:p>
        </w:tc>
        <w:tc>
          <w:tcPr>
            <w:tcW w:w="12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260" w:type="dxa"/>
            <w:vAlign w:val="bottom"/>
            <w:tcBorders>
              <w:right w:val="single" w:sz="8" w:color="CCEEFF"/>
            </w:tcBorders>
            <w:shd w:val="clear" w:color="auto" w:fill="CCEEFF"/>
          </w:tcPr>
          <w:p>
            <w:pPr>
              <w:spacing w:after="0"/>
              <w:rPr>
                <w:sz w:val="10"/>
                <w:szCs w:val="10"/>
                <w:color w:val="auto"/>
              </w:rPr>
            </w:pPr>
          </w:p>
        </w:tc>
        <w:tc>
          <w:tcPr>
            <w:tcW w:w="500" w:type="dxa"/>
            <w:vAlign w:val="bottom"/>
            <w:tcBorders>
              <w:top w:val="single" w:sz="8" w:color="auto"/>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800" w:type="dxa"/>
            <w:vAlign w:val="bottom"/>
          </w:tcPr>
          <w:p>
            <w:pPr>
              <w:ind w:left="20"/>
              <w:spacing w:after="0"/>
              <w:rPr>
                <w:sz w:val="20"/>
                <w:szCs w:val="20"/>
                <w:color w:val="auto"/>
              </w:rPr>
            </w:pPr>
            <w:r>
              <w:rPr>
                <w:rFonts w:ascii="Arial" w:cs="Arial" w:eastAsia="Arial" w:hAnsi="Arial"/>
                <w:sz w:val="8"/>
                <w:szCs w:val="8"/>
                <w:color w:val="auto"/>
              </w:rPr>
              <w:t>FDS Avionics Corp. (dba Flight Display</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800" w:type="dxa"/>
            <w:vAlign w:val="bottom"/>
          </w:tcPr>
          <w:p>
            <w:pPr>
              <w:ind w:left="20"/>
              <w:spacing w:after="0"/>
              <w:rPr>
                <w:sz w:val="20"/>
                <w:szCs w:val="20"/>
                <w:color w:val="auto"/>
              </w:rPr>
            </w:pPr>
            <w:r>
              <w:rPr>
                <w:rFonts w:ascii="Arial" w:cs="Arial" w:eastAsia="Arial" w:hAnsi="Arial"/>
                <w:sz w:val="8"/>
                <w:szCs w:val="8"/>
                <w:color w:val="auto"/>
              </w:rPr>
              <w:t>Systems)</w:t>
            </w:r>
          </w:p>
        </w:tc>
        <w:tc>
          <w:tcPr>
            <w:tcW w:w="180" w:type="dxa"/>
            <w:vAlign w:val="bottom"/>
            <w:gridSpan w:val="2"/>
          </w:tcPr>
          <w:p>
            <w:pPr>
              <w:jc w:val="right"/>
              <w:spacing w:after="0"/>
              <w:rPr>
                <w:sz w:val="20"/>
                <w:szCs w:val="20"/>
                <w:color w:val="auto"/>
              </w:rPr>
            </w:pPr>
            <w:r>
              <w:rPr>
                <w:rFonts w:ascii="Arial" w:cs="Arial" w:eastAsia="Arial" w:hAnsi="Arial"/>
                <w:sz w:val="8"/>
                <w:szCs w:val="8"/>
                <w:color w:val="auto"/>
              </w:rPr>
              <w:t>$</w:t>
            </w:r>
          </w:p>
        </w:tc>
        <w:tc>
          <w:tcPr>
            <w:tcW w:w="740" w:type="dxa"/>
            <w:vAlign w:val="bottom"/>
          </w:tcPr>
          <w:p>
            <w:pPr>
              <w:jc w:val="right"/>
              <w:spacing w:after="0"/>
              <w:rPr>
                <w:sz w:val="20"/>
                <w:szCs w:val="20"/>
                <w:color w:val="auto"/>
              </w:rPr>
            </w:pPr>
            <w:r>
              <w:rPr>
                <w:rFonts w:ascii="Arial" w:cs="Arial" w:eastAsia="Arial" w:hAnsi="Arial"/>
                <w:sz w:val="8"/>
                <w:szCs w:val="8"/>
                <w:color w:val="auto"/>
              </w:rPr>
              <w:t>5,122</w:t>
            </w:r>
          </w:p>
        </w:tc>
        <w:tc>
          <w:tcPr>
            <w:tcW w:w="300" w:type="dxa"/>
            <w:vAlign w:val="bottom"/>
            <w:gridSpan w:val="2"/>
          </w:tcPr>
          <w:p>
            <w:pPr>
              <w:jc w:val="right"/>
              <w:spacing w:after="0"/>
              <w:rPr>
                <w:sz w:val="20"/>
                <w:szCs w:val="20"/>
                <w:color w:val="auto"/>
              </w:rPr>
            </w:pPr>
            <w:r>
              <w:rPr>
                <w:rFonts w:ascii="Arial" w:cs="Arial" w:eastAsia="Arial" w:hAnsi="Arial"/>
                <w:sz w:val="8"/>
                <w:szCs w:val="8"/>
                <w:color w:val="auto"/>
              </w:rPr>
              <w:t>$</w:t>
            </w:r>
          </w:p>
        </w:tc>
        <w:tc>
          <w:tcPr>
            <w:tcW w:w="500" w:type="dxa"/>
            <w:vAlign w:val="bottom"/>
          </w:tcPr>
          <w:p>
            <w:pPr>
              <w:jc w:val="right"/>
              <w:spacing w:after="0"/>
              <w:rPr>
                <w:sz w:val="20"/>
                <w:szCs w:val="20"/>
                <w:color w:val="auto"/>
              </w:rPr>
            </w:pPr>
            <w:r>
              <w:rPr>
                <w:rFonts w:ascii="Arial" w:cs="Arial" w:eastAsia="Arial" w:hAnsi="Arial"/>
                <w:sz w:val="8"/>
                <w:szCs w:val="8"/>
                <w:color w:val="auto"/>
              </w:rPr>
              <w:t>5,403</w:t>
            </w:r>
          </w:p>
        </w:tc>
        <w:tc>
          <w:tcPr>
            <w:tcW w:w="400" w:type="dxa"/>
            <w:vAlign w:val="bottom"/>
            <w:gridSpan w:val="2"/>
          </w:tcPr>
          <w:p>
            <w:pPr>
              <w:jc w:val="right"/>
              <w:ind w:right="78"/>
              <w:spacing w:after="0"/>
              <w:rPr>
                <w:sz w:val="20"/>
                <w:szCs w:val="20"/>
                <w:color w:val="auto"/>
              </w:rPr>
            </w:pPr>
            <w:r>
              <w:rPr>
                <w:rFonts w:ascii="Arial" w:cs="Arial" w:eastAsia="Arial" w:hAnsi="Arial"/>
                <w:sz w:val="8"/>
                <w:szCs w:val="8"/>
                <w:color w:val="auto"/>
              </w:rPr>
              <w:t>$</w:t>
            </w:r>
          </w:p>
        </w:tc>
        <w:tc>
          <w:tcPr>
            <w:tcW w:w="500" w:type="dxa"/>
            <w:vAlign w:val="bottom"/>
          </w:tcPr>
          <w:p>
            <w:pPr>
              <w:jc w:val="right"/>
              <w:spacing w:after="0"/>
              <w:rPr>
                <w:sz w:val="20"/>
                <w:szCs w:val="20"/>
                <w:color w:val="auto"/>
              </w:rPr>
            </w:pPr>
            <w:r>
              <w:rPr>
                <w:rFonts w:ascii="Arial" w:cs="Arial" w:eastAsia="Arial" w:hAnsi="Arial"/>
                <w:sz w:val="8"/>
                <w:szCs w:val="8"/>
                <w:color w:val="auto"/>
              </w:rPr>
              <w:t>1,988</w:t>
            </w:r>
          </w:p>
        </w:tc>
        <w:tc>
          <w:tcPr>
            <w:tcW w:w="420" w:type="dxa"/>
            <w:vAlign w:val="bottom"/>
            <w:gridSpan w:val="2"/>
          </w:tcPr>
          <w:p>
            <w:pPr>
              <w:ind w:left="240"/>
              <w:spacing w:after="0"/>
              <w:rPr>
                <w:sz w:val="20"/>
                <w:szCs w:val="20"/>
                <w:color w:val="auto"/>
              </w:rPr>
            </w:pPr>
            <w:r>
              <w:rPr>
                <w:rFonts w:ascii="Arial" w:cs="Arial" w:eastAsia="Arial" w:hAnsi="Arial"/>
                <w:sz w:val="8"/>
                <w:szCs w:val="8"/>
                <w:color w:val="auto"/>
              </w:rPr>
              <w:t>$</w:t>
            </w:r>
          </w:p>
        </w:tc>
        <w:tc>
          <w:tcPr>
            <w:tcW w:w="50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9"/>
                <w:szCs w:val="9"/>
                <w:color w:val="auto"/>
              </w:rPr>
            </w:pP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500" w:type="dxa"/>
            <w:vAlign w:val="bottom"/>
          </w:tcPr>
          <w:p>
            <w:pPr>
              <w:jc w:val="right"/>
              <w:spacing w:after="0"/>
              <w:rPr>
                <w:sz w:val="20"/>
                <w:szCs w:val="20"/>
                <w:color w:val="auto"/>
              </w:rPr>
            </w:pPr>
            <w:r>
              <w:rPr>
                <w:rFonts w:ascii="Arial" w:cs="Arial" w:eastAsia="Arial" w:hAnsi="Arial"/>
                <w:sz w:val="8"/>
                <w:szCs w:val="8"/>
                <w:color w:val="auto"/>
              </w:rPr>
              <w:t>7,391</w:t>
            </w:r>
          </w:p>
        </w:tc>
        <w:tc>
          <w:tcPr>
            <w:tcW w:w="220" w:type="dxa"/>
            <w:vAlign w:val="bottom"/>
          </w:tcPr>
          <w:p>
            <w:pPr>
              <w:spacing w:after="0"/>
              <w:rPr>
                <w:sz w:val="9"/>
                <w:szCs w:val="9"/>
                <w:color w:val="auto"/>
              </w:rPr>
            </w:pP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820" w:type="dxa"/>
            <w:vAlign w:val="bottom"/>
          </w:tcPr>
          <w:p>
            <w:pPr>
              <w:jc w:val="right"/>
              <w:spacing w:after="0"/>
              <w:rPr>
                <w:sz w:val="20"/>
                <w:szCs w:val="20"/>
                <w:color w:val="auto"/>
              </w:rPr>
            </w:pPr>
            <w:r>
              <w:rPr>
                <w:rFonts w:ascii="Arial" w:cs="Arial" w:eastAsia="Arial" w:hAnsi="Arial"/>
                <w:sz w:val="8"/>
                <w:szCs w:val="8"/>
                <w:color w:val="auto"/>
              </w:rPr>
              <w:t>-</w:t>
            </w:r>
          </w:p>
        </w:tc>
        <w:tc>
          <w:tcPr>
            <w:tcW w:w="300" w:type="dxa"/>
            <w:vAlign w:val="bottom"/>
          </w:tcPr>
          <w:p>
            <w:pPr>
              <w:jc w:val="right"/>
              <w:spacing w:after="0"/>
              <w:rPr>
                <w:sz w:val="20"/>
                <w:szCs w:val="20"/>
                <w:color w:val="auto"/>
              </w:rPr>
            </w:pPr>
            <w:r>
              <w:rPr>
                <w:rFonts w:ascii="Arial" w:cs="Arial" w:eastAsia="Arial" w:hAnsi="Arial"/>
                <w:sz w:val="8"/>
                <w:szCs w:val="8"/>
                <w:color w:val="auto"/>
              </w:rPr>
              <w:t>$</w:t>
            </w:r>
          </w:p>
        </w:tc>
        <w:tc>
          <w:tcPr>
            <w:tcW w:w="660" w:type="dxa"/>
            <w:vAlign w:val="bottom"/>
          </w:tcPr>
          <w:p>
            <w:pPr>
              <w:jc w:val="right"/>
              <w:spacing w:after="0"/>
              <w:rPr>
                <w:sz w:val="20"/>
                <w:szCs w:val="20"/>
                <w:color w:val="auto"/>
              </w:rPr>
            </w:pPr>
            <w:r>
              <w:rPr>
                <w:rFonts w:ascii="Arial" w:cs="Arial" w:eastAsia="Arial" w:hAnsi="Arial"/>
                <w:sz w:val="8"/>
                <w:szCs w:val="8"/>
                <w:color w:val="auto"/>
              </w:rPr>
              <w:t>1,545</w:t>
            </w:r>
          </w:p>
        </w:tc>
        <w:tc>
          <w:tcPr>
            <w:tcW w:w="22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88"/>
              </w:rPr>
              <w:t>$</w:t>
            </w:r>
          </w:p>
        </w:tc>
        <w:tc>
          <w:tcPr>
            <w:tcW w:w="380" w:type="dxa"/>
            <w:vAlign w:val="bottom"/>
          </w:tcPr>
          <w:p>
            <w:pPr>
              <w:jc w:val="right"/>
              <w:spacing w:after="0"/>
              <w:rPr>
                <w:sz w:val="20"/>
                <w:szCs w:val="20"/>
                <w:color w:val="auto"/>
              </w:rPr>
            </w:pPr>
            <w:r>
              <w:rPr>
                <w:rFonts w:ascii="Arial" w:cs="Arial" w:eastAsia="Arial" w:hAnsi="Arial"/>
                <w:sz w:val="8"/>
                <w:szCs w:val="8"/>
                <w:color w:val="auto"/>
              </w:rPr>
              <w:t>298</w:t>
            </w:r>
          </w:p>
        </w:tc>
        <w:tc>
          <w:tcPr>
            <w:tcW w:w="280" w:type="dxa"/>
            <w:vAlign w:val="bottom"/>
          </w:tcPr>
          <w:p>
            <w:pPr>
              <w:jc w:val="right"/>
              <w:spacing w:after="0"/>
              <w:rPr>
                <w:sz w:val="20"/>
                <w:szCs w:val="20"/>
                <w:color w:val="auto"/>
              </w:rPr>
            </w:pPr>
            <w:r>
              <w:rPr>
                <w:rFonts w:ascii="Arial" w:cs="Arial" w:eastAsia="Arial" w:hAnsi="Arial"/>
                <w:sz w:val="8"/>
                <w:szCs w:val="8"/>
                <w:color w:val="auto"/>
              </w:rPr>
              <w:t>$</w:t>
            </w:r>
          </w:p>
        </w:tc>
        <w:tc>
          <w:tcPr>
            <w:tcW w:w="620" w:type="dxa"/>
            <w:vAlign w:val="bottom"/>
          </w:tcPr>
          <w:p>
            <w:pPr>
              <w:jc w:val="right"/>
              <w:spacing w:after="0"/>
              <w:rPr>
                <w:sz w:val="20"/>
                <w:szCs w:val="20"/>
                <w:color w:val="auto"/>
              </w:rPr>
            </w:pPr>
            <w:r>
              <w:rPr>
                <w:rFonts w:ascii="Arial" w:cs="Arial" w:eastAsia="Arial" w:hAnsi="Arial"/>
                <w:sz w:val="8"/>
                <w:szCs w:val="8"/>
                <w:color w:val="auto"/>
              </w:rPr>
              <w:t>442</w:t>
            </w:r>
          </w:p>
        </w:tc>
        <w:tc>
          <w:tcPr>
            <w:tcW w:w="280" w:type="dxa"/>
            <w:vAlign w:val="bottom"/>
          </w:tcPr>
          <w:p>
            <w:pPr>
              <w:jc w:val="right"/>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w:t>
            </w:r>
          </w:p>
        </w:tc>
        <w:tc>
          <w:tcPr>
            <w:tcW w:w="260" w:type="dxa"/>
            <w:vAlign w:val="bottom"/>
          </w:tcPr>
          <w:p>
            <w:pPr>
              <w:jc w:val="right"/>
              <w:spacing w:after="0"/>
              <w:rPr>
                <w:sz w:val="20"/>
                <w:szCs w:val="20"/>
                <w:color w:val="auto"/>
              </w:rPr>
            </w:pPr>
            <w:r>
              <w:rPr>
                <w:rFonts w:ascii="Arial" w:cs="Arial" w:eastAsia="Arial" w:hAnsi="Arial"/>
                <w:sz w:val="8"/>
                <w:szCs w:val="8"/>
                <w:color w:val="auto"/>
              </w:rPr>
              <w:t>$</w:t>
            </w:r>
          </w:p>
        </w:tc>
        <w:tc>
          <w:tcPr>
            <w:tcW w:w="50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33"/>
        </w:trPr>
        <w:tc>
          <w:tcPr>
            <w:tcW w:w="1800" w:type="dxa"/>
            <w:vAlign w:val="bottom"/>
            <w:shd w:val="clear" w:color="auto" w:fill="CCEEFF"/>
          </w:tcPr>
          <w:p>
            <w:pPr>
              <w:ind w:left="20"/>
              <w:spacing w:after="0"/>
              <w:rPr>
                <w:sz w:val="20"/>
                <w:szCs w:val="20"/>
                <w:color w:val="auto"/>
              </w:rPr>
            </w:pPr>
            <w:r>
              <w:rPr>
                <w:rFonts w:ascii="Arial" w:cs="Arial" w:eastAsia="Arial" w:hAnsi="Arial"/>
                <w:sz w:val="8"/>
                <w:szCs w:val="8"/>
                <w:color w:val="auto"/>
              </w:rPr>
              <w:t>US GreenFiber, LLC</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22,943</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8"/>
                <w:szCs w:val="8"/>
                <w:color w:val="auto"/>
              </w:rPr>
              <w:t>16,417</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8"/>
                <w:szCs w:val="8"/>
                <w:color w:val="auto"/>
              </w:rPr>
              <w:t>5,830</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(1,385 )</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8"/>
                <w:szCs w:val="8"/>
                <w:color w:val="auto"/>
              </w:rPr>
              <w:t>20,862</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300" w:type="dxa"/>
            <w:vAlign w:val="bottom"/>
            <w:tcBorders>
              <w:right w:val="single" w:sz="8" w:color="CCEEFF"/>
            </w:tcBorders>
            <w:shd w:val="clear" w:color="auto" w:fill="CCEEFF"/>
          </w:tcPr>
          <w:p>
            <w:pPr>
              <w:spacing w:after="0"/>
              <w:rPr>
                <w:sz w:val="11"/>
                <w:szCs w:val="11"/>
                <w:color w:val="auto"/>
              </w:rPr>
            </w:pPr>
          </w:p>
        </w:tc>
        <w:tc>
          <w:tcPr>
            <w:tcW w:w="880" w:type="dxa"/>
            <w:vAlign w:val="bottom"/>
            <w:gridSpan w:val="2"/>
            <w:shd w:val="clear" w:color="auto" w:fill="CCEEFF"/>
          </w:tcPr>
          <w:p>
            <w:pPr>
              <w:jc w:val="right"/>
              <w:ind w:right="138"/>
              <w:spacing w:after="0"/>
              <w:rPr>
                <w:sz w:val="20"/>
                <w:szCs w:val="20"/>
                <w:color w:val="auto"/>
              </w:rPr>
            </w:pPr>
            <w:r>
              <w:rPr>
                <w:rFonts w:ascii="Arial" w:cs="Arial" w:eastAsia="Arial" w:hAnsi="Arial"/>
                <w:sz w:val="8"/>
                <w:szCs w:val="8"/>
                <w:color w:val="auto"/>
              </w:rPr>
              <w:t>(363 )</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8"/>
                <w:szCs w:val="8"/>
                <w:color w:val="auto"/>
              </w:rPr>
              <w:t>1,591</w:t>
            </w:r>
          </w:p>
        </w:tc>
        <w:tc>
          <w:tcPr>
            <w:tcW w:w="28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1,306</w:t>
            </w:r>
          </w:p>
        </w:tc>
        <w:tc>
          <w:tcPr>
            <w:tcW w:w="280" w:type="dxa"/>
            <w:vAlign w:val="bottom"/>
            <w:tcBorders>
              <w:right w:val="single" w:sz="8" w:color="CCEEFF"/>
            </w:tcBorders>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60" w:type="dxa"/>
            <w:vAlign w:val="bottom"/>
            <w:tcBorders>
              <w:right w:val="single" w:sz="8" w:color="CCEEFF"/>
            </w:tcBorders>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20"/>
        </w:trPr>
        <w:tc>
          <w:tcPr>
            <w:tcW w:w="1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800" w:type="dxa"/>
            <w:vAlign w:val="bottom"/>
          </w:tcPr>
          <w:p>
            <w:pPr>
              <w:ind w:left="20"/>
              <w:spacing w:after="0"/>
              <w:rPr>
                <w:sz w:val="20"/>
                <w:szCs w:val="20"/>
                <w:color w:val="auto"/>
              </w:rPr>
            </w:pPr>
            <w:r>
              <w:rPr>
                <w:rFonts w:ascii="Arial" w:cs="Arial" w:eastAsia="Arial" w:hAnsi="Arial"/>
                <w:sz w:val="8"/>
                <w:szCs w:val="8"/>
                <w:b w:val="1"/>
                <w:bCs w:val="1"/>
                <w:color w:val="auto"/>
              </w:rPr>
              <w:t>Total Control Investments</w:t>
            </w:r>
          </w:p>
        </w:tc>
        <w:tc>
          <w:tcPr>
            <w:tcW w:w="12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88"/>
              </w:rPr>
              <w:t>$</w:t>
            </w:r>
          </w:p>
        </w:tc>
        <w:tc>
          <w:tcPr>
            <w:tcW w:w="740" w:type="dxa"/>
            <w:vAlign w:val="bottom"/>
          </w:tcPr>
          <w:p>
            <w:pPr>
              <w:jc w:val="right"/>
              <w:spacing w:after="0"/>
              <w:rPr>
                <w:sz w:val="20"/>
                <w:szCs w:val="20"/>
                <w:color w:val="auto"/>
              </w:rPr>
            </w:pPr>
            <w:r>
              <w:rPr>
                <w:rFonts w:ascii="Arial" w:cs="Arial" w:eastAsia="Arial" w:hAnsi="Arial"/>
                <w:sz w:val="8"/>
                <w:szCs w:val="8"/>
                <w:color w:val="auto"/>
              </w:rPr>
              <w:t>28,065</w:t>
            </w:r>
          </w:p>
        </w:tc>
        <w:tc>
          <w:tcPr>
            <w:tcW w:w="22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500" w:type="dxa"/>
            <w:vAlign w:val="bottom"/>
          </w:tcPr>
          <w:p>
            <w:pPr>
              <w:jc w:val="right"/>
              <w:spacing w:after="0"/>
              <w:rPr>
                <w:sz w:val="20"/>
                <w:szCs w:val="20"/>
                <w:color w:val="auto"/>
              </w:rPr>
            </w:pPr>
            <w:r>
              <w:rPr>
                <w:rFonts w:ascii="Arial" w:cs="Arial" w:eastAsia="Arial" w:hAnsi="Arial"/>
                <w:sz w:val="8"/>
                <w:szCs w:val="8"/>
                <w:color w:val="auto"/>
              </w:rPr>
              <w:t>21,820</w:t>
            </w:r>
          </w:p>
        </w:tc>
        <w:tc>
          <w:tcPr>
            <w:tcW w:w="220" w:type="dxa"/>
            <w:vAlign w:val="bottom"/>
          </w:tcPr>
          <w:p>
            <w:pPr>
              <w:spacing w:after="0"/>
              <w:rPr>
                <w:sz w:val="10"/>
                <w:szCs w:val="10"/>
                <w:color w:val="auto"/>
              </w:rPr>
            </w:pPr>
          </w:p>
        </w:tc>
        <w:tc>
          <w:tcPr>
            <w:tcW w:w="180" w:type="dxa"/>
            <w:vAlign w:val="bottom"/>
          </w:tcPr>
          <w:p>
            <w:pPr>
              <w:jc w:val="right"/>
              <w:ind w:right="78"/>
              <w:spacing w:after="0"/>
              <w:rPr>
                <w:sz w:val="20"/>
                <w:szCs w:val="20"/>
                <w:color w:val="auto"/>
              </w:rPr>
            </w:pPr>
            <w:r>
              <w:rPr>
                <w:rFonts w:ascii="Arial" w:cs="Arial" w:eastAsia="Arial" w:hAnsi="Arial"/>
                <w:sz w:val="8"/>
                <w:szCs w:val="8"/>
                <w:color w:val="auto"/>
                <w:w w:val="88"/>
              </w:rPr>
              <w:t>$</w:t>
            </w:r>
          </w:p>
        </w:tc>
        <w:tc>
          <w:tcPr>
            <w:tcW w:w="500" w:type="dxa"/>
            <w:vAlign w:val="bottom"/>
          </w:tcPr>
          <w:p>
            <w:pPr>
              <w:jc w:val="right"/>
              <w:spacing w:after="0"/>
              <w:rPr>
                <w:sz w:val="20"/>
                <w:szCs w:val="20"/>
                <w:color w:val="auto"/>
              </w:rPr>
            </w:pPr>
            <w:r>
              <w:rPr>
                <w:rFonts w:ascii="Arial" w:cs="Arial" w:eastAsia="Arial" w:hAnsi="Arial"/>
                <w:sz w:val="8"/>
                <w:szCs w:val="8"/>
                <w:color w:val="auto"/>
              </w:rPr>
              <w:t>7,818</w:t>
            </w:r>
          </w:p>
        </w:tc>
        <w:tc>
          <w:tcPr>
            <w:tcW w:w="240" w:type="dxa"/>
            <w:vAlign w:val="bottom"/>
          </w:tcPr>
          <w:p>
            <w:pPr>
              <w:spacing w:after="0"/>
              <w:rPr>
                <w:sz w:val="10"/>
                <w:szCs w:val="10"/>
                <w:color w:val="auto"/>
              </w:rPr>
            </w:pPr>
          </w:p>
        </w:tc>
        <w:tc>
          <w:tcPr>
            <w:tcW w:w="180" w:type="dxa"/>
            <w:vAlign w:val="bottom"/>
          </w:tcPr>
          <w:p>
            <w:pPr>
              <w:spacing w:after="0"/>
              <w:rPr>
                <w:sz w:val="20"/>
                <w:szCs w:val="20"/>
                <w:color w:val="auto"/>
              </w:rPr>
            </w:pPr>
            <w:r>
              <w:rPr>
                <w:rFonts w:ascii="Arial" w:cs="Arial" w:eastAsia="Arial" w:hAnsi="Arial"/>
                <w:sz w:val="8"/>
                <w:szCs w:val="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8"/>
                <w:szCs w:val="8"/>
                <w:color w:val="auto"/>
              </w:rPr>
              <w:t>(1,385 )</w:t>
            </w: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500" w:type="dxa"/>
            <w:vAlign w:val="bottom"/>
          </w:tcPr>
          <w:p>
            <w:pPr>
              <w:jc w:val="right"/>
              <w:spacing w:after="0"/>
              <w:rPr>
                <w:sz w:val="20"/>
                <w:szCs w:val="20"/>
                <w:color w:val="auto"/>
              </w:rPr>
            </w:pPr>
            <w:r>
              <w:rPr>
                <w:rFonts w:ascii="Arial" w:cs="Arial" w:eastAsia="Arial" w:hAnsi="Arial"/>
                <w:sz w:val="8"/>
                <w:szCs w:val="8"/>
                <w:color w:val="auto"/>
              </w:rPr>
              <w:t>28,253</w:t>
            </w:r>
          </w:p>
        </w:tc>
        <w:tc>
          <w:tcPr>
            <w:tcW w:w="22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820" w:type="dxa"/>
            <w:vAlign w:val="bottom"/>
          </w:tcPr>
          <w:p>
            <w:pPr>
              <w:jc w:val="right"/>
              <w:spacing w:after="0"/>
              <w:rPr>
                <w:sz w:val="20"/>
                <w:szCs w:val="20"/>
                <w:color w:val="auto"/>
              </w:rPr>
            </w:pPr>
            <w:r>
              <w:rPr>
                <w:rFonts w:ascii="Arial" w:cs="Arial" w:eastAsia="Arial" w:hAnsi="Arial"/>
                <w:sz w:val="8"/>
                <w:szCs w:val="8"/>
                <w:color w:val="auto"/>
              </w:rPr>
              <w:t>-</w:t>
            </w:r>
          </w:p>
        </w:tc>
        <w:tc>
          <w:tcPr>
            <w:tcW w:w="300" w:type="dxa"/>
            <w:vAlign w:val="bottom"/>
          </w:tcPr>
          <w:p>
            <w:pPr>
              <w:jc w:val="right"/>
              <w:spacing w:after="0"/>
              <w:rPr>
                <w:sz w:val="20"/>
                <w:szCs w:val="20"/>
                <w:color w:val="auto"/>
              </w:rPr>
            </w:pPr>
            <w:r>
              <w:rPr>
                <w:rFonts w:ascii="Arial" w:cs="Arial" w:eastAsia="Arial" w:hAnsi="Arial"/>
                <w:sz w:val="8"/>
                <w:szCs w:val="8"/>
                <w:color w:val="auto"/>
              </w:rPr>
              <w:t>$</w:t>
            </w:r>
          </w:p>
        </w:tc>
        <w:tc>
          <w:tcPr>
            <w:tcW w:w="660" w:type="dxa"/>
            <w:vAlign w:val="bottom"/>
          </w:tcPr>
          <w:p>
            <w:pPr>
              <w:jc w:val="right"/>
              <w:spacing w:after="0"/>
              <w:rPr>
                <w:sz w:val="20"/>
                <w:szCs w:val="20"/>
                <w:color w:val="auto"/>
              </w:rPr>
            </w:pPr>
            <w:r>
              <w:rPr>
                <w:rFonts w:ascii="Arial" w:cs="Arial" w:eastAsia="Arial" w:hAnsi="Arial"/>
                <w:sz w:val="8"/>
                <w:szCs w:val="8"/>
                <w:color w:val="auto"/>
              </w:rPr>
              <w:t>1,182</w:t>
            </w:r>
          </w:p>
        </w:tc>
        <w:tc>
          <w:tcPr>
            <w:tcW w:w="22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88"/>
              </w:rPr>
              <w:t>$</w:t>
            </w:r>
          </w:p>
        </w:tc>
        <w:tc>
          <w:tcPr>
            <w:tcW w:w="380" w:type="dxa"/>
            <w:vAlign w:val="bottom"/>
          </w:tcPr>
          <w:p>
            <w:pPr>
              <w:jc w:val="right"/>
              <w:spacing w:after="0"/>
              <w:rPr>
                <w:sz w:val="20"/>
                <w:szCs w:val="20"/>
                <w:color w:val="auto"/>
              </w:rPr>
            </w:pPr>
            <w:r>
              <w:rPr>
                <w:rFonts w:ascii="Arial" w:cs="Arial" w:eastAsia="Arial" w:hAnsi="Arial"/>
                <w:sz w:val="8"/>
                <w:szCs w:val="8"/>
                <w:color w:val="auto"/>
              </w:rPr>
              <w:t>1,889</w:t>
            </w:r>
          </w:p>
        </w:tc>
        <w:tc>
          <w:tcPr>
            <w:tcW w:w="280" w:type="dxa"/>
            <w:vAlign w:val="bottom"/>
          </w:tcPr>
          <w:p>
            <w:pPr>
              <w:jc w:val="right"/>
              <w:spacing w:after="0"/>
              <w:rPr>
                <w:sz w:val="20"/>
                <w:szCs w:val="20"/>
                <w:color w:val="auto"/>
              </w:rPr>
            </w:pPr>
            <w:r>
              <w:rPr>
                <w:rFonts w:ascii="Arial" w:cs="Arial" w:eastAsia="Arial" w:hAnsi="Arial"/>
                <w:sz w:val="8"/>
                <w:szCs w:val="8"/>
                <w:color w:val="auto"/>
              </w:rPr>
              <w:t>$</w:t>
            </w:r>
          </w:p>
        </w:tc>
        <w:tc>
          <w:tcPr>
            <w:tcW w:w="620" w:type="dxa"/>
            <w:vAlign w:val="bottom"/>
          </w:tcPr>
          <w:p>
            <w:pPr>
              <w:jc w:val="right"/>
              <w:spacing w:after="0"/>
              <w:rPr>
                <w:sz w:val="20"/>
                <w:szCs w:val="20"/>
                <w:color w:val="auto"/>
              </w:rPr>
            </w:pPr>
            <w:r>
              <w:rPr>
                <w:rFonts w:ascii="Arial" w:cs="Arial" w:eastAsia="Arial" w:hAnsi="Arial"/>
                <w:sz w:val="8"/>
                <w:szCs w:val="8"/>
                <w:color w:val="auto"/>
              </w:rPr>
              <w:t>1,748</w:t>
            </w:r>
          </w:p>
        </w:tc>
        <w:tc>
          <w:tcPr>
            <w:tcW w:w="280" w:type="dxa"/>
            <w:vAlign w:val="bottom"/>
          </w:tcPr>
          <w:p>
            <w:pPr>
              <w:jc w:val="right"/>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w:t>
            </w:r>
          </w:p>
        </w:tc>
        <w:tc>
          <w:tcPr>
            <w:tcW w:w="260" w:type="dxa"/>
            <w:vAlign w:val="bottom"/>
          </w:tcPr>
          <w:p>
            <w:pPr>
              <w:jc w:val="right"/>
              <w:spacing w:after="0"/>
              <w:rPr>
                <w:sz w:val="20"/>
                <w:szCs w:val="20"/>
                <w:color w:val="auto"/>
              </w:rPr>
            </w:pPr>
            <w:r>
              <w:rPr>
                <w:rFonts w:ascii="Arial" w:cs="Arial" w:eastAsia="Arial" w:hAnsi="Arial"/>
                <w:sz w:val="8"/>
                <w:szCs w:val="8"/>
                <w:color w:val="auto"/>
              </w:rPr>
              <w:t>$</w:t>
            </w:r>
          </w:p>
        </w:tc>
        <w:tc>
          <w:tcPr>
            <w:tcW w:w="50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1800" w:type="dxa"/>
            <w:vAlign w:val="bottom"/>
            <w:shd w:val="clear" w:color="auto" w:fill="CCEEFF"/>
          </w:tcPr>
          <w:p>
            <w:pPr>
              <w:ind w:left="20"/>
              <w:spacing w:after="0"/>
              <w:rPr>
                <w:sz w:val="20"/>
                <w:szCs w:val="20"/>
                <w:color w:val="auto"/>
              </w:rPr>
            </w:pPr>
            <w:r>
              <w:rPr>
                <w:rFonts w:ascii="Arial" w:cs="Arial" w:eastAsia="Arial" w:hAnsi="Arial"/>
                <w:sz w:val="8"/>
                <w:szCs w:val="8"/>
                <w:b w:val="1"/>
                <w:bCs w:val="1"/>
                <w:color w:val="auto"/>
              </w:rPr>
              <w:t>Affiliate Investments</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300" w:type="dxa"/>
            <w:vAlign w:val="bottom"/>
            <w:tcBorders>
              <w:right w:val="single" w:sz="8" w:color="CCEEFF"/>
            </w:tcBorders>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60" w:type="dxa"/>
            <w:vAlign w:val="bottom"/>
            <w:tcBorders>
              <w:right w:val="single" w:sz="8" w:color="CCEEFF"/>
            </w:tcBorders>
            <w:shd w:val="clear" w:color="auto" w:fill="CCEEFF"/>
          </w:tcPr>
          <w:p>
            <w:pPr>
              <w:spacing w:after="0"/>
              <w:rPr>
                <w:sz w:val="9"/>
                <w:szCs w:val="9"/>
                <w:color w:val="auto"/>
              </w:rPr>
            </w:pPr>
          </w:p>
        </w:tc>
        <w:tc>
          <w:tcPr>
            <w:tcW w:w="50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800" w:type="dxa"/>
            <w:vAlign w:val="bottom"/>
          </w:tcPr>
          <w:p>
            <w:pPr>
              <w:ind w:left="20"/>
              <w:spacing w:after="0"/>
              <w:rPr>
                <w:sz w:val="20"/>
                <w:szCs w:val="20"/>
                <w:color w:val="auto"/>
              </w:rPr>
            </w:pPr>
            <w:r>
              <w:rPr>
                <w:rFonts w:ascii="Arial" w:cs="Arial" w:eastAsia="Arial" w:hAnsi="Arial"/>
                <w:sz w:val="8"/>
                <w:szCs w:val="8"/>
                <w:color w:val="auto"/>
              </w:rPr>
              <w:t>FAR Research Inc.</w:t>
            </w:r>
          </w:p>
        </w:tc>
        <w:tc>
          <w:tcPr>
            <w:tcW w:w="180" w:type="dxa"/>
            <w:vAlign w:val="bottom"/>
            <w:gridSpan w:val="2"/>
          </w:tcPr>
          <w:p>
            <w:pPr>
              <w:jc w:val="right"/>
              <w:spacing w:after="0"/>
              <w:rPr>
                <w:sz w:val="20"/>
                <w:szCs w:val="20"/>
                <w:color w:val="auto"/>
              </w:rPr>
            </w:pPr>
            <w:r>
              <w:rPr>
                <w:rFonts w:ascii="Arial" w:cs="Arial" w:eastAsia="Arial" w:hAnsi="Arial"/>
                <w:sz w:val="8"/>
                <w:szCs w:val="8"/>
                <w:color w:val="auto"/>
              </w:rPr>
              <w:t>$</w:t>
            </w:r>
          </w:p>
        </w:tc>
        <w:tc>
          <w:tcPr>
            <w:tcW w:w="740" w:type="dxa"/>
            <w:vAlign w:val="bottom"/>
          </w:tcPr>
          <w:p>
            <w:pPr>
              <w:jc w:val="right"/>
              <w:spacing w:after="0"/>
              <w:rPr>
                <w:sz w:val="20"/>
                <w:szCs w:val="20"/>
                <w:color w:val="auto"/>
              </w:rPr>
            </w:pPr>
            <w:r>
              <w:rPr>
                <w:rFonts w:ascii="Arial" w:cs="Arial" w:eastAsia="Arial" w:hAnsi="Arial"/>
                <w:sz w:val="8"/>
                <w:szCs w:val="8"/>
                <w:color w:val="auto"/>
              </w:rPr>
              <w:t>-</w:t>
            </w:r>
          </w:p>
        </w:tc>
        <w:tc>
          <w:tcPr>
            <w:tcW w:w="300" w:type="dxa"/>
            <w:vAlign w:val="bottom"/>
            <w:gridSpan w:val="2"/>
          </w:tcPr>
          <w:p>
            <w:pPr>
              <w:jc w:val="right"/>
              <w:spacing w:after="0"/>
              <w:rPr>
                <w:sz w:val="20"/>
                <w:szCs w:val="20"/>
                <w:color w:val="auto"/>
              </w:rPr>
            </w:pPr>
            <w:r>
              <w:rPr>
                <w:rFonts w:ascii="Arial" w:cs="Arial" w:eastAsia="Arial" w:hAnsi="Arial"/>
                <w:sz w:val="8"/>
                <w:szCs w:val="8"/>
                <w:color w:val="auto"/>
              </w:rPr>
              <w:t>$</w:t>
            </w:r>
          </w:p>
        </w:tc>
        <w:tc>
          <w:tcPr>
            <w:tcW w:w="500" w:type="dxa"/>
            <w:vAlign w:val="bottom"/>
          </w:tcPr>
          <w:p>
            <w:pPr>
              <w:jc w:val="right"/>
              <w:spacing w:after="0"/>
              <w:rPr>
                <w:sz w:val="20"/>
                <w:szCs w:val="20"/>
                <w:color w:val="auto"/>
              </w:rPr>
            </w:pPr>
            <w:r>
              <w:rPr>
                <w:rFonts w:ascii="Arial" w:cs="Arial" w:eastAsia="Arial" w:hAnsi="Arial"/>
                <w:sz w:val="8"/>
                <w:szCs w:val="8"/>
                <w:color w:val="auto"/>
              </w:rPr>
              <w:t>28</w:t>
            </w:r>
          </w:p>
        </w:tc>
        <w:tc>
          <w:tcPr>
            <w:tcW w:w="400" w:type="dxa"/>
            <w:vAlign w:val="bottom"/>
            <w:gridSpan w:val="2"/>
          </w:tcPr>
          <w:p>
            <w:pPr>
              <w:jc w:val="right"/>
              <w:ind w:right="78"/>
              <w:spacing w:after="0"/>
              <w:rPr>
                <w:sz w:val="20"/>
                <w:szCs w:val="20"/>
                <w:color w:val="auto"/>
              </w:rPr>
            </w:pPr>
            <w:r>
              <w:rPr>
                <w:rFonts w:ascii="Arial" w:cs="Arial" w:eastAsia="Arial" w:hAnsi="Arial"/>
                <w:sz w:val="8"/>
                <w:szCs w:val="8"/>
                <w:color w:val="auto"/>
              </w:rPr>
              <w:t>$</w:t>
            </w:r>
          </w:p>
        </w:tc>
        <w:tc>
          <w:tcPr>
            <w:tcW w:w="500" w:type="dxa"/>
            <w:vAlign w:val="bottom"/>
          </w:tcPr>
          <w:p>
            <w:pPr>
              <w:jc w:val="right"/>
              <w:spacing w:after="0"/>
              <w:rPr>
                <w:sz w:val="20"/>
                <w:szCs w:val="20"/>
                <w:color w:val="auto"/>
              </w:rPr>
            </w:pPr>
            <w:r>
              <w:rPr>
                <w:rFonts w:ascii="Arial" w:cs="Arial" w:eastAsia="Arial" w:hAnsi="Arial"/>
                <w:sz w:val="8"/>
                <w:szCs w:val="8"/>
                <w:color w:val="auto"/>
              </w:rPr>
              <w:t>-</w:t>
            </w:r>
          </w:p>
        </w:tc>
        <w:tc>
          <w:tcPr>
            <w:tcW w:w="420" w:type="dxa"/>
            <w:vAlign w:val="bottom"/>
            <w:gridSpan w:val="2"/>
          </w:tcPr>
          <w:p>
            <w:pPr>
              <w:ind w:left="240"/>
              <w:spacing w:after="0"/>
              <w:rPr>
                <w:sz w:val="20"/>
                <w:szCs w:val="20"/>
                <w:color w:val="auto"/>
              </w:rPr>
            </w:pPr>
            <w:r>
              <w:rPr>
                <w:rFonts w:ascii="Arial" w:cs="Arial" w:eastAsia="Arial" w:hAnsi="Arial"/>
                <w:sz w:val="8"/>
                <w:szCs w:val="8"/>
                <w:color w:val="auto"/>
              </w:rPr>
              <w:t>$</w:t>
            </w:r>
          </w:p>
        </w:tc>
        <w:tc>
          <w:tcPr>
            <w:tcW w:w="50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500" w:type="dxa"/>
            <w:vAlign w:val="bottom"/>
          </w:tcPr>
          <w:p>
            <w:pPr>
              <w:jc w:val="right"/>
              <w:spacing w:after="0"/>
              <w:rPr>
                <w:sz w:val="20"/>
                <w:szCs w:val="20"/>
                <w:color w:val="auto"/>
              </w:rPr>
            </w:pPr>
            <w:r>
              <w:rPr>
                <w:rFonts w:ascii="Arial" w:cs="Arial" w:eastAsia="Arial" w:hAnsi="Arial"/>
                <w:sz w:val="8"/>
                <w:szCs w:val="8"/>
                <w:color w:val="auto"/>
              </w:rPr>
              <w:t>28</w:t>
            </w:r>
          </w:p>
        </w:tc>
        <w:tc>
          <w:tcPr>
            <w:tcW w:w="22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820" w:type="dxa"/>
            <w:vAlign w:val="bottom"/>
          </w:tcPr>
          <w:p>
            <w:pPr>
              <w:jc w:val="right"/>
              <w:spacing w:after="0"/>
              <w:rPr>
                <w:sz w:val="20"/>
                <w:szCs w:val="20"/>
                <w:color w:val="auto"/>
              </w:rPr>
            </w:pPr>
            <w:r>
              <w:rPr>
                <w:rFonts w:ascii="Arial" w:cs="Arial" w:eastAsia="Arial" w:hAnsi="Arial"/>
                <w:sz w:val="8"/>
                <w:szCs w:val="8"/>
                <w:color w:val="auto"/>
              </w:rPr>
              <w:t>-</w:t>
            </w:r>
          </w:p>
        </w:tc>
        <w:tc>
          <w:tcPr>
            <w:tcW w:w="300" w:type="dxa"/>
            <w:vAlign w:val="bottom"/>
          </w:tcPr>
          <w:p>
            <w:pPr>
              <w:jc w:val="right"/>
              <w:spacing w:after="0"/>
              <w:rPr>
                <w:sz w:val="20"/>
                <w:szCs w:val="20"/>
                <w:color w:val="auto"/>
              </w:rPr>
            </w:pPr>
            <w:r>
              <w:rPr>
                <w:rFonts w:ascii="Arial" w:cs="Arial" w:eastAsia="Arial" w:hAnsi="Arial"/>
                <w:sz w:val="8"/>
                <w:szCs w:val="8"/>
                <w:color w:val="auto"/>
              </w:rPr>
              <w:t>$</w:t>
            </w:r>
          </w:p>
        </w:tc>
        <w:tc>
          <w:tcPr>
            <w:tcW w:w="66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88"/>
              </w:rPr>
              <w:t>$</w:t>
            </w:r>
          </w:p>
        </w:tc>
        <w:tc>
          <w:tcPr>
            <w:tcW w:w="38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tcPr>
          <w:p>
            <w:pPr>
              <w:jc w:val="right"/>
              <w:spacing w:after="0"/>
              <w:rPr>
                <w:sz w:val="20"/>
                <w:szCs w:val="20"/>
                <w:color w:val="auto"/>
              </w:rPr>
            </w:pPr>
            <w:r>
              <w:rPr>
                <w:rFonts w:ascii="Arial" w:cs="Arial" w:eastAsia="Arial" w:hAnsi="Arial"/>
                <w:sz w:val="8"/>
                <w:szCs w:val="8"/>
                <w:color w:val="auto"/>
              </w:rPr>
              <w:t>$</w:t>
            </w:r>
          </w:p>
        </w:tc>
        <w:tc>
          <w:tcPr>
            <w:tcW w:w="62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tcPr>
          <w:p>
            <w:pPr>
              <w:jc w:val="right"/>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w:t>
            </w:r>
          </w:p>
        </w:tc>
        <w:tc>
          <w:tcPr>
            <w:tcW w:w="260" w:type="dxa"/>
            <w:vAlign w:val="bottom"/>
          </w:tcPr>
          <w:p>
            <w:pPr>
              <w:jc w:val="right"/>
              <w:spacing w:after="0"/>
              <w:rPr>
                <w:sz w:val="20"/>
                <w:szCs w:val="20"/>
                <w:color w:val="auto"/>
              </w:rPr>
            </w:pPr>
            <w:r>
              <w:rPr>
                <w:rFonts w:ascii="Arial" w:cs="Arial" w:eastAsia="Arial" w:hAnsi="Arial"/>
                <w:sz w:val="8"/>
                <w:szCs w:val="8"/>
                <w:color w:val="auto"/>
              </w:rPr>
              <w:t>$</w:t>
            </w:r>
          </w:p>
        </w:tc>
        <w:tc>
          <w:tcPr>
            <w:tcW w:w="50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34"/>
        </w:trPr>
        <w:tc>
          <w:tcPr>
            <w:tcW w:w="1800" w:type="dxa"/>
            <w:vAlign w:val="bottom"/>
            <w:shd w:val="clear" w:color="auto" w:fill="CCEEFF"/>
          </w:tcPr>
          <w:p>
            <w:pPr>
              <w:ind w:left="20"/>
              <w:spacing w:after="0"/>
              <w:rPr>
                <w:sz w:val="20"/>
                <w:szCs w:val="20"/>
                <w:color w:val="auto"/>
              </w:rPr>
            </w:pPr>
            <w:r>
              <w:rPr>
                <w:rFonts w:ascii="Arial" w:cs="Arial" w:eastAsia="Arial" w:hAnsi="Arial"/>
                <w:sz w:val="8"/>
                <w:szCs w:val="8"/>
                <w:color w:val="auto"/>
              </w:rPr>
              <w:t>Fiber Materials, Inc.</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8"/>
                <w:szCs w:val="8"/>
                <w:color w:val="auto"/>
              </w:rPr>
              <w:t>10,449</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8"/>
                <w:szCs w:val="8"/>
                <w:color w:val="auto"/>
              </w:rPr>
              <w:t>9,681</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(20,089 )</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8"/>
                <w:szCs w:val="8"/>
                <w:color w:val="auto"/>
              </w:rPr>
              <w:t>41</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9,681</w:t>
            </w:r>
          </w:p>
        </w:tc>
        <w:tc>
          <w:tcPr>
            <w:tcW w:w="300" w:type="dxa"/>
            <w:vAlign w:val="bottom"/>
            <w:tcBorders>
              <w:right w:val="single" w:sz="8" w:color="CCEEFF"/>
            </w:tcBorders>
            <w:shd w:val="clear" w:color="auto" w:fill="CCEEFF"/>
          </w:tcPr>
          <w:p>
            <w:pPr>
              <w:spacing w:after="0"/>
              <w:rPr>
                <w:sz w:val="11"/>
                <w:szCs w:val="11"/>
                <w:color w:val="auto"/>
              </w:rPr>
            </w:pPr>
          </w:p>
        </w:tc>
        <w:tc>
          <w:tcPr>
            <w:tcW w:w="880" w:type="dxa"/>
            <w:vAlign w:val="bottom"/>
            <w:gridSpan w:val="2"/>
            <w:shd w:val="clear" w:color="auto" w:fill="CCEEFF"/>
          </w:tcPr>
          <w:p>
            <w:pPr>
              <w:jc w:val="right"/>
              <w:ind w:right="138"/>
              <w:spacing w:after="0"/>
              <w:rPr>
                <w:sz w:val="20"/>
                <w:szCs w:val="20"/>
                <w:color w:val="auto"/>
              </w:rPr>
            </w:pPr>
            <w:r>
              <w:rPr>
                <w:rFonts w:ascii="Arial" w:cs="Arial" w:eastAsia="Arial" w:hAnsi="Arial"/>
                <w:sz w:val="8"/>
                <w:szCs w:val="8"/>
                <w:color w:val="auto"/>
              </w:rPr>
              <w:t>(9,762 )</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8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80" w:type="dxa"/>
            <w:vAlign w:val="bottom"/>
            <w:tcBorders>
              <w:right w:val="single" w:sz="8" w:color="CCEEFF"/>
            </w:tcBorders>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8"/>
                <w:szCs w:val="8"/>
                <w:color w:val="auto"/>
              </w:rPr>
              <w:t>354</w:t>
            </w:r>
          </w:p>
        </w:tc>
        <w:tc>
          <w:tcPr>
            <w:tcW w:w="260" w:type="dxa"/>
            <w:vAlign w:val="bottom"/>
            <w:tcBorders>
              <w:right w:val="single" w:sz="8" w:color="CCEEFF"/>
            </w:tcBorders>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20"/>
        </w:trPr>
        <w:tc>
          <w:tcPr>
            <w:tcW w:w="1800" w:type="dxa"/>
            <w:vAlign w:val="bottom"/>
          </w:tcPr>
          <w:p>
            <w:pPr>
              <w:ind w:left="20"/>
              <w:spacing w:after="0"/>
              <w:rPr>
                <w:sz w:val="20"/>
                <w:szCs w:val="20"/>
                <w:color w:val="auto"/>
              </w:rPr>
            </w:pPr>
            <w:r>
              <w:rPr>
                <w:rFonts w:ascii="Arial" w:cs="Arial" w:eastAsia="Arial" w:hAnsi="Arial"/>
                <w:sz w:val="8"/>
                <w:szCs w:val="8"/>
                <w:color w:val="auto"/>
              </w:rPr>
              <w:t>Medsurant Holdings, LLC</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8,031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8"/>
                <w:szCs w:val="8"/>
                <w:color w:val="auto"/>
              </w:rPr>
              <w:t>16,980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8"/>
                <w:szCs w:val="8"/>
                <w:color w:val="auto"/>
              </w:rPr>
              <w:t>1,721</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8"/>
                <w:szCs w:val="8"/>
                <w:color w:val="auto"/>
              </w:rPr>
              <w:t>(7,741 )</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8"/>
                <w:szCs w:val="8"/>
                <w:color w:val="auto"/>
              </w:rPr>
              <w:t>10,960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1,714</w:t>
            </w:r>
          </w:p>
        </w:tc>
        <w:tc>
          <w:tcPr>
            <w:tcW w:w="300" w:type="dxa"/>
            <w:vAlign w:val="bottom"/>
          </w:tcPr>
          <w:p>
            <w:pPr>
              <w:spacing w:after="0"/>
              <w:rPr>
                <w:sz w:val="10"/>
                <w:szCs w:val="10"/>
                <w:color w:val="auto"/>
              </w:rPr>
            </w:pPr>
          </w:p>
        </w:tc>
        <w:tc>
          <w:tcPr>
            <w:tcW w:w="880" w:type="dxa"/>
            <w:vAlign w:val="bottom"/>
            <w:gridSpan w:val="2"/>
          </w:tcPr>
          <w:p>
            <w:pPr>
              <w:jc w:val="right"/>
              <w:ind w:right="138"/>
              <w:spacing w:after="0"/>
              <w:rPr>
                <w:sz w:val="20"/>
                <w:szCs w:val="20"/>
                <w:color w:val="auto"/>
              </w:rPr>
            </w:pPr>
            <w:r>
              <w:rPr>
                <w:rFonts w:ascii="Arial" w:cs="Arial" w:eastAsia="Arial" w:hAnsi="Arial"/>
                <w:sz w:val="8"/>
                <w:szCs w:val="8"/>
                <w:color w:val="auto"/>
              </w:rPr>
              <w:t>(2,304 )</w:t>
            </w: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8"/>
                <w:szCs w:val="8"/>
                <w:color w:val="auto"/>
              </w:rPr>
              <w:t>1,145</w:t>
            </w:r>
          </w:p>
        </w:tc>
        <w:tc>
          <w:tcPr>
            <w:tcW w:w="2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8"/>
                <w:szCs w:val="8"/>
                <w:color w:val="auto"/>
              </w:rPr>
              <w:t>79</w:t>
            </w:r>
          </w:p>
        </w:tc>
        <w:tc>
          <w:tcPr>
            <w:tcW w:w="0" w:type="dxa"/>
            <w:vAlign w:val="bottom"/>
          </w:tcPr>
          <w:p>
            <w:pPr>
              <w:spacing w:after="0"/>
              <w:rPr>
                <w:sz w:val="1"/>
                <w:szCs w:val="1"/>
                <w:color w:val="auto"/>
              </w:rPr>
            </w:pPr>
          </w:p>
        </w:tc>
      </w:tr>
      <w:tr>
        <w:trPr>
          <w:trHeight w:val="134"/>
        </w:trPr>
        <w:tc>
          <w:tcPr>
            <w:tcW w:w="1800" w:type="dxa"/>
            <w:vAlign w:val="bottom"/>
            <w:shd w:val="clear" w:color="auto" w:fill="CCEEFF"/>
          </w:tcPr>
          <w:p>
            <w:pPr>
              <w:ind w:left="20"/>
              <w:spacing w:after="0"/>
              <w:rPr>
                <w:sz w:val="20"/>
                <w:szCs w:val="20"/>
                <w:color w:val="auto"/>
              </w:rPr>
            </w:pPr>
            <w:r>
              <w:rPr>
                <w:rFonts w:ascii="Arial" w:cs="Arial" w:eastAsia="Arial" w:hAnsi="Arial"/>
                <w:sz w:val="8"/>
                <w:szCs w:val="8"/>
                <w:color w:val="auto"/>
              </w:rPr>
              <w:t>Microbiology Research Associates, Inc.</w:t>
            </w:r>
            <w:r>
              <w:rPr>
                <w:rFonts w:ascii="Arial" w:cs="Arial" w:eastAsia="Arial" w:hAnsi="Arial"/>
                <w:sz w:val="11"/>
                <w:szCs w:val="11"/>
                <w:color w:val="auto"/>
                <w:vertAlign w:val="superscript"/>
              </w:rPr>
              <w:t>(5)</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8"/>
                <w:szCs w:val="8"/>
                <w:color w:val="auto"/>
              </w:rPr>
              <w:t>11,611</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8"/>
                <w:szCs w:val="8"/>
                <w:color w:val="auto"/>
              </w:rPr>
              <w:t>21</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(11,632 )</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300" w:type="dxa"/>
            <w:vAlign w:val="bottom"/>
            <w:tcBorders>
              <w:right w:val="single" w:sz="8" w:color="CCEEFF"/>
            </w:tcBorders>
            <w:shd w:val="clear" w:color="auto" w:fill="CCEEFF"/>
          </w:tcPr>
          <w:p>
            <w:pPr>
              <w:spacing w:after="0"/>
              <w:rPr>
                <w:sz w:val="11"/>
                <w:szCs w:val="11"/>
                <w:color w:val="auto"/>
              </w:rPr>
            </w:pPr>
          </w:p>
        </w:tc>
        <w:tc>
          <w:tcPr>
            <w:tcW w:w="880" w:type="dxa"/>
            <w:vAlign w:val="bottom"/>
            <w:gridSpan w:val="2"/>
            <w:shd w:val="clear" w:color="auto" w:fill="CCEEFF"/>
          </w:tcPr>
          <w:p>
            <w:pPr>
              <w:jc w:val="right"/>
              <w:ind w:right="138"/>
              <w:spacing w:after="0"/>
              <w:rPr>
                <w:sz w:val="20"/>
                <w:szCs w:val="20"/>
                <w:color w:val="auto"/>
              </w:rPr>
            </w:pPr>
            <w:r>
              <w:rPr>
                <w:rFonts w:ascii="Arial" w:cs="Arial" w:eastAsia="Arial" w:hAnsi="Arial"/>
                <w:sz w:val="8"/>
                <w:szCs w:val="8"/>
                <w:color w:val="auto"/>
              </w:rPr>
              <w:t>(751 )</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8"/>
                <w:szCs w:val="8"/>
                <w:color w:val="auto"/>
              </w:rPr>
              <w:t>84</w:t>
            </w:r>
          </w:p>
        </w:tc>
        <w:tc>
          <w:tcPr>
            <w:tcW w:w="28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11</w:t>
            </w:r>
          </w:p>
        </w:tc>
        <w:tc>
          <w:tcPr>
            <w:tcW w:w="280" w:type="dxa"/>
            <w:vAlign w:val="bottom"/>
            <w:tcBorders>
              <w:right w:val="single" w:sz="8" w:color="CCEEFF"/>
            </w:tcBorders>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60" w:type="dxa"/>
            <w:vAlign w:val="bottom"/>
            <w:tcBorders>
              <w:right w:val="single" w:sz="8" w:color="CCEEFF"/>
            </w:tcBorders>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20"/>
        </w:trPr>
        <w:tc>
          <w:tcPr>
            <w:tcW w:w="1800" w:type="dxa"/>
            <w:vAlign w:val="bottom"/>
          </w:tcPr>
          <w:p>
            <w:pPr>
              <w:ind w:left="20"/>
              <w:spacing w:after="0"/>
              <w:rPr>
                <w:sz w:val="20"/>
                <w:szCs w:val="20"/>
                <w:color w:val="auto"/>
              </w:rPr>
            </w:pPr>
            <w:r>
              <w:rPr>
                <w:rFonts w:ascii="Arial" w:cs="Arial" w:eastAsia="Arial" w:hAnsi="Arial"/>
                <w:sz w:val="8"/>
                <w:szCs w:val="8"/>
                <w:color w:val="auto"/>
              </w:rPr>
              <w:t>Mirage Trailers LLC</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6,410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8"/>
                <w:szCs w:val="8"/>
                <w:color w:val="auto"/>
              </w:rPr>
              <w:t>7,218</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8"/>
                <w:szCs w:val="8"/>
                <w:color w:val="auto"/>
              </w:rPr>
              <w:t>235</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8"/>
                <w:szCs w:val="8"/>
                <w:color w:val="auto"/>
              </w:rPr>
              <w:t>(959 )</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8"/>
                <w:szCs w:val="8"/>
                <w:color w:val="auto"/>
              </w:rPr>
              <w:t>6,494</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10"/>
                <w:szCs w:val="10"/>
                <w:color w:val="auto"/>
              </w:rPr>
            </w:pPr>
          </w:p>
        </w:tc>
        <w:tc>
          <w:tcPr>
            <w:tcW w:w="880" w:type="dxa"/>
            <w:vAlign w:val="bottom"/>
            <w:gridSpan w:val="2"/>
          </w:tcPr>
          <w:p>
            <w:pPr>
              <w:jc w:val="right"/>
              <w:ind w:right="138"/>
              <w:spacing w:after="0"/>
              <w:rPr>
                <w:sz w:val="20"/>
                <w:szCs w:val="20"/>
                <w:color w:val="auto"/>
              </w:rPr>
            </w:pPr>
            <w:r>
              <w:rPr>
                <w:rFonts w:ascii="Arial" w:cs="Arial" w:eastAsia="Arial" w:hAnsi="Arial"/>
                <w:sz w:val="8"/>
                <w:szCs w:val="8"/>
                <w:color w:val="auto"/>
              </w:rPr>
              <w:t>(959 )</w:t>
            </w: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8"/>
                <w:szCs w:val="8"/>
                <w:color w:val="auto"/>
              </w:rPr>
              <w:t>718</w:t>
            </w:r>
          </w:p>
        </w:tc>
        <w:tc>
          <w:tcPr>
            <w:tcW w:w="2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159</w:t>
            </w:r>
          </w:p>
        </w:tc>
        <w:tc>
          <w:tcPr>
            <w:tcW w:w="2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8"/>
                <w:szCs w:val="8"/>
                <w:color w:val="auto"/>
              </w:rPr>
              <w:t>5</w:t>
            </w:r>
          </w:p>
        </w:tc>
        <w:tc>
          <w:tcPr>
            <w:tcW w:w="2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8"/>
                <w:szCs w:val="8"/>
                <w:color w:val="auto"/>
              </w:rPr>
              <w:t>16</w:t>
            </w:r>
          </w:p>
        </w:tc>
        <w:tc>
          <w:tcPr>
            <w:tcW w:w="0" w:type="dxa"/>
            <w:vAlign w:val="bottom"/>
          </w:tcPr>
          <w:p>
            <w:pPr>
              <w:spacing w:after="0"/>
              <w:rPr>
                <w:sz w:val="1"/>
                <w:szCs w:val="1"/>
                <w:color w:val="auto"/>
              </w:rPr>
            </w:pPr>
          </w:p>
        </w:tc>
      </w:tr>
      <w:tr>
        <w:trPr>
          <w:trHeight w:val="134"/>
        </w:trPr>
        <w:tc>
          <w:tcPr>
            <w:tcW w:w="1800" w:type="dxa"/>
            <w:vAlign w:val="bottom"/>
            <w:shd w:val="clear" w:color="auto" w:fill="CCEEFF"/>
          </w:tcPr>
          <w:p>
            <w:pPr>
              <w:ind w:left="20"/>
              <w:spacing w:after="0"/>
              <w:rPr>
                <w:sz w:val="20"/>
                <w:szCs w:val="20"/>
                <w:color w:val="auto"/>
              </w:rPr>
            </w:pPr>
            <w:r>
              <w:rPr>
                <w:rFonts w:ascii="Arial" w:cs="Arial" w:eastAsia="Arial" w:hAnsi="Arial"/>
                <w:sz w:val="8"/>
                <w:szCs w:val="8"/>
                <w:color w:val="auto"/>
              </w:rPr>
              <w:t>Pfanstiehl, Inc.</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8"/>
                <w:szCs w:val="8"/>
                <w:color w:val="auto"/>
              </w:rPr>
              <w:t>32,822</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8"/>
                <w:szCs w:val="8"/>
                <w:color w:val="auto"/>
              </w:rPr>
              <w:t>20,128</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(19,445 )</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8"/>
                <w:szCs w:val="8"/>
                <w:color w:val="auto"/>
              </w:rPr>
              <w:t>33,505</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12,812</w:t>
            </w:r>
          </w:p>
        </w:tc>
        <w:tc>
          <w:tcPr>
            <w:tcW w:w="30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7,309</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8"/>
                <w:szCs w:val="8"/>
                <w:color w:val="auto"/>
              </w:rPr>
              <w:t>630</w:t>
            </w:r>
          </w:p>
        </w:tc>
        <w:tc>
          <w:tcPr>
            <w:tcW w:w="28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80" w:type="dxa"/>
            <w:vAlign w:val="bottom"/>
            <w:tcBorders>
              <w:right w:val="single" w:sz="8" w:color="CCEEFF"/>
            </w:tcBorders>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8"/>
                <w:szCs w:val="8"/>
                <w:color w:val="auto"/>
              </w:rPr>
              <w:t>478</w:t>
            </w:r>
          </w:p>
        </w:tc>
        <w:tc>
          <w:tcPr>
            <w:tcW w:w="260" w:type="dxa"/>
            <w:vAlign w:val="bottom"/>
            <w:tcBorders>
              <w:right w:val="single" w:sz="8" w:color="CCEEFF"/>
            </w:tcBorders>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20"/>
        </w:trPr>
        <w:tc>
          <w:tcPr>
            <w:tcW w:w="1800" w:type="dxa"/>
            <w:vAlign w:val="bottom"/>
          </w:tcPr>
          <w:p>
            <w:pPr>
              <w:ind w:left="20"/>
              <w:spacing w:after="0"/>
              <w:rPr>
                <w:sz w:val="20"/>
                <w:szCs w:val="20"/>
                <w:color w:val="auto"/>
              </w:rPr>
            </w:pPr>
            <w:r>
              <w:rPr>
                <w:rFonts w:ascii="Arial" w:cs="Arial" w:eastAsia="Arial" w:hAnsi="Arial"/>
                <w:sz w:val="8"/>
                <w:szCs w:val="8"/>
                <w:color w:val="auto"/>
              </w:rPr>
              <w:t>Pinnergy, Ltd.</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8"/>
                <w:szCs w:val="8"/>
                <w:color w:val="auto"/>
              </w:rPr>
              <w:t>32,978</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8"/>
                <w:szCs w:val="8"/>
                <w:color w:val="auto"/>
              </w:rPr>
              <w:t>301</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8"/>
                <w:szCs w:val="8"/>
                <w:color w:val="auto"/>
              </w:rPr>
              <w:t>(12,690 )</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8"/>
                <w:szCs w:val="8"/>
                <w:color w:val="auto"/>
              </w:rPr>
              <w:t>20,589</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301</w:t>
            </w:r>
          </w:p>
        </w:tc>
        <w:tc>
          <w:tcPr>
            <w:tcW w:w="300" w:type="dxa"/>
            <w:vAlign w:val="bottom"/>
          </w:tcPr>
          <w:p>
            <w:pPr>
              <w:spacing w:after="0"/>
              <w:rPr>
                <w:sz w:val="10"/>
                <w:szCs w:val="10"/>
                <w:color w:val="auto"/>
              </w:rPr>
            </w:pPr>
          </w:p>
        </w:tc>
        <w:tc>
          <w:tcPr>
            <w:tcW w:w="880" w:type="dxa"/>
            <w:vAlign w:val="bottom"/>
            <w:gridSpan w:val="2"/>
          </w:tcPr>
          <w:p>
            <w:pPr>
              <w:jc w:val="right"/>
              <w:ind w:right="138"/>
              <w:spacing w:after="0"/>
              <w:rPr>
                <w:sz w:val="20"/>
                <w:szCs w:val="20"/>
                <w:color w:val="auto"/>
              </w:rPr>
            </w:pPr>
            <w:r>
              <w:rPr>
                <w:rFonts w:ascii="Arial" w:cs="Arial" w:eastAsia="Arial" w:hAnsi="Arial"/>
                <w:sz w:val="8"/>
                <w:szCs w:val="8"/>
                <w:color w:val="auto"/>
              </w:rPr>
              <w:t>(9,388 )</w:t>
            </w: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16"/>
        </w:trPr>
        <w:tc>
          <w:tcPr>
            <w:tcW w:w="1800" w:type="dxa"/>
            <w:vAlign w:val="bottom"/>
            <w:shd w:val="clear" w:color="auto" w:fill="CCEEFF"/>
          </w:tcPr>
          <w:p>
            <w:pPr>
              <w:ind w:left="20"/>
              <w:spacing w:after="0"/>
              <w:rPr>
                <w:sz w:val="20"/>
                <w:szCs w:val="20"/>
                <w:color w:val="auto"/>
              </w:rPr>
            </w:pPr>
            <w:r>
              <w:rPr>
                <w:rFonts w:ascii="Arial" w:cs="Arial" w:eastAsia="Arial" w:hAnsi="Arial"/>
                <w:sz w:val="8"/>
                <w:szCs w:val="8"/>
                <w:color w:val="auto"/>
              </w:rPr>
              <w:t>Steward Holding LLC (dba Steward Advanced</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7,783</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9,469</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308</w:t>
            </w: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9,777</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w:t>
            </w:r>
          </w:p>
        </w:tc>
        <w:tc>
          <w:tcPr>
            <w:tcW w:w="300" w:type="dxa"/>
            <w:vAlign w:val="bottom"/>
            <w:tcBorders>
              <w:right w:val="single" w:sz="8" w:color="CCEEFF"/>
            </w:tcBorders>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186</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934</w:t>
            </w:r>
          </w:p>
        </w:tc>
        <w:tc>
          <w:tcPr>
            <w:tcW w:w="280" w:type="dxa"/>
            <w:vAlign w:val="bottom"/>
            <w:tcBorders>
              <w:right w:val="single" w:sz="8" w:color="CCEEFF"/>
            </w:tcBorders>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117</w:t>
            </w:r>
          </w:p>
        </w:tc>
        <w:tc>
          <w:tcPr>
            <w:tcW w:w="280" w:type="dxa"/>
            <w:vAlign w:val="bottom"/>
            <w:tcBorders>
              <w:right w:val="single" w:sz="8" w:color="CCEEFF"/>
            </w:tcBorders>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w:t>
            </w:r>
          </w:p>
        </w:tc>
        <w:tc>
          <w:tcPr>
            <w:tcW w:w="260" w:type="dxa"/>
            <w:vAlign w:val="bottom"/>
            <w:tcBorders>
              <w:right w:val="single" w:sz="8" w:color="CCEEFF"/>
            </w:tcBorders>
            <w:shd w:val="clear" w:color="auto" w:fill="CCEEFF"/>
          </w:tcPr>
          <w:p>
            <w:pPr>
              <w:spacing w:after="0"/>
              <w:rPr>
                <w:sz w:val="10"/>
                <w:szCs w:val="10"/>
                <w:color w:val="auto"/>
              </w:rPr>
            </w:pPr>
          </w:p>
        </w:tc>
        <w:tc>
          <w:tcPr>
            <w:tcW w:w="5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8"/>
                <w:szCs w:val="8"/>
                <w:color w:val="auto"/>
              </w:rPr>
              <w:t>25</w:t>
            </w:r>
          </w:p>
        </w:tc>
        <w:tc>
          <w:tcPr>
            <w:tcW w:w="0" w:type="dxa"/>
            <w:vAlign w:val="bottom"/>
          </w:tcPr>
          <w:p>
            <w:pPr>
              <w:spacing w:after="0"/>
              <w:rPr>
                <w:sz w:val="1"/>
                <w:szCs w:val="1"/>
                <w:color w:val="auto"/>
              </w:rPr>
            </w:pPr>
          </w:p>
        </w:tc>
      </w:tr>
      <w:tr>
        <w:trPr>
          <w:trHeight w:val="106"/>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8"/>
                <w:szCs w:val="8"/>
                <w:color w:val="auto"/>
              </w:rPr>
              <w:t>Materials)</w:t>
            </w:r>
          </w:p>
        </w:tc>
        <w:tc>
          <w:tcPr>
            <w:tcW w:w="12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740" w:type="dxa"/>
            <w:vAlign w:val="bottom"/>
            <w:tcBorders>
              <w:bottom w:val="single" w:sz="8" w:color="auto"/>
            </w:tcBorders>
            <w:vMerge w:val="continue"/>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vMerge w:val="continue"/>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vMerge w:val="continue"/>
            <w:shd w:val="clear" w:color="auto" w:fill="CCEEFF"/>
          </w:tcPr>
          <w:p>
            <w:pPr>
              <w:spacing w:after="0"/>
              <w:rPr>
                <w:sz w:val="9"/>
                <w:szCs w:val="9"/>
                <w:color w:val="auto"/>
              </w:rPr>
            </w:pPr>
          </w:p>
        </w:tc>
        <w:tc>
          <w:tcPr>
            <w:tcW w:w="24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vMerge w:val="continue"/>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vMerge w:val="continue"/>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820" w:type="dxa"/>
            <w:vAlign w:val="bottom"/>
            <w:tcBorders>
              <w:bottom w:val="single" w:sz="8" w:color="auto"/>
            </w:tcBorders>
            <w:vMerge w:val="continue"/>
            <w:shd w:val="clear" w:color="auto" w:fill="CCEEFF"/>
          </w:tcPr>
          <w:p>
            <w:pPr>
              <w:spacing w:after="0"/>
              <w:rPr>
                <w:sz w:val="9"/>
                <w:szCs w:val="9"/>
                <w:color w:val="auto"/>
              </w:rPr>
            </w:pPr>
          </w:p>
        </w:tc>
        <w:tc>
          <w:tcPr>
            <w:tcW w:w="300" w:type="dxa"/>
            <w:vAlign w:val="bottom"/>
            <w:tcBorders>
              <w:bottom w:val="single" w:sz="8" w:color="CCEEFF"/>
              <w:right w:val="single" w:sz="8" w:color="CCEEFF"/>
            </w:tcBorders>
            <w:shd w:val="clear" w:color="auto" w:fill="CCEEFF"/>
          </w:tcPr>
          <w:p>
            <w:pPr>
              <w:spacing w:after="0"/>
              <w:rPr>
                <w:sz w:val="9"/>
                <w:szCs w:val="9"/>
                <w:color w:val="auto"/>
              </w:rPr>
            </w:pPr>
          </w:p>
        </w:tc>
        <w:tc>
          <w:tcPr>
            <w:tcW w:w="660" w:type="dxa"/>
            <w:vAlign w:val="bottom"/>
            <w:tcBorders>
              <w:bottom w:val="single" w:sz="8" w:color="auto"/>
            </w:tcBorders>
            <w:vMerge w:val="continue"/>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380" w:type="dxa"/>
            <w:vAlign w:val="bottom"/>
            <w:tcBorders>
              <w:bottom w:val="single" w:sz="8" w:color="auto"/>
            </w:tcBorders>
            <w:vMerge w:val="continue"/>
            <w:shd w:val="clear" w:color="auto" w:fill="CCEEFF"/>
          </w:tcPr>
          <w:p>
            <w:pPr>
              <w:spacing w:after="0"/>
              <w:rPr>
                <w:sz w:val="9"/>
                <w:szCs w:val="9"/>
                <w:color w:val="auto"/>
              </w:rPr>
            </w:pPr>
          </w:p>
        </w:tc>
        <w:tc>
          <w:tcPr>
            <w:tcW w:w="280" w:type="dxa"/>
            <w:vAlign w:val="bottom"/>
            <w:tcBorders>
              <w:bottom w:val="single" w:sz="8" w:color="CCEEFF"/>
              <w:right w:val="single" w:sz="8" w:color="CCEEFF"/>
            </w:tcBorders>
            <w:shd w:val="clear" w:color="auto" w:fill="CCEEFF"/>
          </w:tcPr>
          <w:p>
            <w:pPr>
              <w:spacing w:after="0"/>
              <w:rPr>
                <w:sz w:val="9"/>
                <w:szCs w:val="9"/>
                <w:color w:val="auto"/>
              </w:rPr>
            </w:pPr>
          </w:p>
        </w:tc>
        <w:tc>
          <w:tcPr>
            <w:tcW w:w="620" w:type="dxa"/>
            <w:vAlign w:val="bottom"/>
            <w:tcBorders>
              <w:bottom w:val="single" w:sz="8" w:color="auto"/>
            </w:tcBorders>
            <w:vMerge w:val="continue"/>
            <w:shd w:val="clear" w:color="auto" w:fill="CCEEFF"/>
          </w:tcPr>
          <w:p>
            <w:pPr>
              <w:spacing w:after="0"/>
              <w:rPr>
                <w:sz w:val="9"/>
                <w:szCs w:val="9"/>
                <w:color w:val="auto"/>
              </w:rPr>
            </w:pPr>
          </w:p>
        </w:tc>
        <w:tc>
          <w:tcPr>
            <w:tcW w:w="280" w:type="dxa"/>
            <w:vAlign w:val="bottom"/>
            <w:tcBorders>
              <w:bottom w:val="single" w:sz="8" w:color="CCEEFF"/>
              <w:right w:val="single" w:sz="8" w:color="CCEEFF"/>
            </w:tcBorders>
            <w:shd w:val="clear" w:color="auto" w:fill="CCEEFF"/>
          </w:tcPr>
          <w:p>
            <w:pPr>
              <w:spacing w:after="0"/>
              <w:rPr>
                <w:sz w:val="9"/>
                <w:szCs w:val="9"/>
                <w:color w:val="auto"/>
              </w:rPr>
            </w:pPr>
          </w:p>
        </w:tc>
        <w:tc>
          <w:tcPr>
            <w:tcW w:w="420" w:type="dxa"/>
            <w:vAlign w:val="bottom"/>
            <w:tcBorders>
              <w:bottom w:val="single" w:sz="8" w:color="auto"/>
            </w:tcBorders>
            <w:vMerge w:val="continue"/>
            <w:shd w:val="clear" w:color="auto" w:fill="CCEEFF"/>
          </w:tcPr>
          <w:p>
            <w:pPr>
              <w:spacing w:after="0"/>
              <w:rPr>
                <w:sz w:val="9"/>
                <w:szCs w:val="9"/>
                <w:color w:val="auto"/>
              </w:rPr>
            </w:pPr>
          </w:p>
        </w:tc>
        <w:tc>
          <w:tcPr>
            <w:tcW w:w="260" w:type="dxa"/>
            <w:vAlign w:val="bottom"/>
            <w:tcBorders>
              <w:bottom w:val="single" w:sz="8" w:color="CCEEFF"/>
              <w:right w:val="single" w:sz="8" w:color="CCEEFF"/>
            </w:tcBorders>
            <w:shd w:val="clear" w:color="auto" w:fill="CCEEFF"/>
          </w:tcPr>
          <w:p>
            <w:pPr>
              <w:spacing w:after="0"/>
              <w:rPr>
                <w:sz w:val="9"/>
                <w:szCs w:val="9"/>
                <w:color w:val="auto"/>
              </w:rPr>
            </w:pPr>
          </w:p>
        </w:tc>
        <w:tc>
          <w:tcPr>
            <w:tcW w:w="500" w:type="dxa"/>
            <w:vAlign w:val="bottom"/>
            <w:tcBorders>
              <w:bottom w:val="single" w:sz="8" w:color="auto"/>
              <w:right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800" w:type="dxa"/>
            <w:vAlign w:val="bottom"/>
          </w:tcPr>
          <w:p>
            <w:pPr>
              <w:ind w:left="20"/>
              <w:spacing w:after="0"/>
              <w:rPr>
                <w:sz w:val="20"/>
                <w:szCs w:val="20"/>
                <w:color w:val="auto"/>
              </w:rPr>
            </w:pPr>
            <w:r>
              <w:rPr>
                <w:rFonts w:ascii="Arial" w:cs="Arial" w:eastAsia="Arial" w:hAnsi="Arial"/>
                <w:sz w:val="8"/>
                <w:szCs w:val="8"/>
                <w:b w:val="1"/>
                <w:bCs w:val="1"/>
                <w:color w:val="auto"/>
              </w:rPr>
              <w:t>Total Affiliate Investments</w:t>
            </w:r>
          </w:p>
        </w:tc>
        <w:tc>
          <w:tcPr>
            <w:tcW w:w="180" w:type="dxa"/>
            <w:vAlign w:val="bottom"/>
            <w:gridSpan w:val="2"/>
          </w:tcPr>
          <w:p>
            <w:pPr>
              <w:jc w:val="right"/>
              <w:spacing w:after="0"/>
              <w:rPr>
                <w:sz w:val="20"/>
                <w:szCs w:val="20"/>
                <w:color w:val="auto"/>
              </w:rPr>
            </w:pPr>
            <w:r>
              <w:rPr>
                <w:rFonts w:ascii="Arial" w:cs="Arial" w:eastAsia="Arial" w:hAnsi="Arial"/>
                <w:sz w:val="8"/>
                <w:szCs w:val="8"/>
                <w:color w:val="auto"/>
              </w:rPr>
              <w:t>$</w:t>
            </w:r>
          </w:p>
        </w:tc>
        <w:tc>
          <w:tcPr>
            <w:tcW w:w="740" w:type="dxa"/>
            <w:vAlign w:val="bottom"/>
          </w:tcPr>
          <w:p>
            <w:pPr>
              <w:jc w:val="right"/>
              <w:spacing w:after="0"/>
              <w:rPr>
                <w:sz w:val="20"/>
                <w:szCs w:val="20"/>
                <w:color w:val="auto"/>
              </w:rPr>
            </w:pPr>
            <w:r>
              <w:rPr>
                <w:rFonts w:ascii="Arial" w:cs="Arial" w:eastAsia="Arial" w:hAnsi="Arial"/>
                <w:sz w:val="8"/>
                <w:szCs w:val="8"/>
                <w:color w:val="auto"/>
              </w:rPr>
              <w:t>22,224</w:t>
            </w:r>
          </w:p>
        </w:tc>
        <w:tc>
          <w:tcPr>
            <w:tcW w:w="300" w:type="dxa"/>
            <w:vAlign w:val="bottom"/>
            <w:gridSpan w:val="2"/>
          </w:tcPr>
          <w:p>
            <w:pPr>
              <w:jc w:val="right"/>
              <w:spacing w:after="0"/>
              <w:rPr>
                <w:sz w:val="20"/>
                <w:szCs w:val="20"/>
                <w:color w:val="auto"/>
              </w:rPr>
            </w:pPr>
            <w:r>
              <w:rPr>
                <w:rFonts w:ascii="Arial" w:cs="Arial" w:eastAsia="Arial" w:hAnsi="Arial"/>
                <w:sz w:val="8"/>
                <w:szCs w:val="8"/>
                <w:color w:val="auto"/>
              </w:rPr>
              <w:t>$</w:t>
            </w:r>
          </w:p>
        </w:tc>
        <w:tc>
          <w:tcPr>
            <w:tcW w:w="500" w:type="dxa"/>
            <w:vAlign w:val="bottom"/>
          </w:tcPr>
          <w:p>
            <w:pPr>
              <w:jc w:val="right"/>
              <w:spacing w:after="0"/>
              <w:rPr>
                <w:sz w:val="20"/>
                <w:szCs w:val="20"/>
                <w:color w:val="auto"/>
              </w:rPr>
            </w:pPr>
            <w:r>
              <w:rPr>
                <w:rFonts w:ascii="Arial" w:cs="Arial" w:eastAsia="Arial" w:hAnsi="Arial"/>
                <w:sz w:val="8"/>
                <w:szCs w:val="8"/>
                <w:color w:val="auto"/>
              </w:rPr>
              <w:t>121,555</w:t>
            </w:r>
          </w:p>
        </w:tc>
        <w:tc>
          <w:tcPr>
            <w:tcW w:w="400" w:type="dxa"/>
            <w:vAlign w:val="bottom"/>
            <w:gridSpan w:val="2"/>
          </w:tcPr>
          <w:p>
            <w:pPr>
              <w:jc w:val="right"/>
              <w:ind w:right="78"/>
              <w:spacing w:after="0"/>
              <w:rPr>
                <w:sz w:val="20"/>
                <w:szCs w:val="20"/>
                <w:color w:val="auto"/>
              </w:rPr>
            </w:pPr>
            <w:r>
              <w:rPr>
                <w:rFonts w:ascii="Arial" w:cs="Arial" w:eastAsia="Arial" w:hAnsi="Arial"/>
                <w:sz w:val="8"/>
                <w:szCs w:val="8"/>
                <w:color w:val="auto"/>
              </w:rPr>
              <w:t>$</w:t>
            </w:r>
          </w:p>
        </w:tc>
        <w:tc>
          <w:tcPr>
            <w:tcW w:w="500" w:type="dxa"/>
            <w:vAlign w:val="bottom"/>
          </w:tcPr>
          <w:p>
            <w:pPr>
              <w:jc w:val="right"/>
              <w:spacing w:after="0"/>
              <w:rPr>
                <w:sz w:val="20"/>
                <w:szCs w:val="20"/>
                <w:color w:val="auto"/>
              </w:rPr>
            </w:pPr>
            <w:r>
              <w:rPr>
                <w:rFonts w:ascii="Arial" w:cs="Arial" w:eastAsia="Arial" w:hAnsi="Arial"/>
                <w:sz w:val="8"/>
                <w:szCs w:val="8"/>
                <w:color w:val="auto"/>
              </w:rPr>
              <w:t>32,395</w:t>
            </w:r>
          </w:p>
        </w:tc>
        <w:tc>
          <w:tcPr>
            <w:tcW w:w="420" w:type="dxa"/>
            <w:vAlign w:val="bottom"/>
            <w:gridSpan w:val="2"/>
          </w:tcPr>
          <w:p>
            <w:pPr>
              <w:ind w:left="240"/>
              <w:spacing w:after="0"/>
              <w:rPr>
                <w:sz w:val="20"/>
                <w:szCs w:val="20"/>
                <w:color w:val="auto"/>
              </w:rPr>
            </w:pPr>
            <w:r>
              <w:rPr>
                <w:rFonts w:ascii="Arial" w:cs="Arial" w:eastAsia="Arial" w:hAnsi="Arial"/>
                <w:sz w:val="8"/>
                <w:szCs w:val="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8"/>
                <w:szCs w:val="8"/>
                <w:color w:val="auto"/>
              </w:rPr>
              <w:t>(72,556 )</w:t>
            </w: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500" w:type="dxa"/>
            <w:vAlign w:val="bottom"/>
          </w:tcPr>
          <w:p>
            <w:pPr>
              <w:jc w:val="right"/>
              <w:spacing w:after="0"/>
              <w:rPr>
                <w:sz w:val="20"/>
                <w:szCs w:val="20"/>
                <w:color w:val="auto"/>
              </w:rPr>
            </w:pPr>
            <w:r>
              <w:rPr>
                <w:rFonts w:ascii="Arial" w:cs="Arial" w:eastAsia="Arial" w:hAnsi="Arial"/>
                <w:sz w:val="8"/>
                <w:szCs w:val="8"/>
                <w:color w:val="auto"/>
              </w:rPr>
              <w:t>81,394</w:t>
            </w:r>
          </w:p>
        </w:tc>
        <w:tc>
          <w:tcPr>
            <w:tcW w:w="22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820" w:type="dxa"/>
            <w:vAlign w:val="bottom"/>
          </w:tcPr>
          <w:p>
            <w:pPr>
              <w:jc w:val="right"/>
              <w:spacing w:after="0"/>
              <w:rPr>
                <w:sz w:val="20"/>
                <w:szCs w:val="20"/>
                <w:color w:val="auto"/>
              </w:rPr>
            </w:pPr>
            <w:r>
              <w:rPr>
                <w:rFonts w:ascii="Arial" w:cs="Arial" w:eastAsia="Arial" w:hAnsi="Arial"/>
                <w:sz w:val="8"/>
                <w:szCs w:val="8"/>
                <w:color w:val="auto"/>
              </w:rPr>
              <w:t>24,508</w:t>
            </w:r>
          </w:p>
        </w:tc>
        <w:tc>
          <w:tcPr>
            <w:tcW w:w="300" w:type="dxa"/>
            <w:vAlign w:val="bottom"/>
          </w:tcPr>
          <w:p>
            <w:pPr>
              <w:jc w:val="right"/>
              <w:spacing w:after="0"/>
              <w:rPr>
                <w:sz w:val="20"/>
                <w:szCs w:val="20"/>
                <w:color w:val="auto"/>
              </w:rPr>
            </w:pPr>
            <w:r>
              <w:rPr>
                <w:rFonts w:ascii="Arial" w:cs="Arial" w:eastAsia="Arial" w:hAnsi="Arial"/>
                <w:sz w:val="8"/>
                <w:szCs w:val="8"/>
                <w:color w:val="auto"/>
              </w:rPr>
              <w:t>$</w:t>
            </w:r>
          </w:p>
        </w:tc>
        <w:tc>
          <w:tcPr>
            <w:tcW w:w="880" w:type="dxa"/>
            <w:vAlign w:val="bottom"/>
            <w:gridSpan w:val="2"/>
          </w:tcPr>
          <w:p>
            <w:pPr>
              <w:jc w:val="right"/>
              <w:ind w:right="138"/>
              <w:spacing w:after="0"/>
              <w:rPr>
                <w:sz w:val="20"/>
                <w:szCs w:val="20"/>
                <w:color w:val="auto"/>
              </w:rPr>
            </w:pPr>
            <w:r>
              <w:rPr>
                <w:rFonts w:ascii="Arial" w:cs="Arial" w:eastAsia="Arial" w:hAnsi="Arial"/>
                <w:sz w:val="8"/>
                <w:szCs w:val="8"/>
                <w:color w:val="auto"/>
              </w:rPr>
              <w:t>(15,669 )</w:t>
            </w:r>
          </w:p>
        </w:tc>
        <w:tc>
          <w:tcPr>
            <w:tcW w:w="60" w:type="dxa"/>
            <w:vAlign w:val="bottom"/>
          </w:tcPr>
          <w:p>
            <w:pPr>
              <w:jc w:val="right"/>
              <w:spacing w:after="0"/>
              <w:rPr>
                <w:sz w:val="20"/>
                <w:szCs w:val="20"/>
                <w:color w:val="auto"/>
              </w:rPr>
            </w:pPr>
            <w:r>
              <w:rPr>
                <w:rFonts w:ascii="Arial" w:cs="Arial" w:eastAsia="Arial" w:hAnsi="Arial"/>
                <w:sz w:val="8"/>
                <w:szCs w:val="8"/>
                <w:color w:val="auto"/>
                <w:w w:val="88"/>
              </w:rPr>
              <w:t>$</w:t>
            </w:r>
          </w:p>
        </w:tc>
        <w:tc>
          <w:tcPr>
            <w:tcW w:w="380" w:type="dxa"/>
            <w:vAlign w:val="bottom"/>
          </w:tcPr>
          <w:p>
            <w:pPr>
              <w:jc w:val="right"/>
              <w:spacing w:after="0"/>
              <w:rPr>
                <w:sz w:val="20"/>
                <w:szCs w:val="20"/>
                <w:color w:val="auto"/>
              </w:rPr>
            </w:pPr>
            <w:r>
              <w:rPr>
                <w:rFonts w:ascii="Arial" w:cs="Arial" w:eastAsia="Arial" w:hAnsi="Arial"/>
                <w:sz w:val="8"/>
                <w:szCs w:val="8"/>
                <w:color w:val="auto"/>
              </w:rPr>
              <w:t>3,511</w:t>
            </w:r>
          </w:p>
        </w:tc>
        <w:tc>
          <w:tcPr>
            <w:tcW w:w="280" w:type="dxa"/>
            <w:vAlign w:val="bottom"/>
          </w:tcPr>
          <w:p>
            <w:pPr>
              <w:jc w:val="right"/>
              <w:spacing w:after="0"/>
              <w:rPr>
                <w:sz w:val="20"/>
                <w:szCs w:val="20"/>
                <w:color w:val="auto"/>
              </w:rPr>
            </w:pPr>
            <w:r>
              <w:rPr>
                <w:rFonts w:ascii="Arial" w:cs="Arial" w:eastAsia="Arial" w:hAnsi="Arial"/>
                <w:sz w:val="8"/>
                <w:szCs w:val="8"/>
                <w:color w:val="auto"/>
              </w:rPr>
              <w:t>$</w:t>
            </w:r>
          </w:p>
        </w:tc>
        <w:tc>
          <w:tcPr>
            <w:tcW w:w="620" w:type="dxa"/>
            <w:vAlign w:val="bottom"/>
          </w:tcPr>
          <w:p>
            <w:pPr>
              <w:jc w:val="right"/>
              <w:spacing w:after="0"/>
              <w:rPr>
                <w:sz w:val="20"/>
                <w:szCs w:val="20"/>
                <w:color w:val="auto"/>
              </w:rPr>
            </w:pPr>
            <w:r>
              <w:rPr>
                <w:rFonts w:ascii="Arial" w:cs="Arial" w:eastAsia="Arial" w:hAnsi="Arial"/>
                <w:sz w:val="8"/>
                <w:szCs w:val="8"/>
                <w:color w:val="auto"/>
              </w:rPr>
              <w:t>287</w:t>
            </w:r>
          </w:p>
        </w:tc>
        <w:tc>
          <w:tcPr>
            <w:tcW w:w="280" w:type="dxa"/>
            <w:vAlign w:val="bottom"/>
          </w:tcPr>
          <w:p>
            <w:pPr>
              <w:jc w:val="right"/>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837</w:t>
            </w:r>
          </w:p>
        </w:tc>
        <w:tc>
          <w:tcPr>
            <w:tcW w:w="260" w:type="dxa"/>
            <w:vAlign w:val="bottom"/>
          </w:tcPr>
          <w:p>
            <w:pPr>
              <w:jc w:val="right"/>
              <w:spacing w:after="0"/>
              <w:rPr>
                <w:sz w:val="20"/>
                <w:szCs w:val="20"/>
                <w:color w:val="auto"/>
              </w:rPr>
            </w:pPr>
            <w:r>
              <w:rPr>
                <w:rFonts w:ascii="Arial" w:cs="Arial" w:eastAsia="Arial" w:hAnsi="Arial"/>
                <w:sz w:val="8"/>
                <w:szCs w:val="8"/>
                <w:color w:val="auto"/>
              </w:rPr>
              <w:t>$</w:t>
            </w:r>
          </w:p>
        </w:tc>
        <w:tc>
          <w:tcPr>
            <w:tcW w:w="500" w:type="dxa"/>
            <w:vAlign w:val="bottom"/>
          </w:tcPr>
          <w:p>
            <w:pPr>
              <w:jc w:val="right"/>
              <w:spacing w:after="0"/>
              <w:rPr>
                <w:sz w:val="20"/>
                <w:szCs w:val="20"/>
                <w:color w:val="auto"/>
              </w:rPr>
            </w:pPr>
            <w:r>
              <w:rPr>
                <w:rFonts w:ascii="Arial" w:cs="Arial" w:eastAsia="Arial" w:hAnsi="Arial"/>
                <w:sz w:val="8"/>
                <w:szCs w:val="8"/>
                <w:color w:val="auto"/>
              </w:rPr>
              <w:t>120</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1723390</wp:posOffset>
            </wp:positionH>
            <wp:positionV relativeFrom="paragraph">
              <wp:posOffset>-1002665</wp:posOffset>
            </wp:positionV>
            <wp:extent cx="5417820" cy="1098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417820" cy="109855"/>
                    </a:xfrm>
                    <a:prstGeom prst="rect">
                      <a:avLst/>
                    </a:prstGeom>
                    <a:noFill/>
                  </pic:spPr>
                </pic:pic>
              </a:graphicData>
            </a:graphic>
          </wp:anchor>
        </w:drawing>
        <w:drawing>
          <wp:anchor simplePos="0" relativeHeight="251657728" behindDoc="1" locked="0" layoutInCell="0" allowOverlap="1">
            <wp:simplePos x="0" y="0"/>
            <wp:positionH relativeFrom="column">
              <wp:posOffset>1723390</wp:posOffset>
            </wp:positionH>
            <wp:positionV relativeFrom="paragraph">
              <wp:posOffset>-109220</wp:posOffset>
            </wp:positionV>
            <wp:extent cx="5417820" cy="1098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417820" cy="109855"/>
                    </a:xfrm>
                    <a:prstGeom prst="rect">
                      <a:avLst/>
                    </a:prstGeom>
                    <a:noFill/>
                  </pic:spPr>
                </pic:pic>
              </a:graphicData>
            </a:graphic>
          </wp:anchor>
        </w:drawing>
      </w:r>
    </w:p>
    <w:p>
      <w:pPr>
        <w:spacing w:after="0" w:line="342" w:lineRule="exact"/>
        <w:rPr>
          <w:sz w:val="20"/>
          <w:szCs w:val="20"/>
          <w:color w:val="auto"/>
        </w:rPr>
      </w:pPr>
    </w:p>
    <w:p>
      <w:pPr>
        <w:ind w:left="360" w:hanging="346"/>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investment type, industry, ownership detail for equity investments, and if the investment is income producing is disclosed in the consolidated schedule of investments.</w:t>
      </w:r>
    </w:p>
    <w:p>
      <w:pPr>
        <w:spacing w:after="0" w:line="16" w:lineRule="exact"/>
        <w:rPr>
          <w:rFonts w:ascii="Arial" w:cs="Arial" w:eastAsia="Arial" w:hAnsi="Arial"/>
          <w:sz w:val="14"/>
          <w:szCs w:val="14"/>
          <w:color w:val="auto"/>
        </w:rPr>
      </w:pPr>
    </w:p>
    <w:p>
      <w:pPr>
        <w:ind w:left="360" w:right="40" w:hanging="346"/>
        <w:spacing w:after="0" w:line="251" w:lineRule="auto"/>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p>
      <w:pPr>
        <w:spacing w:after="0" w:line="1" w:lineRule="exact"/>
        <w:rPr>
          <w:rFonts w:ascii="Arial" w:cs="Arial" w:eastAsia="Arial" w:hAnsi="Arial"/>
          <w:sz w:val="14"/>
          <w:szCs w:val="14"/>
          <w:color w:val="auto"/>
        </w:rPr>
      </w:pPr>
    </w:p>
    <w:p>
      <w:pPr>
        <w:ind w:left="360" w:right="220" w:hanging="346"/>
        <w:spacing w:after="0" w:line="255" w:lineRule="auto"/>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Gross reductions include decreases in the cost basis of investments resulting from principal repayments or sales and net unrealized (depreciation) recognized during the period. Gross reductions also include transfers of portfolio companies out of the control or affiliate classification during the period, as applicable.</w:t>
      </w:r>
    </w:p>
    <w:p>
      <w:pPr>
        <w:ind w:left="360" w:right="60" w:hanging="346"/>
        <w:spacing w:after="0" w:line="251" w:lineRule="auto"/>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p>
      <w:pPr>
        <w:spacing w:after="0" w:line="1" w:lineRule="exact"/>
        <w:rPr>
          <w:rFonts w:ascii="Arial" w:cs="Arial" w:eastAsia="Arial" w:hAnsi="Arial"/>
          <w:sz w:val="14"/>
          <w:szCs w:val="14"/>
          <w:color w:val="auto"/>
        </w:rPr>
      </w:pPr>
    </w:p>
    <w:p>
      <w:pPr>
        <w:ind w:left="360" w:hanging="346"/>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Portfolio company was transferred to Non-control/Non-affiliate investments from Affiliate investments during the twelve months ended December 31, 2020</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Fair Value Measurements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Investments</w:t>
      </w:r>
    </w:p>
    <w:p>
      <w:pPr>
        <w:spacing w:after="0" w:line="172" w:lineRule="exact"/>
        <w:rPr>
          <w:sz w:val="20"/>
          <w:szCs w:val="20"/>
          <w:color w:val="auto"/>
        </w:rPr>
      </w:pPr>
    </w:p>
    <w:p>
      <w:pPr>
        <w:jc w:val="both"/>
        <w:ind w:firstLine="478"/>
        <w:spacing w:after="0" w:line="264" w:lineRule="auto"/>
        <w:rPr>
          <w:sz w:val="20"/>
          <w:szCs w:val="20"/>
          <w:color w:val="auto"/>
        </w:rPr>
      </w:pPr>
      <w:r>
        <w:rPr>
          <w:rFonts w:ascii="Arial" w:cs="Arial" w:eastAsia="Arial" w:hAnsi="Arial"/>
          <w:sz w:val="17"/>
          <w:szCs w:val="17"/>
          <w:color w:val="auto"/>
        </w:rPr>
        <w:t>The Board has established and documented processes and methodologies for determining the fair values of portfolio company investments on a recurring basis in accordance with ASC Topic 820 and consistent with the requirements of the 1940 Act. Fair value is the price, determined at the measurement date, that would be received in the sale of an asset or paid to transfer a liability in an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(unaudited)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orderly transaction between market participants. Where available, fair value is based on observable market prices or parameters, or derived from such prices or parameters. Where observable prices or inputs are not available or reliable, valuation techniques described below are applied. Under ASC Topic 820, portfolio investments recorded at fair value in the consolidated financial statements are classified within the fair value hierarchy based upon the level of judgment associated with the inputs used to measure their value, as defined below:</w:t>
      </w:r>
    </w:p>
    <w:p>
      <w:pPr>
        <w:spacing w:after="0" w:line="128"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 Inputs are unadjusted, quoted prices in active markets for identical assets as of the measurement date.</w:t>
      </w:r>
    </w:p>
    <w:p>
      <w:pPr>
        <w:spacing w:after="0" w:line="172" w:lineRule="exact"/>
        <w:rPr>
          <w:sz w:val="20"/>
          <w:szCs w:val="20"/>
          <w:color w:val="auto"/>
        </w:rPr>
      </w:pPr>
    </w:p>
    <w:p>
      <w:pPr>
        <w:jc w:val="both"/>
        <w:ind w:firstLine="478"/>
        <w:spacing w:after="0" w:line="288" w:lineRule="auto"/>
        <w:rPr>
          <w:sz w:val="20"/>
          <w:szCs w:val="20"/>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Inputs include quoted prices for similar assets in active markets, or that are quoted prices for identical or similar assets in markets that are not active</w:t>
      </w:r>
      <w:r>
        <w:rPr>
          <w:rFonts w:ascii="Arial" w:cs="Arial" w:eastAsia="Arial" w:hAnsi="Arial"/>
          <w:sz w:val="17"/>
          <w:szCs w:val="17"/>
          <w:i w:val="1"/>
          <w:iCs w:val="1"/>
          <w:color w:val="auto"/>
        </w:rPr>
        <w:t xml:space="preserve"> </w:t>
      </w:r>
      <w:r>
        <w:rPr>
          <w:rFonts w:ascii="Arial" w:cs="Arial" w:eastAsia="Arial" w:hAnsi="Arial"/>
          <w:sz w:val="17"/>
          <w:szCs w:val="17"/>
          <w:color w:val="auto"/>
        </w:rPr>
        <w:t>and inputs that are observable, either directly or indirectly, for substantially the full term, if applicable, of the investment.</w:t>
      </w:r>
    </w:p>
    <w:p>
      <w:pPr>
        <w:spacing w:after="0" w:line="114"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Inputs include those that are both unobservable and significant to the overall fair value measurement.</w:t>
      </w:r>
    </w:p>
    <w:p>
      <w:pPr>
        <w:spacing w:after="0" w:line="172" w:lineRule="exact"/>
        <w:rPr>
          <w:sz w:val="20"/>
          <w:szCs w:val="20"/>
          <w:color w:val="auto"/>
        </w:rPr>
      </w:pPr>
    </w:p>
    <w:p>
      <w:pPr>
        <w:jc w:val="both"/>
        <w:ind w:firstLine="478"/>
        <w:spacing w:after="0" w:line="286" w:lineRule="auto"/>
        <w:rPr>
          <w:sz w:val="20"/>
          <w:szCs w:val="20"/>
          <w:color w:val="auto"/>
        </w:rPr>
      </w:pPr>
      <w:r>
        <w:rPr>
          <w:rFonts w:ascii="Arial" w:cs="Arial" w:eastAsia="Arial" w:hAnsi="Arial"/>
          <w:sz w:val="16"/>
          <w:szCs w:val="16"/>
          <w:color w:val="auto"/>
        </w:rPr>
        <w:t>An investment’s categorization within the valuation hierarchy is based upon the lowest level of input that is significant to the fair value measurement. 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using Level 3 inputs. The degree of judgment exercised by the Board in determining fair value is greatest for investments classified as Level 3 inputs. Due to the inherent uncertainty of determining the fair values of investments that do not have readily available market values, the Board’s estimate of fair values may differ significantly from the values that would have been used had a ready market for the securities existed, and those differences may be material. In addition, changes in the market environment, portfolio company performance and other events that may occur over the lives of the investments may cause the amounts ultimately realized on these investments to be materially different than the valuations currently assigned.</w:t>
      </w:r>
    </w:p>
    <w:p>
      <w:pPr>
        <w:spacing w:after="0" w:line="122" w:lineRule="exact"/>
        <w:rPr>
          <w:sz w:val="20"/>
          <w:szCs w:val="20"/>
          <w:color w:val="auto"/>
        </w:rPr>
      </w:pPr>
    </w:p>
    <w:p>
      <w:pPr>
        <w:jc w:val="both"/>
        <w:ind w:firstLine="478"/>
        <w:spacing w:after="0" w:line="288" w:lineRule="auto"/>
        <w:rPr>
          <w:sz w:val="20"/>
          <w:szCs w:val="20"/>
          <w:color w:val="auto"/>
        </w:rPr>
      </w:pPr>
      <w:r>
        <w:rPr>
          <w:rFonts w:ascii="Arial" w:cs="Arial" w:eastAsia="Arial" w:hAnsi="Arial"/>
          <w:sz w:val="17"/>
          <w:szCs w:val="17"/>
          <w:color w:val="auto"/>
        </w:rPr>
        <w:t>With respect to investments for which market quotations are not readily available, the Board undertakes a multi-step valuation process each quarter, as described below:</w:t>
      </w:r>
    </w:p>
    <w:p>
      <w:pPr>
        <w:spacing w:after="0" w:line="63" w:lineRule="exact"/>
        <w:rPr>
          <w:sz w:val="20"/>
          <w:szCs w:val="20"/>
          <w:color w:val="auto"/>
        </w:rPr>
      </w:pPr>
    </w:p>
    <w:p>
      <w:pPr>
        <w:jc w:val="both"/>
        <w:ind w:left="880"/>
        <w:spacing w:after="0" w:line="288" w:lineRule="auto"/>
        <w:rPr>
          <w:sz w:val="20"/>
          <w:szCs w:val="20"/>
          <w:color w:val="auto"/>
        </w:rPr>
      </w:pPr>
      <w:r>
        <w:rPr>
          <w:rFonts w:ascii="Arial" w:cs="Arial" w:eastAsia="Arial" w:hAnsi="Arial"/>
          <w:sz w:val="17"/>
          <w:szCs w:val="17"/>
          <w:color w:val="auto"/>
        </w:rPr>
        <w:t>the quarterly valuation process begins with each portfolio company or investment being initially evaluated and rated by the investment professionals of the Investment Advisor responsible for the portfolio investment;</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preliminary valuation conclusions are then documented and discussed with the investment committee of the Investment Advisor;</w:t>
      </w:r>
    </w:p>
    <w:p>
      <w:pPr>
        <w:spacing w:after="0" w:line="121" w:lineRule="exact"/>
        <w:rPr>
          <w:sz w:val="20"/>
          <w:szCs w:val="20"/>
          <w:color w:val="auto"/>
        </w:rPr>
      </w:pPr>
    </w:p>
    <w:p>
      <w:pPr>
        <w:jc w:val="both"/>
        <w:ind w:left="880"/>
        <w:spacing w:after="0" w:line="311" w:lineRule="auto"/>
        <w:rPr>
          <w:sz w:val="20"/>
          <w:szCs w:val="20"/>
          <w:color w:val="auto"/>
        </w:rPr>
      </w:pPr>
      <w:r>
        <w:rPr>
          <w:rFonts w:ascii="Arial" w:cs="Arial" w:eastAsia="Arial" w:hAnsi="Arial"/>
          <w:sz w:val="15"/>
          <w:szCs w:val="15"/>
          <w:color w:val="auto"/>
        </w:rPr>
        <w:t>the Board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the Company may determine that it is not cost-effective, and as a result it is not in the Company’s stockholders’ best interest, to request the independent appraisal of certain portfolio company investments. Such instances include, but are not limited to, situations where the Company determines that the fair value of the portfolio company investment is relatively insignificant to the fair value of the total portfolio.</w:t>
      </w:r>
    </w:p>
    <w:p>
      <w:pPr>
        <w:spacing w:after="0" w:line="53" w:lineRule="exact"/>
        <w:rPr>
          <w:sz w:val="20"/>
          <w:szCs w:val="20"/>
          <w:color w:val="auto"/>
        </w:rPr>
      </w:pPr>
    </w:p>
    <w:p>
      <w:pPr>
        <w:jc w:val="both"/>
        <w:ind w:left="880"/>
        <w:spacing w:after="0" w:line="288" w:lineRule="auto"/>
        <w:rPr>
          <w:sz w:val="20"/>
          <w:szCs w:val="20"/>
          <w:color w:val="auto"/>
        </w:rPr>
      </w:pPr>
      <w:r>
        <w:rPr>
          <w:rFonts w:ascii="Arial" w:cs="Arial" w:eastAsia="Arial" w:hAnsi="Arial"/>
          <w:sz w:val="17"/>
          <w:szCs w:val="17"/>
          <w:color w:val="auto"/>
        </w:rPr>
        <w:t>the audit committee of the Board reviews the preliminary valuations of the Investment Advisor and of the independent valuation firm(s) and responds and supplements the valuation recommendations to reflect any comments; and</w:t>
      </w:r>
    </w:p>
    <w:p>
      <w:pPr>
        <w:spacing w:after="0" w:line="63" w:lineRule="exact"/>
        <w:rPr>
          <w:sz w:val="20"/>
          <w:szCs w:val="20"/>
          <w:color w:val="auto"/>
        </w:rPr>
      </w:pPr>
    </w:p>
    <w:p>
      <w:pPr>
        <w:jc w:val="both"/>
        <w:ind w:left="880"/>
        <w:spacing w:after="0" w:line="288" w:lineRule="auto"/>
        <w:rPr>
          <w:sz w:val="20"/>
          <w:szCs w:val="20"/>
          <w:color w:val="auto"/>
        </w:rPr>
      </w:pPr>
      <w:r>
        <w:rPr>
          <w:rFonts w:ascii="Arial" w:cs="Arial" w:eastAsia="Arial" w:hAnsi="Arial"/>
          <w:sz w:val="17"/>
          <w:szCs w:val="17"/>
          <w:color w:val="auto"/>
        </w:rPr>
        <w:t>the Board discusses these valuations and determines the fair value of each investment in our portfolio in good faith, based on the input of the Investment Advisor, the independent valuation firm(s) and the audit committee.</w:t>
      </w:r>
    </w:p>
    <w:p>
      <w:pPr>
        <w:spacing w:after="0" w:line="114" w:lineRule="exact"/>
        <w:rPr>
          <w:sz w:val="20"/>
          <w:szCs w:val="20"/>
          <w:color w:val="auto"/>
        </w:rPr>
      </w:pPr>
    </w:p>
    <w:p>
      <w:pPr>
        <w:jc w:val="both"/>
        <w:ind w:firstLine="478"/>
        <w:spacing w:after="0" w:line="276" w:lineRule="auto"/>
        <w:rPr>
          <w:sz w:val="20"/>
          <w:szCs w:val="20"/>
          <w:color w:val="auto"/>
        </w:rPr>
      </w:pPr>
      <w:r>
        <w:rPr>
          <w:rFonts w:ascii="Arial" w:cs="Arial" w:eastAsia="Arial" w:hAnsi="Arial"/>
          <w:sz w:val="17"/>
          <w:szCs w:val="17"/>
          <w:color w:val="auto"/>
        </w:rPr>
        <w:t>In making the good faith determination of the value of portfolio investments, the Board starts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24" w:lineRule="exact"/>
        <w:rPr>
          <w:sz w:val="20"/>
          <w:szCs w:val="20"/>
          <w:color w:val="auto"/>
        </w:rPr>
      </w:pPr>
    </w:p>
    <w:p>
      <w:pPr>
        <w:jc w:val="both"/>
        <w:ind w:firstLine="478"/>
        <w:spacing w:after="0" w:line="281" w:lineRule="auto"/>
        <w:rPr>
          <w:sz w:val="20"/>
          <w:szCs w:val="20"/>
          <w:color w:val="auto"/>
        </w:rPr>
      </w:pPr>
      <w:r>
        <w:rPr>
          <w:rFonts w:ascii="Arial" w:cs="Arial" w:eastAsia="Arial" w:hAnsi="Arial"/>
          <w:sz w:val="16"/>
          <w:szCs w:val="16"/>
          <w:color w:val="auto"/>
        </w:rPr>
        <w:t>Consistent with the policies and methodologies adopted by the Board, the Company performs detailed valuations of its debt and equity investments, including an analysis on the Company’s unfunded debt investment commitments, using both the market and income approaches as appropriate. Under the market approach, the Company typically uses the enterprise value methodology to determine the fair value of an investment. There is no one methodology to estimate enterprise value and, in fact, for any one portfolio company, enterprise value is generally best expressed as a range of values, from which the Company derives a single estimate of enterprise value. Under the income approach, the Company typically prepares and analyzes discounted cash flow models to estimate the present value of future cash flows of either an individual debt investment or of the underlying portfolio company itself.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(unaudited)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173" w:lineRule="exact"/>
        <w:rPr>
          <w:sz w:val="20"/>
          <w:szCs w:val="20"/>
          <w:color w:val="auto"/>
        </w:rPr>
      </w:pPr>
    </w:p>
    <w:p>
      <w:pPr>
        <w:jc w:val="both"/>
        <w:ind w:firstLine="478"/>
        <w:spacing w:after="0" w:line="276" w:lineRule="auto"/>
        <w:rPr>
          <w:sz w:val="20"/>
          <w:szCs w:val="20"/>
          <w:color w:val="auto"/>
        </w:rPr>
      </w:pPr>
      <w:r>
        <w:rPr>
          <w:rFonts w:ascii="Arial" w:cs="Arial" w:eastAsia="Arial" w:hAnsi="Arial"/>
          <w:sz w:val="17"/>
          <w:szCs w:val="17"/>
          <w:color w:val="auto"/>
        </w:rPr>
        <w:t>The Company evaluates investments in portfolio companies using the most recent portfolio company financial statements and forecasts. The Company also consults with the portfolio company’s senior management to obtain further updates on the portfolio company’s performance, including information such as industry trends, new product development and other operational issues.</w:t>
      </w:r>
    </w:p>
    <w:p>
      <w:pPr>
        <w:spacing w:after="0" w:line="124" w:lineRule="exact"/>
        <w:rPr>
          <w:sz w:val="20"/>
          <w:szCs w:val="20"/>
          <w:color w:val="auto"/>
        </w:rPr>
      </w:pPr>
    </w:p>
    <w:p>
      <w:pPr>
        <w:jc w:val="both"/>
        <w:ind w:firstLine="478"/>
        <w:spacing w:after="0" w:line="304" w:lineRule="auto"/>
        <w:rPr>
          <w:sz w:val="20"/>
          <w:szCs w:val="20"/>
          <w:color w:val="auto"/>
        </w:rPr>
      </w:pPr>
      <w:r>
        <w:rPr>
          <w:rFonts w:ascii="Arial" w:cs="Arial" w:eastAsia="Arial" w:hAnsi="Arial"/>
          <w:sz w:val="15"/>
          <w:szCs w:val="15"/>
          <w:color w:val="auto"/>
        </w:rPr>
        <w:t>For the Company’s debt investments the primary valuation technique used to estimate the fair value is the discounted cash flow method. However, if there is deterioration in credit quality or a debt investment is in workout status, the Company may consider other methods in determining the fair value, including the value attributable to the debt investment from the enterprise value of the portfolio company or the proceeds that would be received in a liquidation analysis. The Company’s discounted cash flow models estimate a range of fair values by applying an appropriate discount rate to the future cash flow streams of its debt investments, based on future interest and principal payments as set forth in the associated debt investment agreements. The Company prepares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The Company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The Company estimates the remaining life of its debt investments to generally be the legal maturity date of the instrument, as the Company generally intends to hold its debt investments to maturity. However, if the Company has information available to it that the debt investment is expected to be repaid in the near term, it would use an estimated remaining life based on the expected repayment date.</w:t>
      </w:r>
    </w:p>
    <w:p>
      <w:pPr>
        <w:spacing w:after="0" w:line="114" w:lineRule="exact"/>
        <w:rPr>
          <w:sz w:val="20"/>
          <w:szCs w:val="20"/>
          <w:color w:val="auto"/>
        </w:rPr>
      </w:pPr>
    </w:p>
    <w:p>
      <w:pPr>
        <w:jc w:val="both"/>
        <w:ind w:firstLine="478"/>
        <w:spacing w:after="0" w:line="289" w:lineRule="auto"/>
        <w:rPr>
          <w:sz w:val="20"/>
          <w:szCs w:val="20"/>
          <w:color w:val="auto"/>
        </w:rPr>
      </w:pPr>
      <w:r>
        <w:rPr>
          <w:rFonts w:ascii="Arial" w:cs="Arial" w:eastAsia="Arial" w:hAnsi="Arial"/>
          <w:sz w:val="16"/>
          <w:szCs w:val="16"/>
          <w:color w:val="auto"/>
        </w:rPr>
        <w:t>For the Company’s equity investments, including equity and warrants, the Company generally uses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the Company analyzes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p>
    <w:p>
      <w:pPr>
        <w:spacing w:after="0" w:line="116" w:lineRule="exact"/>
        <w:rPr>
          <w:sz w:val="20"/>
          <w:szCs w:val="20"/>
          <w:color w:val="auto"/>
        </w:rPr>
      </w:pPr>
    </w:p>
    <w:p>
      <w:pPr>
        <w:jc w:val="both"/>
        <w:ind w:firstLine="478"/>
        <w:spacing w:after="0" w:line="269" w:lineRule="auto"/>
        <w:rPr>
          <w:sz w:val="20"/>
          <w:szCs w:val="20"/>
          <w:color w:val="auto"/>
        </w:rPr>
      </w:pPr>
      <w:r>
        <w:rPr>
          <w:rFonts w:ascii="Arial" w:cs="Arial" w:eastAsia="Arial" w:hAnsi="Arial"/>
          <w:sz w:val="17"/>
          <w:szCs w:val="17"/>
          <w:color w:val="auto"/>
        </w:rPr>
        <w:t>The Company may also utilize an income approach when estimating the fair value of its equity securities, either as a primary methodology if consistent with industry practice or if the market approach is otherwise not applicable, or as a supporting methodology to corroborate the fair value ranges determined by the market approach. The Company typically prepares and analyzes discounted cash flow models based on projections of the future free cash flows (or earnings) of the portfolio company. The Company considers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131" w:lineRule="exact"/>
        <w:rPr>
          <w:sz w:val="20"/>
          <w:szCs w:val="20"/>
          <w:color w:val="auto"/>
        </w:rPr>
      </w:pPr>
    </w:p>
    <w:p>
      <w:pPr>
        <w:jc w:val="both"/>
        <w:ind w:firstLine="478"/>
        <w:spacing w:after="0" w:line="276" w:lineRule="auto"/>
        <w:rPr>
          <w:sz w:val="20"/>
          <w:szCs w:val="20"/>
          <w:color w:val="auto"/>
        </w:rPr>
      </w:pPr>
      <w:r>
        <w:rPr>
          <w:rFonts w:ascii="Arial" w:cs="Arial" w:eastAsia="Arial" w:hAnsi="Arial"/>
          <w:sz w:val="17"/>
          <w:szCs w:val="17"/>
          <w:color w:val="auto"/>
        </w:rPr>
        <w:t>The Company reviews the fair value hierarchy classifications on a quarterly basis. Reclassifications impacting Level 3 of the fair value hierarchy are reported as transfers in or out of the Level 3 category as of the beginning of the quarter in which the reclassifications occur. There were no transfers among Levels 1, 2, and 3 during the nine months ended September 30, 2021 and 2020.</w:t>
      </w:r>
    </w:p>
    <w:p>
      <w:pPr>
        <w:spacing w:after="0" w:line="124" w:lineRule="exact"/>
        <w:rPr>
          <w:sz w:val="20"/>
          <w:szCs w:val="20"/>
          <w:color w:val="auto"/>
        </w:rPr>
      </w:pPr>
    </w:p>
    <w:p>
      <w:pPr>
        <w:jc w:val="both"/>
        <w:ind w:firstLine="480"/>
        <w:spacing w:after="0" w:line="288" w:lineRule="auto"/>
        <w:rPr>
          <w:sz w:val="20"/>
          <w:szCs w:val="20"/>
          <w:color w:val="auto"/>
        </w:rPr>
      </w:pPr>
      <w:r>
        <w:rPr>
          <w:rFonts w:ascii="Arial" w:cs="Arial" w:eastAsia="Arial" w:hAnsi="Arial"/>
          <w:sz w:val="17"/>
          <w:szCs w:val="17"/>
          <w:color w:val="auto"/>
        </w:rPr>
        <w:t>The following tables present a reconciliation of the beginning and ending balances for fair valued investments measured using significant unobservable inputs (Level 3) for the nine months ended September 30, 2021 and 2020:</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(unaudited)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First Lien</w:t>
            </w:r>
          </w:p>
        </w:tc>
        <w:tc>
          <w:tcPr>
            <w:tcW w:w="160" w:type="dxa"/>
            <w:vAlign w:val="bottom"/>
          </w:tcPr>
          <w:p>
            <w:pPr>
              <w:spacing w:after="0"/>
              <w:rPr>
                <w:sz w:val="13"/>
                <w:szCs w:val="13"/>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w w:val="98"/>
              </w:rPr>
              <w:t>Second Lien</w:t>
            </w:r>
          </w:p>
        </w:tc>
        <w:tc>
          <w:tcPr>
            <w:tcW w:w="200" w:type="dxa"/>
            <w:vAlign w:val="bottom"/>
          </w:tcPr>
          <w:p>
            <w:pPr>
              <w:spacing w:after="0"/>
              <w:rPr>
                <w:sz w:val="13"/>
                <w:szCs w:val="13"/>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Subordinated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7"/>
        </w:trPr>
        <w:tc>
          <w:tcPr>
            <w:tcW w:w="36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2"/>
                <w:szCs w:val="12"/>
                <w:b w:val="1"/>
                <w:bCs w:val="1"/>
                <w:color w:val="auto"/>
              </w:rPr>
              <w:t>Debt</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2"/>
                <w:szCs w:val="12"/>
                <w:b w:val="1"/>
                <w:bCs w:val="1"/>
                <w:color w:val="auto"/>
              </w:rPr>
              <w:t>Debt</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1"/>
              <w:spacing w:after="0"/>
              <w:rPr>
                <w:sz w:val="20"/>
                <w:szCs w:val="20"/>
                <w:color w:val="auto"/>
              </w:rPr>
            </w:pPr>
            <w:r>
              <w:rPr>
                <w:rFonts w:ascii="Arial" w:cs="Arial" w:eastAsia="Arial" w:hAnsi="Arial"/>
                <w:sz w:val="12"/>
                <w:szCs w:val="12"/>
                <w:b w:val="1"/>
                <w:bCs w:val="1"/>
                <w:color w:val="auto"/>
              </w:rPr>
              <w:t>Debt</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1"/>
              <w:spacing w:after="0"/>
              <w:rPr>
                <w:sz w:val="20"/>
                <w:szCs w:val="20"/>
                <w:color w:val="auto"/>
              </w:rPr>
            </w:pPr>
            <w:r>
              <w:rPr>
                <w:rFonts w:ascii="Arial" w:cs="Arial" w:eastAsia="Arial" w:hAnsi="Arial"/>
                <w:sz w:val="12"/>
                <w:szCs w:val="12"/>
                <w:b w:val="1"/>
                <w:bCs w:val="1"/>
                <w:color w:val="auto"/>
              </w:rPr>
              <w:t>Equity</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41"/>
              <w:spacing w:after="0"/>
              <w:rPr>
                <w:sz w:val="20"/>
                <w:szCs w:val="20"/>
                <w:color w:val="auto"/>
              </w:rPr>
            </w:pPr>
            <w:r>
              <w:rPr>
                <w:rFonts w:ascii="Arial" w:cs="Arial" w:eastAsia="Arial" w:hAnsi="Arial"/>
                <w:sz w:val="12"/>
                <w:szCs w:val="12"/>
                <w:b w:val="1"/>
                <w:bCs w:val="1"/>
                <w:color w:val="auto"/>
                <w:w w:val="99"/>
              </w:rPr>
              <w:t>Warrants</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61"/>
              <w:spacing w:after="0"/>
              <w:rPr>
                <w:sz w:val="20"/>
                <w:szCs w:val="20"/>
                <w:color w:val="auto"/>
              </w:rPr>
            </w:pPr>
            <w:r>
              <w:rPr>
                <w:rFonts w:ascii="Arial" w:cs="Arial" w:eastAsia="Arial" w:hAnsi="Arial"/>
                <w:sz w:val="12"/>
                <w:szCs w:val="12"/>
                <w:b w:val="1"/>
                <w:bCs w:val="1"/>
                <w:color w:val="auto"/>
              </w:rPr>
              <w:t>Total</w:t>
            </w:r>
          </w:p>
        </w:tc>
        <w:tc>
          <w:tcPr>
            <w:tcW w:w="60" w:type="dxa"/>
            <w:vAlign w:val="bottom"/>
          </w:tcPr>
          <w:p>
            <w:pPr>
              <w:spacing w:after="0"/>
              <w:rPr>
                <w:sz w:val="16"/>
                <w:szCs w:val="16"/>
                <w:color w:val="auto"/>
              </w:rPr>
            </w:pPr>
          </w:p>
        </w:tc>
      </w:tr>
      <w:tr>
        <w:trPr>
          <w:trHeight w:val="177"/>
        </w:trPr>
        <w:tc>
          <w:tcPr>
            <w:tcW w:w="3640" w:type="dxa"/>
            <w:vAlign w:val="bottom"/>
            <w:shd w:val="clear" w:color="auto" w:fill="CFF0FC"/>
          </w:tcPr>
          <w:p>
            <w:pPr>
              <w:ind w:left="20"/>
              <w:spacing w:after="0"/>
              <w:rPr>
                <w:sz w:val="20"/>
                <w:szCs w:val="20"/>
                <w:color w:val="auto"/>
              </w:rPr>
            </w:pPr>
            <w:r>
              <w:rPr>
                <w:rFonts w:ascii="Arial" w:cs="Arial" w:eastAsia="Arial" w:hAnsi="Arial"/>
                <w:sz w:val="12"/>
                <w:szCs w:val="12"/>
                <w:b w:val="1"/>
                <w:bCs w:val="1"/>
                <w:color w:val="auto"/>
              </w:rPr>
              <w:t>Balance, December 31, 2019</w:t>
            </w:r>
          </w:p>
        </w:tc>
        <w:tc>
          <w:tcPr>
            <w:tcW w:w="340" w:type="dxa"/>
            <w:vAlign w:val="bottom"/>
            <w:gridSpan w:val="2"/>
            <w:shd w:val="clear" w:color="auto" w:fill="CFF0FC"/>
          </w:tcPr>
          <w:p>
            <w:pPr>
              <w:jc w:val="right"/>
              <w:ind w:right="61"/>
              <w:spacing w:after="0"/>
              <w:rPr>
                <w:sz w:val="20"/>
                <w:szCs w:val="20"/>
                <w:color w:val="auto"/>
              </w:rPr>
            </w:pPr>
            <w:r>
              <w:rPr>
                <w:rFonts w:ascii="Arial" w:cs="Arial" w:eastAsia="Arial" w:hAnsi="Arial"/>
                <w:sz w:val="12"/>
                <w:szCs w:val="12"/>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108,327</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53"/>
              <w:spacing w:after="0"/>
              <w:rPr>
                <w:sz w:val="20"/>
                <w:szCs w:val="20"/>
                <w:color w:val="auto"/>
              </w:rPr>
            </w:pPr>
            <w:r>
              <w:rPr>
                <w:rFonts w:ascii="Arial" w:cs="Arial" w:eastAsia="Arial" w:hAnsi="Arial"/>
                <w:sz w:val="9"/>
                <w:szCs w:val="9"/>
                <w:color w:val="auto"/>
                <w:w w:val="78"/>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383,077</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93"/>
              <w:spacing w:after="0"/>
              <w:rPr>
                <w:sz w:val="20"/>
                <w:szCs w:val="20"/>
                <w:color w:val="auto"/>
              </w:rPr>
            </w:pPr>
            <w:r>
              <w:rPr>
                <w:rFonts w:ascii="Arial" w:cs="Arial" w:eastAsia="Arial" w:hAnsi="Arial"/>
                <w:sz w:val="9"/>
                <w:szCs w:val="9"/>
                <w:color w:val="auto"/>
                <w:w w:val="78"/>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140,843</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126,564</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1"/>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8,108</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73"/>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766,919</w:t>
            </w:r>
          </w:p>
        </w:tc>
        <w:tc>
          <w:tcPr>
            <w:tcW w:w="60" w:type="dxa"/>
            <w:vAlign w:val="bottom"/>
            <w:shd w:val="clear" w:color="auto" w:fill="CFF0FC"/>
          </w:tcPr>
          <w:p>
            <w:pPr>
              <w:spacing w:after="0"/>
              <w:rPr>
                <w:sz w:val="15"/>
                <w:szCs w:val="15"/>
                <w:color w:val="auto"/>
              </w:rPr>
            </w:pPr>
          </w:p>
        </w:tc>
      </w:tr>
      <w:tr>
        <w:trPr>
          <w:trHeight w:val="169"/>
        </w:trPr>
        <w:tc>
          <w:tcPr>
            <w:tcW w:w="3640" w:type="dxa"/>
            <w:vAlign w:val="bottom"/>
          </w:tcPr>
          <w:p>
            <w:pPr>
              <w:ind w:left="20"/>
              <w:spacing w:after="0"/>
              <w:rPr>
                <w:sz w:val="20"/>
                <w:szCs w:val="20"/>
                <w:color w:val="auto"/>
              </w:rPr>
            </w:pPr>
            <w:r>
              <w:rPr>
                <w:rFonts w:ascii="Arial" w:cs="Arial" w:eastAsia="Arial" w:hAnsi="Arial"/>
                <w:sz w:val="12"/>
                <w:szCs w:val="12"/>
                <w:color w:val="auto"/>
              </w:rPr>
              <w:t>Net realized gains (losses) on investments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(4 )</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81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30,958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1,862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32,897</w:t>
            </w:r>
          </w:p>
        </w:tc>
        <w:tc>
          <w:tcPr>
            <w:tcW w:w="60" w:type="dxa"/>
            <w:vAlign w:val="bottom"/>
          </w:tcPr>
          <w:p>
            <w:pPr>
              <w:spacing w:after="0"/>
              <w:rPr>
                <w:sz w:val="14"/>
                <w:szCs w:val="14"/>
                <w:color w:val="auto"/>
              </w:rPr>
            </w:pPr>
          </w:p>
        </w:tc>
      </w:tr>
      <w:tr>
        <w:trPr>
          <w:trHeight w:val="186"/>
        </w:trPr>
        <w:tc>
          <w:tcPr>
            <w:tcW w:w="3640" w:type="dxa"/>
            <w:vAlign w:val="bottom"/>
            <w:shd w:val="clear" w:color="auto" w:fill="CFF0FC"/>
          </w:tcPr>
          <w:p>
            <w:pPr>
              <w:ind w:left="20"/>
              <w:spacing w:after="0"/>
              <w:rPr>
                <w:sz w:val="20"/>
                <w:szCs w:val="20"/>
                <w:color w:val="auto"/>
              </w:rPr>
            </w:pPr>
            <w:r>
              <w:rPr>
                <w:rFonts w:ascii="Arial" w:cs="Arial" w:eastAsia="Arial" w:hAnsi="Arial"/>
                <w:sz w:val="12"/>
                <w:szCs w:val="12"/>
                <w:color w:val="auto"/>
                <w:w w:val="99"/>
              </w:rPr>
              <w:t>Net change in unrealized appreciation (depreciation) on investments</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(105 )</w:t>
            </w:r>
          </w:p>
        </w:tc>
        <w:tc>
          <w:tcPr>
            <w:tcW w:w="16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(31,030 )</w:t>
            </w: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(29,485 )</w:t>
            </w:r>
          </w:p>
        </w:tc>
        <w:tc>
          <w:tcPr>
            <w:tcW w:w="14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(2,874 )</w:t>
            </w:r>
          </w:p>
        </w:tc>
        <w:tc>
          <w:tcPr>
            <w:tcW w:w="18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(63,434 )</w:t>
            </w:r>
          </w:p>
        </w:tc>
      </w:tr>
      <w:tr>
        <w:trPr>
          <w:trHeight w:val="169"/>
        </w:trPr>
        <w:tc>
          <w:tcPr>
            <w:tcW w:w="3640" w:type="dxa"/>
            <w:vAlign w:val="bottom"/>
          </w:tcPr>
          <w:p>
            <w:pPr>
              <w:ind w:left="20"/>
              <w:spacing w:after="0"/>
              <w:rPr>
                <w:sz w:val="20"/>
                <w:szCs w:val="20"/>
                <w:color w:val="auto"/>
              </w:rPr>
            </w:pPr>
            <w:r>
              <w:rPr>
                <w:rFonts w:ascii="Arial" w:cs="Arial" w:eastAsia="Arial" w:hAnsi="Arial"/>
                <w:sz w:val="12"/>
                <w:szCs w:val="12"/>
                <w:color w:val="auto"/>
              </w:rPr>
              <w:t>Purchase of investments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49,239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22,000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13,500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1,382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86,121</w:t>
            </w:r>
          </w:p>
        </w:tc>
        <w:tc>
          <w:tcPr>
            <w:tcW w:w="60" w:type="dxa"/>
            <w:vAlign w:val="bottom"/>
          </w:tcPr>
          <w:p>
            <w:pPr>
              <w:spacing w:after="0"/>
              <w:rPr>
                <w:sz w:val="14"/>
                <w:szCs w:val="14"/>
                <w:color w:val="auto"/>
              </w:rPr>
            </w:pPr>
          </w:p>
        </w:tc>
      </w:tr>
      <w:tr>
        <w:trPr>
          <w:trHeight w:val="186"/>
        </w:trPr>
        <w:tc>
          <w:tcPr>
            <w:tcW w:w="3640" w:type="dxa"/>
            <w:vAlign w:val="bottom"/>
            <w:shd w:val="clear" w:color="auto" w:fill="CFF0FC"/>
          </w:tcPr>
          <w:p>
            <w:pPr>
              <w:ind w:left="20"/>
              <w:spacing w:after="0"/>
              <w:rPr>
                <w:sz w:val="20"/>
                <w:szCs w:val="20"/>
                <w:color w:val="auto"/>
              </w:rPr>
            </w:pPr>
            <w:r>
              <w:rPr>
                <w:rFonts w:ascii="Arial" w:cs="Arial" w:eastAsia="Arial" w:hAnsi="Arial"/>
                <w:sz w:val="12"/>
                <w:szCs w:val="12"/>
                <w:color w:val="auto"/>
              </w:rPr>
              <w:t>Proceeds from sales and repayments of investments</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(26,264 )</w:t>
            </w:r>
          </w:p>
        </w:tc>
        <w:tc>
          <w:tcPr>
            <w:tcW w:w="16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(25,195 )</w:t>
            </w:r>
          </w:p>
        </w:tc>
        <w:tc>
          <w:tcPr>
            <w:tcW w:w="20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(10,565 )</w:t>
            </w:r>
          </w:p>
        </w:tc>
        <w:tc>
          <w:tcPr>
            <w:tcW w:w="18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(43,633 )</w:t>
            </w:r>
          </w:p>
        </w:tc>
        <w:tc>
          <w:tcPr>
            <w:tcW w:w="14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(4,492 )</w:t>
            </w:r>
          </w:p>
        </w:tc>
        <w:tc>
          <w:tcPr>
            <w:tcW w:w="18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(110,149 )</w:t>
            </w:r>
          </w:p>
        </w:tc>
      </w:tr>
      <w:tr>
        <w:trPr>
          <w:trHeight w:val="169"/>
        </w:trPr>
        <w:tc>
          <w:tcPr>
            <w:tcW w:w="3640" w:type="dxa"/>
            <w:vAlign w:val="bottom"/>
          </w:tcPr>
          <w:p>
            <w:pPr>
              <w:ind w:left="20"/>
              <w:spacing w:after="0"/>
              <w:rPr>
                <w:sz w:val="20"/>
                <w:szCs w:val="20"/>
                <w:color w:val="auto"/>
              </w:rPr>
            </w:pPr>
            <w:r>
              <w:rPr>
                <w:rFonts w:ascii="Arial" w:cs="Arial" w:eastAsia="Arial" w:hAnsi="Arial"/>
                <w:sz w:val="12"/>
                <w:szCs w:val="12"/>
                <w:color w:val="auto"/>
              </w:rPr>
              <w:t>Interest and dividend income paid-in-kind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118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3,022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371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3,511</w:t>
            </w:r>
          </w:p>
        </w:tc>
        <w:tc>
          <w:tcPr>
            <w:tcW w:w="60" w:type="dxa"/>
            <w:vAlign w:val="bottom"/>
          </w:tcPr>
          <w:p>
            <w:pPr>
              <w:spacing w:after="0"/>
              <w:rPr>
                <w:sz w:val="14"/>
                <w:szCs w:val="14"/>
                <w:color w:val="auto"/>
              </w:rPr>
            </w:pPr>
          </w:p>
        </w:tc>
      </w:tr>
      <w:tr>
        <w:trPr>
          <w:trHeight w:val="186"/>
        </w:trPr>
        <w:tc>
          <w:tcPr>
            <w:tcW w:w="3640" w:type="dxa"/>
            <w:vAlign w:val="bottom"/>
            <w:shd w:val="clear" w:color="auto" w:fill="CFF0FC"/>
          </w:tcPr>
          <w:p>
            <w:pPr>
              <w:ind w:left="20"/>
              <w:spacing w:after="0"/>
              <w:rPr>
                <w:sz w:val="20"/>
                <w:szCs w:val="20"/>
                <w:color w:val="auto"/>
              </w:rPr>
            </w:pPr>
            <w:r>
              <w:rPr>
                <w:rFonts w:ascii="Arial" w:cs="Arial" w:eastAsia="Arial" w:hAnsi="Arial"/>
                <w:sz w:val="12"/>
                <w:szCs w:val="12"/>
                <w:color w:val="auto"/>
              </w:rPr>
              <w:t>Proceeds from loan origination fees</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(1,036 )</w:t>
            </w:r>
          </w:p>
        </w:tc>
        <w:tc>
          <w:tcPr>
            <w:tcW w:w="16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(158 )</w:t>
            </w:r>
          </w:p>
        </w:tc>
        <w:tc>
          <w:tcPr>
            <w:tcW w:w="20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(250 )</w:t>
            </w:r>
          </w:p>
        </w:tc>
        <w:tc>
          <w:tcPr>
            <w:tcW w:w="18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(1,444 )</w:t>
            </w:r>
          </w:p>
        </w:tc>
      </w:tr>
      <w:tr>
        <w:trPr>
          <w:trHeight w:val="169"/>
        </w:trPr>
        <w:tc>
          <w:tcPr>
            <w:tcW w:w="3640" w:type="dxa"/>
            <w:vAlign w:val="bottom"/>
          </w:tcPr>
          <w:p>
            <w:pPr>
              <w:ind w:left="20"/>
              <w:spacing w:after="0"/>
              <w:rPr>
                <w:sz w:val="20"/>
                <w:szCs w:val="20"/>
                <w:color w:val="auto"/>
              </w:rPr>
            </w:pPr>
            <w:r>
              <w:rPr>
                <w:rFonts w:ascii="Arial" w:cs="Arial" w:eastAsia="Arial" w:hAnsi="Arial"/>
                <w:sz w:val="12"/>
                <w:szCs w:val="12"/>
                <w:color w:val="auto"/>
              </w:rPr>
              <w:t>Accretion of loan origination fees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333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380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150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866</w:t>
            </w:r>
          </w:p>
        </w:tc>
        <w:tc>
          <w:tcPr>
            <w:tcW w:w="60" w:type="dxa"/>
            <w:vAlign w:val="bottom"/>
          </w:tcPr>
          <w:p>
            <w:pPr>
              <w:spacing w:after="0"/>
              <w:rPr>
                <w:sz w:val="14"/>
                <w:szCs w:val="14"/>
                <w:color w:val="auto"/>
              </w:rPr>
            </w:pPr>
          </w:p>
        </w:tc>
      </w:tr>
      <w:tr>
        <w:trPr>
          <w:trHeight w:val="184"/>
        </w:trPr>
        <w:tc>
          <w:tcPr>
            <w:tcW w:w="3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2"/>
                <w:szCs w:val="12"/>
                <w:color w:val="auto"/>
              </w:rPr>
              <w:t>Accretion of original issue discount</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72</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46</w:t>
            </w: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118</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72"/>
        </w:trPr>
        <w:tc>
          <w:tcPr>
            <w:tcW w:w="3640" w:type="dxa"/>
            <w:vAlign w:val="bottom"/>
          </w:tcPr>
          <w:p>
            <w:pPr>
              <w:ind w:left="20"/>
              <w:spacing w:after="0"/>
              <w:rPr>
                <w:sz w:val="20"/>
                <w:szCs w:val="20"/>
                <w:color w:val="auto"/>
              </w:rPr>
            </w:pPr>
            <w:r>
              <w:rPr>
                <w:rFonts w:ascii="Arial" w:cs="Arial" w:eastAsia="Arial" w:hAnsi="Arial"/>
                <w:sz w:val="12"/>
                <w:szCs w:val="12"/>
                <w:b w:val="1"/>
                <w:bCs w:val="1"/>
                <w:color w:val="auto"/>
              </w:rPr>
              <w:t>Balance, September 30, 2020</w:t>
            </w:r>
          </w:p>
        </w:tc>
        <w:tc>
          <w:tcPr>
            <w:tcW w:w="140" w:type="dxa"/>
            <w:vAlign w:val="bottom"/>
          </w:tcPr>
          <w:p>
            <w:pPr>
              <w:spacing w:after="0"/>
              <w:rPr>
                <w:sz w:val="14"/>
                <w:szCs w:val="14"/>
                <w:color w:val="auto"/>
              </w:rPr>
            </w:pPr>
          </w:p>
        </w:tc>
        <w:tc>
          <w:tcPr>
            <w:tcW w:w="2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130,680</w:t>
            </w:r>
          </w:p>
        </w:tc>
        <w:tc>
          <w:tcPr>
            <w:tcW w:w="220" w:type="dxa"/>
            <w:vAlign w:val="bottom"/>
          </w:tcPr>
          <w:p>
            <w:pPr>
              <w:spacing w:after="0"/>
              <w:rPr>
                <w:sz w:val="14"/>
                <w:szCs w:val="14"/>
                <w:color w:val="auto"/>
              </w:rPr>
            </w:pPr>
          </w:p>
        </w:tc>
        <w:tc>
          <w:tcPr>
            <w:tcW w:w="160" w:type="dxa"/>
            <w:vAlign w:val="bottom"/>
            <w:tcBorders>
              <w:bottom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352,223</w:t>
            </w:r>
          </w:p>
        </w:tc>
        <w:tc>
          <w:tcPr>
            <w:tcW w:w="220" w:type="dxa"/>
            <w:vAlign w:val="bottom"/>
          </w:tcPr>
          <w:p>
            <w:pPr>
              <w:spacing w:after="0"/>
              <w:rPr>
                <w:sz w:val="14"/>
                <w:szCs w:val="14"/>
                <w:color w:val="auto"/>
              </w:rPr>
            </w:pPr>
          </w:p>
        </w:tc>
        <w:tc>
          <w:tcPr>
            <w:tcW w:w="200" w:type="dxa"/>
            <w:vAlign w:val="bottom"/>
            <w:tcBorders>
              <w:bottom w:val="single" w:sz="8" w:color="auto"/>
            </w:tcBorders>
          </w:tcPr>
          <w:p>
            <w:pPr>
              <w:jc w:val="right"/>
              <w:ind w:right="93"/>
              <w:spacing w:after="0"/>
              <w:rPr>
                <w:sz w:val="20"/>
                <w:szCs w:val="20"/>
                <w:color w:val="auto"/>
              </w:rPr>
            </w:pPr>
            <w:r>
              <w:rPr>
                <w:rFonts w:ascii="Arial" w:cs="Arial" w:eastAsia="Arial" w:hAnsi="Arial"/>
                <w:sz w:val="9"/>
                <w:szCs w:val="9"/>
                <w:color w:val="auto"/>
                <w:w w:val="78"/>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144,109</w:t>
            </w:r>
          </w:p>
        </w:tc>
        <w:tc>
          <w:tcPr>
            <w:tcW w:w="220" w:type="dxa"/>
            <w:vAlign w:val="bottom"/>
          </w:tcPr>
          <w:p>
            <w:pPr>
              <w:spacing w:after="0"/>
              <w:rPr>
                <w:sz w:val="14"/>
                <w:szCs w:val="14"/>
                <w:color w:val="auto"/>
              </w:rPr>
            </w:pPr>
          </w:p>
        </w:tc>
        <w:tc>
          <w:tcPr>
            <w:tcW w:w="1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85,789</w:t>
            </w:r>
          </w:p>
        </w:tc>
        <w:tc>
          <w:tcPr>
            <w:tcW w:w="220" w:type="dxa"/>
            <w:vAlign w:val="bottom"/>
          </w:tcPr>
          <w:p>
            <w:pPr>
              <w:spacing w:after="0"/>
              <w:rPr>
                <w:sz w:val="14"/>
                <w:szCs w:val="14"/>
                <w:color w:val="auto"/>
              </w:rPr>
            </w:pPr>
          </w:p>
        </w:tc>
        <w:tc>
          <w:tcPr>
            <w:tcW w:w="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2,604</w:t>
            </w:r>
          </w:p>
        </w:tc>
        <w:tc>
          <w:tcPr>
            <w:tcW w:w="200" w:type="dxa"/>
            <w:vAlign w:val="bottom"/>
          </w:tcPr>
          <w:p>
            <w:pPr>
              <w:spacing w:after="0"/>
              <w:rPr>
                <w:sz w:val="14"/>
                <w:szCs w:val="14"/>
                <w:color w:val="auto"/>
              </w:rPr>
            </w:pPr>
          </w:p>
        </w:tc>
        <w:tc>
          <w:tcPr>
            <w:tcW w:w="180" w:type="dxa"/>
            <w:vAlign w:val="bottom"/>
            <w:tcBorders>
              <w:bottom w:val="single" w:sz="8" w:color="auto"/>
            </w:tcBorders>
          </w:tcPr>
          <w:p>
            <w:pPr>
              <w:jc w:val="right"/>
              <w:ind w:right="73"/>
              <w:spacing w:after="0"/>
              <w:rPr>
                <w:sz w:val="20"/>
                <w:szCs w:val="20"/>
                <w:color w:val="auto"/>
              </w:rPr>
            </w:pPr>
            <w:r>
              <w:rPr>
                <w:rFonts w:ascii="Arial" w:cs="Arial" w:eastAsia="Arial" w:hAnsi="Arial"/>
                <w:sz w:val="9"/>
                <w:szCs w:val="9"/>
                <w:color w:val="auto"/>
                <w:w w:val="78"/>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715,405</w:t>
            </w:r>
          </w:p>
        </w:tc>
        <w:tc>
          <w:tcPr>
            <w:tcW w:w="60" w:type="dxa"/>
            <w:vAlign w:val="bottom"/>
          </w:tcPr>
          <w:p>
            <w:pPr>
              <w:spacing w:after="0"/>
              <w:rPr>
                <w:sz w:val="14"/>
                <w:szCs w:val="14"/>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3640" w:type="dxa"/>
            <w:vAlign w:val="bottom"/>
            <w:shd w:val="clear" w:color="auto" w:fill="CFF0FC"/>
          </w:tcPr>
          <w:p>
            <w:pPr>
              <w:ind w:left="20"/>
              <w:spacing w:after="0"/>
              <w:rPr>
                <w:sz w:val="20"/>
                <w:szCs w:val="20"/>
                <w:color w:val="auto"/>
              </w:rPr>
            </w:pPr>
            <w:r>
              <w:rPr>
                <w:rFonts w:ascii="Arial" w:cs="Arial" w:eastAsia="Arial" w:hAnsi="Arial"/>
                <w:sz w:val="12"/>
                <w:szCs w:val="12"/>
                <w:b w:val="1"/>
                <w:bCs w:val="1"/>
                <w:color w:val="auto"/>
              </w:rPr>
              <w:t>Balance, December 31, 2020</w:t>
            </w:r>
          </w:p>
        </w:tc>
        <w:tc>
          <w:tcPr>
            <w:tcW w:w="340" w:type="dxa"/>
            <w:vAlign w:val="bottom"/>
            <w:gridSpan w:val="2"/>
            <w:shd w:val="clear" w:color="auto" w:fill="CFF0FC"/>
          </w:tcPr>
          <w:p>
            <w:pPr>
              <w:jc w:val="right"/>
              <w:ind w:right="61"/>
              <w:spacing w:after="0"/>
              <w:rPr>
                <w:sz w:val="20"/>
                <w:szCs w:val="20"/>
                <w:color w:val="auto"/>
              </w:rPr>
            </w:pPr>
            <w:r>
              <w:rPr>
                <w:rFonts w:ascii="Arial" w:cs="Arial" w:eastAsia="Arial" w:hAnsi="Arial"/>
                <w:sz w:val="12"/>
                <w:szCs w:val="12"/>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187,353</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53"/>
              <w:spacing w:after="0"/>
              <w:rPr>
                <w:sz w:val="20"/>
                <w:szCs w:val="20"/>
                <w:color w:val="auto"/>
              </w:rPr>
            </w:pPr>
            <w:r>
              <w:rPr>
                <w:rFonts w:ascii="Arial" w:cs="Arial" w:eastAsia="Arial" w:hAnsi="Arial"/>
                <w:sz w:val="9"/>
                <w:szCs w:val="9"/>
                <w:color w:val="auto"/>
                <w:w w:val="78"/>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332,154</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93"/>
              <w:spacing w:after="0"/>
              <w:rPr>
                <w:sz w:val="20"/>
                <w:szCs w:val="20"/>
                <w:color w:val="auto"/>
              </w:rPr>
            </w:pPr>
            <w:r>
              <w:rPr>
                <w:rFonts w:ascii="Arial" w:cs="Arial" w:eastAsia="Arial" w:hAnsi="Arial"/>
                <w:sz w:val="9"/>
                <w:szCs w:val="9"/>
                <w:color w:val="auto"/>
                <w:w w:val="78"/>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107,911</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112,836</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1"/>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2,615</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73"/>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742,869</w:t>
            </w:r>
          </w:p>
        </w:tc>
        <w:tc>
          <w:tcPr>
            <w:tcW w:w="60" w:type="dxa"/>
            <w:vAlign w:val="bottom"/>
            <w:shd w:val="clear" w:color="auto" w:fill="CFF0FC"/>
          </w:tcPr>
          <w:p>
            <w:pPr>
              <w:spacing w:after="0"/>
              <w:rPr>
                <w:sz w:val="13"/>
                <w:szCs w:val="13"/>
                <w:color w:val="auto"/>
              </w:rPr>
            </w:pPr>
          </w:p>
        </w:tc>
      </w:tr>
      <w:tr>
        <w:trPr>
          <w:trHeight w:val="169"/>
        </w:trPr>
        <w:tc>
          <w:tcPr>
            <w:tcW w:w="3640" w:type="dxa"/>
            <w:vAlign w:val="bottom"/>
          </w:tcPr>
          <w:p>
            <w:pPr>
              <w:ind w:left="20"/>
              <w:spacing w:after="0"/>
              <w:rPr>
                <w:sz w:val="20"/>
                <w:szCs w:val="20"/>
                <w:color w:val="auto"/>
              </w:rPr>
            </w:pPr>
            <w:r>
              <w:rPr>
                <w:rFonts w:ascii="Arial" w:cs="Arial" w:eastAsia="Arial" w:hAnsi="Arial"/>
                <w:sz w:val="12"/>
                <w:szCs w:val="12"/>
                <w:color w:val="auto"/>
              </w:rPr>
              <w:t>Net realized gains (losses) on investments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13,673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13,673</w:t>
            </w:r>
          </w:p>
        </w:tc>
        <w:tc>
          <w:tcPr>
            <w:tcW w:w="60" w:type="dxa"/>
            <w:vAlign w:val="bottom"/>
          </w:tcPr>
          <w:p>
            <w:pPr>
              <w:spacing w:after="0"/>
              <w:rPr>
                <w:sz w:val="14"/>
                <w:szCs w:val="14"/>
                <w:color w:val="auto"/>
              </w:rPr>
            </w:pPr>
          </w:p>
        </w:tc>
      </w:tr>
      <w:tr>
        <w:trPr>
          <w:trHeight w:val="186"/>
        </w:trPr>
        <w:tc>
          <w:tcPr>
            <w:tcW w:w="3640" w:type="dxa"/>
            <w:vAlign w:val="bottom"/>
            <w:shd w:val="clear" w:color="auto" w:fill="CFF0FC"/>
          </w:tcPr>
          <w:p>
            <w:pPr>
              <w:ind w:left="20"/>
              <w:spacing w:after="0"/>
              <w:rPr>
                <w:sz w:val="20"/>
                <w:szCs w:val="20"/>
                <w:color w:val="auto"/>
              </w:rPr>
            </w:pPr>
            <w:r>
              <w:rPr>
                <w:rFonts w:ascii="Arial" w:cs="Arial" w:eastAsia="Arial" w:hAnsi="Arial"/>
                <w:sz w:val="12"/>
                <w:szCs w:val="12"/>
                <w:color w:val="auto"/>
                <w:w w:val="99"/>
              </w:rPr>
              <w:t>Net change in unrealized appreciation (depreciation) on investments</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(1,182 )</w:t>
            </w:r>
          </w:p>
        </w:tc>
        <w:tc>
          <w:tcPr>
            <w:tcW w:w="16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(1,213 )</w:t>
            </w:r>
          </w:p>
        </w:tc>
        <w:tc>
          <w:tcPr>
            <w:tcW w:w="20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(308 )</w:t>
            </w: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34,066</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656</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32,019</w:t>
            </w:r>
          </w:p>
        </w:tc>
        <w:tc>
          <w:tcPr>
            <w:tcW w:w="60" w:type="dxa"/>
            <w:vAlign w:val="bottom"/>
            <w:shd w:val="clear" w:color="auto" w:fill="CFF0FC"/>
          </w:tcPr>
          <w:p>
            <w:pPr>
              <w:spacing w:after="0"/>
              <w:rPr>
                <w:sz w:val="16"/>
                <w:szCs w:val="16"/>
                <w:color w:val="auto"/>
              </w:rPr>
            </w:pPr>
          </w:p>
        </w:tc>
      </w:tr>
      <w:tr>
        <w:trPr>
          <w:trHeight w:val="169"/>
        </w:trPr>
        <w:tc>
          <w:tcPr>
            <w:tcW w:w="3640" w:type="dxa"/>
            <w:vAlign w:val="bottom"/>
          </w:tcPr>
          <w:p>
            <w:pPr>
              <w:ind w:left="20"/>
              <w:spacing w:after="0"/>
              <w:rPr>
                <w:sz w:val="20"/>
                <w:szCs w:val="20"/>
                <w:color w:val="auto"/>
              </w:rPr>
            </w:pPr>
            <w:r>
              <w:rPr>
                <w:rFonts w:ascii="Arial" w:cs="Arial" w:eastAsia="Arial" w:hAnsi="Arial"/>
                <w:sz w:val="12"/>
                <w:szCs w:val="12"/>
                <w:color w:val="auto"/>
              </w:rPr>
              <w:t>Purchase of investments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172,506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43,850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18,500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10,688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245,544</w:t>
            </w:r>
          </w:p>
        </w:tc>
        <w:tc>
          <w:tcPr>
            <w:tcW w:w="60" w:type="dxa"/>
            <w:vAlign w:val="bottom"/>
          </w:tcPr>
          <w:p>
            <w:pPr>
              <w:spacing w:after="0"/>
              <w:rPr>
                <w:sz w:val="14"/>
                <w:szCs w:val="14"/>
                <w:color w:val="auto"/>
              </w:rPr>
            </w:pPr>
          </w:p>
        </w:tc>
      </w:tr>
      <w:tr>
        <w:trPr>
          <w:trHeight w:val="186"/>
        </w:trPr>
        <w:tc>
          <w:tcPr>
            <w:tcW w:w="3640" w:type="dxa"/>
            <w:vAlign w:val="bottom"/>
            <w:shd w:val="clear" w:color="auto" w:fill="CFF0FC"/>
          </w:tcPr>
          <w:p>
            <w:pPr>
              <w:ind w:left="20"/>
              <w:spacing w:after="0"/>
              <w:rPr>
                <w:sz w:val="20"/>
                <w:szCs w:val="20"/>
                <w:color w:val="auto"/>
              </w:rPr>
            </w:pPr>
            <w:r>
              <w:rPr>
                <w:rFonts w:ascii="Arial" w:cs="Arial" w:eastAsia="Arial" w:hAnsi="Arial"/>
                <w:sz w:val="12"/>
                <w:szCs w:val="12"/>
                <w:color w:val="auto"/>
              </w:rPr>
              <w:t>Proceeds from sales and repayments of investments</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(61,008 )</w:t>
            </w:r>
          </w:p>
        </w:tc>
        <w:tc>
          <w:tcPr>
            <w:tcW w:w="16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(177,719 )</w:t>
            </w:r>
          </w:p>
        </w:tc>
        <w:tc>
          <w:tcPr>
            <w:tcW w:w="20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(57,039 )</w:t>
            </w:r>
          </w:p>
        </w:tc>
        <w:tc>
          <w:tcPr>
            <w:tcW w:w="18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(23,270 )</w:t>
            </w:r>
          </w:p>
        </w:tc>
        <w:tc>
          <w:tcPr>
            <w:tcW w:w="14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(319,036 )</w:t>
            </w:r>
          </w:p>
        </w:tc>
      </w:tr>
      <w:tr>
        <w:trPr>
          <w:trHeight w:val="169"/>
        </w:trPr>
        <w:tc>
          <w:tcPr>
            <w:tcW w:w="3640" w:type="dxa"/>
            <w:vAlign w:val="bottom"/>
          </w:tcPr>
          <w:p>
            <w:pPr>
              <w:ind w:left="20"/>
              <w:spacing w:after="0"/>
              <w:rPr>
                <w:sz w:val="20"/>
                <w:szCs w:val="20"/>
                <w:color w:val="auto"/>
              </w:rPr>
            </w:pPr>
            <w:r>
              <w:rPr>
                <w:rFonts w:ascii="Arial" w:cs="Arial" w:eastAsia="Arial" w:hAnsi="Arial"/>
                <w:sz w:val="12"/>
                <w:szCs w:val="12"/>
                <w:color w:val="auto"/>
              </w:rPr>
              <w:t>Interest and dividend income paid-in-kind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109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3,142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81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105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3,437</w:t>
            </w:r>
          </w:p>
        </w:tc>
        <w:tc>
          <w:tcPr>
            <w:tcW w:w="60" w:type="dxa"/>
            <w:vAlign w:val="bottom"/>
          </w:tcPr>
          <w:p>
            <w:pPr>
              <w:spacing w:after="0"/>
              <w:rPr>
                <w:sz w:val="14"/>
                <w:szCs w:val="14"/>
                <w:color w:val="auto"/>
              </w:rPr>
            </w:pPr>
          </w:p>
        </w:tc>
      </w:tr>
      <w:tr>
        <w:trPr>
          <w:trHeight w:val="186"/>
        </w:trPr>
        <w:tc>
          <w:tcPr>
            <w:tcW w:w="3640" w:type="dxa"/>
            <w:vAlign w:val="bottom"/>
            <w:shd w:val="clear" w:color="auto" w:fill="CFF0FC"/>
          </w:tcPr>
          <w:p>
            <w:pPr>
              <w:ind w:left="20"/>
              <w:spacing w:after="0"/>
              <w:rPr>
                <w:sz w:val="20"/>
                <w:szCs w:val="20"/>
                <w:color w:val="auto"/>
              </w:rPr>
            </w:pPr>
            <w:r>
              <w:rPr>
                <w:rFonts w:ascii="Arial" w:cs="Arial" w:eastAsia="Arial" w:hAnsi="Arial"/>
                <w:sz w:val="12"/>
                <w:szCs w:val="12"/>
                <w:color w:val="auto"/>
              </w:rPr>
              <w:t>Proceeds from loan origination fees</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(1,765 )</w:t>
            </w:r>
          </w:p>
        </w:tc>
        <w:tc>
          <w:tcPr>
            <w:tcW w:w="16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(104 )</w:t>
            </w:r>
          </w:p>
        </w:tc>
        <w:tc>
          <w:tcPr>
            <w:tcW w:w="20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(80 )</w:t>
            </w:r>
          </w:p>
        </w:tc>
        <w:tc>
          <w:tcPr>
            <w:tcW w:w="18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(1,949 )</w:t>
            </w:r>
          </w:p>
        </w:tc>
      </w:tr>
      <w:tr>
        <w:trPr>
          <w:trHeight w:val="169"/>
        </w:trPr>
        <w:tc>
          <w:tcPr>
            <w:tcW w:w="3640" w:type="dxa"/>
            <w:vAlign w:val="bottom"/>
          </w:tcPr>
          <w:p>
            <w:pPr>
              <w:ind w:left="20"/>
              <w:spacing w:after="0"/>
              <w:rPr>
                <w:sz w:val="20"/>
                <w:szCs w:val="20"/>
                <w:color w:val="auto"/>
              </w:rPr>
            </w:pPr>
            <w:r>
              <w:rPr>
                <w:rFonts w:ascii="Arial" w:cs="Arial" w:eastAsia="Arial" w:hAnsi="Arial"/>
                <w:sz w:val="12"/>
                <w:szCs w:val="12"/>
                <w:color w:val="auto"/>
              </w:rPr>
              <w:t>Accretion of loan origination fees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985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461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387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1,833</w:t>
            </w:r>
          </w:p>
        </w:tc>
        <w:tc>
          <w:tcPr>
            <w:tcW w:w="60" w:type="dxa"/>
            <w:vAlign w:val="bottom"/>
          </w:tcPr>
          <w:p>
            <w:pPr>
              <w:spacing w:after="0"/>
              <w:rPr>
                <w:sz w:val="14"/>
                <w:szCs w:val="14"/>
                <w:color w:val="auto"/>
              </w:rPr>
            </w:pPr>
          </w:p>
        </w:tc>
      </w:tr>
      <w:tr>
        <w:trPr>
          <w:trHeight w:val="184"/>
        </w:trPr>
        <w:tc>
          <w:tcPr>
            <w:tcW w:w="3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2"/>
                <w:szCs w:val="12"/>
                <w:color w:val="auto"/>
              </w:rPr>
              <w:t>Accretion of original issue discount</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734</w:t>
            </w: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734</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72"/>
        </w:trPr>
        <w:tc>
          <w:tcPr>
            <w:tcW w:w="3640" w:type="dxa"/>
            <w:vAlign w:val="bottom"/>
          </w:tcPr>
          <w:p>
            <w:pPr>
              <w:ind w:left="20"/>
              <w:spacing w:after="0"/>
              <w:rPr>
                <w:sz w:val="20"/>
                <w:szCs w:val="20"/>
                <w:color w:val="auto"/>
              </w:rPr>
            </w:pPr>
            <w:r>
              <w:rPr>
                <w:rFonts w:ascii="Arial" w:cs="Arial" w:eastAsia="Arial" w:hAnsi="Arial"/>
                <w:sz w:val="12"/>
                <w:szCs w:val="12"/>
                <w:b w:val="1"/>
                <w:bCs w:val="1"/>
                <w:color w:val="auto"/>
              </w:rPr>
              <w:t>Balance, September 30, 2021</w:t>
            </w:r>
          </w:p>
        </w:tc>
        <w:tc>
          <w:tcPr>
            <w:tcW w:w="340" w:type="dxa"/>
            <w:vAlign w:val="bottom"/>
            <w:gridSpan w:val="2"/>
          </w:tcPr>
          <w:p>
            <w:pPr>
              <w:jc w:val="right"/>
              <w:ind w:right="61"/>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296,998</w:t>
            </w:r>
          </w:p>
        </w:tc>
        <w:tc>
          <w:tcPr>
            <w:tcW w:w="220" w:type="dxa"/>
            <w:vAlign w:val="bottom"/>
          </w:tcPr>
          <w:p>
            <w:pPr>
              <w:spacing w:after="0"/>
              <w:rPr>
                <w:sz w:val="14"/>
                <w:szCs w:val="14"/>
                <w:color w:val="auto"/>
              </w:rPr>
            </w:pP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201,305</w:t>
            </w:r>
          </w:p>
        </w:tc>
        <w:tc>
          <w:tcPr>
            <w:tcW w:w="220" w:type="dxa"/>
            <w:vAlign w:val="bottom"/>
          </w:tcPr>
          <w:p>
            <w:pPr>
              <w:spacing w:after="0"/>
              <w:rPr>
                <w:sz w:val="14"/>
                <w:szCs w:val="14"/>
                <w:color w:val="auto"/>
              </w:rPr>
            </w:pP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69,452</w:t>
            </w:r>
          </w:p>
        </w:tc>
        <w:tc>
          <w:tcPr>
            <w:tcW w:w="220" w:type="dxa"/>
            <w:vAlign w:val="bottom"/>
          </w:tcPr>
          <w:p>
            <w:pPr>
              <w:spacing w:after="0"/>
              <w:rPr>
                <w:sz w:val="14"/>
                <w:szCs w:val="14"/>
                <w:color w:val="auto"/>
              </w:rPr>
            </w:pPr>
          </w:p>
        </w:tc>
        <w:tc>
          <w:tcPr>
            <w:tcW w:w="180" w:type="dxa"/>
            <w:vAlign w:val="bottom"/>
          </w:tcPr>
          <w:p>
            <w:pPr>
              <w:jc w:val="right"/>
              <w:ind w:right="41"/>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148,098</w:t>
            </w:r>
          </w:p>
        </w:tc>
        <w:tc>
          <w:tcPr>
            <w:tcW w:w="220" w:type="dxa"/>
            <w:vAlign w:val="bottom"/>
          </w:tcPr>
          <w:p>
            <w:pPr>
              <w:spacing w:after="0"/>
              <w:rPr>
                <w:sz w:val="14"/>
                <w:szCs w:val="14"/>
                <w:color w:val="auto"/>
              </w:rPr>
            </w:pP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3,271</w:t>
            </w:r>
          </w:p>
        </w:tc>
        <w:tc>
          <w:tcPr>
            <w:tcW w:w="200" w:type="dxa"/>
            <w:vAlign w:val="bottom"/>
          </w:tcPr>
          <w:p>
            <w:pPr>
              <w:spacing w:after="0"/>
              <w:rPr>
                <w:sz w:val="14"/>
                <w:szCs w:val="14"/>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719,124</w:t>
            </w:r>
          </w:p>
        </w:tc>
        <w:tc>
          <w:tcPr>
            <w:tcW w:w="60" w:type="dxa"/>
            <w:vAlign w:val="bottom"/>
          </w:tcPr>
          <w:p>
            <w:pPr>
              <w:spacing w:after="0"/>
              <w:rPr>
                <w:sz w:val="14"/>
                <w:szCs w:val="14"/>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3124200</wp:posOffset>
            </wp:positionH>
            <wp:positionV relativeFrom="paragraph">
              <wp:posOffset>-1300480</wp:posOffset>
            </wp:positionV>
            <wp:extent cx="137160" cy="50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7160" cy="508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-1300480</wp:posOffset>
            </wp:positionV>
            <wp:extent cx="137160" cy="50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37160" cy="5080"/>
                    </a:xfrm>
                    <a:prstGeom prst="rect">
                      <a:avLst/>
                    </a:prstGeom>
                    <a:noFill/>
                  </pic:spPr>
                </pic:pic>
              </a:graphicData>
            </a:graphic>
          </wp:anchor>
        </w:drawing>
        <w:drawing>
          <wp:anchor simplePos="0" relativeHeight="251657728" behindDoc="1" locked="0" layoutInCell="0" allowOverlap="1">
            <wp:simplePos x="0" y="0"/>
            <wp:positionH relativeFrom="column">
              <wp:posOffset>5008245</wp:posOffset>
            </wp:positionH>
            <wp:positionV relativeFrom="paragraph">
              <wp:posOffset>-1300480</wp:posOffset>
            </wp:positionV>
            <wp:extent cx="137160" cy="50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37160" cy="508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-1300480</wp:posOffset>
            </wp:positionV>
            <wp:extent cx="137160" cy="50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7160" cy="508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-1300480</wp:posOffset>
            </wp:positionV>
            <wp:extent cx="120650" cy="50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0650" cy="5080"/>
                    </a:xfrm>
                    <a:prstGeom prst="rect">
                      <a:avLst/>
                    </a:prstGeom>
                    <a:noFill/>
                  </pic:spPr>
                </pic:pic>
              </a:graphicData>
            </a:graphic>
          </wp:anchor>
        </w:drawing>
        <w:drawing>
          <wp:anchor simplePos="0" relativeHeight="251657728" behindDoc="1" locked="0" layoutInCell="0" allowOverlap="1">
            <wp:simplePos x="0" y="0"/>
            <wp:positionH relativeFrom="column">
              <wp:posOffset>7101205</wp:posOffset>
            </wp:positionH>
            <wp:positionV relativeFrom="paragraph">
              <wp:posOffset>-1300480</wp:posOffset>
            </wp:positionV>
            <wp:extent cx="40005" cy="50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0005" cy="5080"/>
                    </a:xfrm>
                    <a:prstGeom prst="rect">
                      <a:avLst/>
                    </a:prstGeom>
                    <a:noFill/>
                  </pic:spPr>
                </pic:pic>
              </a:graphicData>
            </a:graphic>
          </wp:anchor>
        </w:drawing>
        <w:drawing>
          <wp:anchor simplePos="0" relativeHeight="251657728" behindDoc="1" locked="0" layoutInCell="0" allowOverlap="1">
            <wp:simplePos x="0" y="0"/>
            <wp:positionH relativeFrom="column">
              <wp:posOffset>3124200</wp:posOffset>
            </wp:positionH>
            <wp:positionV relativeFrom="paragraph">
              <wp:posOffset>-141605</wp:posOffset>
            </wp:positionV>
            <wp:extent cx="137160" cy="50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37160" cy="508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-141605</wp:posOffset>
            </wp:positionV>
            <wp:extent cx="137160" cy="50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7160" cy="5080"/>
                    </a:xfrm>
                    <a:prstGeom prst="rect">
                      <a:avLst/>
                    </a:prstGeom>
                    <a:noFill/>
                  </pic:spPr>
                </pic:pic>
              </a:graphicData>
            </a:graphic>
          </wp:anchor>
        </w:drawing>
        <w:drawing>
          <wp:anchor simplePos="0" relativeHeight="251657728" behindDoc="1" locked="0" layoutInCell="0" allowOverlap="1">
            <wp:simplePos x="0" y="0"/>
            <wp:positionH relativeFrom="column">
              <wp:posOffset>5008245</wp:posOffset>
            </wp:positionH>
            <wp:positionV relativeFrom="paragraph">
              <wp:posOffset>-141605</wp:posOffset>
            </wp:positionV>
            <wp:extent cx="137160" cy="50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37160" cy="508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-141605</wp:posOffset>
            </wp:positionV>
            <wp:extent cx="137160" cy="50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37160" cy="508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-141605</wp:posOffset>
            </wp:positionV>
            <wp:extent cx="120650" cy="50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0650" cy="5080"/>
                    </a:xfrm>
                    <a:prstGeom prst="rect">
                      <a:avLst/>
                    </a:prstGeom>
                    <a:noFill/>
                  </pic:spPr>
                </pic:pic>
              </a:graphicData>
            </a:graphic>
          </wp:anchor>
        </w:drawing>
        <w:drawing>
          <wp:anchor simplePos="0" relativeHeight="251657728" behindDoc="1" locked="0" layoutInCell="0" allowOverlap="1">
            <wp:simplePos x="0" y="0"/>
            <wp:positionH relativeFrom="column">
              <wp:posOffset>7101205</wp:posOffset>
            </wp:positionH>
            <wp:positionV relativeFrom="paragraph">
              <wp:posOffset>-141605</wp:posOffset>
            </wp:positionV>
            <wp:extent cx="40005" cy="50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0005" cy="5080"/>
                    </a:xfrm>
                    <a:prstGeom prst="rect">
                      <a:avLst/>
                    </a:prstGeom>
                    <a:noFill/>
                  </pic:spPr>
                </pic:pic>
              </a:graphicData>
            </a:graphic>
          </wp:anchor>
        </w:drawing>
      </w:r>
    </w:p>
    <w:p>
      <w:pPr>
        <w:spacing w:after="0" w:line="196" w:lineRule="exact"/>
        <w:rPr>
          <w:sz w:val="20"/>
          <w:szCs w:val="20"/>
          <w:color w:val="auto"/>
        </w:rPr>
      </w:pPr>
    </w:p>
    <w:p>
      <w:pPr>
        <w:jc w:val="both"/>
        <w:ind w:firstLine="480"/>
        <w:spacing w:after="0" w:line="301" w:lineRule="auto"/>
        <w:rPr>
          <w:sz w:val="20"/>
          <w:szCs w:val="20"/>
          <w:color w:val="auto"/>
        </w:rPr>
      </w:pPr>
      <w:r>
        <w:rPr>
          <w:rFonts w:ascii="Arial" w:cs="Arial" w:eastAsia="Arial" w:hAnsi="Arial"/>
          <w:sz w:val="16"/>
          <w:szCs w:val="16"/>
          <w:color w:val="auto"/>
        </w:rPr>
        <w:t>Net change in unrealized appreciation/(depreciation) of $17,067 and $33,223 for the three and nine months ended September 30, 2021, respectively, was attributable to Level 3 investments held at September 30, 2021. Net change in unrealized appreciation/(depreciation) of $12,489 and $(62,591) for the three and nine months ended September 30, 2020, respectively, was attributable to Level 3 investments held at September 30, 2020.</w:t>
      </w:r>
    </w:p>
    <w:p>
      <w:pPr>
        <w:spacing w:after="0" w:line="106" w:lineRule="exact"/>
        <w:rPr>
          <w:sz w:val="20"/>
          <w:szCs w:val="20"/>
          <w:color w:val="auto"/>
        </w:rPr>
      </w:pPr>
    </w:p>
    <w:p>
      <w:pPr>
        <w:jc w:val="both"/>
        <w:ind w:firstLine="478"/>
        <w:spacing w:after="0" w:line="276" w:lineRule="auto"/>
        <w:rPr>
          <w:sz w:val="20"/>
          <w:szCs w:val="20"/>
          <w:color w:val="auto"/>
        </w:rPr>
      </w:pPr>
      <w:r>
        <w:rPr>
          <w:rFonts w:ascii="Arial" w:cs="Arial" w:eastAsia="Arial" w:hAnsi="Arial"/>
          <w:sz w:val="17"/>
          <w:szCs w:val="17"/>
          <w:color w:val="auto"/>
        </w:rPr>
        <w:t>The following tables summarize the significant unobservable inputs by valuation technique used to determine the fair value of the Company’s Level 3 debt and equity investments as of September 30, 2021 and December 31, 2020. The tables are not intended to be all-inclusive, but instead capture the significant unobservable inputs relevant to the Company’s determination of fair values.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224"/>
              <w:spacing w:after="0"/>
              <w:rPr>
                <w:sz w:val="20"/>
                <w:szCs w:val="20"/>
                <w:color w:val="auto"/>
              </w:rPr>
            </w:pPr>
            <w:r>
              <w:rPr>
                <w:rFonts w:ascii="Arial" w:cs="Arial" w:eastAsia="Arial" w:hAnsi="Arial"/>
                <w:sz w:val="15"/>
                <w:szCs w:val="15"/>
                <w:b w:val="1"/>
                <w:bCs w:val="1"/>
                <w:color w:val="auto"/>
              </w:rPr>
              <w:t>Fair Value at</w:t>
            </w:r>
          </w:p>
        </w:tc>
        <w:tc>
          <w:tcPr>
            <w:tcW w:w="220" w:type="dxa"/>
            <w:vAlign w:val="bottom"/>
          </w:tcPr>
          <w:p>
            <w:pPr>
              <w:spacing w:after="0"/>
              <w:rPr>
                <w:sz w:val="16"/>
                <w:szCs w:val="16"/>
                <w:color w:val="auto"/>
              </w:rPr>
            </w:pPr>
          </w:p>
        </w:tc>
        <w:tc>
          <w:tcPr>
            <w:tcW w:w="2040" w:type="dxa"/>
            <w:vAlign w:val="bottom"/>
          </w:tcPr>
          <w:p>
            <w:pPr>
              <w:ind w:left="700"/>
              <w:spacing w:after="0"/>
              <w:rPr>
                <w:sz w:val="20"/>
                <w:szCs w:val="20"/>
                <w:color w:val="auto"/>
              </w:rPr>
            </w:pPr>
            <w:r>
              <w:rPr>
                <w:rFonts w:ascii="Arial" w:cs="Arial" w:eastAsia="Arial" w:hAnsi="Arial"/>
                <w:sz w:val="15"/>
                <w:szCs w:val="15"/>
                <w:b w:val="1"/>
                <w:bCs w:val="1"/>
                <w:color w:val="auto"/>
              </w:rPr>
              <w:t>Valuation</w:t>
            </w:r>
          </w:p>
        </w:tc>
        <w:tc>
          <w:tcPr>
            <w:tcW w:w="100" w:type="dxa"/>
            <w:vAlign w:val="bottom"/>
          </w:tcPr>
          <w:p>
            <w:pPr>
              <w:spacing w:after="0"/>
              <w:rPr>
                <w:sz w:val="16"/>
                <w:szCs w:val="16"/>
                <w:color w:val="auto"/>
              </w:rPr>
            </w:pPr>
          </w:p>
        </w:tc>
        <w:tc>
          <w:tcPr>
            <w:tcW w:w="3020" w:type="dxa"/>
            <w:vAlign w:val="bottom"/>
          </w:tcPr>
          <w:p>
            <w:pPr>
              <w:ind w:left="1060"/>
              <w:spacing w:after="0"/>
              <w:rPr>
                <w:sz w:val="20"/>
                <w:szCs w:val="20"/>
                <w:color w:val="auto"/>
              </w:rPr>
            </w:pPr>
            <w:r>
              <w:rPr>
                <w:rFonts w:ascii="Arial" w:cs="Arial" w:eastAsia="Arial" w:hAnsi="Arial"/>
                <w:sz w:val="15"/>
                <w:szCs w:val="15"/>
                <w:b w:val="1"/>
                <w:bCs w:val="1"/>
                <w:color w:val="auto"/>
              </w:rPr>
              <w:t>Unobservable</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tcPr>
          <w:p>
            <w:pPr>
              <w:ind w:left="540"/>
              <w:spacing w:after="0"/>
              <w:rPr>
                <w:sz w:val="20"/>
                <w:szCs w:val="20"/>
                <w:color w:val="auto"/>
              </w:rPr>
            </w:pPr>
            <w:r>
              <w:rPr>
                <w:rFonts w:ascii="Arial" w:cs="Arial" w:eastAsia="Arial" w:hAnsi="Arial"/>
                <w:sz w:val="15"/>
                <w:szCs w:val="15"/>
                <w:b w:val="1"/>
                <w:bCs w:val="1"/>
                <w:color w:val="auto"/>
              </w:rPr>
              <w:t>Range</w:t>
            </w:r>
          </w:p>
        </w:tc>
      </w:tr>
      <w:tr>
        <w:trPr>
          <w:trHeight w:val="240"/>
        </w:trPr>
        <w:tc>
          <w:tcPr>
            <w:tcW w:w="2140" w:type="dxa"/>
            <w:vAlign w:val="bottom"/>
          </w:tcPr>
          <w:p>
            <w:pPr>
              <w:spacing w:after="0"/>
              <w:rPr>
                <w:sz w:val="20"/>
                <w:szCs w:val="20"/>
                <w:color w:val="auto"/>
              </w:rPr>
            </w:pPr>
          </w:p>
        </w:tc>
        <w:tc>
          <w:tcPr>
            <w:tcW w:w="144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5"/>
                <w:szCs w:val="15"/>
                <w:b w:val="1"/>
                <w:bCs w:val="1"/>
                <w:color w:val="auto"/>
                <w:w w:val="95"/>
              </w:rPr>
              <w:t>September 30, 2021</w:t>
            </w:r>
          </w:p>
        </w:tc>
        <w:tc>
          <w:tcPr>
            <w:tcW w:w="220" w:type="dxa"/>
            <w:vAlign w:val="bottom"/>
          </w:tcPr>
          <w:p>
            <w:pPr>
              <w:spacing w:after="0"/>
              <w:rPr>
                <w:sz w:val="20"/>
                <w:szCs w:val="20"/>
                <w:color w:val="auto"/>
              </w:rPr>
            </w:pPr>
          </w:p>
        </w:tc>
        <w:tc>
          <w:tcPr>
            <w:tcW w:w="2040" w:type="dxa"/>
            <w:vAlign w:val="bottom"/>
            <w:tcBorders>
              <w:bottom w:val="single" w:sz="8" w:color="auto"/>
            </w:tcBorders>
          </w:tcPr>
          <w:p>
            <w:pPr>
              <w:ind w:left="660"/>
              <w:spacing w:after="0"/>
              <w:rPr>
                <w:sz w:val="20"/>
                <w:szCs w:val="20"/>
                <w:color w:val="auto"/>
              </w:rPr>
            </w:pPr>
            <w:r>
              <w:rPr>
                <w:rFonts w:ascii="Arial" w:cs="Arial" w:eastAsia="Arial" w:hAnsi="Arial"/>
                <w:sz w:val="15"/>
                <w:szCs w:val="15"/>
                <w:b w:val="1"/>
                <w:bCs w:val="1"/>
                <w:color w:val="auto"/>
              </w:rPr>
              <w:t>Techniques</w:t>
            </w:r>
          </w:p>
        </w:tc>
        <w:tc>
          <w:tcPr>
            <w:tcW w:w="100" w:type="dxa"/>
            <w:vAlign w:val="bottom"/>
          </w:tcPr>
          <w:p>
            <w:pPr>
              <w:spacing w:after="0"/>
              <w:rPr>
                <w:sz w:val="20"/>
                <w:szCs w:val="20"/>
                <w:color w:val="auto"/>
              </w:rPr>
            </w:pPr>
          </w:p>
        </w:tc>
        <w:tc>
          <w:tcPr>
            <w:tcW w:w="3020" w:type="dxa"/>
            <w:vAlign w:val="bottom"/>
            <w:tcBorders>
              <w:bottom w:val="single" w:sz="8" w:color="auto"/>
            </w:tcBorders>
          </w:tcPr>
          <w:p>
            <w:pPr>
              <w:ind w:left="1300"/>
              <w:spacing w:after="0"/>
              <w:rPr>
                <w:sz w:val="20"/>
                <w:szCs w:val="20"/>
                <w:color w:val="auto"/>
              </w:rPr>
            </w:pPr>
            <w:r>
              <w:rPr>
                <w:rFonts w:ascii="Arial" w:cs="Arial" w:eastAsia="Arial" w:hAnsi="Arial"/>
                <w:sz w:val="15"/>
                <w:szCs w:val="15"/>
                <w:b w:val="1"/>
                <w:bCs w:val="1"/>
                <w:color w:val="auto"/>
              </w:rPr>
              <w:t>Inputs</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(weighted average)</w:t>
            </w:r>
            <w:r>
              <w:rPr>
                <w:rFonts w:ascii="Arial" w:cs="Arial" w:eastAsia="Arial" w:hAnsi="Arial"/>
                <w:sz w:val="20"/>
                <w:szCs w:val="20"/>
                <w:b w:val="1"/>
                <w:bCs w:val="1"/>
                <w:color w:val="auto"/>
                <w:vertAlign w:val="superscript"/>
              </w:rPr>
              <w:t>(1)</w:t>
            </w:r>
          </w:p>
        </w:tc>
      </w:tr>
      <w:tr>
        <w:trPr>
          <w:trHeight w:val="208"/>
        </w:trPr>
        <w:tc>
          <w:tcPr>
            <w:tcW w:w="214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Debt investments:</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r>
      <w:tr>
        <w:trPr>
          <w:trHeight w:val="206"/>
        </w:trPr>
        <w:tc>
          <w:tcPr>
            <w:tcW w:w="2140" w:type="dxa"/>
            <w:vAlign w:val="bottom"/>
          </w:tcPr>
          <w:p>
            <w:pPr>
              <w:ind w:left="180"/>
              <w:spacing w:after="0"/>
              <w:rPr>
                <w:sz w:val="20"/>
                <w:szCs w:val="20"/>
                <w:color w:val="auto"/>
              </w:rPr>
            </w:pPr>
            <w:r>
              <w:rPr>
                <w:rFonts w:ascii="Arial" w:cs="Arial" w:eastAsia="Arial" w:hAnsi="Arial"/>
                <w:sz w:val="15"/>
                <w:szCs w:val="15"/>
                <w:color w:val="auto"/>
              </w:rPr>
              <w:t>First Lien Debt</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277,274</w:t>
            </w:r>
          </w:p>
        </w:tc>
        <w:tc>
          <w:tcPr>
            <w:tcW w:w="220" w:type="dxa"/>
            <w:vAlign w:val="bottom"/>
          </w:tcPr>
          <w:p>
            <w:pPr>
              <w:spacing w:after="0"/>
              <w:rPr>
                <w:sz w:val="17"/>
                <w:szCs w:val="17"/>
                <w:color w:val="auto"/>
              </w:rPr>
            </w:pPr>
          </w:p>
        </w:tc>
        <w:tc>
          <w:tcPr>
            <w:tcW w:w="2040" w:type="dxa"/>
            <w:vAlign w:val="bottom"/>
          </w:tcPr>
          <w:p>
            <w:pPr>
              <w:ind w:left="60"/>
              <w:spacing w:after="0"/>
              <w:rPr>
                <w:sz w:val="20"/>
                <w:szCs w:val="20"/>
                <w:color w:val="auto"/>
              </w:rPr>
            </w:pPr>
            <w:r>
              <w:rPr>
                <w:rFonts w:ascii="Arial" w:cs="Arial" w:eastAsia="Arial" w:hAnsi="Arial"/>
                <w:sz w:val="15"/>
                <w:szCs w:val="15"/>
                <w:color w:val="auto"/>
              </w:rPr>
              <w:t>Discounted cash flow</w:t>
            </w:r>
          </w:p>
        </w:tc>
        <w:tc>
          <w:tcPr>
            <w:tcW w:w="100" w:type="dxa"/>
            <w:vAlign w:val="bottom"/>
          </w:tcPr>
          <w:p>
            <w:pPr>
              <w:spacing w:after="0"/>
              <w:rPr>
                <w:sz w:val="17"/>
                <w:szCs w:val="17"/>
                <w:color w:val="auto"/>
              </w:rPr>
            </w:pPr>
          </w:p>
        </w:tc>
        <w:tc>
          <w:tcPr>
            <w:tcW w:w="3020" w:type="dxa"/>
            <w:vAlign w:val="bottom"/>
          </w:tcPr>
          <w:p>
            <w:pPr>
              <w:ind w:left="40"/>
              <w:spacing w:after="0"/>
              <w:rPr>
                <w:sz w:val="20"/>
                <w:szCs w:val="20"/>
                <w:color w:val="auto"/>
              </w:rPr>
            </w:pPr>
            <w:r>
              <w:rPr>
                <w:rFonts w:ascii="Arial" w:cs="Arial" w:eastAsia="Arial" w:hAnsi="Arial"/>
                <w:sz w:val="15"/>
                <w:szCs w:val="15"/>
                <w:color w:val="auto"/>
              </w:rPr>
              <w:t>Weighted average cost of capital</w:t>
            </w:r>
          </w:p>
        </w:tc>
        <w:tc>
          <w:tcPr>
            <w:tcW w:w="2280" w:type="dxa"/>
            <w:vAlign w:val="bottom"/>
            <w:gridSpan w:val="3"/>
          </w:tcPr>
          <w:p>
            <w:pPr>
              <w:ind w:left="160"/>
              <w:spacing w:after="0"/>
              <w:rPr>
                <w:sz w:val="20"/>
                <w:szCs w:val="20"/>
                <w:color w:val="auto"/>
              </w:rPr>
            </w:pPr>
            <w:r>
              <w:rPr>
                <w:rFonts w:ascii="Arial" w:cs="Arial" w:eastAsia="Arial" w:hAnsi="Arial"/>
                <w:sz w:val="15"/>
                <w:szCs w:val="15"/>
                <w:color w:val="auto"/>
              </w:rPr>
              <w:t>4.0% - 22.8% (12.7%)</w:t>
            </w:r>
          </w:p>
        </w:tc>
      </w:tr>
      <w:tr>
        <w:trPr>
          <w:trHeight w:val="225"/>
        </w:trPr>
        <w:tc>
          <w:tcPr>
            <w:tcW w:w="2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10,824</w:t>
            </w:r>
          </w:p>
        </w:tc>
        <w:tc>
          <w:tcPr>
            <w:tcW w:w="220" w:type="dxa"/>
            <w:vAlign w:val="bottom"/>
            <w:shd w:val="clear" w:color="auto" w:fill="CFF0FC"/>
          </w:tcPr>
          <w:p>
            <w:pPr>
              <w:spacing w:after="0"/>
              <w:rPr>
                <w:sz w:val="19"/>
                <w:szCs w:val="19"/>
                <w:color w:val="auto"/>
              </w:rPr>
            </w:pPr>
          </w:p>
        </w:tc>
        <w:tc>
          <w:tcPr>
            <w:tcW w:w="2040" w:type="dxa"/>
            <w:vAlign w:val="bottom"/>
            <w:shd w:val="clear" w:color="auto" w:fill="CFF0FC"/>
          </w:tcPr>
          <w:p>
            <w:pPr>
              <w:ind w:left="60"/>
              <w:spacing w:after="0"/>
              <w:rPr>
                <w:sz w:val="20"/>
                <w:szCs w:val="20"/>
                <w:color w:val="auto"/>
              </w:rPr>
            </w:pPr>
            <w:r>
              <w:rPr>
                <w:rFonts w:ascii="Arial" w:cs="Arial" w:eastAsia="Arial" w:hAnsi="Arial"/>
                <w:sz w:val="15"/>
                <w:szCs w:val="15"/>
                <w:color w:val="auto"/>
              </w:rPr>
              <w:t>Enterprise value</w:t>
            </w:r>
          </w:p>
        </w:tc>
        <w:tc>
          <w:tcPr>
            <w:tcW w:w="100" w:type="dxa"/>
            <w:vAlign w:val="bottom"/>
            <w:shd w:val="clear" w:color="auto" w:fill="CFF0FC"/>
          </w:tcPr>
          <w:p>
            <w:pPr>
              <w:spacing w:after="0"/>
              <w:rPr>
                <w:sz w:val="19"/>
                <w:szCs w:val="19"/>
                <w:color w:val="auto"/>
              </w:rPr>
            </w:pPr>
          </w:p>
        </w:tc>
        <w:tc>
          <w:tcPr>
            <w:tcW w:w="3020" w:type="dxa"/>
            <w:vAlign w:val="bottom"/>
            <w:shd w:val="clear" w:color="auto" w:fill="CFF0FC"/>
          </w:tcPr>
          <w:p>
            <w:pPr>
              <w:ind w:left="40"/>
              <w:spacing w:after="0"/>
              <w:rPr>
                <w:sz w:val="20"/>
                <w:szCs w:val="20"/>
                <w:color w:val="auto"/>
              </w:rPr>
            </w:pPr>
            <w:r>
              <w:rPr>
                <w:rFonts w:ascii="Arial" w:cs="Arial" w:eastAsia="Arial" w:hAnsi="Arial"/>
                <w:sz w:val="15"/>
                <w:szCs w:val="15"/>
                <w:color w:val="auto"/>
              </w:rPr>
              <w:t>Asset Coverage</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ind w:left="60"/>
              <w:spacing w:after="0"/>
              <w:rPr>
                <w:sz w:val="20"/>
                <w:szCs w:val="20"/>
                <w:color w:val="auto"/>
              </w:rPr>
            </w:pPr>
            <w:r>
              <w:rPr>
                <w:rFonts w:ascii="Arial" w:cs="Arial" w:eastAsia="Arial" w:hAnsi="Arial"/>
                <w:sz w:val="15"/>
                <w:szCs w:val="15"/>
                <w:color w:val="auto"/>
                <w:w w:val="91"/>
              </w:rPr>
              <w:t>1.2x</w:t>
            </w:r>
          </w:p>
        </w:tc>
        <w:tc>
          <w:tcPr>
            <w:tcW w:w="1840" w:type="dxa"/>
            <w:vAlign w:val="bottom"/>
            <w:shd w:val="clear" w:color="auto" w:fill="CFF0FC"/>
          </w:tcPr>
          <w:p>
            <w:pPr>
              <w:ind w:left="20"/>
              <w:spacing w:after="0"/>
              <w:rPr>
                <w:sz w:val="20"/>
                <w:szCs w:val="20"/>
                <w:color w:val="auto"/>
              </w:rPr>
            </w:pPr>
            <w:r>
              <w:rPr>
                <w:rFonts w:ascii="Arial" w:cs="Arial" w:eastAsia="Arial" w:hAnsi="Arial"/>
                <w:sz w:val="15"/>
                <w:szCs w:val="15"/>
                <w:color w:val="auto"/>
              </w:rPr>
              <w:t>- 1.2x (1.2x)</w:t>
            </w:r>
          </w:p>
        </w:tc>
      </w:tr>
      <w:tr>
        <w:trPr>
          <w:trHeight w:val="206"/>
        </w:trPr>
        <w:tc>
          <w:tcPr>
            <w:tcW w:w="2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8,900</w:t>
            </w:r>
          </w:p>
        </w:tc>
        <w:tc>
          <w:tcPr>
            <w:tcW w:w="220" w:type="dxa"/>
            <w:vAlign w:val="bottom"/>
          </w:tcPr>
          <w:p>
            <w:pPr>
              <w:spacing w:after="0"/>
              <w:rPr>
                <w:sz w:val="17"/>
                <w:szCs w:val="17"/>
                <w:color w:val="auto"/>
              </w:rPr>
            </w:pPr>
          </w:p>
        </w:tc>
        <w:tc>
          <w:tcPr>
            <w:tcW w:w="2040" w:type="dxa"/>
            <w:vAlign w:val="bottom"/>
          </w:tcPr>
          <w:p>
            <w:pPr>
              <w:ind w:left="60"/>
              <w:spacing w:after="0"/>
              <w:rPr>
                <w:sz w:val="20"/>
                <w:szCs w:val="20"/>
                <w:color w:val="auto"/>
              </w:rPr>
            </w:pPr>
            <w:r>
              <w:rPr>
                <w:rFonts w:ascii="Arial" w:cs="Arial" w:eastAsia="Arial" w:hAnsi="Arial"/>
                <w:sz w:val="15"/>
                <w:szCs w:val="15"/>
                <w:color w:val="auto"/>
              </w:rPr>
              <w:t>Enterprise value</w:t>
            </w:r>
          </w:p>
        </w:tc>
        <w:tc>
          <w:tcPr>
            <w:tcW w:w="100" w:type="dxa"/>
            <w:vAlign w:val="bottom"/>
          </w:tcPr>
          <w:p>
            <w:pPr>
              <w:spacing w:after="0"/>
              <w:rPr>
                <w:sz w:val="17"/>
                <w:szCs w:val="17"/>
                <w:color w:val="auto"/>
              </w:rPr>
            </w:pPr>
          </w:p>
        </w:tc>
        <w:tc>
          <w:tcPr>
            <w:tcW w:w="3020" w:type="dxa"/>
            <w:vAlign w:val="bottom"/>
          </w:tcPr>
          <w:p>
            <w:pPr>
              <w:ind w:left="40"/>
              <w:spacing w:after="0"/>
              <w:rPr>
                <w:sz w:val="20"/>
                <w:szCs w:val="20"/>
                <w:color w:val="auto"/>
              </w:rPr>
            </w:pPr>
            <w:r>
              <w:rPr>
                <w:rFonts w:ascii="Arial" w:cs="Arial" w:eastAsia="Arial" w:hAnsi="Arial"/>
                <w:sz w:val="15"/>
                <w:szCs w:val="15"/>
                <w:color w:val="auto"/>
              </w:rPr>
              <w:t>Revenue multiples</w:t>
            </w:r>
          </w:p>
        </w:tc>
        <w:tc>
          <w:tcPr>
            <w:tcW w:w="100" w:type="dxa"/>
            <w:vAlign w:val="bottom"/>
          </w:tcPr>
          <w:p>
            <w:pPr>
              <w:spacing w:after="0"/>
              <w:rPr>
                <w:sz w:val="17"/>
                <w:szCs w:val="17"/>
                <w:color w:val="auto"/>
              </w:rPr>
            </w:pPr>
          </w:p>
        </w:tc>
        <w:tc>
          <w:tcPr>
            <w:tcW w:w="340" w:type="dxa"/>
            <w:vAlign w:val="bottom"/>
          </w:tcPr>
          <w:p>
            <w:pPr>
              <w:ind w:left="60"/>
              <w:spacing w:after="0"/>
              <w:rPr>
                <w:sz w:val="20"/>
                <w:szCs w:val="20"/>
                <w:color w:val="auto"/>
              </w:rPr>
            </w:pPr>
            <w:r>
              <w:rPr>
                <w:rFonts w:ascii="Arial" w:cs="Arial" w:eastAsia="Arial" w:hAnsi="Arial"/>
                <w:sz w:val="15"/>
                <w:szCs w:val="15"/>
                <w:color w:val="auto"/>
                <w:w w:val="91"/>
              </w:rPr>
              <w:t>4.5x</w:t>
            </w:r>
          </w:p>
        </w:tc>
        <w:tc>
          <w:tcPr>
            <w:tcW w:w="1840" w:type="dxa"/>
            <w:vAlign w:val="bottom"/>
          </w:tcPr>
          <w:p>
            <w:pPr>
              <w:ind w:left="20"/>
              <w:spacing w:after="0"/>
              <w:rPr>
                <w:sz w:val="20"/>
                <w:szCs w:val="20"/>
                <w:color w:val="auto"/>
              </w:rPr>
            </w:pPr>
            <w:r>
              <w:rPr>
                <w:rFonts w:ascii="Arial" w:cs="Arial" w:eastAsia="Arial" w:hAnsi="Arial"/>
                <w:sz w:val="15"/>
                <w:szCs w:val="15"/>
                <w:color w:val="auto"/>
              </w:rPr>
              <w:t>- 4.5x (4.5x)</w:t>
            </w:r>
          </w:p>
        </w:tc>
      </w:tr>
      <w:tr>
        <w:trPr>
          <w:trHeight w:val="225"/>
        </w:trPr>
        <w:tc>
          <w:tcPr>
            <w:tcW w:w="2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20" w:type="dxa"/>
            <w:vAlign w:val="bottom"/>
            <w:shd w:val="clear" w:color="auto" w:fill="CFF0FC"/>
          </w:tcPr>
          <w:p>
            <w:pPr>
              <w:spacing w:after="0"/>
              <w:rPr>
                <w:sz w:val="19"/>
                <w:szCs w:val="19"/>
                <w:color w:val="auto"/>
              </w:rPr>
            </w:pPr>
          </w:p>
        </w:tc>
        <w:tc>
          <w:tcPr>
            <w:tcW w:w="2280" w:type="dxa"/>
            <w:vAlign w:val="bottom"/>
            <w:gridSpan w:val="3"/>
            <w:shd w:val="clear" w:color="auto" w:fill="CFF0FC"/>
          </w:tcPr>
          <w:p>
            <w:pPr>
              <w:spacing w:after="0"/>
              <w:rPr>
                <w:sz w:val="19"/>
                <w:szCs w:val="19"/>
                <w:color w:val="auto"/>
              </w:rPr>
            </w:pPr>
          </w:p>
        </w:tc>
      </w:tr>
      <w:tr>
        <w:trPr>
          <w:trHeight w:val="206"/>
        </w:trPr>
        <w:tc>
          <w:tcPr>
            <w:tcW w:w="2140" w:type="dxa"/>
            <w:vAlign w:val="bottom"/>
          </w:tcPr>
          <w:p>
            <w:pPr>
              <w:ind w:left="180"/>
              <w:spacing w:after="0"/>
              <w:rPr>
                <w:sz w:val="20"/>
                <w:szCs w:val="20"/>
                <w:color w:val="auto"/>
              </w:rPr>
            </w:pPr>
            <w:r>
              <w:rPr>
                <w:rFonts w:ascii="Arial" w:cs="Arial" w:eastAsia="Arial" w:hAnsi="Arial"/>
                <w:sz w:val="15"/>
                <w:szCs w:val="15"/>
                <w:color w:val="auto"/>
              </w:rPr>
              <w:t>Second Lien Debt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182,318</w:t>
            </w:r>
          </w:p>
        </w:tc>
        <w:tc>
          <w:tcPr>
            <w:tcW w:w="220" w:type="dxa"/>
            <w:vAlign w:val="bottom"/>
          </w:tcPr>
          <w:p>
            <w:pPr>
              <w:spacing w:after="0"/>
              <w:rPr>
                <w:sz w:val="17"/>
                <w:szCs w:val="17"/>
                <w:color w:val="auto"/>
              </w:rPr>
            </w:pPr>
          </w:p>
        </w:tc>
        <w:tc>
          <w:tcPr>
            <w:tcW w:w="2040" w:type="dxa"/>
            <w:vAlign w:val="bottom"/>
          </w:tcPr>
          <w:p>
            <w:pPr>
              <w:ind w:left="60"/>
              <w:spacing w:after="0"/>
              <w:rPr>
                <w:sz w:val="20"/>
                <w:szCs w:val="20"/>
                <w:color w:val="auto"/>
              </w:rPr>
            </w:pPr>
            <w:r>
              <w:rPr>
                <w:rFonts w:ascii="Arial" w:cs="Arial" w:eastAsia="Arial" w:hAnsi="Arial"/>
                <w:sz w:val="15"/>
                <w:szCs w:val="15"/>
                <w:color w:val="auto"/>
              </w:rPr>
              <w:t>Discounted cash flow</w:t>
            </w:r>
          </w:p>
        </w:tc>
        <w:tc>
          <w:tcPr>
            <w:tcW w:w="100" w:type="dxa"/>
            <w:vAlign w:val="bottom"/>
          </w:tcPr>
          <w:p>
            <w:pPr>
              <w:spacing w:after="0"/>
              <w:rPr>
                <w:sz w:val="17"/>
                <w:szCs w:val="17"/>
                <w:color w:val="auto"/>
              </w:rPr>
            </w:pPr>
          </w:p>
        </w:tc>
        <w:tc>
          <w:tcPr>
            <w:tcW w:w="3020" w:type="dxa"/>
            <w:vAlign w:val="bottom"/>
          </w:tcPr>
          <w:p>
            <w:pPr>
              <w:ind w:left="40"/>
              <w:spacing w:after="0"/>
              <w:rPr>
                <w:sz w:val="20"/>
                <w:szCs w:val="20"/>
                <w:color w:val="auto"/>
              </w:rPr>
            </w:pPr>
            <w:r>
              <w:rPr>
                <w:rFonts w:ascii="Arial" w:cs="Arial" w:eastAsia="Arial" w:hAnsi="Arial"/>
                <w:sz w:val="15"/>
                <w:szCs w:val="15"/>
                <w:color w:val="auto"/>
              </w:rPr>
              <w:t>Weighted average cost of capital</w:t>
            </w:r>
          </w:p>
        </w:tc>
        <w:tc>
          <w:tcPr>
            <w:tcW w:w="2280" w:type="dxa"/>
            <w:vAlign w:val="bottom"/>
            <w:gridSpan w:val="3"/>
          </w:tcPr>
          <w:p>
            <w:pPr>
              <w:ind w:left="160"/>
              <w:spacing w:after="0"/>
              <w:rPr>
                <w:sz w:val="20"/>
                <w:szCs w:val="20"/>
                <w:color w:val="auto"/>
              </w:rPr>
            </w:pPr>
            <w:r>
              <w:rPr>
                <w:rFonts w:ascii="Arial" w:cs="Arial" w:eastAsia="Arial" w:hAnsi="Arial"/>
                <w:sz w:val="15"/>
                <w:szCs w:val="15"/>
                <w:color w:val="auto"/>
              </w:rPr>
              <w:t>10.5% - 26.9% (14.7%)</w:t>
            </w:r>
          </w:p>
        </w:tc>
      </w:tr>
      <w:tr>
        <w:trPr>
          <w:trHeight w:val="225"/>
        </w:trPr>
        <w:tc>
          <w:tcPr>
            <w:tcW w:w="2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16,678</w:t>
            </w:r>
          </w:p>
        </w:tc>
        <w:tc>
          <w:tcPr>
            <w:tcW w:w="220" w:type="dxa"/>
            <w:vAlign w:val="bottom"/>
            <w:shd w:val="clear" w:color="auto" w:fill="CFF0FC"/>
          </w:tcPr>
          <w:p>
            <w:pPr>
              <w:spacing w:after="0"/>
              <w:rPr>
                <w:sz w:val="19"/>
                <w:szCs w:val="19"/>
                <w:color w:val="auto"/>
              </w:rPr>
            </w:pPr>
          </w:p>
        </w:tc>
        <w:tc>
          <w:tcPr>
            <w:tcW w:w="2040" w:type="dxa"/>
            <w:vAlign w:val="bottom"/>
            <w:shd w:val="clear" w:color="auto" w:fill="CFF0FC"/>
          </w:tcPr>
          <w:p>
            <w:pPr>
              <w:ind w:left="60"/>
              <w:spacing w:after="0"/>
              <w:rPr>
                <w:sz w:val="20"/>
                <w:szCs w:val="20"/>
                <w:color w:val="auto"/>
              </w:rPr>
            </w:pPr>
            <w:r>
              <w:rPr>
                <w:rFonts w:ascii="Arial" w:cs="Arial" w:eastAsia="Arial" w:hAnsi="Arial"/>
                <w:sz w:val="15"/>
                <w:szCs w:val="15"/>
                <w:color w:val="auto"/>
              </w:rPr>
              <w:t>Enterprise value</w:t>
            </w:r>
          </w:p>
        </w:tc>
        <w:tc>
          <w:tcPr>
            <w:tcW w:w="100" w:type="dxa"/>
            <w:vAlign w:val="bottom"/>
            <w:shd w:val="clear" w:color="auto" w:fill="CFF0FC"/>
          </w:tcPr>
          <w:p>
            <w:pPr>
              <w:spacing w:after="0"/>
              <w:rPr>
                <w:sz w:val="19"/>
                <w:szCs w:val="19"/>
                <w:color w:val="auto"/>
              </w:rPr>
            </w:pPr>
          </w:p>
        </w:tc>
        <w:tc>
          <w:tcPr>
            <w:tcW w:w="3020" w:type="dxa"/>
            <w:vAlign w:val="bottom"/>
            <w:shd w:val="clear" w:color="auto" w:fill="CFF0FC"/>
          </w:tcPr>
          <w:p>
            <w:pPr>
              <w:ind w:left="40"/>
              <w:spacing w:after="0"/>
              <w:rPr>
                <w:sz w:val="20"/>
                <w:szCs w:val="20"/>
                <w:color w:val="auto"/>
              </w:rPr>
            </w:pPr>
            <w:r>
              <w:rPr>
                <w:rFonts w:ascii="Arial" w:cs="Arial" w:eastAsia="Arial" w:hAnsi="Arial"/>
                <w:sz w:val="15"/>
                <w:szCs w:val="15"/>
                <w:color w:val="auto"/>
              </w:rPr>
              <w:t>EBITDA multiples</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ind w:left="60"/>
              <w:spacing w:after="0"/>
              <w:rPr>
                <w:sz w:val="20"/>
                <w:szCs w:val="20"/>
                <w:color w:val="auto"/>
              </w:rPr>
            </w:pPr>
            <w:r>
              <w:rPr>
                <w:rFonts w:ascii="Arial" w:cs="Arial" w:eastAsia="Arial" w:hAnsi="Arial"/>
                <w:sz w:val="15"/>
                <w:szCs w:val="15"/>
                <w:color w:val="auto"/>
                <w:w w:val="91"/>
              </w:rPr>
              <w:t>9.8x</w:t>
            </w:r>
          </w:p>
        </w:tc>
        <w:tc>
          <w:tcPr>
            <w:tcW w:w="1840" w:type="dxa"/>
            <w:vAlign w:val="bottom"/>
            <w:shd w:val="clear" w:color="auto" w:fill="CFF0FC"/>
          </w:tcPr>
          <w:p>
            <w:pPr>
              <w:ind w:left="20"/>
              <w:spacing w:after="0"/>
              <w:rPr>
                <w:sz w:val="20"/>
                <w:szCs w:val="20"/>
                <w:color w:val="auto"/>
              </w:rPr>
            </w:pPr>
            <w:r>
              <w:rPr>
                <w:rFonts w:ascii="Arial" w:cs="Arial" w:eastAsia="Arial" w:hAnsi="Arial"/>
                <w:sz w:val="15"/>
                <w:szCs w:val="15"/>
                <w:color w:val="auto"/>
              </w:rPr>
              <w:t>- 9.8x (9.8x)</w:t>
            </w:r>
          </w:p>
        </w:tc>
      </w:tr>
      <w:tr>
        <w:trPr>
          <w:trHeight w:val="206"/>
        </w:trPr>
        <w:tc>
          <w:tcPr>
            <w:tcW w:w="2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2,309</w:t>
            </w:r>
          </w:p>
        </w:tc>
        <w:tc>
          <w:tcPr>
            <w:tcW w:w="220" w:type="dxa"/>
            <w:vAlign w:val="bottom"/>
          </w:tcPr>
          <w:p>
            <w:pPr>
              <w:spacing w:after="0"/>
              <w:rPr>
                <w:sz w:val="17"/>
                <w:szCs w:val="17"/>
                <w:color w:val="auto"/>
              </w:rPr>
            </w:pPr>
          </w:p>
        </w:tc>
        <w:tc>
          <w:tcPr>
            <w:tcW w:w="2040" w:type="dxa"/>
            <w:vAlign w:val="bottom"/>
          </w:tcPr>
          <w:p>
            <w:pPr>
              <w:ind w:left="60"/>
              <w:spacing w:after="0"/>
              <w:rPr>
                <w:sz w:val="20"/>
                <w:szCs w:val="20"/>
                <w:color w:val="auto"/>
              </w:rPr>
            </w:pPr>
            <w:r>
              <w:rPr>
                <w:rFonts w:ascii="Arial" w:cs="Arial" w:eastAsia="Arial" w:hAnsi="Arial"/>
                <w:sz w:val="15"/>
                <w:szCs w:val="15"/>
                <w:color w:val="auto"/>
              </w:rPr>
              <w:t>Enterprise value</w:t>
            </w:r>
          </w:p>
        </w:tc>
        <w:tc>
          <w:tcPr>
            <w:tcW w:w="100" w:type="dxa"/>
            <w:vAlign w:val="bottom"/>
          </w:tcPr>
          <w:p>
            <w:pPr>
              <w:spacing w:after="0"/>
              <w:rPr>
                <w:sz w:val="17"/>
                <w:szCs w:val="17"/>
                <w:color w:val="auto"/>
              </w:rPr>
            </w:pPr>
          </w:p>
        </w:tc>
        <w:tc>
          <w:tcPr>
            <w:tcW w:w="3020" w:type="dxa"/>
            <w:vAlign w:val="bottom"/>
          </w:tcPr>
          <w:p>
            <w:pPr>
              <w:ind w:left="40"/>
              <w:spacing w:after="0"/>
              <w:rPr>
                <w:sz w:val="20"/>
                <w:szCs w:val="20"/>
                <w:color w:val="auto"/>
              </w:rPr>
            </w:pPr>
            <w:r>
              <w:rPr>
                <w:rFonts w:ascii="Arial" w:cs="Arial" w:eastAsia="Arial" w:hAnsi="Arial"/>
                <w:sz w:val="15"/>
                <w:szCs w:val="15"/>
                <w:color w:val="auto"/>
              </w:rPr>
              <w:t>Asset Coverage</w:t>
            </w:r>
          </w:p>
        </w:tc>
        <w:tc>
          <w:tcPr>
            <w:tcW w:w="100" w:type="dxa"/>
            <w:vAlign w:val="bottom"/>
          </w:tcPr>
          <w:p>
            <w:pPr>
              <w:spacing w:after="0"/>
              <w:rPr>
                <w:sz w:val="17"/>
                <w:szCs w:val="17"/>
                <w:color w:val="auto"/>
              </w:rPr>
            </w:pPr>
          </w:p>
        </w:tc>
        <w:tc>
          <w:tcPr>
            <w:tcW w:w="340" w:type="dxa"/>
            <w:vAlign w:val="bottom"/>
          </w:tcPr>
          <w:p>
            <w:pPr>
              <w:ind w:left="60"/>
              <w:spacing w:after="0"/>
              <w:rPr>
                <w:sz w:val="20"/>
                <w:szCs w:val="20"/>
                <w:color w:val="auto"/>
              </w:rPr>
            </w:pPr>
            <w:r>
              <w:rPr>
                <w:rFonts w:ascii="Arial" w:cs="Arial" w:eastAsia="Arial" w:hAnsi="Arial"/>
                <w:sz w:val="15"/>
                <w:szCs w:val="15"/>
                <w:color w:val="auto"/>
                <w:w w:val="91"/>
              </w:rPr>
              <w:t>1.1x</w:t>
            </w:r>
          </w:p>
        </w:tc>
        <w:tc>
          <w:tcPr>
            <w:tcW w:w="1840" w:type="dxa"/>
            <w:vAlign w:val="bottom"/>
          </w:tcPr>
          <w:p>
            <w:pPr>
              <w:ind w:left="20"/>
              <w:spacing w:after="0"/>
              <w:rPr>
                <w:sz w:val="20"/>
                <w:szCs w:val="20"/>
                <w:color w:val="auto"/>
              </w:rPr>
            </w:pPr>
            <w:r>
              <w:rPr>
                <w:rFonts w:ascii="Arial" w:cs="Arial" w:eastAsia="Arial" w:hAnsi="Arial"/>
                <w:sz w:val="15"/>
                <w:szCs w:val="15"/>
                <w:color w:val="auto"/>
              </w:rPr>
              <w:t>- 1.1x (1.1x)</w:t>
            </w:r>
          </w:p>
        </w:tc>
      </w:tr>
      <w:tr>
        <w:trPr>
          <w:trHeight w:val="225"/>
        </w:trPr>
        <w:tc>
          <w:tcPr>
            <w:tcW w:w="2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20" w:type="dxa"/>
            <w:vAlign w:val="bottom"/>
            <w:shd w:val="clear" w:color="auto" w:fill="CFF0FC"/>
          </w:tcPr>
          <w:p>
            <w:pPr>
              <w:spacing w:after="0"/>
              <w:rPr>
                <w:sz w:val="19"/>
                <w:szCs w:val="19"/>
                <w:color w:val="auto"/>
              </w:rPr>
            </w:pPr>
          </w:p>
        </w:tc>
        <w:tc>
          <w:tcPr>
            <w:tcW w:w="2280" w:type="dxa"/>
            <w:vAlign w:val="bottom"/>
            <w:gridSpan w:val="3"/>
            <w:shd w:val="clear" w:color="auto" w:fill="CFF0FC"/>
          </w:tcPr>
          <w:p>
            <w:pPr>
              <w:spacing w:after="0"/>
              <w:rPr>
                <w:sz w:val="19"/>
                <w:szCs w:val="19"/>
                <w:color w:val="auto"/>
              </w:rPr>
            </w:pPr>
          </w:p>
        </w:tc>
      </w:tr>
      <w:tr>
        <w:trPr>
          <w:trHeight w:val="206"/>
        </w:trPr>
        <w:tc>
          <w:tcPr>
            <w:tcW w:w="2140" w:type="dxa"/>
            <w:vAlign w:val="bottom"/>
          </w:tcPr>
          <w:p>
            <w:pPr>
              <w:ind w:left="180"/>
              <w:spacing w:after="0"/>
              <w:rPr>
                <w:sz w:val="20"/>
                <w:szCs w:val="20"/>
                <w:color w:val="auto"/>
              </w:rPr>
            </w:pPr>
            <w:r>
              <w:rPr>
                <w:rFonts w:ascii="Arial" w:cs="Arial" w:eastAsia="Arial" w:hAnsi="Arial"/>
                <w:sz w:val="15"/>
                <w:szCs w:val="15"/>
                <w:color w:val="auto"/>
              </w:rPr>
              <w:t>Subordinated Debt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66,947</w:t>
            </w:r>
          </w:p>
        </w:tc>
        <w:tc>
          <w:tcPr>
            <w:tcW w:w="220" w:type="dxa"/>
            <w:vAlign w:val="bottom"/>
          </w:tcPr>
          <w:p>
            <w:pPr>
              <w:spacing w:after="0"/>
              <w:rPr>
                <w:sz w:val="17"/>
                <w:szCs w:val="17"/>
                <w:color w:val="auto"/>
              </w:rPr>
            </w:pPr>
          </w:p>
        </w:tc>
        <w:tc>
          <w:tcPr>
            <w:tcW w:w="2040" w:type="dxa"/>
            <w:vAlign w:val="bottom"/>
          </w:tcPr>
          <w:p>
            <w:pPr>
              <w:ind w:left="60"/>
              <w:spacing w:after="0"/>
              <w:rPr>
                <w:sz w:val="20"/>
                <w:szCs w:val="20"/>
                <w:color w:val="auto"/>
              </w:rPr>
            </w:pPr>
            <w:r>
              <w:rPr>
                <w:rFonts w:ascii="Arial" w:cs="Arial" w:eastAsia="Arial" w:hAnsi="Arial"/>
                <w:sz w:val="15"/>
                <w:szCs w:val="15"/>
                <w:color w:val="auto"/>
              </w:rPr>
              <w:t>Discounted cash flow</w:t>
            </w:r>
          </w:p>
        </w:tc>
        <w:tc>
          <w:tcPr>
            <w:tcW w:w="100" w:type="dxa"/>
            <w:vAlign w:val="bottom"/>
          </w:tcPr>
          <w:p>
            <w:pPr>
              <w:spacing w:after="0"/>
              <w:rPr>
                <w:sz w:val="17"/>
                <w:szCs w:val="17"/>
                <w:color w:val="auto"/>
              </w:rPr>
            </w:pPr>
          </w:p>
        </w:tc>
        <w:tc>
          <w:tcPr>
            <w:tcW w:w="3020" w:type="dxa"/>
            <w:vAlign w:val="bottom"/>
          </w:tcPr>
          <w:p>
            <w:pPr>
              <w:ind w:left="40"/>
              <w:spacing w:after="0"/>
              <w:rPr>
                <w:sz w:val="20"/>
                <w:szCs w:val="20"/>
                <w:color w:val="auto"/>
              </w:rPr>
            </w:pPr>
            <w:r>
              <w:rPr>
                <w:rFonts w:ascii="Arial" w:cs="Arial" w:eastAsia="Arial" w:hAnsi="Arial"/>
                <w:sz w:val="15"/>
                <w:szCs w:val="15"/>
                <w:color w:val="auto"/>
              </w:rPr>
              <w:t>Weighted average cost of capital</w:t>
            </w:r>
          </w:p>
        </w:tc>
        <w:tc>
          <w:tcPr>
            <w:tcW w:w="2280" w:type="dxa"/>
            <w:vAlign w:val="bottom"/>
            <w:gridSpan w:val="3"/>
          </w:tcPr>
          <w:p>
            <w:pPr>
              <w:ind w:left="160"/>
              <w:spacing w:after="0"/>
              <w:rPr>
                <w:sz w:val="20"/>
                <w:szCs w:val="20"/>
                <w:color w:val="auto"/>
              </w:rPr>
            </w:pPr>
            <w:r>
              <w:rPr>
                <w:rFonts w:ascii="Arial" w:cs="Arial" w:eastAsia="Arial" w:hAnsi="Arial"/>
                <w:sz w:val="15"/>
                <w:szCs w:val="15"/>
                <w:color w:val="auto"/>
              </w:rPr>
              <w:t>11.5% - 12.0% (11.6%)</w:t>
            </w:r>
          </w:p>
        </w:tc>
      </w:tr>
      <w:tr>
        <w:trPr>
          <w:trHeight w:val="225"/>
        </w:trPr>
        <w:tc>
          <w:tcPr>
            <w:tcW w:w="2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2,505</w:t>
            </w:r>
          </w:p>
        </w:tc>
        <w:tc>
          <w:tcPr>
            <w:tcW w:w="220" w:type="dxa"/>
            <w:vAlign w:val="bottom"/>
            <w:shd w:val="clear" w:color="auto" w:fill="CFF0FC"/>
          </w:tcPr>
          <w:p>
            <w:pPr>
              <w:spacing w:after="0"/>
              <w:rPr>
                <w:sz w:val="19"/>
                <w:szCs w:val="19"/>
                <w:color w:val="auto"/>
              </w:rPr>
            </w:pPr>
          </w:p>
        </w:tc>
        <w:tc>
          <w:tcPr>
            <w:tcW w:w="2040" w:type="dxa"/>
            <w:vAlign w:val="bottom"/>
            <w:shd w:val="clear" w:color="auto" w:fill="CFF0FC"/>
          </w:tcPr>
          <w:p>
            <w:pPr>
              <w:ind w:left="60"/>
              <w:spacing w:after="0"/>
              <w:rPr>
                <w:sz w:val="20"/>
                <w:szCs w:val="20"/>
                <w:color w:val="auto"/>
              </w:rPr>
            </w:pPr>
            <w:r>
              <w:rPr>
                <w:rFonts w:ascii="Arial" w:cs="Arial" w:eastAsia="Arial" w:hAnsi="Arial"/>
                <w:sz w:val="15"/>
                <w:szCs w:val="15"/>
                <w:color w:val="auto"/>
              </w:rPr>
              <w:t>Enterprise value</w:t>
            </w:r>
          </w:p>
        </w:tc>
        <w:tc>
          <w:tcPr>
            <w:tcW w:w="100" w:type="dxa"/>
            <w:vAlign w:val="bottom"/>
            <w:shd w:val="clear" w:color="auto" w:fill="CFF0FC"/>
          </w:tcPr>
          <w:p>
            <w:pPr>
              <w:spacing w:after="0"/>
              <w:rPr>
                <w:sz w:val="19"/>
                <w:szCs w:val="19"/>
                <w:color w:val="auto"/>
              </w:rPr>
            </w:pPr>
          </w:p>
        </w:tc>
        <w:tc>
          <w:tcPr>
            <w:tcW w:w="3020" w:type="dxa"/>
            <w:vAlign w:val="bottom"/>
            <w:shd w:val="clear" w:color="auto" w:fill="CFF0FC"/>
          </w:tcPr>
          <w:p>
            <w:pPr>
              <w:ind w:left="40"/>
              <w:spacing w:after="0"/>
              <w:rPr>
                <w:sz w:val="20"/>
                <w:szCs w:val="20"/>
                <w:color w:val="auto"/>
              </w:rPr>
            </w:pPr>
            <w:r>
              <w:rPr>
                <w:rFonts w:ascii="Arial" w:cs="Arial" w:eastAsia="Arial" w:hAnsi="Arial"/>
                <w:sz w:val="15"/>
                <w:szCs w:val="15"/>
                <w:color w:val="auto"/>
              </w:rPr>
              <w:t>EBITDA multiples</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ind w:left="60"/>
              <w:spacing w:after="0"/>
              <w:rPr>
                <w:sz w:val="20"/>
                <w:szCs w:val="20"/>
                <w:color w:val="auto"/>
              </w:rPr>
            </w:pPr>
            <w:r>
              <w:rPr>
                <w:rFonts w:ascii="Arial" w:cs="Arial" w:eastAsia="Arial" w:hAnsi="Arial"/>
                <w:sz w:val="15"/>
                <w:szCs w:val="15"/>
                <w:color w:val="auto"/>
                <w:w w:val="91"/>
              </w:rPr>
              <w:t>9.8x</w:t>
            </w:r>
          </w:p>
        </w:tc>
        <w:tc>
          <w:tcPr>
            <w:tcW w:w="1840" w:type="dxa"/>
            <w:vAlign w:val="bottom"/>
            <w:shd w:val="clear" w:color="auto" w:fill="CFF0FC"/>
          </w:tcPr>
          <w:p>
            <w:pPr>
              <w:ind w:left="20"/>
              <w:spacing w:after="0"/>
              <w:rPr>
                <w:sz w:val="20"/>
                <w:szCs w:val="20"/>
                <w:color w:val="auto"/>
              </w:rPr>
            </w:pPr>
            <w:r>
              <w:rPr>
                <w:rFonts w:ascii="Arial" w:cs="Arial" w:eastAsia="Arial" w:hAnsi="Arial"/>
                <w:sz w:val="15"/>
                <w:szCs w:val="15"/>
                <w:color w:val="auto"/>
              </w:rPr>
              <w:t>- 9.8x (9.8x)</w:t>
            </w:r>
          </w:p>
        </w:tc>
      </w:tr>
      <w:tr>
        <w:trPr>
          <w:trHeight w:val="216"/>
        </w:trPr>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214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Equity investments:</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r>
      <w:tr>
        <w:trPr>
          <w:trHeight w:val="206"/>
        </w:trPr>
        <w:tc>
          <w:tcPr>
            <w:tcW w:w="2140" w:type="dxa"/>
            <w:vAlign w:val="bottom"/>
          </w:tcPr>
          <w:p>
            <w:pPr>
              <w:ind w:left="180"/>
              <w:spacing w:after="0"/>
              <w:rPr>
                <w:sz w:val="20"/>
                <w:szCs w:val="20"/>
                <w:color w:val="auto"/>
              </w:rPr>
            </w:pPr>
            <w:r>
              <w:rPr>
                <w:rFonts w:ascii="Arial" w:cs="Arial" w:eastAsia="Arial" w:hAnsi="Arial"/>
                <w:sz w:val="15"/>
                <w:szCs w:val="15"/>
                <w:color w:val="auto"/>
              </w:rPr>
              <w:t>Equity</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148,098</w:t>
            </w:r>
          </w:p>
        </w:tc>
        <w:tc>
          <w:tcPr>
            <w:tcW w:w="220" w:type="dxa"/>
            <w:vAlign w:val="bottom"/>
          </w:tcPr>
          <w:p>
            <w:pPr>
              <w:spacing w:after="0"/>
              <w:rPr>
                <w:sz w:val="17"/>
                <w:szCs w:val="17"/>
                <w:color w:val="auto"/>
              </w:rPr>
            </w:pPr>
          </w:p>
        </w:tc>
        <w:tc>
          <w:tcPr>
            <w:tcW w:w="2040" w:type="dxa"/>
            <w:vAlign w:val="bottom"/>
          </w:tcPr>
          <w:p>
            <w:pPr>
              <w:ind w:left="60"/>
              <w:spacing w:after="0"/>
              <w:rPr>
                <w:sz w:val="20"/>
                <w:szCs w:val="20"/>
                <w:color w:val="auto"/>
              </w:rPr>
            </w:pPr>
            <w:r>
              <w:rPr>
                <w:rFonts w:ascii="Arial" w:cs="Arial" w:eastAsia="Arial" w:hAnsi="Arial"/>
                <w:sz w:val="15"/>
                <w:szCs w:val="15"/>
                <w:color w:val="auto"/>
              </w:rPr>
              <w:t>Enterprise value</w:t>
            </w:r>
          </w:p>
        </w:tc>
        <w:tc>
          <w:tcPr>
            <w:tcW w:w="100" w:type="dxa"/>
            <w:vAlign w:val="bottom"/>
          </w:tcPr>
          <w:p>
            <w:pPr>
              <w:spacing w:after="0"/>
              <w:rPr>
                <w:sz w:val="17"/>
                <w:szCs w:val="17"/>
                <w:color w:val="auto"/>
              </w:rPr>
            </w:pPr>
          </w:p>
        </w:tc>
        <w:tc>
          <w:tcPr>
            <w:tcW w:w="3020" w:type="dxa"/>
            <w:vAlign w:val="bottom"/>
          </w:tcPr>
          <w:p>
            <w:pPr>
              <w:ind w:left="40"/>
              <w:spacing w:after="0"/>
              <w:rPr>
                <w:sz w:val="20"/>
                <w:szCs w:val="20"/>
                <w:color w:val="auto"/>
              </w:rPr>
            </w:pPr>
            <w:r>
              <w:rPr>
                <w:rFonts w:ascii="Arial" w:cs="Arial" w:eastAsia="Arial" w:hAnsi="Arial"/>
                <w:sz w:val="15"/>
                <w:szCs w:val="15"/>
                <w:color w:val="auto"/>
              </w:rPr>
              <w:t>EBITDA multiples</w:t>
            </w:r>
          </w:p>
        </w:tc>
        <w:tc>
          <w:tcPr>
            <w:tcW w:w="100" w:type="dxa"/>
            <w:vAlign w:val="bottom"/>
          </w:tcPr>
          <w:p>
            <w:pPr>
              <w:spacing w:after="0"/>
              <w:rPr>
                <w:sz w:val="17"/>
                <w:szCs w:val="17"/>
                <w:color w:val="auto"/>
              </w:rPr>
            </w:pPr>
          </w:p>
        </w:tc>
        <w:tc>
          <w:tcPr>
            <w:tcW w:w="340" w:type="dxa"/>
            <w:vAlign w:val="bottom"/>
          </w:tcPr>
          <w:p>
            <w:pPr>
              <w:ind w:left="60"/>
              <w:spacing w:after="0"/>
              <w:rPr>
                <w:sz w:val="20"/>
                <w:szCs w:val="20"/>
                <w:color w:val="auto"/>
              </w:rPr>
            </w:pPr>
            <w:r>
              <w:rPr>
                <w:rFonts w:ascii="Arial" w:cs="Arial" w:eastAsia="Arial" w:hAnsi="Arial"/>
                <w:sz w:val="15"/>
                <w:szCs w:val="15"/>
                <w:color w:val="auto"/>
                <w:w w:val="91"/>
              </w:rPr>
              <w:t>3.3x</w:t>
            </w:r>
          </w:p>
        </w:tc>
        <w:tc>
          <w:tcPr>
            <w:tcW w:w="1840" w:type="dxa"/>
            <w:vAlign w:val="bottom"/>
          </w:tcPr>
          <w:p>
            <w:pPr>
              <w:ind w:left="20"/>
              <w:spacing w:after="0"/>
              <w:rPr>
                <w:sz w:val="20"/>
                <w:szCs w:val="20"/>
                <w:color w:val="auto"/>
              </w:rPr>
            </w:pPr>
            <w:r>
              <w:rPr>
                <w:rFonts w:ascii="Arial" w:cs="Arial" w:eastAsia="Arial" w:hAnsi="Arial"/>
                <w:sz w:val="15"/>
                <w:szCs w:val="15"/>
                <w:color w:val="auto"/>
              </w:rPr>
              <w:t>- 17.8x (8.0x)</w:t>
            </w:r>
          </w:p>
        </w:tc>
      </w:tr>
      <w:tr>
        <w:trPr>
          <w:trHeight w:val="225"/>
        </w:trPr>
        <w:tc>
          <w:tcPr>
            <w:tcW w:w="2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r>
      <w:tr>
        <w:trPr>
          <w:trHeight w:val="196"/>
        </w:trPr>
        <w:tc>
          <w:tcPr>
            <w:tcW w:w="2140" w:type="dxa"/>
            <w:vAlign w:val="bottom"/>
          </w:tcPr>
          <w:p>
            <w:pPr>
              <w:ind w:left="180"/>
              <w:spacing w:after="0"/>
              <w:rPr>
                <w:sz w:val="20"/>
                <w:szCs w:val="20"/>
                <w:color w:val="auto"/>
              </w:rPr>
            </w:pPr>
            <w:r>
              <w:rPr>
                <w:rFonts w:ascii="Arial" w:cs="Arial" w:eastAsia="Arial" w:hAnsi="Arial"/>
                <w:sz w:val="15"/>
                <w:szCs w:val="15"/>
                <w:color w:val="auto"/>
              </w:rPr>
              <w:t>Warrants</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3,271</w:t>
            </w:r>
          </w:p>
        </w:tc>
        <w:tc>
          <w:tcPr>
            <w:tcW w:w="220" w:type="dxa"/>
            <w:vAlign w:val="bottom"/>
          </w:tcPr>
          <w:p>
            <w:pPr>
              <w:spacing w:after="0"/>
              <w:rPr>
                <w:sz w:val="17"/>
                <w:szCs w:val="17"/>
                <w:color w:val="auto"/>
              </w:rPr>
            </w:pPr>
          </w:p>
        </w:tc>
        <w:tc>
          <w:tcPr>
            <w:tcW w:w="2040" w:type="dxa"/>
            <w:vAlign w:val="bottom"/>
          </w:tcPr>
          <w:p>
            <w:pPr>
              <w:ind w:left="60"/>
              <w:spacing w:after="0"/>
              <w:rPr>
                <w:sz w:val="20"/>
                <w:szCs w:val="20"/>
                <w:color w:val="auto"/>
              </w:rPr>
            </w:pPr>
            <w:r>
              <w:rPr>
                <w:rFonts w:ascii="Arial" w:cs="Arial" w:eastAsia="Arial" w:hAnsi="Arial"/>
                <w:sz w:val="15"/>
                <w:szCs w:val="15"/>
                <w:color w:val="auto"/>
              </w:rPr>
              <w:t>Enterprise value</w:t>
            </w:r>
          </w:p>
        </w:tc>
        <w:tc>
          <w:tcPr>
            <w:tcW w:w="100" w:type="dxa"/>
            <w:vAlign w:val="bottom"/>
          </w:tcPr>
          <w:p>
            <w:pPr>
              <w:spacing w:after="0"/>
              <w:rPr>
                <w:sz w:val="17"/>
                <w:szCs w:val="17"/>
                <w:color w:val="auto"/>
              </w:rPr>
            </w:pPr>
          </w:p>
        </w:tc>
        <w:tc>
          <w:tcPr>
            <w:tcW w:w="3020" w:type="dxa"/>
            <w:vAlign w:val="bottom"/>
          </w:tcPr>
          <w:p>
            <w:pPr>
              <w:ind w:left="40"/>
              <w:spacing w:after="0"/>
              <w:rPr>
                <w:sz w:val="20"/>
                <w:szCs w:val="20"/>
                <w:color w:val="auto"/>
              </w:rPr>
            </w:pPr>
            <w:r>
              <w:rPr>
                <w:rFonts w:ascii="Arial" w:cs="Arial" w:eastAsia="Arial" w:hAnsi="Arial"/>
                <w:sz w:val="15"/>
                <w:szCs w:val="15"/>
                <w:color w:val="auto"/>
              </w:rPr>
              <w:t>EBITDA multiples</w:t>
            </w:r>
          </w:p>
        </w:tc>
        <w:tc>
          <w:tcPr>
            <w:tcW w:w="100" w:type="dxa"/>
            <w:vAlign w:val="bottom"/>
          </w:tcPr>
          <w:p>
            <w:pPr>
              <w:spacing w:after="0"/>
              <w:rPr>
                <w:sz w:val="17"/>
                <w:szCs w:val="17"/>
                <w:color w:val="auto"/>
              </w:rPr>
            </w:pPr>
          </w:p>
        </w:tc>
        <w:tc>
          <w:tcPr>
            <w:tcW w:w="340" w:type="dxa"/>
            <w:vAlign w:val="bottom"/>
          </w:tcPr>
          <w:p>
            <w:pPr>
              <w:ind w:left="60"/>
              <w:spacing w:after="0"/>
              <w:rPr>
                <w:sz w:val="20"/>
                <w:szCs w:val="20"/>
                <w:color w:val="auto"/>
              </w:rPr>
            </w:pPr>
            <w:r>
              <w:rPr>
                <w:rFonts w:ascii="Arial" w:cs="Arial" w:eastAsia="Arial" w:hAnsi="Arial"/>
                <w:sz w:val="15"/>
                <w:szCs w:val="15"/>
                <w:color w:val="auto"/>
                <w:w w:val="91"/>
              </w:rPr>
              <w:t>4.5x</w:t>
            </w:r>
          </w:p>
        </w:tc>
        <w:tc>
          <w:tcPr>
            <w:tcW w:w="1840" w:type="dxa"/>
            <w:vAlign w:val="bottom"/>
          </w:tcPr>
          <w:p>
            <w:pPr>
              <w:ind w:left="20"/>
              <w:spacing w:after="0"/>
              <w:rPr>
                <w:sz w:val="20"/>
                <w:szCs w:val="20"/>
                <w:color w:val="auto"/>
              </w:rPr>
            </w:pPr>
            <w:r>
              <w:rPr>
                <w:rFonts w:ascii="Arial" w:cs="Arial" w:eastAsia="Arial" w:hAnsi="Arial"/>
                <w:sz w:val="15"/>
                <w:szCs w:val="15"/>
                <w:color w:val="auto"/>
              </w:rPr>
              <w:t>- 6.0x (6.0x)</w:t>
            </w:r>
          </w:p>
        </w:tc>
      </w:tr>
    </w:tbl>
    <w:p>
      <w:pPr>
        <w:spacing w:after="0" w:line="235" w:lineRule="exact"/>
        <w:rPr>
          <w:sz w:val="20"/>
          <w:szCs w:val="20"/>
          <w:color w:val="auto"/>
        </w:rPr>
      </w:pPr>
    </w:p>
    <w:p>
      <w:pPr>
        <w:ind w:left="5540" w:right="5420" w:hanging="5539"/>
        <w:spacing w:after="0" w:line="658" w:lineRule="auto"/>
        <w:tabs>
          <w:tab w:leader="none" w:pos="391" w:val="left"/>
        </w:tabs>
        <w:numPr>
          <w:ilvl w:val="0"/>
          <w:numId w:val="14"/>
        </w:numPr>
        <w:rPr>
          <w:rFonts w:ascii="Arial" w:cs="Arial" w:eastAsia="Arial" w:hAnsi="Arial"/>
          <w:sz w:val="15"/>
          <w:szCs w:val="15"/>
          <w:color w:val="auto"/>
        </w:rPr>
      </w:pPr>
      <w:r>
        <w:rPr>
          <w:rFonts w:ascii="Arial" w:cs="Arial" w:eastAsia="Arial" w:hAnsi="Arial"/>
          <w:sz w:val="15"/>
          <w:szCs w:val="15"/>
          <w:color w:val="auto"/>
        </w:rPr>
        <w:t>Unobservable inputs were weighted by the relative fair value of the instruments.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-137795</wp:posOffset>
            </wp:positionV>
            <wp:extent cx="7165975" cy="412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(unaudited)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ind w:right="324"/>
              <w:spacing w:after="0"/>
              <w:rPr>
                <w:sz w:val="20"/>
                <w:szCs w:val="20"/>
                <w:color w:val="auto"/>
              </w:rPr>
            </w:pPr>
            <w:r>
              <w:rPr>
                <w:rFonts w:ascii="Arial" w:cs="Arial" w:eastAsia="Arial" w:hAnsi="Arial"/>
                <w:sz w:val="15"/>
                <w:szCs w:val="15"/>
                <w:b w:val="1"/>
                <w:bCs w:val="1"/>
                <w:color w:val="auto"/>
              </w:rPr>
              <w:t>Fair Value at</w:t>
            </w:r>
          </w:p>
        </w:tc>
        <w:tc>
          <w:tcPr>
            <w:tcW w:w="220" w:type="dxa"/>
            <w:vAlign w:val="bottom"/>
          </w:tcPr>
          <w:p>
            <w:pPr>
              <w:spacing w:after="0"/>
              <w:rPr>
                <w:sz w:val="16"/>
                <w:szCs w:val="16"/>
                <w:color w:val="auto"/>
              </w:rPr>
            </w:pPr>
          </w:p>
        </w:tc>
        <w:tc>
          <w:tcPr>
            <w:tcW w:w="2020" w:type="dxa"/>
            <w:vAlign w:val="bottom"/>
          </w:tcPr>
          <w:p>
            <w:pPr>
              <w:ind w:left="700"/>
              <w:spacing w:after="0"/>
              <w:rPr>
                <w:sz w:val="20"/>
                <w:szCs w:val="20"/>
                <w:color w:val="auto"/>
              </w:rPr>
            </w:pPr>
            <w:r>
              <w:rPr>
                <w:rFonts w:ascii="Arial" w:cs="Arial" w:eastAsia="Arial" w:hAnsi="Arial"/>
                <w:sz w:val="15"/>
                <w:szCs w:val="15"/>
                <w:b w:val="1"/>
                <w:bCs w:val="1"/>
                <w:color w:val="auto"/>
              </w:rPr>
              <w:t>Valuation</w:t>
            </w:r>
          </w:p>
        </w:tc>
        <w:tc>
          <w:tcPr>
            <w:tcW w:w="100" w:type="dxa"/>
            <w:vAlign w:val="bottom"/>
          </w:tcPr>
          <w:p>
            <w:pPr>
              <w:spacing w:after="0"/>
              <w:rPr>
                <w:sz w:val="16"/>
                <w:szCs w:val="16"/>
                <w:color w:val="auto"/>
              </w:rPr>
            </w:pPr>
          </w:p>
        </w:tc>
        <w:tc>
          <w:tcPr>
            <w:tcW w:w="2920" w:type="dxa"/>
            <w:vAlign w:val="bottom"/>
          </w:tcPr>
          <w:p>
            <w:pPr>
              <w:ind w:left="1020"/>
              <w:spacing w:after="0"/>
              <w:rPr>
                <w:sz w:val="20"/>
                <w:szCs w:val="20"/>
                <w:color w:val="auto"/>
              </w:rPr>
            </w:pPr>
            <w:r>
              <w:rPr>
                <w:rFonts w:ascii="Arial" w:cs="Arial" w:eastAsia="Arial" w:hAnsi="Arial"/>
                <w:sz w:val="15"/>
                <w:szCs w:val="15"/>
                <w:b w:val="1"/>
                <w:bCs w:val="1"/>
                <w:color w:val="auto"/>
              </w:rPr>
              <w:t>Unobservable</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tcPr>
          <w:p>
            <w:pPr>
              <w:ind w:left="540"/>
              <w:spacing w:after="0"/>
              <w:rPr>
                <w:sz w:val="20"/>
                <w:szCs w:val="20"/>
                <w:color w:val="auto"/>
              </w:rPr>
            </w:pPr>
            <w:r>
              <w:rPr>
                <w:rFonts w:ascii="Arial" w:cs="Arial" w:eastAsia="Arial" w:hAnsi="Arial"/>
                <w:sz w:val="15"/>
                <w:szCs w:val="15"/>
                <w:b w:val="1"/>
                <w:bCs w:val="1"/>
                <w:color w:val="auto"/>
              </w:rPr>
              <w:t>Range</w:t>
            </w:r>
          </w:p>
        </w:tc>
      </w:tr>
      <w:tr>
        <w:trPr>
          <w:trHeight w:val="240"/>
        </w:trPr>
        <w:tc>
          <w:tcPr>
            <w:tcW w:w="2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w w:val="93"/>
              </w:rPr>
              <w:t>December 31, 2020</w:t>
            </w:r>
          </w:p>
        </w:tc>
        <w:tc>
          <w:tcPr>
            <w:tcW w:w="220" w:type="dxa"/>
            <w:vAlign w:val="bottom"/>
          </w:tcPr>
          <w:p>
            <w:pPr>
              <w:spacing w:after="0"/>
              <w:rPr>
                <w:sz w:val="20"/>
                <w:szCs w:val="20"/>
                <w:color w:val="auto"/>
              </w:rPr>
            </w:pPr>
          </w:p>
        </w:tc>
        <w:tc>
          <w:tcPr>
            <w:tcW w:w="2020" w:type="dxa"/>
            <w:vAlign w:val="bottom"/>
            <w:tcBorders>
              <w:bottom w:val="single" w:sz="8" w:color="auto"/>
            </w:tcBorders>
          </w:tcPr>
          <w:p>
            <w:pPr>
              <w:ind w:left="640"/>
              <w:spacing w:after="0"/>
              <w:rPr>
                <w:sz w:val="20"/>
                <w:szCs w:val="20"/>
                <w:color w:val="auto"/>
              </w:rPr>
            </w:pPr>
            <w:r>
              <w:rPr>
                <w:rFonts w:ascii="Arial" w:cs="Arial" w:eastAsia="Arial" w:hAnsi="Arial"/>
                <w:sz w:val="15"/>
                <w:szCs w:val="15"/>
                <w:b w:val="1"/>
                <w:bCs w:val="1"/>
                <w:color w:val="auto"/>
              </w:rPr>
              <w:t>Techniques</w:t>
            </w:r>
          </w:p>
        </w:tc>
        <w:tc>
          <w:tcPr>
            <w:tcW w:w="100" w:type="dxa"/>
            <w:vAlign w:val="bottom"/>
          </w:tcPr>
          <w:p>
            <w:pPr>
              <w:spacing w:after="0"/>
              <w:rPr>
                <w:sz w:val="20"/>
                <w:szCs w:val="20"/>
                <w:color w:val="auto"/>
              </w:rPr>
            </w:pPr>
          </w:p>
        </w:tc>
        <w:tc>
          <w:tcPr>
            <w:tcW w:w="2920" w:type="dxa"/>
            <w:vAlign w:val="bottom"/>
            <w:tcBorders>
              <w:bottom w:val="single" w:sz="8" w:color="auto"/>
            </w:tcBorders>
          </w:tcPr>
          <w:p>
            <w:pPr>
              <w:ind w:left="1260"/>
              <w:spacing w:after="0"/>
              <w:rPr>
                <w:sz w:val="20"/>
                <w:szCs w:val="20"/>
                <w:color w:val="auto"/>
              </w:rPr>
            </w:pPr>
            <w:r>
              <w:rPr>
                <w:rFonts w:ascii="Arial" w:cs="Arial" w:eastAsia="Arial" w:hAnsi="Arial"/>
                <w:sz w:val="15"/>
                <w:szCs w:val="15"/>
                <w:b w:val="1"/>
                <w:bCs w:val="1"/>
                <w:color w:val="auto"/>
              </w:rPr>
              <w:t>Inputs</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(weighted average)</w:t>
            </w:r>
            <w:r>
              <w:rPr>
                <w:rFonts w:ascii="Arial" w:cs="Arial" w:eastAsia="Arial" w:hAnsi="Arial"/>
                <w:sz w:val="20"/>
                <w:szCs w:val="20"/>
                <w:b w:val="1"/>
                <w:bCs w:val="1"/>
                <w:color w:val="auto"/>
                <w:vertAlign w:val="superscript"/>
              </w:rPr>
              <w:t>(1)</w:t>
            </w:r>
          </w:p>
        </w:tc>
      </w:tr>
      <w:tr>
        <w:trPr>
          <w:trHeight w:val="208"/>
        </w:trPr>
        <w:tc>
          <w:tcPr>
            <w:tcW w:w="208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Debt investments:</w:t>
            </w: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r>
      <w:tr>
        <w:trPr>
          <w:trHeight w:val="206"/>
        </w:trPr>
        <w:tc>
          <w:tcPr>
            <w:tcW w:w="2080" w:type="dxa"/>
            <w:vAlign w:val="bottom"/>
          </w:tcPr>
          <w:p>
            <w:pPr>
              <w:ind w:left="180"/>
              <w:spacing w:after="0"/>
              <w:rPr>
                <w:sz w:val="20"/>
                <w:szCs w:val="20"/>
                <w:color w:val="auto"/>
              </w:rPr>
            </w:pPr>
            <w:r>
              <w:rPr>
                <w:rFonts w:ascii="Arial" w:cs="Arial" w:eastAsia="Arial" w:hAnsi="Arial"/>
                <w:sz w:val="15"/>
                <w:szCs w:val="15"/>
                <w:color w:val="auto"/>
              </w:rPr>
              <w:t>First Lien Debt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183,238</w:t>
            </w:r>
          </w:p>
        </w:tc>
        <w:tc>
          <w:tcPr>
            <w:tcW w:w="220" w:type="dxa"/>
            <w:vAlign w:val="bottom"/>
          </w:tcPr>
          <w:p>
            <w:pPr>
              <w:spacing w:after="0"/>
              <w:rPr>
                <w:sz w:val="17"/>
                <w:szCs w:val="17"/>
                <w:color w:val="auto"/>
              </w:rPr>
            </w:pPr>
          </w:p>
        </w:tc>
        <w:tc>
          <w:tcPr>
            <w:tcW w:w="2020" w:type="dxa"/>
            <w:vAlign w:val="bottom"/>
          </w:tcPr>
          <w:p>
            <w:pPr>
              <w:ind w:left="40"/>
              <w:spacing w:after="0"/>
              <w:rPr>
                <w:sz w:val="20"/>
                <w:szCs w:val="20"/>
                <w:color w:val="auto"/>
              </w:rPr>
            </w:pPr>
            <w:r>
              <w:rPr>
                <w:rFonts w:ascii="Arial" w:cs="Arial" w:eastAsia="Arial" w:hAnsi="Arial"/>
                <w:sz w:val="15"/>
                <w:szCs w:val="15"/>
                <w:color w:val="auto"/>
              </w:rPr>
              <w:t>Discounted cash flow</w:t>
            </w:r>
          </w:p>
        </w:tc>
        <w:tc>
          <w:tcPr>
            <w:tcW w:w="100" w:type="dxa"/>
            <w:vAlign w:val="bottom"/>
          </w:tcPr>
          <w:p>
            <w:pPr>
              <w:spacing w:after="0"/>
              <w:rPr>
                <w:sz w:val="17"/>
                <w:szCs w:val="17"/>
                <w:color w:val="auto"/>
              </w:rPr>
            </w:pPr>
          </w:p>
        </w:tc>
        <w:tc>
          <w:tcPr>
            <w:tcW w:w="2920" w:type="dxa"/>
            <w:vAlign w:val="bottom"/>
          </w:tcPr>
          <w:p>
            <w:pPr>
              <w:ind w:left="60"/>
              <w:spacing w:after="0"/>
              <w:rPr>
                <w:sz w:val="20"/>
                <w:szCs w:val="20"/>
                <w:color w:val="auto"/>
              </w:rPr>
            </w:pPr>
            <w:r>
              <w:rPr>
                <w:rFonts w:ascii="Arial" w:cs="Arial" w:eastAsia="Arial" w:hAnsi="Arial"/>
                <w:sz w:val="15"/>
                <w:szCs w:val="15"/>
                <w:color w:val="auto"/>
              </w:rPr>
              <w:t>Weighted average cost of capital</w:t>
            </w:r>
          </w:p>
        </w:tc>
        <w:tc>
          <w:tcPr>
            <w:tcW w:w="2280" w:type="dxa"/>
            <w:vAlign w:val="bottom"/>
            <w:gridSpan w:val="3"/>
          </w:tcPr>
          <w:p>
            <w:pPr>
              <w:ind w:left="160"/>
              <w:spacing w:after="0"/>
              <w:rPr>
                <w:sz w:val="20"/>
                <w:szCs w:val="20"/>
                <w:color w:val="auto"/>
              </w:rPr>
            </w:pPr>
            <w:r>
              <w:rPr>
                <w:rFonts w:ascii="Arial" w:cs="Arial" w:eastAsia="Arial" w:hAnsi="Arial"/>
                <w:sz w:val="15"/>
                <w:szCs w:val="15"/>
                <w:color w:val="auto"/>
              </w:rPr>
              <w:t>6.8% - 16.3% (10.3%)</w:t>
            </w:r>
          </w:p>
        </w:tc>
      </w:tr>
      <w:tr>
        <w:trPr>
          <w:trHeight w:val="225"/>
        </w:trPr>
        <w:tc>
          <w:tcPr>
            <w:tcW w:w="2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4,115</w:t>
            </w:r>
          </w:p>
        </w:tc>
        <w:tc>
          <w:tcPr>
            <w:tcW w:w="220" w:type="dxa"/>
            <w:vAlign w:val="bottom"/>
            <w:shd w:val="clear" w:color="auto" w:fill="CFF0FC"/>
          </w:tcPr>
          <w:p>
            <w:pPr>
              <w:spacing w:after="0"/>
              <w:rPr>
                <w:sz w:val="19"/>
                <w:szCs w:val="19"/>
                <w:color w:val="auto"/>
              </w:rPr>
            </w:pPr>
          </w:p>
        </w:tc>
        <w:tc>
          <w:tcPr>
            <w:tcW w:w="2020" w:type="dxa"/>
            <w:vAlign w:val="bottom"/>
            <w:shd w:val="clear" w:color="auto" w:fill="CFF0FC"/>
          </w:tcPr>
          <w:p>
            <w:pPr>
              <w:ind w:left="40"/>
              <w:spacing w:after="0"/>
              <w:rPr>
                <w:sz w:val="20"/>
                <w:szCs w:val="20"/>
                <w:color w:val="auto"/>
              </w:rPr>
            </w:pPr>
            <w:r>
              <w:rPr>
                <w:rFonts w:ascii="Arial" w:cs="Arial" w:eastAsia="Arial" w:hAnsi="Arial"/>
                <w:sz w:val="15"/>
                <w:szCs w:val="15"/>
                <w:color w:val="auto"/>
              </w:rPr>
              <w:t>Enterprise value</w:t>
            </w:r>
          </w:p>
        </w:tc>
        <w:tc>
          <w:tcPr>
            <w:tcW w:w="100" w:type="dxa"/>
            <w:vAlign w:val="bottom"/>
            <w:shd w:val="clear" w:color="auto" w:fill="CFF0FC"/>
          </w:tcPr>
          <w:p>
            <w:pPr>
              <w:spacing w:after="0"/>
              <w:rPr>
                <w:sz w:val="19"/>
                <w:szCs w:val="19"/>
                <w:color w:val="auto"/>
              </w:rPr>
            </w:pPr>
          </w:p>
        </w:tc>
        <w:tc>
          <w:tcPr>
            <w:tcW w:w="2920" w:type="dxa"/>
            <w:vAlign w:val="bottom"/>
            <w:shd w:val="clear" w:color="auto" w:fill="CFF0FC"/>
          </w:tcPr>
          <w:p>
            <w:pPr>
              <w:ind w:left="60"/>
              <w:spacing w:after="0"/>
              <w:rPr>
                <w:sz w:val="20"/>
                <w:szCs w:val="20"/>
                <w:color w:val="auto"/>
              </w:rPr>
            </w:pPr>
            <w:r>
              <w:rPr>
                <w:rFonts w:ascii="Arial" w:cs="Arial" w:eastAsia="Arial" w:hAnsi="Arial"/>
                <w:sz w:val="15"/>
                <w:szCs w:val="15"/>
                <w:color w:val="auto"/>
              </w:rPr>
              <w:t>Asset Coverage</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ind w:left="60"/>
              <w:spacing w:after="0"/>
              <w:rPr>
                <w:sz w:val="20"/>
                <w:szCs w:val="20"/>
                <w:color w:val="auto"/>
              </w:rPr>
            </w:pPr>
            <w:r>
              <w:rPr>
                <w:rFonts w:ascii="Arial" w:cs="Arial" w:eastAsia="Arial" w:hAnsi="Arial"/>
                <w:sz w:val="15"/>
                <w:szCs w:val="15"/>
                <w:color w:val="auto"/>
                <w:w w:val="91"/>
              </w:rPr>
              <w:t>1.8x</w:t>
            </w:r>
          </w:p>
        </w:tc>
        <w:tc>
          <w:tcPr>
            <w:tcW w:w="1840" w:type="dxa"/>
            <w:vAlign w:val="bottom"/>
            <w:shd w:val="clear" w:color="auto" w:fill="CFF0FC"/>
          </w:tcPr>
          <w:p>
            <w:pPr>
              <w:ind w:left="20"/>
              <w:spacing w:after="0"/>
              <w:rPr>
                <w:sz w:val="20"/>
                <w:szCs w:val="20"/>
                <w:color w:val="auto"/>
              </w:rPr>
            </w:pPr>
            <w:r>
              <w:rPr>
                <w:rFonts w:ascii="Arial" w:cs="Arial" w:eastAsia="Arial" w:hAnsi="Arial"/>
                <w:sz w:val="15"/>
                <w:szCs w:val="15"/>
                <w:color w:val="auto"/>
              </w:rPr>
              <w:t>- 1.8x (1.8x)</w:t>
            </w:r>
          </w:p>
        </w:tc>
      </w:tr>
      <w:tr>
        <w:trPr>
          <w:trHeight w:val="216"/>
        </w:trPr>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280" w:type="dxa"/>
            <w:vAlign w:val="bottom"/>
            <w:gridSpan w:val="3"/>
          </w:tcPr>
          <w:p>
            <w:pPr>
              <w:spacing w:after="0"/>
              <w:rPr>
                <w:sz w:val="18"/>
                <w:szCs w:val="18"/>
                <w:color w:val="auto"/>
              </w:rPr>
            </w:pPr>
          </w:p>
        </w:tc>
      </w:tr>
      <w:tr>
        <w:trPr>
          <w:trHeight w:val="216"/>
        </w:trPr>
        <w:tc>
          <w:tcPr>
            <w:tcW w:w="2080" w:type="dxa"/>
            <w:vAlign w:val="bottom"/>
            <w:shd w:val="clear" w:color="auto" w:fill="CFF0FC"/>
          </w:tcPr>
          <w:p>
            <w:pPr>
              <w:ind w:left="180"/>
              <w:spacing w:after="0"/>
              <w:rPr>
                <w:sz w:val="20"/>
                <w:szCs w:val="20"/>
                <w:color w:val="auto"/>
              </w:rPr>
            </w:pPr>
            <w:r>
              <w:rPr>
                <w:rFonts w:ascii="Arial" w:cs="Arial" w:eastAsia="Arial" w:hAnsi="Arial"/>
                <w:sz w:val="15"/>
                <w:szCs w:val="15"/>
                <w:color w:val="auto"/>
              </w:rPr>
              <w:t>Second Lien Debt</w:t>
            </w: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306,405</w:t>
            </w:r>
          </w:p>
        </w:tc>
        <w:tc>
          <w:tcPr>
            <w:tcW w:w="220" w:type="dxa"/>
            <w:vAlign w:val="bottom"/>
            <w:shd w:val="clear" w:color="auto" w:fill="CFF0FC"/>
          </w:tcPr>
          <w:p>
            <w:pPr>
              <w:spacing w:after="0"/>
              <w:rPr>
                <w:sz w:val="18"/>
                <w:szCs w:val="18"/>
                <w:color w:val="auto"/>
              </w:rPr>
            </w:pPr>
          </w:p>
        </w:tc>
        <w:tc>
          <w:tcPr>
            <w:tcW w:w="2020" w:type="dxa"/>
            <w:vAlign w:val="bottom"/>
            <w:shd w:val="clear" w:color="auto" w:fill="CFF0FC"/>
          </w:tcPr>
          <w:p>
            <w:pPr>
              <w:ind w:left="40"/>
              <w:spacing w:after="0"/>
              <w:rPr>
                <w:sz w:val="20"/>
                <w:szCs w:val="20"/>
                <w:color w:val="auto"/>
              </w:rPr>
            </w:pPr>
            <w:r>
              <w:rPr>
                <w:rFonts w:ascii="Arial" w:cs="Arial" w:eastAsia="Arial" w:hAnsi="Arial"/>
                <w:sz w:val="15"/>
                <w:szCs w:val="15"/>
                <w:color w:val="auto"/>
              </w:rPr>
              <w:t>Discounted cash flow</w:t>
            </w:r>
          </w:p>
        </w:tc>
        <w:tc>
          <w:tcPr>
            <w:tcW w:w="100" w:type="dxa"/>
            <w:vAlign w:val="bottom"/>
            <w:shd w:val="clear" w:color="auto" w:fill="CFF0FC"/>
          </w:tcPr>
          <w:p>
            <w:pPr>
              <w:spacing w:after="0"/>
              <w:rPr>
                <w:sz w:val="18"/>
                <w:szCs w:val="18"/>
                <w:color w:val="auto"/>
              </w:rPr>
            </w:pPr>
          </w:p>
        </w:tc>
        <w:tc>
          <w:tcPr>
            <w:tcW w:w="2920" w:type="dxa"/>
            <w:vAlign w:val="bottom"/>
            <w:shd w:val="clear" w:color="auto" w:fill="CFF0FC"/>
          </w:tcPr>
          <w:p>
            <w:pPr>
              <w:ind w:left="60"/>
              <w:spacing w:after="0"/>
              <w:rPr>
                <w:sz w:val="20"/>
                <w:szCs w:val="20"/>
                <w:color w:val="auto"/>
              </w:rPr>
            </w:pPr>
            <w:r>
              <w:rPr>
                <w:rFonts w:ascii="Arial" w:cs="Arial" w:eastAsia="Arial" w:hAnsi="Arial"/>
                <w:sz w:val="15"/>
                <w:szCs w:val="15"/>
                <w:color w:val="auto"/>
              </w:rPr>
              <w:t>Weighted average cost of capital</w:t>
            </w:r>
          </w:p>
        </w:tc>
        <w:tc>
          <w:tcPr>
            <w:tcW w:w="2280" w:type="dxa"/>
            <w:vAlign w:val="bottom"/>
            <w:gridSpan w:val="3"/>
            <w:shd w:val="clear" w:color="auto" w:fill="CFF0FC"/>
          </w:tcPr>
          <w:p>
            <w:pPr>
              <w:ind w:left="160"/>
              <w:spacing w:after="0"/>
              <w:rPr>
                <w:sz w:val="20"/>
                <w:szCs w:val="20"/>
                <w:color w:val="auto"/>
              </w:rPr>
            </w:pPr>
            <w:r>
              <w:rPr>
                <w:rFonts w:ascii="Arial" w:cs="Arial" w:eastAsia="Arial" w:hAnsi="Arial"/>
                <w:sz w:val="15"/>
                <w:szCs w:val="15"/>
                <w:color w:val="auto"/>
              </w:rPr>
              <w:t>9.3% - 27.0% (14.0%)</w:t>
            </w:r>
          </w:p>
        </w:tc>
      </w:tr>
      <w:tr>
        <w:trPr>
          <w:trHeight w:val="206"/>
        </w:trPr>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5,454</w:t>
            </w:r>
          </w:p>
        </w:tc>
        <w:tc>
          <w:tcPr>
            <w:tcW w:w="220" w:type="dxa"/>
            <w:vAlign w:val="bottom"/>
          </w:tcPr>
          <w:p>
            <w:pPr>
              <w:spacing w:after="0"/>
              <w:rPr>
                <w:sz w:val="17"/>
                <w:szCs w:val="17"/>
                <w:color w:val="auto"/>
              </w:rPr>
            </w:pPr>
          </w:p>
        </w:tc>
        <w:tc>
          <w:tcPr>
            <w:tcW w:w="2020" w:type="dxa"/>
            <w:vAlign w:val="bottom"/>
          </w:tcPr>
          <w:p>
            <w:pPr>
              <w:ind w:left="40"/>
              <w:spacing w:after="0"/>
              <w:rPr>
                <w:sz w:val="20"/>
                <w:szCs w:val="20"/>
                <w:color w:val="auto"/>
              </w:rPr>
            </w:pPr>
            <w:r>
              <w:rPr>
                <w:rFonts w:ascii="Arial" w:cs="Arial" w:eastAsia="Arial" w:hAnsi="Arial"/>
                <w:sz w:val="15"/>
                <w:szCs w:val="15"/>
                <w:color w:val="auto"/>
              </w:rPr>
              <w:t>Enterprise value</w:t>
            </w:r>
          </w:p>
        </w:tc>
        <w:tc>
          <w:tcPr>
            <w:tcW w:w="100" w:type="dxa"/>
            <w:vAlign w:val="bottom"/>
          </w:tcPr>
          <w:p>
            <w:pPr>
              <w:spacing w:after="0"/>
              <w:rPr>
                <w:sz w:val="17"/>
                <w:szCs w:val="17"/>
                <w:color w:val="auto"/>
              </w:rPr>
            </w:pPr>
          </w:p>
        </w:tc>
        <w:tc>
          <w:tcPr>
            <w:tcW w:w="2920" w:type="dxa"/>
            <w:vAlign w:val="bottom"/>
          </w:tcPr>
          <w:p>
            <w:pPr>
              <w:ind w:left="60"/>
              <w:spacing w:after="0"/>
              <w:rPr>
                <w:sz w:val="20"/>
                <w:szCs w:val="20"/>
                <w:color w:val="auto"/>
              </w:rPr>
            </w:pPr>
            <w:r>
              <w:rPr>
                <w:rFonts w:ascii="Arial" w:cs="Arial" w:eastAsia="Arial" w:hAnsi="Arial"/>
                <w:sz w:val="15"/>
                <w:szCs w:val="15"/>
                <w:color w:val="auto"/>
              </w:rPr>
              <w:t>EBITDA multiples</w:t>
            </w:r>
          </w:p>
        </w:tc>
        <w:tc>
          <w:tcPr>
            <w:tcW w:w="100" w:type="dxa"/>
            <w:vAlign w:val="bottom"/>
          </w:tcPr>
          <w:p>
            <w:pPr>
              <w:spacing w:after="0"/>
              <w:rPr>
                <w:sz w:val="17"/>
                <w:szCs w:val="17"/>
                <w:color w:val="auto"/>
              </w:rPr>
            </w:pPr>
          </w:p>
        </w:tc>
        <w:tc>
          <w:tcPr>
            <w:tcW w:w="340" w:type="dxa"/>
            <w:vAlign w:val="bottom"/>
          </w:tcPr>
          <w:p>
            <w:pPr>
              <w:ind w:left="60"/>
              <w:spacing w:after="0"/>
              <w:rPr>
                <w:sz w:val="20"/>
                <w:szCs w:val="20"/>
                <w:color w:val="auto"/>
              </w:rPr>
            </w:pPr>
            <w:r>
              <w:rPr>
                <w:rFonts w:ascii="Arial" w:cs="Arial" w:eastAsia="Arial" w:hAnsi="Arial"/>
                <w:sz w:val="15"/>
                <w:szCs w:val="15"/>
                <w:color w:val="auto"/>
                <w:w w:val="91"/>
              </w:rPr>
              <w:t>3.9x</w:t>
            </w:r>
          </w:p>
        </w:tc>
        <w:tc>
          <w:tcPr>
            <w:tcW w:w="1840" w:type="dxa"/>
            <w:vAlign w:val="bottom"/>
          </w:tcPr>
          <w:p>
            <w:pPr>
              <w:ind w:left="20"/>
              <w:spacing w:after="0"/>
              <w:rPr>
                <w:sz w:val="20"/>
                <w:szCs w:val="20"/>
                <w:color w:val="auto"/>
              </w:rPr>
            </w:pPr>
            <w:r>
              <w:rPr>
                <w:rFonts w:ascii="Arial" w:cs="Arial" w:eastAsia="Arial" w:hAnsi="Arial"/>
                <w:sz w:val="15"/>
                <w:szCs w:val="15"/>
                <w:color w:val="auto"/>
              </w:rPr>
              <w:t>- 3.9x (3.9x)</w:t>
            </w:r>
          </w:p>
        </w:tc>
      </w:tr>
      <w:tr>
        <w:trPr>
          <w:trHeight w:val="225"/>
        </w:trPr>
        <w:tc>
          <w:tcPr>
            <w:tcW w:w="2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5,123</w:t>
            </w:r>
          </w:p>
        </w:tc>
        <w:tc>
          <w:tcPr>
            <w:tcW w:w="220" w:type="dxa"/>
            <w:vAlign w:val="bottom"/>
            <w:shd w:val="clear" w:color="auto" w:fill="CFF0FC"/>
          </w:tcPr>
          <w:p>
            <w:pPr>
              <w:spacing w:after="0"/>
              <w:rPr>
                <w:sz w:val="19"/>
                <w:szCs w:val="19"/>
                <w:color w:val="auto"/>
              </w:rPr>
            </w:pPr>
          </w:p>
        </w:tc>
        <w:tc>
          <w:tcPr>
            <w:tcW w:w="2020" w:type="dxa"/>
            <w:vAlign w:val="bottom"/>
            <w:shd w:val="clear" w:color="auto" w:fill="CFF0FC"/>
          </w:tcPr>
          <w:p>
            <w:pPr>
              <w:ind w:left="40"/>
              <w:spacing w:after="0"/>
              <w:rPr>
                <w:sz w:val="20"/>
                <w:szCs w:val="20"/>
                <w:color w:val="auto"/>
              </w:rPr>
            </w:pPr>
            <w:r>
              <w:rPr>
                <w:rFonts w:ascii="Arial" w:cs="Arial" w:eastAsia="Arial" w:hAnsi="Arial"/>
                <w:sz w:val="15"/>
                <w:szCs w:val="15"/>
                <w:color w:val="auto"/>
              </w:rPr>
              <w:t>Enterprise value</w:t>
            </w:r>
          </w:p>
        </w:tc>
        <w:tc>
          <w:tcPr>
            <w:tcW w:w="100" w:type="dxa"/>
            <w:vAlign w:val="bottom"/>
            <w:shd w:val="clear" w:color="auto" w:fill="CFF0FC"/>
          </w:tcPr>
          <w:p>
            <w:pPr>
              <w:spacing w:after="0"/>
              <w:rPr>
                <w:sz w:val="19"/>
                <w:szCs w:val="19"/>
                <w:color w:val="auto"/>
              </w:rPr>
            </w:pPr>
          </w:p>
        </w:tc>
        <w:tc>
          <w:tcPr>
            <w:tcW w:w="2920" w:type="dxa"/>
            <w:vAlign w:val="bottom"/>
            <w:shd w:val="clear" w:color="auto" w:fill="CFF0FC"/>
          </w:tcPr>
          <w:p>
            <w:pPr>
              <w:ind w:left="60"/>
              <w:spacing w:after="0"/>
              <w:rPr>
                <w:sz w:val="20"/>
                <w:szCs w:val="20"/>
                <w:color w:val="auto"/>
              </w:rPr>
            </w:pPr>
            <w:r>
              <w:rPr>
                <w:rFonts w:ascii="Arial" w:cs="Arial" w:eastAsia="Arial" w:hAnsi="Arial"/>
                <w:sz w:val="15"/>
                <w:szCs w:val="15"/>
                <w:color w:val="auto"/>
              </w:rPr>
              <w:t>Revenue multiples</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ind w:left="60"/>
              <w:spacing w:after="0"/>
              <w:rPr>
                <w:sz w:val="20"/>
                <w:szCs w:val="20"/>
                <w:color w:val="auto"/>
              </w:rPr>
            </w:pPr>
            <w:r>
              <w:rPr>
                <w:rFonts w:ascii="Arial" w:cs="Arial" w:eastAsia="Arial" w:hAnsi="Arial"/>
                <w:sz w:val="15"/>
                <w:szCs w:val="15"/>
                <w:color w:val="auto"/>
                <w:w w:val="91"/>
              </w:rPr>
              <w:t>2.1x</w:t>
            </w:r>
          </w:p>
        </w:tc>
        <w:tc>
          <w:tcPr>
            <w:tcW w:w="1840" w:type="dxa"/>
            <w:vAlign w:val="bottom"/>
            <w:shd w:val="clear" w:color="auto" w:fill="CFF0FC"/>
          </w:tcPr>
          <w:p>
            <w:pPr>
              <w:ind w:left="20"/>
              <w:spacing w:after="0"/>
              <w:rPr>
                <w:sz w:val="20"/>
                <w:szCs w:val="20"/>
                <w:color w:val="auto"/>
              </w:rPr>
            </w:pPr>
            <w:r>
              <w:rPr>
                <w:rFonts w:ascii="Arial" w:cs="Arial" w:eastAsia="Arial" w:hAnsi="Arial"/>
                <w:sz w:val="15"/>
                <w:szCs w:val="15"/>
                <w:color w:val="auto"/>
              </w:rPr>
              <w:t>- 2.1x (2.1x)</w:t>
            </w:r>
          </w:p>
        </w:tc>
      </w:tr>
      <w:tr>
        <w:trPr>
          <w:trHeight w:val="206"/>
        </w:trPr>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15,172</w:t>
            </w:r>
          </w:p>
        </w:tc>
        <w:tc>
          <w:tcPr>
            <w:tcW w:w="220" w:type="dxa"/>
            <w:vAlign w:val="bottom"/>
          </w:tcPr>
          <w:p>
            <w:pPr>
              <w:spacing w:after="0"/>
              <w:rPr>
                <w:sz w:val="17"/>
                <w:szCs w:val="17"/>
                <w:color w:val="auto"/>
              </w:rPr>
            </w:pPr>
          </w:p>
        </w:tc>
        <w:tc>
          <w:tcPr>
            <w:tcW w:w="2020" w:type="dxa"/>
            <w:vAlign w:val="bottom"/>
          </w:tcPr>
          <w:p>
            <w:pPr>
              <w:ind w:left="40"/>
              <w:spacing w:after="0"/>
              <w:rPr>
                <w:sz w:val="20"/>
                <w:szCs w:val="20"/>
                <w:color w:val="auto"/>
              </w:rPr>
            </w:pPr>
            <w:r>
              <w:rPr>
                <w:rFonts w:ascii="Arial" w:cs="Arial" w:eastAsia="Arial" w:hAnsi="Arial"/>
                <w:sz w:val="15"/>
                <w:szCs w:val="15"/>
                <w:color w:val="auto"/>
              </w:rPr>
              <w:t>Enterprise value</w:t>
            </w:r>
          </w:p>
        </w:tc>
        <w:tc>
          <w:tcPr>
            <w:tcW w:w="100" w:type="dxa"/>
            <w:vAlign w:val="bottom"/>
          </w:tcPr>
          <w:p>
            <w:pPr>
              <w:spacing w:after="0"/>
              <w:rPr>
                <w:sz w:val="17"/>
                <w:szCs w:val="17"/>
                <w:color w:val="auto"/>
              </w:rPr>
            </w:pPr>
          </w:p>
        </w:tc>
        <w:tc>
          <w:tcPr>
            <w:tcW w:w="2920" w:type="dxa"/>
            <w:vAlign w:val="bottom"/>
          </w:tcPr>
          <w:p>
            <w:pPr>
              <w:ind w:left="60"/>
              <w:spacing w:after="0"/>
              <w:rPr>
                <w:sz w:val="20"/>
                <w:szCs w:val="20"/>
                <w:color w:val="auto"/>
              </w:rPr>
            </w:pPr>
            <w:r>
              <w:rPr>
                <w:rFonts w:ascii="Arial" w:cs="Arial" w:eastAsia="Arial" w:hAnsi="Arial"/>
                <w:sz w:val="15"/>
                <w:szCs w:val="15"/>
                <w:color w:val="auto"/>
              </w:rPr>
              <w:t>Asset Coverage</w:t>
            </w:r>
          </w:p>
        </w:tc>
        <w:tc>
          <w:tcPr>
            <w:tcW w:w="100" w:type="dxa"/>
            <w:vAlign w:val="bottom"/>
          </w:tcPr>
          <w:p>
            <w:pPr>
              <w:spacing w:after="0"/>
              <w:rPr>
                <w:sz w:val="17"/>
                <w:szCs w:val="17"/>
                <w:color w:val="auto"/>
              </w:rPr>
            </w:pPr>
          </w:p>
        </w:tc>
        <w:tc>
          <w:tcPr>
            <w:tcW w:w="340" w:type="dxa"/>
            <w:vAlign w:val="bottom"/>
          </w:tcPr>
          <w:p>
            <w:pPr>
              <w:ind w:left="60"/>
              <w:spacing w:after="0"/>
              <w:rPr>
                <w:sz w:val="20"/>
                <w:szCs w:val="20"/>
                <w:color w:val="auto"/>
              </w:rPr>
            </w:pPr>
            <w:r>
              <w:rPr>
                <w:rFonts w:ascii="Arial" w:cs="Arial" w:eastAsia="Arial" w:hAnsi="Arial"/>
                <w:sz w:val="15"/>
                <w:szCs w:val="15"/>
                <w:color w:val="auto"/>
                <w:w w:val="91"/>
              </w:rPr>
              <w:t>1.2x</w:t>
            </w:r>
          </w:p>
        </w:tc>
        <w:tc>
          <w:tcPr>
            <w:tcW w:w="1840" w:type="dxa"/>
            <w:vAlign w:val="bottom"/>
          </w:tcPr>
          <w:p>
            <w:pPr>
              <w:ind w:left="20"/>
              <w:spacing w:after="0"/>
              <w:rPr>
                <w:sz w:val="20"/>
                <w:szCs w:val="20"/>
                <w:color w:val="auto"/>
              </w:rPr>
            </w:pPr>
            <w:r>
              <w:rPr>
                <w:rFonts w:ascii="Arial" w:cs="Arial" w:eastAsia="Arial" w:hAnsi="Arial"/>
                <w:sz w:val="15"/>
                <w:szCs w:val="15"/>
                <w:color w:val="auto"/>
              </w:rPr>
              <w:t>- 1.2x (1.2x)</w:t>
            </w:r>
          </w:p>
        </w:tc>
      </w:tr>
      <w:tr>
        <w:trPr>
          <w:trHeight w:val="225"/>
        </w:trPr>
        <w:tc>
          <w:tcPr>
            <w:tcW w:w="2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920" w:type="dxa"/>
            <w:vAlign w:val="bottom"/>
            <w:shd w:val="clear" w:color="auto" w:fill="CFF0FC"/>
          </w:tcPr>
          <w:p>
            <w:pPr>
              <w:spacing w:after="0"/>
              <w:rPr>
                <w:sz w:val="19"/>
                <w:szCs w:val="19"/>
                <w:color w:val="auto"/>
              </w:rPr>
            </w:pPr>
          </w:p>
        </w:tc>
        <w:tc>
          <w:tcPr>
            <w:tcW w:w="2280" w:type="dxa"/>
            <w:vAlign w:val="bottom"/>
            <w:gridSpan w:val="3"/>
            <w:shd w:val="clear" w:color="auto" w:fill="CFF0FC"/>
          </w:tcPr>
          <w:p>
            <w:pPr>
              <w:spacing w:after="0"/>
              <w:rPr>
                <w:sz w:val="19"/>
                <w:szCs w:val="19"/>
                <w:color w:val="auto"/>
              </w:rPr>
            </w:pPr>
          </w:p>
        </w:tc>
      </w:tr>
      <w:tr>
        <w:trPr>
          <w:trHeight w:val="206"/>
        </w:trPr>
        <w:tc>
          <w:tcPr>
            <w:tcW w:w="2080" w:type="dxa"/>
            <w:vAlign w:val="bottom"/>
          </w:tcPr>
          <w:p>
            <w:pPr>
              <w:ind w:left="180"/>
              <w:spacing w:after="0"/>
              <w:rPr>
                <w:sz w:val="20"/>
                <w:szCs w:val="20"/>
                <w:color w:val="auto"/>
              </w:rPr>
            </w:pPr>
            <w:r>
              <w:rPr>
                <w:rFonts w:ascii="Arial" w:cs="Arial" w:eastAsia="Arial" w:hAnsi="Arial"/>
                <w:sz w:val="15"/>
                <w:szCs w:val="15"/>
                <w:color w:val="auto"/>
              </w:rPr>
              <w:t>Subordinated Debt</w:t>
            </w: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107,911</w:t>
            </w:r>
          </w:p>
        </w:tc>
        <w:tc>
          <w:tcPr>
            <w:tcW w:w="220" w:type="dxa"/>
            <w:vAlign w:val="bottom"/>
          </w:tcPr>
          <w:p>
            <w:pPr>
              <w:spacing w:after="0"/>
              <w:rPr>
                <w:sz w:val="17"/>
                <w:szCs w:val="17"/>
                <w:color w:val="auto"/>
              </w:rPr>
            </w:pPr>
          </w:p>
        </w:tc>
        <w:tc>
          <w:tcPr>
            <w:tcW w:w="2020" w:type="dxa"/>
            <w:vAlign w:val="bottom"/>
          </w:tcPr>
          <w:p>
            <w:pPr>
              <w:ind w:left="40"/>
              <w:spacing w:after="0"/>
              <w:rPr>
                <w:sz w:val="20"/>
                <w:szCs w:val="20"/>
                <w:color w:val="auto"/>
              </w:rPr>
            </w:pPr>
            <w:r>
              <w:rPr>
                <w:rFonts w:ascii="Arial" w:cs="Arial" w:eastAsia="Arial" w:hAnsi="Arial"/>
                <w:sz w:val="15"/>
                <w:szCs w:val="15"/>
                <w:color w:val="auto"/>
              </w:rPr>
              <w:t>Discounted cash flow</w:t>
            </w:r>
          </w:p>
        </w:tc>
        <w:tc>
          <w:tcPr>
            <w:tcW w:w="100" w:type="dxa"/>
            <w:vAlign w:val="bottom"/>
          </w:tcPr>
          <w:p>
            <w:pPr>
              <w:spacing w:after="0"/>
              <w:rPr>
                <w:sz w:val="17"/>
                <w:szCs w:val="17"/>
                <w:color w:val="auto"/>
              </w:rPr>
            </w:pPr>
          </w:p>
        </w:tc>
        <w:tc>
          <w:tcPr>
            <w:tcW w:w="2920" w:type="dxa"/>
            <w:vAlign w:val="bottom"/>
          </w:tcPr>
          <w:p>
            <w:pPr>
              <w:ind w:left="60"/>
              <w:spacing w:after="0"/>
              <w:rPr>
                <w:sz w:val="20"/>
                <w:szCs w:val="20"/>
                <w:color w:val="auto"/>
              </w:rPr>
            </w:pPr>
            <w:r>
              <w:rPr>
                <w:rFonts w:ascii="Arial" w:cs="Arial" w:eastAsia="Arial" w:hAnsi="Arial"/>
                <w:sz w:val="15"/>
                <w:szCs w:val="15"/>
                <w:color w:val="auto"/>
              </w:rPr>
              <w:t>Weighted average cost of capital</w:t>
            </w:r>
          </w:p>
        </w:tc>
        <w:tc>
          <w:tcPr>
            <w:tcW w:w="2280" w:type="dxa"/>
            <w:vAlign w:val="bottom"/>
            <w:gridSpan w:val="3"/>
          </w:tcPr>
          <w:p>
            <w:pPr>
              <w:ind w:left="160"/>
              <w:spacing w:after="0"/>
              <w:rPr>
                <w:sz w:val="20"/>
                <w:szCs w:val="20"/>
                <w:color w:val="auto"/>
              </w:rPr>
            </w:pPr>
            <w:r>
              <w:rPr>
                <w:rFonts w:ascii="Arial" w:cs="Arial" w:eastAsia="Arial" w:hAnsi="Arial"/>
                <w:sz w:val="15"/>
                <w:szCs w:val="15"/>
                <w:color w:val="auto"/>
              </w:rPr>
              <w:t>11.5% - 12.0% (11.7%)</w:t>
            </w:r>
          </w:p>
        </w:tc>
      </w:tr>
      <w:tr>
        <w:trPr>
          <w:trHeight w:val="225"/>
        </w:trPr>
        <w:tc>
          <w:tcPr>
            <w:tcW w:w="2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r>
      <w:tr>
        <w:trPr>
          <w:trHeight w:val="206"/>
        </w:trPr>
        <w:tc>
          <w:tcPr>
            <w:tcW w:w="2080" w:type="dxa"/>
            <w:vAlign w:val="bottom"/>
          </w:tcPr>
          <w:p>
            <w:pPr>
              <w:ind w:left="20"/>
              <w:spacing w:after="0"/>
              <w:rPr>
                <w:sz w:val="20"/>
                <w:szCs w:val="20"/>
                <w:color w:val="auto"/>
              </w:rPr>
            </w:pPr>
            <w:r>
              <w:rPr>
                <w:rFonts w:ascii="Arial" w:cs="Arial" w:eastAsia="Arial" w:hAnsi="Arial"/>
                <w:sz w:val="15"/>
                <w:szCs w:val="15"/>
                <w:b w:val="1"/>
                <w:bCs w:val="1"/>
                <w:color w:val="auto"/>
              </w:rPr>
              <w:t>Equity investments:</w:t>
            </w: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25"/>
        </w:trPr>
        <w:tc>
          <w:tcPr>
            <w:tcW w:w="2080" w:type="dxa"/>
            <w:vAlign w:val="bottom"/>
            <w:shd w:val="clear" w:color="auto" w:fill="CFF0FC"/>
          </w:tcPr>
          <w:p>
            <w:pPr>
              <w:ind w:left="180"/>
              <w:spacing w:after="0"/>
              <w:rPr>
                <w:sz w:val="20"/>
                <w:szCs w:val="20"/>
                <w:color w:val="auto"/>
              </w:rPr>
            </w:pPr>
            <w:r>
              <w:rPr>
                <w:rFonts w:ascii="Arial" w:cs="Arial" w:eastAsia="Arial" w:hAnsi="Arial"/>
                <w:sz w:val="15"/>
                <w:szCs w:val="15"/>
                <w:color w:val="auto"/>
              </w:rPr>
              <w:t>Equity</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110,568</w:t>
            </w:r>
          </w:p>
        </w:tc>
        <w:tc>
          <w:tcPr>
            <w:tcW w:w="220" w:type="dxa"/>
            <w:vAlign w:val="bottom"/>
            <w:shd w:val="clear" w:color="auto" w:fill="CFF0FC"/>
          </w:tcPr>
          <w:p>
            <w:pPr>
              <w:spacing w:after="0"/>
              <w:rPr>
                <w:sz w:val="19"/>
                <w:szCs w:val="19"/>
                <w:color w:val="auto"/>
              </w:rPr>
            </w:pPr>
          </w:p>
        </w:tc>
        <w:tc>
          <w:tcPr>
            <w:tcW w:w="2020" w:type="dxa"/>
            <w:vAlign w:val="bottom"/>
            <w:shd w:val="clear" w:color="auto" w:fill="CFF0FC"/>
          </w:tcPr>
          <w:p>
            <w:pPr>
              <w:ind w:left="40"/>
              <w:spacing w:after="0"/>
              <w:rPr>
                <w:sz w:val="20"/>
                <w:szCs w:val="20"/>
                <w:color w:val="auto"/>
              </w:rPr>
            </w:pPr>
            <w:r>
              <w:rPr>
                <w:rFonts w:ascii="Arial" w:cs="Arial" w:eastAsia="Arial" w:hAnsi="Arial"/>
                <w:sz w:val="15"/>
                <w:szCs w:val="15"/>
                <w:color w:val="auto"/>
              </w:rPr>
              <w:t>Enterprise value</w:t>
            </w:r>
          </w:p>
        </w:tc>
        <w:tc>
          <w:tcPr>
            <w:tcW w:w="100" w:type="dxa"/>
            <w:vAlign w:val="bottom"/>
            <w:shd w:val="clear" w:color="auto" w:fill="CFF0FC"/>
          </w:tcPr>
          <w:p>
            <w:pPr>
              <w:spacing w:after="0"/>
              <w:rPr>
                <w:sz w:val="19"/>
                <w:szCs w:val="19"/>
                <w:color w:val="auto"/>
              </w:rPr>
            </w:pPr>
          </w:p>
        </w:tc>
        <w:tc>
          <w:tcPr>
            <w:tcW w:w="2920" w:type="dxa"/>
            <w:vAlign w:val="bottom"/>
            <w:shd w:val="clear" w:color="auto" w:fill="CFF0FC"/>
          </w:tcPr>
          <w:p>
            <w:pPr>
              <w:ind w:left="60"/>
              <w:spacing w:after="0"/>
              <w:rPr>
                <w:sz w:val="20"/>
                <w:szCs w:val="20"/>
                <w:color w:val="auto"/>
              </w:rPr>
            </w:pPr>
            <w:r>
              <w:rPr>
                <w:rFonts w:ascii="Arial" w:cs="Arial" w:eastAsia="Arial" w:hAnsi="Arial"/>
                <w:sz w:val="15"/>
                <w:szCs w:val="15"/>
                <w:color w:val="auto"/>
              </w:rPr>
              <w:t>EBITDA multiples</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ind w:left="60"/>
              <w:spacing w:after="0"/>
              <w:rPr>
                <w:sz w:val="20"/>
                <w:szCs w:val="20"/>
                <w:color w:val="auto"/>
              </w:rPr>
            </w:pPr>
            <w:r>
              <w:rPr>
                <w:rFonts w:ascii="Arial" w:cs="Arial" w:eastAsia="Arial" w:hAnsi="Arial"/>
                <w:sz w:val="15"/>
                <w:szCs w:val="15"/>
                <w:color w:val="auto"/>
                <w:w w:val="91"/>
              </w:rPr>
              <w:t>3.9x</w:t>
            </w:r>
          </w:p>
        </w:tc>
        <w:tc>
          <w:tcPr>
            <w:tcW w:w="1840" w:type="dxa"/>
            <w:vAlign w:val="bottom"/>
            <w:shd w:val="clear" w:color="auto" w:fill="CFF0FC"/>
          </w:tcPr>
          <w:p>
            <w:pPr>
              <w:ind w:left="20"/>
              <w:spacing w:after="0"/>
              <w:rPr>
                <w:sz w:val="20"/>
                <w:szCs w:val="20"/>
                <w:color w:val="auto"/>
              </w:rPr>
            </w:pPr>
            <w:r>
              <w:rPr>
                <w:rFonts w:ascii="Arial" w:cs="Arial" w:eastAsia="Arial" w:hAnsi="Arial"/>
                <w:sz w:val="15"/>
                <w:szCs w:val="15"/>
                <w:color w:val="auto"/>
              </w:rPr>
              <w:t>- 15.3x (8.1x)</w:t>
            </w:r>
          </w:p>
        </w:tc>
      </w:tr>
      <w:tr>
        <w:trPr>
          <w:trHeight w:val="206"/>
        </w:trPr>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2,268</w:t>
            </w:r>
          </w:p>
        </w:tc>
        <w:tc>
          <w:tcPr>
            <w:tcW w:w="220" w:type="dxa"/>
            <w:vAlign w:val="bottom"/>
          </w:tcPr>
          <w:p>
            <w:pPr>
              <w:spacing w:after="0"/>
              <w:rPr>
                <w:sz w:val="17"/>
                <w:szCs w:val="17"/>
                <w:color w:val="auto"/>
              </w:rPr>
            </w:pPr>
          </w:p>
        </w:tc>
        <w:tc>
          <w:tcPr>
            <w:tcW w:w="2020" w:type="dxa"/>
            <w:vAlign w:val="bottom"/>
          </w:tcPr>
          <w:p>
            <w:pPr>
              <w:ind w:left="40"/>
              <w:spacing w:after="0"/>
              <w:rPr>
                <w:sz w:val="20"/>
                <w:szCs w:val="20"/>
                <w:color w:val="auto"/>
              </w:rPr>
            </w:pPr>
            <w:r>
              <w:rPr>
                <w:rFonts w:ascii="Arial" w:cs="Arial" w:eastAsia="Arial" w:hAnsi="Arial"/>
                <w:sz w:val="15"/>
                <w:szCs w:val="15"/>
                <w:color w:val="auto"/>
              </w:rPr>
              <w:t>Enterprise value</w:t>
            </w:r>
          </w:p>
        </w:tc>
        <w:tc>
          <w:tcPr>
            <w:tcW w:w="100" w:type="dxa"/>
            <w:vAlign w:val="bottom"/>
          </w:tcPr>
          <w:p>
            <w:pPr>
              <w:spacing w:after="0"/>
              <w:rPr>
                <w:sz w:val="17"/>
                <w:szCs w:val="17"/>
                <w:color w:val="auto"/>
              </w:rPr>
            </w:pPr>
          </w:p>
        </w:tc>
        <w:tc>
          <w:tcPr>
            <w:tcW w:w="2920" w:type="dxa"/>
            <w:vAlign w:val="bottom"/>
          </w:tcPr>
          <w:p>
            <w:pPr>
              <w:ind w:left="60"/>
              <w:spacing w:after="0"/>
              <w:rPr>
                <w:sz w:val="20"/>
                <w:szCs w:val="20"/>
                <w:color w:val="auto"/>
              </w:rPr>
            </w:pPr>
            <w:r>
              <w:rPr>
                <w:rFonts w:ascii="Arial" w:cs="Arial" w:eastAsia="Arial" w:hAnsi="Arial"/>
                <w:sz w:val="15"/>
                <w:szCs w:val="15"/>
                <w:color w:val="auto"/>
              </w:rPr>
              <w:t>Revenue multiples</w:t>
            </w:r>
          </w:p>
        </w:tc>
        <w:tc>
          <w:tcPr>
            <w:tcW w:w="100" w:type="dxa"/>
            <w:vAlign w:val="bottom"/>
          </w:tcPr>
          <w:p>
            <w:pPr>
              <w:spacing w:after="0"/>
              <w:rPr>
                <w:sz w:val="17"/>
                <w:szCs w:val="17"/>
                <w:color w:val="auto"/>
              </w:rPr>
            </w:pPr>
          </w:p>
        </w:tc>
        <w:tc>
          <w:tcPr>
            <w:tcW w:w="340" w:type="dxa"/>
            <w:vAlign w:val="bottom"/>
          </w:tcPr>
          <w:p>
            <w:pPr>
              <w:ind w:left="60"/>
              <w:spacing w:after="0"/>
              <w:rPr>
                <w:sz w:val="20"/>
                <w:szCs w:val="20"/>
                <w:color w:val="auto"/>
              </w:rPr>
            </w:pPr>
            <w:r>
              <w:rPr>
                <w:rFonts w:ascii="Arial" w:cs="Arial" w:eastAsia="Arial" w:hAnsi="Arial"/>
                <w:sz w:val="15"/>
                <w:szCs w:val="15"/>
                <w:color w:val="auto"/>
                <w:w w:val="91"/>
              </w:rPr>
              <w:t>2.1x</w:t>
            </w:r>
          </w:p>
        </w:tc>
        <w:tc>
          <w:tcPr>
            <w:tcW w:w="1840" w:type="dxa"/>
            <w:vAlign w:val="bottom"/>
          </w:tcPr>
          <w:p>
            <w:pPr>
              <w:ind w:left="20"/>
              <w:spacing w:after="0"/>
              <w:rPr>
                <w:sz w:val="20"/>
                <w:szCs w:val="20"/>
                <w:color w:val="auto"/>
              </w:rPr>
            </w:pPr>
            <w:r>
              <w:rPr>
                <w:rFonts w:ascii="Arial" w:cs="Arial" w:eastAsia="Arial" w:hAnsi="Arial"/>
                <w:sz w:val="15"/>
                <w:szCs w:val="15"/>
                <w:color w:val="auto"/>
              </w:rPr>
              <w:t>- 2.1x (2.1x)</w:t>
            </w:r>
          </w:p>
        </w:tc>
      </w:tr>
      <w:tr>
        <w:trPr>
          <w:trHeight w:val="225"/>
        </w:trPr>
        <w:tc>
          <w:tcPr>
            <w:tcW w:w="2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r>
      <w:tr>
        <w:trPr>
          <w:trHeight w:val="196"/>
        </w:trPr>
        <w:tc>
          <w:tcPr>
            <w:tcW w:w="2080" w:type="dxa"/>
            <w:vAlign w:val="bottom"/>
          </w:tcPr>
          <w:p>
            <w:pPr>
              <w:ind w:left="180"/>
              <w:spacing w:after="0"/>
              <w:rPr>
                <w:sz w:val="20"/>
                <w:szCs w:val="20"/>
                <w:color w:val="auto"/>
              </w:rPr>
            </w:pPr>
            <w:r>
              <w:rPr>
                <w:rFonts w:ascii="Arial" w:cs="Arial" w:eastAsia="Arial" w:hAnsi="Arial"/>
                <w:sz w:val="15"/>
                <w:szCs w:val="15"/>
                <w:color w:val="auto"/>
              </w:rPr>
              <w:t>Warrants</w:t>
            </w: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2,615</w:t>
            </w:r>
          </w:p>
        </w:tc>
        <w:tc>
          <w:tcPr>
            <w:tcW w:w="220" w:type="dxa"/>
            <w:vAlign w:val="bottom"/>
          </w:tcPr>
          <w:p>
            <w:pPr>
              <w:spacing w:after="0"/>
              <w:rPr>
                <w:sz w:val="17"/>
                <w:szCs w:val="17"/>
                <w:color w:val="auto"/>
              </w:rPr>
            </w:pPr>
          </w:p>
        </w:tc>
        <w:tc>
          <w:tcPr>
            <w:tcW w:w="2020" w:type="dxa"/>
            <w:vAlign w:val="bottom"/>
          </w:tcPr>
          <w:p>
            <w:pPr>
              <w:ind w:left="40"/>
              <w:spacing w:after="0"/>
              <w:rPr>
                <w:sz w:val="20"/>
                <w:szCs w:val="20"/>
                <w:color w:val="auto"/>
              </w:rPr>
            </w:pPr>
            <w:r>
              <w:rPr>
                <w:rFonts w:ascii="Arial" w:cs="Arial" w:eastAsia="Arial" w:hAnsi="Arial"/>
                <w:sz w:val="15"/>
                <w:szCs w:val="15"/>
                <w:color w:val="auto"/>
              </w:rPr>
              <w:t>Enterprise value</w:t>
            </w:r>
          </w:p>
        </w:tc>
        <w:tc>
          <w:tcPr>
            <w:tcW w:w="100" w:type="dxa"/>
            <w:vAlign w:val="bottom"/>
          </w:tcPr>
          <w:p>
            <w:pPr>
              <w:spacing w:after="0"/>
              <w:rPr>
                <w:sz w:val="17"/>
                <w:szCs w:val="17"/>
                <w:color w:val="auto"/>
              </w:rPr>
            </w:pPr>
          </w:p>
        </w:tc>
        <w:tc>
          <w:tcPr>
            <w:tcW w:w="2920" w:type="dxa"/>
            <w:vAlign w:val="bottom"/>
          </w:tcPr>
          <w:p>
            <w:pPr>
              <w:ind w:left="60"/>
              <w:spacing w:after="0"/>
              <w:rPr>
                <w:sz w:val="20"/>
                <w:szCs w:val="20"/>
                <w:color w:val="auto"/>
              </w:rPr>
            </w:pPr>
            <w:r>
              <w:rPr>
                <w:rFonts w:ascii="Arial" w:cs="Arial" w:eastAsia="Arial" w:hAnsi="Arial"/>
                <w:sz w:val="15"/>
                <w:szCs w:val="15"/>
                <w:color w:val="auto"/>
              </w:rPr>
              <w:t>EBITDA multiples</w:t>
            </w:r>
          </w:p>
        </w:tc>
        <w:tc>
          <w:tcPr>
            <w:tcW w:w="100" w:type="dxa"/>
            <w:vAlign w:val="bottom"/>
          </w:tcPr>
          <w:p>
            <w:pPr>
              <w:spacing w:after="0"/>
              <w:rPr>
                <w:sz w:val="17"/>
                <w:szCs w:val="17"/>
                <w:color w:val="auto"/>
              </w:rPr>
            </w:pPr>
          </w:p>
        </w:tc>
        <w:tc>
          <w:tcPr>
            <w:tcW w:w="340" w:type="dxa"/>
            <w:vAlign w:val="bottom"/>
          </w:tcPr>
          <w:p>
            <w:pPr>
              <w:ind w:left="60"/>
              <w:spacing w:after="0"/>
              <w:rPr>
                <w:sz w:val="20"/>
                <w:szCs w:val="20"/>
                <w:color w:val="auto"/>
              </w:rPr>
            </w:pPr>
            <w:r>
              <w:rPr>
                <w:rFonts w:ascii="Arial" w:cs="Arial" w:eastAsia="Arial" w:hAnsi="Arial"/>
                <w:sz w:val="15"/>
                <w:szCs w:val="15"/>
                <w:color w:val="auto"/>
                <w:w w:val="91"/>
              </w:rPr>
              <w:t>4.5x</w:t>
            </w:r>
          </w:p>
        </w:tc>
        <w:tc>
          <w:tcPr>
            <w:tcW w:w="1840" w:type="dxa"/>
            <w:vAlign w:val="bottom"/>
          </w:tcPr>
          <w:p>
            <w:pPr>
              <w:ind w:left="20"/>
              <w:spacing w:after="0"/>
              <w:rPr>
                <w:sz w:val="20"/>
                <w:szCs w:val="20"/>
                <w:color w:val="auto"/>
              </w:rPr>
            </w:pPr>
            <w:r>
              <w:rPr>
                <w:rFonts w:ascii="Arial" w:cs="Arial" w:eastAsia="Arial" w:hAnsi="Arial"/>
                <w:sz w:val="15"/>
                <w:szCs w:val="15"/>
                <w:color w:val="auto"/>
              </w:rPr>
              <w:t>- 6.5x (6.2x)</w:t>
            </w:r>
          </w:p>
        </w:tc>
      </w:tr>
    </w:tbl>
    <w:p>
      <w:pPr>
        <w:spacing w:after="0" w:line="235" w:lineRule="exact"/>
        <w:rPr>
          <w:sz w:val="20"/>
          <w:szCs w:val="20"/>
          <w:color w:val="auto"/>
        </w:rPr>
      </w:pPr>
    </w:p>
    <w:p>
      <w:pPr>
        <w:ind w:left="400" w:hanging="399"/>
        <w:spacing w:after="0"/>
        <w:tabs>
          <w:tab w:leader="none" w:pos="4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Unobservable inputs were weighted by the relative fair value of the instruments.</w:t>
      </w:r>
    </w:p>
    <w:p>
      <w:pPr>
        <w:spacing w:after="0" w:line="172" w:lineRule="exact"/>
        <w:rPr>
          <w:sz w:val="20"/>
          <w:szCs w:val="20"/>
          <w:color w:val="auto"/>
        </w:rPr>
      </w:pPr>
    </w:p>
    <w:p>
      <w:pPr>
        <w:jc w:val="both"/>
        <w:ind w:firstLine="478"/>
        <w:spacing w:after="0" w:line="288" w:lineRule="auto"/>
        <w:rPr>
          <w:sz w:val="20"/>
          <w:szCs w:val="20"/>
          <w:color w:val="auto"/>
        </w:rPr>
      </w:pPr>
      <w:r>
        <w:rPr>
          <w:rFonts w:ascii="Arial" w:cs="Arial" w:eastAsia="Arial" w:hAnsi="Arial"/>
          <w:sz w:val="17"/>
          <w:szCs w:val="17"/>
          <w:color w:val="auto"/>
        </w:rPr>
        <w:t>The significant unobservable input used in determining the fair value under the discounted cash flow technique is the weighted average cost of capital of each security. Significant increases (or decreases) in this input would likely result in significantly lower (or higher) fair value estimates.</w:t>
      </w:r>
    </w:p>
    <w:p>
      <w:pPr>
        <w:spacing w:after="0" w:line="114" w:lineRule="exact"/>
        <w:rPr>
          <w:sz w:val="20"/>
          <w:szCs w:val="20"/>
          <w:color w:val="auto"/>
        </w:rPr>
      </w:pPr>
    </w:p>
    <w:p>
      <w:pPr>
        <w:jc w:val="both"/>
        <w:ind w:firstLine="478"/>
        <w:spacing w:after="0" w:line="288" w:lineRule="auto"/>
        <w:rPr>
          <w:sz w:val="20"/>
          <w:szCs w:val="20"/>
          <w:color w:val="auto"/>
        </w:rPr>
      </w:pPr>
      <w:r>
        <w:rPr>
          <w:rFonts w:ascii="Arial" w:cs="Arial" w:eastAsia="Arial" w:hAnsi="Arial"/>
          <w:sz w:val="17"/>
          <w:szCs w:val="17"/>
          <w:color w:val="auto"/>
        </w:rPr>
        <w:t>The significant unobservable inputs used in determining fair value under the enterprise value technique are revenue and EBITDA multiples, as well as asset coverage. Significant increases (or decreases) in these inputs could result in significantly higher (or lower) fair value estimates.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Financial Assets and Liabilities</w:t>
      </w:r>
    </w:p>
    <w:p>
      <w:pPr>
        <w:spacing w:after="0" w:line="172" w:lineRule="exact"/>
        <w:rPr>
          <w:sz w:val="20"/>
          <w:szCs w:val="20"/>
          <w:color w:val="auto"/>
        </w:rPr>
      </w:pPr>
    </w:p>
    <w:p>
      <w:pPr>
        <w:jc w:val="both"/>
        <w:ind w:firstLine="478"/>
        <w:spacing w:after="0" w:line="272" w:lineRule="auto"/>
        <w:rPr>
          <w:sz w:val="20"/>
          <w:szCs w:val="20"/>
          <w:color w:val="auto"/>
        </w:rPr>
      </w:pPr>
      <w:r>
        <w:rPr>
          <w:rFonts w:ascii="Arial" w:cs="Arial" w:eastAsia="Arial" w:hAnsi="Arial"/>
          <w:sz w:val="17"/>
          <w:szCs w:val="17"/>
          <w:color w:val="auto"/>
        </w:rPr>
        <w:t>ASC Topic 820 requires disclosure of the fair value of financial instruments for which it is practical to estimate such value. The Company believes that the carrying amounts of its other financial instruments such as cash and cash equivalents, interest receivable and accounts payable and other liabilities approximate the fair value of such items due to the short maturity of such instruments. The Company’s borrowings under the Credit Facility (as defined in Note 6), SBA debentures, and Notes (as defined in Note 6) are recorded at their respective carrying values.</w:t>
      </w:r>
    </w:p>
    <w:p>
      <w:pPr>
        <w:spacing w:after="0" w:line="12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following tables summarize the carrying value and fair value of the Company’s debt obligations as of September 30, 2021 and December 31, 2020.</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53"/>
        </w:trPr>
        <w:tc>
          <w:tcPr>
            <w:tcW w:w="4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7"/>
                <w:szCs w:val="17"/>
                <w:b w:val="1"/>
                <w:bCs w:val="1"/>
                <w:color w:val="auto"/>
              </w:rPr>
              <w:t>September 30, 2021</w:t>
            </w:r>
            <w:r>
              <w:rPr>
                <w:rFonts w:ascii="Arial" w:cs="Arial" w:eastAsia="Arial" w:hAnsi="Arial"/>
                <w:sz w:val="22"/>
                <w:szCs w:val="22"/>
                <w:b w:val="1"/>
                <w:bCs w:val="1"/>
                <w:color w:val="auto"/>
                <w:vertAlign w:val="superscript"/>
              </w:rPr>
              <w:t>(6)</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4"/>
          </w:tcPr>
          <w:p>
            <w:pPr>
              <w:jc w:val="right"/>
              <w:ind w:right="736"/>
              <w:spacing w:after="0"/>
              <w:rPr>
                <w:sz w:val="20"/>
                <w:szCs w:val="20"/>
                <w:color w:val="auto"/>
              </w:rPr>
            </w:pPr>
            <w:r>
              <w:rPr>
                <w:rFonts w:ascii="Arial" w:cs="Arial" w:eastAsia="Arial" w:hAnsi="Arial"/>
                <w:sz w:val="17"/>
                <w:szCs w:val="17"/>
                <w:b w:val="1"/>
                <w:bCs w:val="1"/>
                <w:color w:val="auto"/>
              </w:rPr>
              <w:t>December 31, 2020</w:t>
            </w:r>
          </w:p>
        </w:tc>
      </w:tr>
      <w:tr>
        <w:trPr>
          <w:trHeight w:val="234"/>
        </w:trPr>
        <w:tc>
          <w:tcPr>
            <w:tcW w:w="4120" w:type="dxa"/>
            <w:vAlign w:val="bottom"/>
          </w:tcPr>
          <w:p>
            <w:pPr>
              <w:spacing w:after="0"/>
              <w:rPr>
                <w:sz w:val="20"/>
                <w:szCs w:val="20"/>
                <w:color w:val="auto"/>
              </w:rPr>
            </w:pPr>
          </w:p>
        </w:tc>
        <w:tc>
          <w:tcPr>
            <w:tcW w:w="1440" w:type="dxa"/>
            <w:vAlign w:val="bottom"/>
            <w:tcBorders>
              <w:bottom w:val="single" w:sz="8" w:color="auto"/>
            </w:tcBorders>
            <w:gridSpan w:val="2"/>
          </w:tcPr>
          <w:p>
            <w:pPr>
              <w:ind w:left="20"/>
              <w:spacing w:after="0" w:line="233" w:lineRule="exact"/>
              <w:rPr>
                <w:sz w:val="20"/>
                <w:szCs w:val="20"/>
                <w:color w:val="auto"/>
              </w:rPr>
            </w:pPr>
            <w:r>
              <w:rPr>
                <w:rFonts w:ascii="Arial" w:cs="Arial" w:eastAsia="Arial" w:hAnsi="Arial"/>
                <w:sz w:val="17"/>
                <w:szCs w:val="17"/>
                <w:b w:val="1"/>
                <w:bCs w:val="1"/>
                <w:color w:val="auto"/>
                <w:w w:val="98"/>
              </w:rPr>
              <w:t xml:space="preserve">Carrying Value </w:t>
            </w:r>
            <w:r>
              <w:rPr>
                <w:rFonts w:ascii="Arial" w:cs="Arial" w:eastAsia="Arial" w:hAnsi="Arial"/>
                <w:sz w:val="22"/>
                <w:szCs w:val="22"/>
                <w:b w:val="1"/>
                <w:bCs w:val="1"/>
                <w:color w:val="auto"/>
                <w:w w:val="98"/>
                <w:vertAlign w:val="superscript"/>
              </w:rPr>
              <w:t>(1)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Fair Value</w:t>
            </w:r>
          </w:p>
        </w:tc>
        <w:tc>
          <w:tcPr>
            <w:tcW w:w="100" w:type="dxa"/>
            <w:vAlign w:val="bottom"/>
          </w:tcPr>
          <w:p>
            <w:pPr>
              <w:spacing w:after="0"/>
              <w:rPr>
                <w:sz w:val="20"/>
                <w:szCs w:val="20"/>
                <w:color w:val="auto"/>
              </w:rPr>
            </w:pPr>
          </w:p>
        </w:tc>
        <w:tc>
          <w:tcPr>
            <w:tcW w:w="1400" w:type="dxa"/>
            <w:vAlign w:val="bottom"/>
            <w:tcBorders>
              <w:bottom w:val="single" w:sz="8" w:color="auto"/>
            </w:tcBorders>
            <w:gridSpan w:val="2"/>
          </w:tcPr>
          <w:p>
            <w:pPr>
              <w:spacing w:after="0" w:line="233" w:lineRule="exact"/>
              <w:rPr>
                <w:sz w:val="20"/>
                <w:szCs w:val="20"/>
                <w:color w:val="auto"/>
              </w:rPr>
            </w:pPr>
            <w:r>
              <w:rPr>
                <w:rFonts w:ascii="Arial" w:cs="Arial" w:eastAsia="Arial" w:hAnsi="Arial"/>
                <w:sz w:val="17"/>
                <w:szCs w:val="17"/>
                <w:b w:val="1"/>
                <w:bCs w:val="1"/>
                <w:color w:val="auto"/>
                <w:w w:val="96"/>
              </w:rPr>
              <w:t xml:space="preserve">Carrying Value </w:t>
            </w:r>
            <w:r>
              <w:rPr>
                <w:rFonts w:ascii="Arial" w:cs="Arial" w:eastAsia="Arial" w:hAnsi="Arial"/>
                <w:sz w:val="22"/>
                <w:szCs w:val="22"/>
                <w:b w:val="1"/>
                <w:bCs w:val="1"/>
                <w:color w:val="auto"/>
                <w:w w:val="96"/>
                <w:vertAlign w:val="superscript"/>
              </w:rPr>
              <w:t>(1)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Fair Value</w:t>
            </w:r>
          </w:p>
        </w:tc>
      </w:tr>
      <w:tr>
        <w:trPr>
          <w:trHeight w:val="234"/>
        </w:trPr>
        <w:tc>
          <w:tcPr>
            <w:tcW w:w="4120" w:type="dxa"/>
            <w:vAlign w:val="bottom"/>
            <w:shd w:val="clear" w:color="auto" w:fill="CCEEFF"/>
          </w:tcPr>
          <w:p>
            <w:pPr>
              <w:spacing w:after="0" w:line="233" w:lineRule="exact"/>
              <w:rPr>
                <w:sz w:val="20"/>
                <w:szCs w:val="20"/>
                <w:color w:val="auto"/>
              </w:rPr>
            </w:pPr>
            <w:r>
              <w:rPr>
                <w:rFonts w:ascii="Arial" w:cs="Arial" w:eastAsia="Arial" w:hAnsi="Arial"/>
                <w:sz w:val="17"/>
                <w:szCs w:val="17"/>
                <w:color w:val="auto"/>
              </w:rPr>
              <w:t xml:space="preserve">SBA debentures </w:t>
            </w:r>
            <w:r>
              <w:rPr>
                <w:rFonts w:ascii="Arial" w:cs="Arial" w:eastAsia="Arial" w:hAnsi="Arial"/>
                <w:sz w:val="22"/>
                <w:szCs w:val="22"/>
                <w:color w:val="auto"/>
                <w:vertAlign w:val="superscript"/>
              </w:rPr>
              <w:t>(2)</w:t>
            </w: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95,000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95,000</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147,000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147,000</w:t>
            </w:r>
          </w:p>
        </w:tc>
      </w:tr>
      <w:tr>
        <w:trPr>
          <w:trHeight w:val="241"/>
        </w:trPr>
        <w:tc>
          <w:tcPr>
            <w:tcW w:w="4120" w:type="dxa"/>
            <w:vAlign w:val="bottom"/>
          </w:tcPr>
          <w:p>
            <w:pPr>
              <w:spacing w:after="0" w:line="241" w:lineRule="exact"/>
              <w:rPr>
                <w:sz w:val="20"/>
                <w:szCs w:val="20"/>
                <w:color w:val="auto"/>
              </w:rPr>
            </w:pPr>
            <w:r>
              <w:rPr>
                <w:rFonts w:ascii="Arial" w:cs="Arial" w:eastAsia="Arial" w:hAnsi="Arial"/>
                <w:sz w:val="17"/>
                <w:szCs w:val="17"/>
                <w:color w:val="auto"/>
              </w:rPr>
              <w:t xml:space="preserve">Credit Facility borrowings </w:t>
            </w:r>
            <w:r>
              <w:rPr>
                <w:rFonts w:ascii="Arial" w:cs="Arial" w:eastAsia="Arial" w:hAnsi="Arial"/>
                <w:sz w:val="22"/>
                <w:szCs w:val="22"/>
                <w:color w:val="auto"/>
                <w:vertAlign w:val="superscript"/>
              </w:rPr>
              <w:t>(3)</w:t>
            </w:r>
          </w:p>
        </w:tc>
        <w:tc>
          <w:tcPr>
            <w:tcW w:w="380" w:type="dxa"/>
            <w:vAlign w:val="bottom"/>
          </w:tcPr>
          <w:p>
            <w:pPr>
              <w:spacing w:after="0"/>
              <w:rPr>
                <w:sz w:val="20"/>
                <w:szCs w:val="20"/>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40,000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40,000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1"/>
        </w:trPr>
        <w:tc>
          <w:tcPr>
            <w:tcW w:w="4120" w:type="dxa"/>
            <w:vAlign w:val="bottom"/>
            <w:shd w:val="clear" w:color="auto" w:fill="CCEEFF"/>
          </w:tcPr>
          <w:p>
            <w:pPr>
              <w:spacing w:after="0" w:line="241" w:lineRule="exact"/>
              <w:rPr>
                <w:sz w:val="20"/>
                <w:szCs w:val="20"/>
                <w:color w:val="auto"/>
              </w:rPr>
            </w:pPr>
            <w:r>
              <w:rPr>
                <w:rFonts w:ascii="Arial" w:cs="Arial" w:eastAsia="Arial" w:hAnsi="Arial"/>
                <w:sz w:val="17"/>
                <w:szCs w:val="17"/>
                <w:color w:val="auto"/>
              </w:rPr>
              <w:t xml:space="preserve">2023 Notes </w:t>
            </w:r>
            <w:r>
              <w:rPr>
                <w:rFonts w:ascii="Arial" w:cs="Arial" w:eastAsia="Arial" w:hAnsi="Arial"/>
                <w:sz w:val="22"/>
                <w:szCs w:val="22"/>
                <w:color w:val="auto"/>
                <w:vertAlign w:val="superscript"/>
              </w:rPr>
              <w:t>(4)</w:t>
            </w: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50,000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50,620</w:t>
            </w:r>
          </w:p>
        </w:tc>
      </w:tr>
      <w:tr>
        <w:trPr>
          <w:trHeight w:val="241"/>
        </w:trPr>
        <w:tc>
          <w:tcPr>
            <w:tcW w:w="4120" w:type="dxa"/>
            <w:vAlign w:val="bottom"/>
          </w:tcPr>
          <w:p>
            <w:pPr>
              <w:spacing w:after="0" w:line="241" w:lineRule="exact"/>
              <w:rPr>
                <w:sz w:val="20"/>
                <w:szCs w:val="20"/>
                <w:color w:val="auto"/>
              </w:rPr>
            </w:pPr>
            <w:r>
              <w:rPr>
                <w:rFonts w:ascii="Arial" w:cs="Arial" w:eastAsia="Arial" w:hAnsi="Arial"/>
                <w:sz w:val="17"/>
                <w:szCs w:val="17"/>
                <w:color w:val="auto"/>
              </w:rPr>
              <w:t xml:space="preserve">February 2024 Notes </w:t>
            </w:r>
            <w:r>
              <w:rPr>
                <w:rFonts w:ascii="Arial" w:cs="Arial" w:eastAsia="Arial" w:hAnsi="Arial"/>
                <w:sz w:val="22"/>
                <w:szCs w:val="22"/>
                <w:color w:val="auto"/>
                <w:vertAlign w:val="superscript"/>
              </w:rPr>
              <w:t>(4)</w:t>
            </w:r>
          </w:p>
        </w:tc>
        <w:tc>
          <w:tcPr>
            <w:tcW w:w="380" w:type="dxa"/>
            <w:vAlign w:val="bottom"/>
          </w:tcPr>
          <w:p>
            <w:pPr>
              <w:spacing w:after="0"/>
              <w:rPr>
                <w:sz w:val="20"/>
                <w:szCs w:val="20"/>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19,000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19,426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ind w:right="16"/>
              <w:spacing w:after="0"/>
              <w:rPr>
                <w:sz w:val="20"/>
                <w:szCs w:val="20"/>
                <w:color w:val="auto"/>
              </w:rPr>
            </w:pPr>
            <w:r>
              <w:rPr>
                <w:rFonts w:ascii="Arial" w:cs="Arial" w:eastAsia="Arial" w:hAnsi="Arial"/>
                <w:sz w:val="17"/>
                <w:szCs w:val="17"/>
                <w:color w:val="auto"/>
              </w:rPr>
              <w:t>69,000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69,745</w:t>
            </w:r>
          </w:p>
        </w:tc>
      </w:tr>
      <w:tr>
        <w:trPr>
          <w:trHeight w:val="241"/>
        </w:trPr>
        <w:tc>
          <w:tcPr>
            <w:tcW w:w="4120" w:type="dxa"/>
            <w:vAlign w:val="bottom"/>
            <w:shd w:val="clear" w:color="auto" w:fill="CCEEFF"/>
          </w:tcPr>
          <w:p>
            <w:pPr>
              <w:spacing w:after="0" w:line="241" w:lineRule="exact"/>
              <w:rPr>
                <w:sz w:val="20"/>
                <w:szCs w:val="20"/>
                <w:color w:val="auto"/>
              </w:rPr>
            </w:pPr>
            <w:r>
              <w:rPr>
                <w:rFonts w:ascii="Arial" w:cs="Arial" w:eastAsia="Arial" w:hAnsi="Arial"/>
                <w:sz w:val="17"/>
                <w:szCs w:val="17"/>
                <w:color w:val="auto"/>
              </w:rPr>
              <w:t xml:space="preserve">November 2024 Notes </w:t>
            </w:r>
            <w:r>
              <w:rPr>
                <w:rFonts w:ascii="Arial" w:cs="Arial" w:eastAsia="Arial" w:hAnsi="Arial"/>
                <w:sz w:val="22"/>
                <w:szCs w:val="22"/>
                <w:color w:val="auto"/>
                <w:vertAlign w:val="superscript"/>
              </w:rPr>
              <w:t>(4)</w:t>
            </w: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63,250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64,034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63,250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64,389</w:t>
            </w:r>
          </w:p>
        </w:tc>
      </w:tr>
      <w:tr>
        <w:trPr>
          <w:trHeight w:val="241"/>
        </w:trPr>
        <w:tc>
          <w:tcPr>
            <w:tcW w:w="4120" w:type="dxa"/>
            <w:vAlign w:val="bottom"/>
          </w:tcPr>
          <w:p>
            <w:pPr>
              <w:spacing w:after="0" w:line="241" w:lineRule="exact"/>
              <w:rPr>
                <w:sz w:val="20"/>
                <w:szCs w:val="20"/>
                <w:color w:val="auto"/>
              </w:rPr>
            </w:pPr>
            <w:r>
              <w:rPr>
                <w:rFonts w:ascii="Arial" w:cs="Arial" w:eastAsia="Arial" w:hAnsi="Arial"/>
                <w:sz w:val="17"/>
                <w:szCs w:val="17"/>
                <w:color w:val="auto"/>
              </w:rPr>
              <w:t xml:space="preserve">2026 Notes </w:t>
            </w:r>
            <w:r>
              <w:rPr>
                <w:rFonts w:ascii="Arial" w:cs="Arial" w:eastAsia="Arial" w:hAnsi="Arial"/>
                <w:sz w:val="22"/>
                <w:szCs w:val="22"/>
                <w:color w:val="auto"/>
                <w:vertAlign w:val="superscript"/>
              </w:rPr>
              <w:t>(5)</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125,000</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125,275</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125,000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125,000</w:t>
            </w:r>
          </w:p>
        </w:tc>
      </w:tr>
      <w:tr>
        <w:trPr>
          <w:trHeight w:val="254"/>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342,250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343,735</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454,250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456,754</w:t>
            </w:r>
          </w:p>
        </w:tc>
      </w:tr>
      <w:tr>
        <w:trPr>
          <w:trHeight w:val="20"/>
        </w:trPr>
        <w:tc>
          <w:tcPr>
            <w:tcW w:w="4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-23495</wp:posOffset>
            </wp:positionV>
            <wp:extent cx="723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-7620</wp:posOffset>
            </wp:positionV>
            <wp:extent cx="723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-23495</wp:posOffset>
            </wp:positionV>
            <wp:extent cx="641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-7620</wp:posOffset>
            </wp:positionV>
            <wp:extent cx="641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5829300</wp:posOffset>
            </wp:positionH>
            <wp:positionV relativeFrom="paragraph">
              <wp:posOffset>-23495</wp:posOffset>
            </wp:positionV>
            <wp:extent cx="641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5829300</wp:posOffset>
            </wp:positionH>
            <wp:positionV relativeFrom="paragraph">
              <wp:posOffset>-7620</wp:posOffset>
            </wp:positionV>
            <wp:extent cx="641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4135" cy="8255"/>
                    </a:xfrm>
                    <a:prstGeom prst="rect">
                      <a:avLst/>
                    </a:prstGeom>
                    <a:noFill/>
                  </pic:spPr>
                </pic:pic>
              </a:graphicData>
            </a:graphic>
          </wp:anchor>
        </w:drawing>
      </w:r>
    </w:p>
    <w:p>
      <w:pPr>
        <w:spacing w:after="0" w:line="196" w:lineRule="exact"/>
        <w:rPr>
          <w:sz w:val="20"/>
          <w:szCs w:val="20"/>
          <w:color w:val="auto"/>
        </w:rPr>
      </w:pPr>
    </w:p>
    <w:p>
      <w:pPr>
        <w:ind w:left="400" w:hanging="399"/>
        <w:spacing w:after="0"/>
        <w:tabs>
          <w:tab w:leader="none" w:pos="4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Carrying value represents the outstanding principal balance of the debt obligation.</w:t>
      </w:r>
    </w:p>
    <w:p>
      <w:pPr>
        <w:spacing w:after="0" w:line="20" w:lineRule="exact"/>
        <w:rPr>
          <w:rFonts w:ascii="Arial" w:cs="Arial" w:eastAsia="Arial" w:hAnsi="Arial"/>
          <w:sz w:val="17"/>
          <w:szCs w:val="17"/>
          <w:color w:val="auto"/>
        </w:rPr>
      </w:pPr>
    </w:p>
    <w:p>
      <w:pPr>
        <w:ind w:left="400" w:hanging="399"/>
        <w:spacing w:after="0" w:line="299" w:lineRule="auto"/>
        <w:tabs>
          <w:tab w:leader="none" w:pos="4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fair value of the SBA debentures is estimated by discounting the remaining payments using current market rates for similar instruments and considering such factors as the legal maturity date and the ability of market participants to prepay the debentures, which are Level 3 inputs under ASC Topic 820.</w:t>
      </w:r>
    </w:p>
    <w:p>
      <w:pPr>
        <w:spacing w:after="0" w:line="1" w:lineRule="exact"/>
        <w:rPr>
          <w:rFonts w:ascii="Arial" w:cs="Arial" w:eastAsia="Arial" w:hAnsi="Arial"/>
          <w:sz w:val="15"/>
          <w:szCs w:val="15"/>
          <w:color w:val="auto"/>
        </w:rPr>
      </w:pPr>
    </w:p>
    <w:p>
      <w:pPr>
        <w:ind w:left="400" w:hanging="399"/>
        <w:spacing w:after="0" w:line="264" w:lineRule="auto"/>
        <w:tabs>
          <w:tab w:leader="none" w:pos="4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fair value of borrowings under the Credit Facility, if valued under ASC Topic 820, are based on a market yield approach and current interest rates, which are Level 3 inputs to the market yield model.</w:t>
      </w:r>
    </w:p>
    <w:p>
      <w:pPr>
        <w:spacing w:after="0" w:line="1" w:lineRule="exact"/>
        <w:rPr>
          <w:rFonts w:ascii="Arial" w:cs="Arial" w:eastAsia="Arial" w:hAnsi="Arial"/>
          <w:sz w:val="17"/>
          <w:szCs w:val="17"/>
          <w:color w:val="auto"/>
        </w:rPr>
      </w:pPr>
    </w:p>
    <w:p>
      <w:pPr>
        <w:ind w:left="400" w:hanging="399"/>
        <w:spacing w:after="0"/>
        <w:tabs>
          <w:tab w:leader="none" w:pos="4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Public Notes (as defined in Note 6), if valued under ASC Topic 820, are valued using available market quotes, which is a Level 1 input.</w:t>
      </w:r>
    </w:p>
    <w:p>
      <w:pPr>
        <w:spacing w:after="0" w:line="20" w:lineRule="exact"/>
        <w:rPr>
          <w:rFonts w:ascii="Arial" w:cs="Arial" w:eastAsia="Arial" w:hAnsi="Arial"/>
          <w:sz w:val="17"/>
          <w:szCs w:val="17"/>
          <w:color w:val="auto"/>
        </w:rPr>
      </w:pPr>
    </w:p>
    <w:p>
      <w:pPr>
        <w:ind w:left="400" w:hanging="399"/>
        <w:spacing w:after="0"/>
        <w:tabs>
          <w:tab w:leader="none" w:pos="4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fair value of the 2026 Notes is estimated by discounting the remaining payments using current market rates for similar instruments and considering such</w:t>
      </w:r>
    </w:p>
    <w:p>
      <w:pPr>
        <w:spacing w:after="0" w:line="4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factors as the legal maturity date, which are Level 3 inputs under ASC Topic 820.</w:t>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(unaudited)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21" w:lineRule="exact"/>
        <w:rPr>
          <w:sz w:val="20"/>
          <w:szCs w:val="20"/>
          <w:color w:val="auto"/>
        </w:rPr>
      </w:pPr>
    </w:p>
    <w:p>
      <w:pPr>
        <w:ind w:left="400" w:hanging="399"/>
        <w:spacing w:after="0"/>
        <w:tabs>
          <w:tab w:leader="none" w:pos="4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Totals exclude $17,746 of Secured Borrowings.</w:t>
      </w:r>
    </w:p>
    <w:p>
      <w:pPr>
        <w:spacing w:after="0" w:line="236"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following table summarizes the inputs used to value the Company’s debt obligations if measured at fair value as of September 30, 2021 and December 31,</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2020.</w:t>
      </w:r>
    </w:p>
    <w:p>
      <w:pPr>
        <w:spacing w:after="0" w:line="244" w:lineRule="exact"/>
        <w:rPr>
          <w:sz w:val="20"/>
          <w:szCs w:val="20"/>
          <w:color w:val="auto"/>
        </w:rPr>
      </w:pPr>
    </w:p>
    <w:tbl>
      <w:tblPr>
        <w:tblLayout w:type="fixed"/>
        <w:tblInd w:w="1700" w:type="dxa"/>
        <w:tblCellMar>
          <w:top w:w="0" w:type="dxa"/>
          <w:left w:w="0" w:type="dxa"/>
          <w:bottom w:w="0" w:type="dxa"/>
          <w:right w:w="0" w:type="dxa"/>
        </w:tblCellMar>
      </w:tblPr>
      <w:tr>
        <w:trPr>
          <w:trHeight w:val="225"/>
        </w:trPr>
        <w:tc>
          <w:tcPr>
            <w:tcW w:w="4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b w:val="1"/>
                <w:bCs w:val="1"/>
                <w:color w:val="auto"/>
              </w:rPr>
              <w:t>Fair Value</w:t>
            </w:r>
          </w:p>
        </w:tc>
        <w:tc>
          <w:tcPr>
            <w:tcW w:w="1380" w:type="dxa"/>
            <w:vAlign w:val="bottom"/>
            <w:tcBorders>
              <w:bottom w:val="single" w:sz="8" w:color="auto"/>
            </w:tcBorders>
          </w:tcPr>
          <w:p>
            <w:pPr>
              <w:spacing w:after="0"/>
              <w:rPr>
                <w:sz w:val="19"/>
                <w:szCs w:val="19"/>
                <w:color w:val="auto"/>
              </w:rPr>
            </w:pPr>
          </w:p>
        </w:tc>
      </w:tr>
      <w:tr>
        <w:trPr>
          <w:trHeight w:val="227"/>
        </w:trPr>
        <w:tc>
          <w:tcPr>
            <w:tcW w:w="4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ind w:right="296"/>
              <w:spacing w:after="0"/>
              <w:rPr>
                <w:sz w:val="20"/>
                <w:szCs w:val="20"/>
                <w:color w:val="auto"/>
              </w:rPr>
            </w:pPr>
            <w:r>
              <w:rPr>
                <w:rFonts w:ascii="Arial" w:cs="Arial" w:eastAsia="Arial" w:hAnsi="Arial"/>
                <w:sz w:val="17"/>
                <w:szCs w:val="17"/>
                <w:b w:val="1"/>
                <w:bCs w:val="1"/>
                <w:color w:val="auto"/>
                <w:w w:val="94"/>
              </w:rPr>
              <w:t>September 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ind w:right="296"/>
              <w:spacing w:after="0"/>
              <w:rPr>
                <w:sz w:val="20"/>
                <w:szCs w:val="20"/>
                <w:color w:val="auto"/>
              </w:rPr>
            </w:pPr>
            <w:r>
              <w:rPr>
                <w:rFonts w:ascii="Arial" w:cs="Arial" w:eastAsia="Arial" w:hAnsi="Arial"/>
                <w:sz w:val="17"/>
                <w:szCs w:val="17"/>
                <w:b w:val="1"/>
                <w:bCs w:val="1"/>
                <w:color w:val="auto"/>
                <w:w w:val="88"/>
              </w:rPr>
              <w:t>December 31,</w:t>
            </w:r>
          </w:p>
        </w:tc>
      </w:tr>
      <w:tr>
        <w:trPr>
          <w:trHeight w:val="248"/>
        </w:trPr>
        <w:tc>
          <w:tcPr>
            <w:tcW w:w="42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Valuation Inputs</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636"/>
              <w:spacing w:after="0"/>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16"/>
              <w:spacing w:after="0"/>
              <w:rPr>
                <w:sz w:val="20"/>
                <w:szCs w:val="20"/>
                <w:color w:val="auto"/>
              </w:rPr>
            </w:pPr>
            <w:r>
              <w:rPr>
                <w:rFonts w:ascii="Arial" w:cs="Arial" w:eastAsia="Arial" w:hAnsi="Arial"/>
                <w:sz w:val="17"/>
                <w:szCs w:val="17"/>
                <w:b w:val="1"/>
                <w:bCs w:val="1"/>
                <w:color w:val="auto"/>
              </w:rPr>
              <w:t>2020</w:t>
            </w:r>
          </w:p>
        </w:tc>
      </w:tr>
      <w:tr>
        <w:trPr>
          <w:trHeight w:val="240"/>
        </w:trPr>
        <w:tc>
          <w:tcPr>
            <w:tcW w:w="43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Level 1</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83,460</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FF0FC"/>
          </w:tcPr>
          <w:p>
            <w:pPr>
              <w:jc w:val="right"/>
              <w:ind w:right="16"/>
              <w:spacing w:after="0"/>
              <w:rPr>
                <w:sz w:val="20"/>
                <w:szCs w:val="20"/>
                <w:color w:val="auto"/>
              </w:rPr>
            </w:pPr>
            <w:r>
              <w:rPr>
                <w:rFonts w:ascii="Arial" w:cs="Arial" w:eastAsia="Arial" w:hAnsi="Arial"/>
                <w:sz w:val="17"/>
                <w:szCs w:val="17"/>
                <w:color w:val="auto"/>
              </w:rPr>
              <w:t>184,754</w:t>
            </w:r>
          </w:p>
        </w:tc>
      </w:tr>
      <w:tr>
        <w:trPr>
          <w:trHeight w:val="234"/>
        </w:trPr>
        <w:tc>
          <w:tcPr>
            <w:tcW w:w="4380" w:type="dxa"/>
            <w:vAlign w:val="bottom"/>
            <w:gridSpan w:val="2"/>
          </w:tcPr>
          <w:p>
            <w:pPr>
              <w:spacing w:after="0"/>
              <w:rPr>
                <w:sz w:val="20"/>
                <w:szCs w:val="20"/>
                <w:color w:val="auto"/>
              </w:rPr>
            </w:pPr>
            <w:r>
              <w:rPr>
                <w:rFonts w:ascii="Arial" w:cs="Arial" w:eastAsia="Arial" w:hAnsi="Arial"/>
                <w:sz w:val="17"/>
                <w:szCs w:val="17"/>
                <w:color w:val="auto"/>
              </w:rPr>
              <w:t>Level 2</w:t>
            </w: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41"/>
        </w:trPr>
        <w:tc>
          <w:tcPr>
            <w:tcW w:w="43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Level 3</w:t>
            </w:r>
          </w:p>
        </w:tc>
        <w:tc>
          <w:tcPr>
            <w:tcW w:w="20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260,275</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7"/>
                <w:szCs w:val="17"/>
                <w:color w:val="auto"/>
              </w:rPr>
              <w:t>272,000</w:t>
            </w:r>
          </w:p>
        </w:tc>
      </w:tr>
      <w:tr>
        <w:trPr>
          <w:trHeight w:val="240"/>
        </w:trPr>
        <w:tc>
          <w:tcPr>
            <w:tcW w:w="4380" w:type="dxa"/>
            <w:vAlign w:val="bottom"/>
            <w:gridSpan w:val="2"/>
          </w:tcPr>
          <w:p>
            <w:pPr>
              <w:spacing w:after="0"/>
              <w:rPr>
                <w:sz w:val="20"/>
                <w:szCs w:val="20"/>
                <w:color w:val="auto"/>
              </w:rPr>
            </w:pPr>
            <w:r>
              <w:rPr>
                <w:rFonts w:ascii="Arial" w:cs="Arial" w:eastAsia="Arial" w:hAnsi="Arial"/>
                <w:sz w:val="17"/>
                <w:szCs w:val="17"/>
                <w:color w:val="auto"/>
              </w:rPr>
              <w:t>Total</w:t>
            </w: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343,735</w:t>
            </w:r>
          </w:p>
        </w:tc>
        <w:tc>
          <w:tcPr>
            <w:tcW w:w="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456,754</w:t>
            </w:r>
          </w:p>
        </w:tc>
      </w:tr>
      <w:tr>
        <w:trPr>
          <w:trHeight w:val="20"/>
        </w:trPr>
        <w:tc>
          <w:tcPr>
            <w:tcW w:w="4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4944110</wp:posOffset>
            </wp:positionH>
            <wp:positionV relativeFrom="paragraph">
              <wp:posOffset>-181610</wp:posOffset>
            </wp:positionV>
            <wp:extent cx="72390" cy="50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390" cy="508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Related Party Transactions</w:t>
      </w:r>
    </w:p>
    <w:p>
      <w:pPr>
        <w:spacing w:after="0" w:line="176" w:lineRule="exact"/>
        <w:rPr>
          <w:sz w:val="20"/>
          <w:szCs w:val="20"/>
          <w:color w:val="auto"/>
        </w:rPr>
      </w:pPr>
    </w:p>
    <w:p>
      <w:pPr>
        <w:jc w:val="both"/>
        <w:ind w:firstLine="478"/>
        <w:spacing w:after="0" w:line="272" w:lineRule="auto"/>
        <w:rPr>
          <w:sz w:val="20"/>
          <w:szCs w:val="20"/>
          <w:color w:val="auto"/>
        </w:rPr>
      </w:pPr>
      <w:r>
        <w:rPr>
          <w:rFonts w:ascii="Arial" w:cs="Arial" w:eastAsia="Arial" w:hAnsi="Arial"/>
          <w:sz w:val="17"/>
          <w:szCs w:val="17"/>
          <w:i w:val="1"/>
          <w:iCs w:val="1"/>
          <w:color w:val="auto"/>
        </w:rPr>
        <w:t xml:space="preserve">Investment Advisory Agreement: </w:t>
      </w:r>
      <w:r>
        <w:rPr>
          <w:rFonts w:ascii="Arial" w:cs="Arial" w:eastAsia="Arial" w:hAnsi="Arial"/>
          <w:sz w:val="17"/>
          <w:szCs w:val="17"/>
          <w:color w:val="auto"/>
        </w:rPr>
        <w:t>The Company has entered into an Investment Advisory Agreement with the Investment Advisor. On June 10, 2021, the Board</w:t>
      </w:r>
      <w:r>
        <w:rPr>
          <w:rFonts w:ascii="Arial" w:cs="Arial" w:eastAsia="Arial" w:hAnsi="Arial"/>
          <w:sz w:val="17"/>
          <w:szCs w:val="17"/>
          <w:i w:val="1"/>
          <w:iCs w:val="1"/>
          <w:color w:val="auto"/>
        </w:rPr>
        <w:t xml:space="preserve"> </w:t>
      </w:r>
      <w:r>
        <w:rPr>
          <w:rFonts w:ascii="Arial" w:cs="Arial" w:eastAsia="Arial" w:hAnsi="Arial"/>
          <w:sz w:val="17"/>
          <w:szCs w:val="17"/>
          <w:color w:val="auto"/>
        </w:rPr>
        <w:t>approved the renewal of the Investment Advisory Agreement through June 20, 2022. Pursuant to the Investment Advisory Agreement and subject to the overall supervision of the Board, the Investment Advisor provides investment advisory services to the Company. For providing these services, the Investment Advisor receives a fee, consisting of two components — a base management fee and an incentive fee.</w:t>
      </w:r>
    </w:p>
    <w:p>
      <w:pPr>
        <w:spacing w:after="0" w:line="128" w:lineRule="exact"/>
        <w:rPr>
          <w:sz w:val="20"/>
          <w:szCs w:val="20"/>
          <w:color w:val="auto"/>
        </w:rPr>
      </w:pPr>
    </w:p>
    <w:p>
      <w:pPr>
        <w:jc w:val="both"/>
        <w:ind w:firstLine="478"/>
        <w:spacing w:after="0" w:line="308" w:lineRule="auto"/>
        <w:rPr>
          <w:sz w:val="20"/>
          <w:szCs w:val="20"/>
          <w:color w:val="auto"/>
        </w:rPr>
      </w:pPr>
      <w:r>
        <w:rPr>
          <w:rFonts w:ascii="Arial" w:cs="Arial" w:eastAsia="Arial" w:hAnsi="Arial"/>
          <w:sz w:val="15"/>
          <w:szCs w:val="15"/>
          <w:color w:val="auto"/>
        </w:rPr>
        <w:t>The base management fee is calculated at an annual rate of 1.75% based on the average value of total assets (other than cash or cash equivalents but including assets purchased with borrowed amounts) at the end of the two most recently completed calendar quarters. The Board of Directors accepted a voluntary, non-contractual, and unconditional waiver from the Investment Advisor to exclude any investments recorded as secured borrowings as defined under GAAP from the base management fee payable as of September 30, 2021. The base management fee is payable quarterly in arrears. The base management fee under the Investment Advisory Agreement was $3,270 and $9,661 for the three and nine months ended September 30, 2021, and $3,223 and $9,688 for the three and nine months ended September 30, 2020, respectively. The base management fee waiver was $69 and $98 for the three and nine months ended September 30, 2021, respectively. There was no base management fee waiver for the three and nine months ended September 30, 2020. As of September 30, 2021 and December 31, 2020, the base management fee payable (net of the base management fee waiver) was $3,201 and $3,244, respectively.</w:t>
      </w:r>
    </w:p>
    <w:p>
      <w:pPr>
        <w:spacing w:after="0" w:line="105" w:lineRule="exact"/>
        <w:rPr>
          <w:sz w:val="20"/>
          <w:szCs w:val="20"/>
          <w:color w:val="auto"/>
        </w:rPr>
      </w:pPr>
    </w:p>
    <w:p>
      <w:pPr>
        <w:jc w:val="both"/>
        <w:ind w:firstLine="478"/>
        <w:spacing w:after="0" w:line="286" w:lineRule="auto"/>
        <w:rPr>
          <w:sz w:val="20"/>
          <w:szCs w:val="20"/>
          <w:color w:val="auto"/>
        </w:rPr>
      </w:pPr>
      <w:r>
        <w:rPr>
          <w:rFonts w:ascii="Arial" w:cs="Arial" w:eastAsia="Arial" w:hAnsi="Arial"/>
          <w:sz w:val="16"/>
          <w:szCs w:val="16"/>
          <w:color w:val="auto"/>
        </w:rPr>
        <w:t>The incentive fee consists of two parts. The first part is calculated and payable quarterly in arrears based on the Company’s pre-incentive fee net investment income for the quarter. Pre-incentive fee net investment income means interest income, dividend income and any other income (including any other fees such as commitment, origination, structuring, diligence and consulting fees or other fees that the Company receives from portfolio companies but excluding fees for providing managerial assistance) accrued during the calendar quarter, minus operating expenses for the quarter (including the base management fee, any expenses payable under the Administration Agreement (defined below) and any interest expense and dividends paid on any outstanding preferred stock, but excluding the incentive fee and excise taxes on realized gains). Pre-incentive fee net investment income includes, in the case of investments with a deferred interest feature (such as market discount, original issue discount, debt instruments with PIK income, preferred stock with PIK dividends and zero-coupon securities), accrued income the Company has not yet received in cash. The Investment Advisor is not under any obligation to reimburse the Company for any part of the incentive fee it receives that was based on accrued interest that the Company never collects.</w:t>
      </w:r>
    </w:p>
    <w:p>
      <w:pPr>
        <w:spacing w:after="0" w:line="119" w:lineRule="exact"/>
        <w:rPr>
          <w:sz w:val="20"/>
          <w:szCs w:val="20"/>
          <w:color w:val="auto"/>
        </w:rPr>
      </w:pPr>
    </w:p>
    <w:p>
      <w:pPr>
        <w:jc w:val="both"/>
        <w:ind w:firstLine="478"/>
        <w:spacing w:after="0" w:line="319" w:lineRule="auto"/>
        <w:rPr>
          <w:sz w:val="20"/>
          <w:szCs w:val="20"/>
          <w:color w:val="auto"/>
        </w:rPr>
      </w:pPr>
      <w:r>
        <w:rPr>
          <w:rFonts w:ascii="Arial" w:cs="Arial" w:eastAsia="Arial" w:hAnsi="Arial"/>
          <w:sz w:val="15"/>
          <w:szCs w:val="15"/>
          <w:color w:val="auto"/>
        </w:rPr>
        <w:t>Pre-incentive fee net investment income does not include any realized capital gains, taxes associated with such realized capital gains, realized capital losses or unrealized capital appreciation or depreciation. Because of the structure of the incentive fee, it is possible that the Company may pay an incentive fee in a quarter where the Company incurs a loss. For example, if the Company generates pre-incentive fee net investment income in excess of the hurdle rate (as defined below) for a quarter, the Company will pay the applicable incentive fee even if the Company has incurred a loss in that quarter due to a net loss on investments.</w:t>
      </w:r>
    </w:p>
    <w:p>
      <w:pPr>
        <w:spacing w:after="0" w:line="97" w:lineRule="exact"/>
        <w:rPr>
          <w:sz w:val="20"/>
          <w:szCs w:val="20"/>
          <w:color w:val="auto"/>
        </w:rPr>
      </w:pPr>
    </w:p>
    <w:p>
      <w:pPr>
        <w:jc w:val="both"/>
        <w:ind w:firstLine="478"/>
        <w:spacing w:after="0" w:line="264" w:lineRule="auto"/>
        <w:rPr>
          <w:sz w:val="20"/>
          <w:szCs w:val="20"/>
          <w:color w:val="auto"/>
        </w:rPr>
      </w:pPr>
      <w:r>
        <w:rPr>
          <w:rFonts w:ascii="Arial" w:cs="Arial" w:eastAsia="Arial" w:hAnsi="Arial"/>
          <w:sz w:val="17"/>
          <w:szCs w:val="17"/>
          <w:color w:val="auto"/>
        </w:rPr>
        <w:t>Pre-incentive fee net investment income, expressed as a rate of return on the value of the Company’s net assets (defined as total assets less indebtedness and before taking into account any incentive fees payable during the period) at the end of the immediately preceding calendar quarter, is compared to a fixed “hurdle rate” of 2.0% per quarter. If market interest rates rise, the Company may be able to invest funds in debt instruments that provide for a higher return, which would increase the Company’s pre-incentive fee net investment income and make it easier for the Investment Advisor to surpass the fixed hurdle rate and receive an incentive fee based on such net investment income.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(unaudited)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Company pays the Investment Advisor an incentive fee with respect to pre-incentive fee net investment income in each calendar quarter as follows:</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no incentive fee in any calendar quarter in which the pre-incentive fee net investment income does not exceed the hurdle rate of 2.0%;</w:t>
      </w:r>
    </w:p>
    <w:p>
      <w:pPr>
        <w:spacing w:after="0" w:line="121" w:lineRule="exact"/>
        <w:rPr>
          <w:sz w:val="20"/>
          <w:szCs w:val="20"/>
          <w:color w:val="auto"/>
        </w:rPr>
      </w:pPr>
    </w:p>
    <w:p>
      <w:pPr>
        <w:jc w:val="both"/>
        <w:ind w:left="920"/>
        <w:spacing w:after="0" w:line="319" w:lineRule="auto"/>
        <w:rPr>
          <w:sz w:val="20"/>
          <w:szCs w:val="20"/>
          <w:color w:val="auto"/>
        </w:rPr>
      </w:pPr>
      <w:r>
        <w:rPr>
          <w:rFonts w:ascii="Arial" w:cs="Arial" w:eastAsia="Arial" w:hAnsi="Arial"/>
          <w:sz w:val="15"/>
          <w:szCs w:val="15"/>
          <w:color w:val="auto"/>
        </w:rPr>
        <w:t>100.0% of the Company’s pre-incentive fee net investment income with respect to that portion of such pre-incentive fee net investment income, if any, that exceeds the hurdle rate but is less than 2.5% in any calendar quarter. This portion of the pre-incentive fee net investment income (which exceeds the hurdle rate but is less than 2.5%) is referred to as the “catch-up” provision. The catch-up is meant to provide the Investment Advisor with 20.0% of the pre-incentive fee net investment income as if a hurdle rate did not apply if this net investment income exceeds 2.5% in any calendar quarter; and</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20.0% of the amount of the Company’s pre-incentive fee net investment income, if any, that exceeds 2.5% in any calendar quarter.</w:t>
      </w:r>
    </w:p>
    <w:p>
      <w:pPr>
        <w:spacing w:after="0" w:line="172" w:lineRule="exact"/>
        <w:rPr>
          <w:sz w:val="20"/>
          <w:szCs w:val="20"/>
          <w:color w:val="auto"/>
        </w:rPr>
      </w:pPr>
    </w:p>
    <w:p>
      <w:pPr>
        <w:jc w:val="both"/>
        <w:ind w:firstLine="478"/>
        <w:spacing w:after="0" w:line="289" w:lineRule="auto"/>
        <w:rPr>
          <w:sz w:val="20"/>
          <w:szCs w:val="20"/>
          <w:color w:val="auto"/>
        </w:rPr>
      </w:pPr>
      <w:r>
        <w:rPr>
          <w:rFonts w:ascii="Arial" w:cs="Arial" w:eastAsia="Arial" w:hAnsi="Arial"/>
          <w:sz w:val="16"/>
          <w:szCs w:val="16"/>
          <w:color w:val="auto"/>
        </w:rPr>
        <w:t>The sum of the calculations above equals the income incentive fee. The income incentive fee is appropriately prorated for any period of less than three months and adjusted for any share issuances or repurchases during the calendar quarter. The income incentive fee was $2,425 and $7,644 for the nine months ended September 30, 2021, respectively, and $2,374 and $6,342 for the three and nine months ended September 30, 2020, respectively. The Investment Advisor, in consultation with the Board, agreed to voluntarily waive $423 of the income incentive fee for the three and nine months ended September 30, 2020. There was no income incentive fee waiver for the three and nine months ended September 30, 2021. As of September 30, 2021 and December 31, 2020, the income incentive fee payable (net of the income incentive fee waiver) was $2,425 and $2,610, respectively.</w:t>
      </w:r>
    </w:p>
    <w:p>
      <w:pPr>
        <w:spacing w:after="0" w:line="116" w:lineRule="exact"/>
        <w:rPr>
          <w:sz w:val="20"/>
          <w:szCs w:val="20"/>
          <w:color w:val="auto"/>
        </w:rPr>
      </w:pPr>
    </w:p>
    <w:p>
      <w:pPr>
        <w:jc w:val="both"/>
        <w:ind w:firstLine="478"/>
        <w:spacing w:after="0" w:line="305" w:lineRule="auto"/>
        <w:rPr>
          <w:sz w:val="20"/>
          <w:szCs w:val="20"/>
          <w:color w:val="auto"/>
        </w:rPr>
      </w:pPr>
      <w:r>
        <w:rPr>
          <w:rFonts w:ascii="Arial" w:cs="Arial" w:eastAsia="Arial" w:hAnsi="Arial"/>
          <w:sz w:val="15"/>
          <w:szCs w:val="15"/>
          <w:color w:val="auto"/>
        </w:rPr>
        <w:t>The second part of the incentive fee is a capital gains incentive fee that is determined and paid in arrears as of the end of each fiscal year (or upon termination of the Investment Advisory Agreement, as of the termination date), and equals 20.0% of the net capital gains as of the end of the fiscal year. In determining the capital gains incentive fee to be paid in cash to the Investment Advisor, the Company calculates the cumulative aggregate realized capital gains and losses since the Formation Transactions (realized capital gains and losses include realized gains and losses on investments, net of income tax provision from realized gains on investments, and realized losses on extinguishment of debt), and the aggregate unrealized capital depreciation on investments as of the date of the calculation. At the end of the applicable year, the amount of capital gains that serves as the basis for the calculation of the capital gains incentive fee to be paid equals the cumulative aggregate realized capital gains on investments, less cumulative aggregate realized capital losses on investments, less aggregate unrealized capital depreciation on investments, and less cumulative aggregate realized losses on extinguishment of debt. If this number is positive at the end of such year, then the capital gains incentive fee to be paid in cash for such year equals 20.0% of such amount, less the aggregate amount of any capital gains incentive fees paid in all prior years. As of September 30, 2021 and December 31, 2020, the capital gains incentive fee payable in cash was $0 (as cumulative aggregate realized capital gains and losses on investments plus aggregate unrealized capital depreciation on investments plus realized losses on extinguishment of debt was negative as of each period). The aggregate amount of capital gains incentive fees paid from the IPO through September 30, 2021 was $348.</w:t>
      </w:r>
    </w:p>
    <w:p>
      <w:pPr>
        <w:spacing w:after="0" w:line="108" w:lineRule="exact"/>
        <w:rPr>
          <w:sz w:val="20"/>
          <w:szCs w:val="20"/>
          <w:color w:val="auto"/>
        </w:rPr>
      </w:pPr>
    </w:p>
    <w:p>
      <w:pPr>
        <w:jc w:val="both"/>
        <w:ind w:firstLine="478"/>
        <w:spacing w:after="0" w:line="309" w:lineRule="auto"/>
        <w:rPr>
          <w:sz w:val="20"/>
          <w:szCs w:val="20"/>
          <w:color w:val="auto"/>
        </w:rPr>
      </w:pPr>
      <w:r>
        <w:rPr>
          <w:rFonts w:ascii="Arial" w:cs="Arial" w:eastAsia="Arial" w:hAnsi="Arial"/>
          <w:sz w:val="15"/>
          <w:szCs w:val="15"/>
          <w:color w:val="auto"/>
        </w:rPr>
        <w:t>In addition, the Company accrues, but does not pay in cash, a capital gains incentive fee in connection with any unrealized capital appreciation on investments, as applicable. If, on a cumulative basis, the sum of (i) net realized gains/(losses) on investments plus (ii) net unrealized appreciation/(depreciation) on investments plus (iii) realized losses on extinguishment of debt decreases during a period, the Company will reverse any excess capital gains incentive fee previously accrued such that the amount of capital gains incentive fee accrued is no more than 20.0% of the sum of (i) net realized gains/(losses) on investments plus (ii) net unrealized appreciation/(depreciation) on investments plus (iii) realized losses on extinguishment of debt. The capital gains incentive fee accrued (reversed) during the three and nine months ended September 30, 2021 was $4,664 and $8,638, respectively, and $2,761 and $(6,380) for the three and nine months ended September 30, 2020, respectively. As of September 30, 2021 and December 31, 2020, the accrued capital gains incentive fee payable was $19,669 and $11,031, respectively.</w:t>
      </w:r>
    </w:p>
    <w:p>
      <w:pPr>
        <w:spacing w:after="0" w:line="106" w:lineRule="exact"/>
        <w:rPr>
          <w:sz w:val="20"/>
          <w:szCs w:val="20"/>
          <w:color w:val="auto"/>
        </w:rPr>
      </w:pPr>
    </w:p>
    <w:p>
      <w:pPr>
        <w:jc w:val="both"/>
        <w:ind w:firstLine="478"/>
        <w:spacing w:after="0" w:line="269" w:lineRule="auto"/>
        <w:rPr>
          <w:sz w:val="20"/>
          <w:szCs w:val="20"/>
          <w:color w:val="auto"/>
        </w:rPr>
      </w:pPr>
      <w:r>
        <w:rPr>
          <w:rFonts w:ascii="Arial" w:cs="Arial" w:eastAsia="Arial" w:hAnsi="Arial"/>
          <w:sz w:val="17"/>
          <w:szCs w:val="17"/>
          <w:color w:val="auto"/>
        </w:rPr>
        <w:t>Unless terminated earlier as described below, the Investment Advisory Agreement will continue in effect from year to year if approved annually by the Board or by the affirmative vote of the holders of a majority of the Company’s outstanding voting securities, and, in either case, if also approved by a majority of the directors who are not “interested persons” of the Company, as such term is defined under Section 2(a)(19) of the 1940 Act (the “Independent Directors”). The Investment Advisory Agreement automatically terminates in the event of its assignment, as defined in the 1940 Act, by the Investment Advisor and may be terminated by either party without penalty upon not less than 60 days’ written notice to the other. The holders of a majority of the Company’s outstanding voting securities may also terminate the Investment Advisory Agreement without penalty.</w:t>
      </w:r>
    </w:p>
    <w:p>
      <w:pPr>
        <w:spacing w:after="0" w:line="131" w:lineRule="exact"/>
        <w:rPr>
          <w:sz w:val="20"/>
          <w:szCs w:val="20"/>
          <w:color w:val="auto"/>
        </w:rPr>
      </w:pPr>
    </w:p>
    <w:p>
      <w:pPr>
        <w:jc w:val="both"/>
        <w:ind w:firstLine="478"/>
        <w:spacing w:after="0" w:line="264" w:lineRule="auto"/>
        <w:rPr>
          <w:sz w:val="20"/>
          <w:szCs w:val="20"/>
          <w:color w:val="auto"/>
        </w:rPr>
      </w:pPr>
      <w:r>
        <w:rPr>
          <w:rFonts w:ascii="Arial" w:cs="Arial" w:eastAsia="Arial" w:hAnsi="Arial"/>
          <w:sz w:val="17"/>
          <w:szCs w:val="17"/>
          <w:i w:val="1"/>
          <w:iCs w:val="1"/>
          <w:color w:val="auto"/>
        </w:rPr>
        <w:t xml:space="preserve">Administration Agreement: </w:t>
      </w:r>
      <w:r>
        <w:rPr>
          <w:rFonts w:ascii="Arial" w:cs="Arial" w:eastAsia="Arial" w:hAnsi="Arial"/>
          <w:sz w:val="17"/>
          <w:szCs w:val="17"/>
          <w:color w:val="auto"/>
        </w:rPr>
        <w:t>The Company also entered into an administration agreement (the “Administration Agreement”) with the Investment Advisor. On</w:t>
      </w:r>
      <w:r>
        <w:rPr>
          <w:rFonts w:ascii="Arial" w:cs="Arial" w:eastAsia="Arial" w:hAnsi="Arial"/>
          <w:sz w:val="17"/>
          <w:szCs w:val="17"/>
          <w:i w:val="1"/>
          <w:iCs w:val="1"/>
          <w:color w:val="auto"/>
        </w:rPr>
        <w:t xml:space="preserve"> </w:t>
      </w:r>
      <w:r>
        <w:rPr>
          <w:rFonts w:ascii="Arial" w:cs="Arial" w:eastAsia="Arial" w:hAnsi="Arial"/>
          <w:sz w:val="17"/>
          <w:szCs w:val="17"/>
          <w:color w:val="auto"/>
        </w:rPr>
        <w:t>June 10, 2021, the Board approved the renewal of the Administration Agreement through June 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(unaudited)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17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2022. Under the Administration Agreement, the Investment Advisor furnishes the Company with office facilities and equipment, provides clerical, bookkeeping, and record keeping services at such facilities and provides the Company with other administrative services necessary to conduct its day-to-day operations. The Company reimburses the Investment Advisor for the allocable portion of overhead expenses incurred in performing its obligations under the Administration Agreement, including rent and the Company’s allocable portion of the cost of its chief financial officer and chief compliance officer and their respective staffs. Under the Administration Agreement, the Investment Advisor also provides managerial assistance to those portfolio companies to which the Company is required to provide such assistance and the Company reimburses the Investment Advisor for fees and expenses incurred with providing such services. In addition, the Company reimburses the Investment Advisor for fees and expenses incurred while performing due diligence on the Company’s prospective portfolio companies, including “dead deal” expenses</w:t>
      </w:r>
      <w:r>
        <w:rPr>
          <w:rFonts w:ascii="Arial" w:cs="Arial" w:eastAsia="Arial" w:hAnsi="Arial"/>
          <w:sz w:val="16"/>
          <w:szCs w:val="16"/>
          <w:i w:val="1"/>
          <w:iCs w:val="1"/>
          <w:color w:val="auto"/>
        </w:rPr>
        <w:t>.</w:t>
      </w:r>
      <w:r>
        <w:rPr>
          <w:rFonts w:ascii="Arial" w:cs="Arial" w:eastAsia="Arial" w:hAnsi="Arial"/>
          <w:sz w:val="16"/>
          <w:szCs w:val="16"/>
          <w:color w:val="auto"/>
        </w:rPr>
        <w:t xml:space="preserve"> Under the Administration Agreement, administrative service expenses for the three and nine months ended September 30, 2021 were $438 and $1,281, respectively, and $412 and $1,242 for the three and nine months ended September 30, 2020, respectively. As of September 30, 2021 and December 31, 2020, the accrued administrative service expense payable was $585 and $593, respectively.</w:t>
      </w:r>
    </w:p>
    <w:p>
      <w:pPr>
        <w:spacing w:after="0" w:line="123" w:lineRule="exact"/>
        <w:rPr>
          <w:sz w:val="20"/>
          <w:szCs w:val="20"/>
          <w:color w:val="auto"/>
        </w:rPr>
      </w:pPr>
    </w:p>
    <w:p>
      <w:pPr>
        <w:jc w:val="both"/>
        <w:ind w:firstLine="478"/>
        <w:spacing w:after="0" w:line="270" w:lineRule="auto"/>
        <w:rPr>
          <w:sz w:val="20"/>
          <w:szCs w:val="20"/>
          <w:color w:val="auto"/>
        </w:rPr>
      </w:pPr>
      <w:r>
        <w:rPr>
          <w:rFonts w:ascii="Arial" w:cs="Arial" w:eastAsia="Arial" w:hAnsi="Arial"/>
          <w:sz w:val="17"/>
          <w:szCs w:val="17"/>
          <w:i w:val="1"/>
          <w:iCs w:val="1"/>
          <w:color w:val="auto"/>
        </w:rPr>
        <w:t>Fidus Equity Fund I, L.P.</w:t>
      </w:r>
      <w:r>
        <w:rPr>
          <w:rFonts w:ascii="Arial" w:cs="Arial" w:eastAsia="Arial" w:hAnsi="Arial"/>
          <w:sz w:val="17"/>
          <w:szCs w:val="17"/>
          <w:color w:val="auto"/>
        </w:rPr>
        <w:t>: On February 25, 2020, the Company entered into a Limited Partnership Agreement (the “Agreement”) with Fidus Equity Fund I,</w:t>
      </w:r>
      <w:r>
        <w:rPr>
          <w:rFonts w:ascii="Arial" w:cs="Arial" w:eastAsia="Arial" w:hAnsi="Arial"/>
          <w:sz w:val="17"/>
          <w:szCs w:val="17"/>
          <w:i w:val="1"/>
          <w:iCs w:val="1"/>
          <w:color w:val="auto"/>
        </w:rPr>
        <w:t xml:space="preserve"> </w:t>
      </w:r>
      <w:r>
        <w:rPr>
          <w:rFonts w:ascii="Arial" w:cs="Arial" w:eastAsia="Arial" w:hAnsi="Arial"/>
          <w:sz w:val="17"/>
          <w:szCs w:val="17"/>
          <w:color w:val="auto"/>
        </w:rPr>
        <w:t>L.P. (“FEF I”). Pursuant to the Agreement, the Company will serve as the General Partner of FEF I. Owned by third-party investors, FEF I was formed to purchase 50% of select equity investments from the Company. On February 25, 2020, the Company sold 50% of its equity investments in 20 portfolio companies to FEF I and received net proceeds of $35,903, resulting in a realized gain, net of estimated taxes, of $20,404. The Company will not receive any fees from FEF I for any services provided in its capacity as the General Partner of FEF I.</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Debt</w:t>
      </w:r>
    </w:p>
    <w:p>
      <w:pPr>
        <w:spacing w:after="0" w:line="176" w:lineRule="exact"/>
        <w:rPr>
          <w:sz w:val="20"/>
          <w:szCs w:val="20"/>
          <w:color w:val="auto"/>
        </w:rPr>
      </w:pPr>
    </w:p>
    <w:p>
      <w:pPr>
        <w:jc w:val="both"/>
        <w:ind w:firstLine="478"/>
        <w:spacing w:after="0" w:line="286" w:lineRule="auto"/>
        <w:rPr>
          <w:sz w:val="20"/>
          <w:szCs w:val="20"/>
          <w:color w:val="auto"/>
        </w:rPr>
      </w:pPr>
      <w:r>
        <w:rPr>
          <w:rFonts w:ascii="Arial" w:cs="Arial" w:eastAsia="Arial" w:hAnsi="Arial"/>
          <w:sz w:val="16"/>
          <w:szCs w:val="16"/>
          <w:i w:val="1"/>
          <w:iCs w:val="1"/>
          <w:color w:val="auto"/>
        </w:rPr>
        <w:t>Revolving Credit Facility</w:t>
      </w:r>
      <w:r>
        <w:rPr>
          <w:rFonts w:ascii="Arial" w:cs="Arial" w:eastAsia="Arial" w:hAnsi="Arial"/>
          <w:sz w:val="16"/>
          <w:szCs w:val="16"/>
          <w:color w:val="auto"/>
        </w:rPr>
        <w:t>: On June 16, 2014, FIC entered into a senior secured revolving credit agreement (the "Credit Agreement" and the senior secured</w:t>
      </w:r>
      <w:r>
        <w:rPr>
          <w:rFonts w:ascii="Arial" w:cs="Arial" w:eastAsia="Arial" w:hAnsi="Arial"/>
          <w:sz w:val="16"/>
          <w:szCs w:val="16"/>
          <w:i w:val="1"/>
          <w:iCs w:val="1"/>
          <w:color w:val="auto"/>
        </w:rPr>
        <w:t xml:space="preserve"> </w:t>
      </w:r>
      <w:r>
        <w:rPr>
          <w:rFonts w:ascii="Arial" w:cs="Arial" w:eastAsia="Arial" w:hAnsi="Arial"/>
          <w:sz w:val="16"/>
          <w:szCs w:val="16"/>
          <w:color w:val="auto"/>
        </w:rPr>
        <w:t>revolving credit facility, the “Credit Facility”) with ING Capital LLC (“ING”), as the administrative agent, collateral agent, and lender. The Credit Facility is secured by certain portfolio investments held by the Company, but portfolio investments held by the Funds are not collateral for the Credit Facility. On April 24, 2019, the Company entered into an Amended &amp; Restated Senior Secured Revolving Credit Agreement (the “Amended Credit Agreement”) among the Company, as borrower, the lenders party thereto, and ING Capital LLC, as administrative agent. The Amended Credit Agreement amends, restates, and replaces the Credit Agreement. On June 26, 2020, the Company amended the Amended Credit Agreement, but the material terms were unchanged. Among other revisions, the amendment to the Amended Credit Agreement modifies certain covenants therein, including to amend the minimum consolidated interest coverage ratio to be 2.25 to 1.00 for the four quarter period ending on June 30, 2020, 2.00 to 1.00 for the four quarter periods ending on each of September 30, 2020 and December 31, 2020, and 1.75 to 1.00 for each four quarter period ending at the end of each quarter thereafter.</w:t>
      </w:r>
    </w:p>
    <w:p>
      <w:pPr>
        <w:spacing w:after="0" w:line="119" w:lineRule="exact"/>
        <w:rPr>
          <w:sz w:val="20"/>
          <w:szCs w:val="20"/>
          <w:color w:val="auto"/>
        </w:rPr>
      </w:pPr>
    </w:p>
    <w:p>
      <w:pPr>
        <w:jc w:val="both"/>
        <w:ind w:firstLine="469"/>
        <w:spacing w:after="0" w:line="305" w:lineRule="auto"/>
        <w:rPr>
          <w:sz w:val="20"/>
          <w:szCs w:val="20"/>
          <w:color w:val="auto"/>
        </w:rPr>
      </w:pPr>
      <w:r>
        <w:rPr>
          <w:rFonts w:ascii="Arial" w:cs="Arial" w:eastAsia="Arial" w:hAnsi="Arial"/>
          <w:sz w:val="15"/>
          <w:szCs w:val="15"/>
          <w:color w:val="auto"/>
        </w:rPr>
        <w:t>Under the Amended Credit Agreement, (i) revolving commitments by lenders were increased from $90,000 to $100,000, with an accordion feature that allows for an increase in total commitments up to $250,000, subject to satisfaction of certain conditions at the time of any such future increase, (ii) the maturity date of the Credit Facility was extended from June 16, 2019 to April 24, 2023, and (iii) borrowings under the Credit Facility bear interest, at our election, at a rate per annum equal to (a) 3.00% (or 2.75% if certain conditions are satisfied, including if (x) no equity interests are included in the borrowing base, (y) the contribution to the borrowing base of eligible portfolio investments that are performing first lien bank loans is greater than or equal to 35%, and (z) the contribution to the borrowing base of eligible portfolio investments that are performing first lien bank loans, performing last out loans, or performing second lien loans is greater than or equal to 60%) plus the one, two, three or six month LIBOR rate, as applicable, or (b) 2.00% (or 1.75% if the above conditions are satisfied) plus the highest of (A) a prime rate, (B) the Federal Funds rate plus 0.5%, (C) three month LIBOR plus 1.0%, and (D) zero. The Company pays a commitment fee that varies depending on the size of the unused portion of the Credit Facility: 3.00% per annum on the unused portion of the Credit Facility at or below 35% of the commitments and 0.50% per annum on any remaining unused portion of the Credit Facility between the total commitments and the 35% minimum utilization. The Amended Credit Agreement also modifies certain covenants in the Credit Facility, including to provide for a minimum asset coverage ratio of 2.00 to 1 (on a regulatory basis). The Credit Facility is secured by a first priority security interest in all of our assets, excluding the assets of our SBIC subsidiaries.</w:t>
      </w:r>
    </w:p>
    <w:p>
      <w:pPr>
        <w:spacing w:after="0" w:line="108" w:lineRule="exact"/>
        <w:rPr>
          <w:sz w:val="20"/>
          <w:szCs w:val="20"/>
          <w:color w:val="auto"/>
        </w:rPr>
      </w:pPr>
    </w:p>
    <w:p>
      <w:pPr>
        <w:jc w:val="both"/>
        <w:ind w:firstLine="478"/>
        <w:spacing w:after="0" w:line="294" w:lineRule="auto"/>
        <w:rPr>
          <w:sz w:val="20"/>
          <w:szCs w:val="20"/>
          <w:color w:val="auto"/>
        </w:rPr>
      </w:pPr>
      <w:r>
        <w:rPr>
          <w:rFonts w:ascii="Arial" w:cs="Arial" w:eastAsia="Arial" w:hAnsi="Arial"/>
          <w:sz w:val="16"/>
          <w:szCs w:val="16"/>
          <w:color w:val="auto"/>
        </w:rPr>
        <w:t>Amounts available to borrow under the Credit Facility are subject to a minimum borrowing/collateral base that applies an advance rate to certain investments held by the Company, excluding investments held by the Funds. The Company is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pacing w:after="0" w:line="113" w:lineRule="exact"/>
        <w:rPr>
          <w:sz w:val="20"/>
          <w:szCs w:val="20"/>
          <w:color w:val="auto"/>
        </w:rPr>
      </w:pPr>
    </w:p>
    <w:p>
      <w:pPr>
        <w:jc w:val="both"/>
        <w:ind w:firstLine="478"/>
        <w:spacing w:after="0" w:line="264" w:lineRule="auto"/>
        <w:rPr>
          <w:sz w:val="20"/>
          <w:szCs w:val="20"/>
          <w:color w:val="auto"/>
        </w:rPr>
      </w:pPr>
      <w:r>
        <w:rPr>
          <w:rFonts w:ascii="Arial" w:cs="Arial" w:eastAsia="Arial" w:hAnsi="Arial"/>
          <w:sz w:val="17"/>
          <w:szCs w:val="17"/>
          <w:color w:val="auto"/>
        </w:rPr>
        <w:t>The Company has made customary representations and warranties and is required to comply with various covenants, reporting requirements and other customary requirements for similar credit facilities. These covenants are subject to important limitations and exceptions that are described in the documents governing the Credit Facility. As of September 30, 2021 and December 31, 2020, the Company was in compliance in all material respect with the terms of the Credit Facility.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(unaudited)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173"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 xml:space="preserve">SBA debentures: </w:t>
      </w:r>
      <w:r>
        <w:rPr>
          <w:rFonts w:ascii="Arial" w:cs="Arial" w:eastAsia="Arial" w:hAnsi="Arial"/>
          <w:sz w:val="17"/>
          <w:szCs w:val="17"/>
          <w:color w:val="auto"/>
        </w:rPr>
        <w:t>The Company uses debenture leverage provided through the SBA to fund a portion of its investment purchases.</w:t>
      </w:r>
    </w:p>
    <w:p>
      <w:pPr>
        <w:spacing w:after="0" w:line="172" w:lineRule="exact"/>
        <w:rPr>
          <w:sz w:val="20"/>
          <w:szCs w:val="20"/>
          <w:color w:val="auto"/>
        </w:rPr>
      </w:pPr>
    </w:p>
    <w:p>
      <w:pPr>
        <w:jc w:val="both"/>
        <w:ind w:firstLine="478"/>
        <w:spacing w:after="0" w:line="270" w:lineRule="auto"/>
        <w:rPr>
          <w:sz w:val="20"/>
          <w:szCs w:val="20"/>
          <w:color w:val="auto"/>
        </w:rPr>
      </w:pPr>
      <w:r>
        <w:rPr>
          <w:rFonts w:ascii="Arial" w:cs="Arial" w:eastAsia="Arial" w:hAnsi="Arial"/>
          <w:sz w:val="17"/>
          <w:szCs w:val="17"/>
          <w:color w:val="auto"/>
        </w:rPr>
        <w:t>Under the SBA debenture program, the SBA commits to purchase debentures issued by SBICs; such debentures have 10-year terms with the entire principal balance due at maturity and are guaranteed by the SBA. Interest on SBA debentures is payable semi-annually on March 1 and September 1. As of September 30, 2021 and December 31, 2020, approved and unused SBA debenture commitments were $75,000 and $11,500, respectively. The SBA may limit the amount that may be drawn each year under these commitments, and each issuance of leverage is conditioned on the Company’s full compliance, as determined by the SBA, with the terms and conditions set forth in the SBIC Act.</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September 30, 2021 and December 31, 2020, the Company’s issued and outstanding SBA debentures mature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040" w:type="dxa"/>
            <w:vAlign w:val="bottom"/>
          </w:tcPr>
          <w:p>
            <w:pPr>
              <w:jc w:val="center"/>
              <w:spacing w:after="0"/>
              <w:rPr>
                <w:sz w:val="20"/>
                <w:szCs w:val="20"/>
                <w:color w:val="auto"/>
              </w:rPr>
            </w:pPr>
            <w:r>
              <w:rPr>
                <w:rFonts w:ascii="Arial" w:cs="Arial" w:eastAsia="Arial" w:hAnsi="Arial"/>
                <w:sz w:val="17"/>
                <w:szCs w:val="17"/>
                <w:b w:val="1"/>
                <w:bCs w:val="1"/>
                <w:color w:val="auto"/>
                <w:w w:val="86"/>
              </w:rPr>
              <w:t>Pooling</w:t>
            </w:r>
          </w:p>
        </w:tc>
        <w:tc>
          <w:tcPr>
            <w:tcW w:w="26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7"/>
                <w:szCs w:val="17"/>
                <w:b w:val="1"/>
                <w:bCs w:val="1"/>
                <w:color w:val="auto"/>
                <w:w w:val="96"/>
              </w:rPr>
              <w:t>Maturity</w:t>
            </w:r>
          </w:p>
        </w:tc>
        <w:tc>
          <w:tcPr>
            <w:tcW w:w="260" w:type="dxa"/>
            <w:vAlign w:val="bottom"/>
          </w:tcPr>
          <w:p>
            <w:pPr>
              <w:spacing w:after="0"/>
              <w:rPr>
                <w:sz w:val="19"/>
                <w:szCs w:val="19"/>
                <w:color w:val="auto"/>
              </w:rPr>
            </w:pPr>
          </w:p>
        </w:tc>
        <w:tc>
          <w:tcPr>
            <w:tcW w:w="1660" w:type="dxa"/>
            <w:vAlign w:val="bottom"/>
          </w:tcPr>
          <w:p>
            <w:pPr>
              <w:jc w:val="right"/>
              <w:ind w:right="536"/>
              <w:spacing w:after="0"/>
              <w:rPr>
                <w:sz w:val="20"/>
                <w:szCs w:val="20"/>
                <w:color w:val="auto"/>
              </w:rPr>
            </w:pPr>
            <w:r>
              <w:rPr>
                <w:rFonts w:ascii="Arial" w:cs="Arial" w:eastAsia="Arial" w:hAnsi="Arial"/>
                <w:sz w:val="17"/>
                <w:szCs w:val="17"/>
                <w:b w:val="1"/>
                <w:bCs w:val="1"/>
                <w:color w:val="auto"/>
              </w:rPr>
              <w:t>Fixed</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236"/>
              <w:spacing w:after="0"/>
              <w:rPr>
                <w:sz w:val="20"/>
                <w:szCs w:val="20"/>
                <w:color w:val="auto"/>
              </w:rPr>
            </w:pPr>
            <w:r>
              <w:rPr>
                <w:rFonts w:ascii="Arial" w:cs="Arial" w:eastAsia="Arial" w:hAnsi="Arial"/>
                <w:sz w:val="17"/>
                <w:szCs w:val="17"/>
                <w:b w:val="1"/>
                <w:bCs w:val="1"/>
                <w:color w:val="auto"/>
                <w:w w:val="96"/>
              </w:rPr>
              <w:t>September 30,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256"/>
              <w:spacing w:after="0"/>
              <w:rPr>
                <w:sz w:val="20"/>
                <w:szCs w:val="20"/>
                <w:color w:val="auto"/>
              </w:rPr>
            </w:pPr>
            <w:r>
              <w:rPr>
                <w:rFonts w:ascii="Arial" w:cs="Arial" w:eastAsia="Arial" w:hAnsi="Arial"/>
                <w:sz w:val="17"/>
                <w:szCs w:val="17"/>
                <w:b w:val="1"/>
                <w:bCs w:val="1"/>
                <w:color w:val="auto"/>
                <w:w w:val="97"/>
              </w:rPr>
              <w:t>December 31,</w:t>
            </w:r>
          </w:p>
        </w:tc>
        <w:tc>
          <w:tcPr>
            <w:tcW w:w="60" w:type="dxa"/>
            <w:vAlign w:val="bottom"/>
          </w:tcPr>
          <w:p>
            <w:pPr>
              <w:spacing w:after="0"/>
              <w:rPr>
                <w:sz w:val="19"/>
                <w:szCs w:val="19"/>
                <w:color w:val="auto"/>
              </w:rPr>
            </w:pPr>
          </w:p>
        </w:tc>
      </w:tr>
      <w:tr>
        <w:trPr>
          <w:trHeight w:val="254"/>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 xml:space="preserve">Date </w:t>
            </w:r>
            <w:r>
              <w:rPr>
                <w:rFonts w:ascii="Arial" w:cs="Arial" w:eastAsia="Arial" w:hAnsi="Arial"/>
                <w:sz w:val="22"/>
                <w:szCs w:val="22"/>
                <w:b w:val="1"/>
                <w:bCs w:val="1"/>
                <w:color w:val="auto"/>
                <w:w w:val="87"/>
                <w:vertAlign w:val="superscript"/>
              </w:rPr>
              <w:t>(1)</w:t>
            </w:r>
          </w:p>
        </w:tc>
        <w:tc>
          <w:tcPr>
            <w:tcW w:w="260" w:type="dxa"/>
            <w:vAlign w:val="bottom"/>
          </w:tcPr>
          <w:p>
            <w:pPr>
              <w:spacing w:after="0"/>
              <w:rPr>
                <w:sz w:val="22"/>
                <w:szCs w:val="22"/>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Date</w:t>
            </w:r>
          </w:p>
        </w:tc>
        <w:tc>
          <w:tcPr>
            <w:tcW w:w="260" w:type="dxa"/>
            <w:vAlign w:val="bottom"/>
          </w:tcPr>
          <w:p>
            <w:pPr>
              <w:spacing w:after="0"/>
              <w:rPr>
                <w:sz w:val="22"/>
                <w:szCs w:val="22"/>
                <w:color w:val="auto"/>
              </w:rPr>
            </w:pPr>
          </w:p>
        </w:tc>
        <w:tc>
          <w:tcPr>
            <w:tcW w:w="166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Interest Rate</w:t>
            </w:r>
          </w:p>
        </w:tc>
        <w:tc>
          <w:tcPr>
            <w:tcW w:w="6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76"/>
              <w:spacing w:after="0"/>
              <w:rPr>
                <w:sz w:val="20"/>
                <w:szCs w:val="20"/>
                <w:color w:val="auto"/>
              </w:rPr>
            </w:pPr>
            <w:r>
              <w:rPr>
                <w:rFonts w:ascii="Arial" w:cs="Arial" w:eastAsia="Arial" w:hAnsi="Arial"/>
                <w:sz w:val="17"/>
                <w:szCs w:val="17"/>
                <w:b w:val="1"/>
                <w:bCs w:val="1"/>
                <w:color w:val="auto"/>
              </w:rPr>
              <w:t>2021</w:t>
            </w:r>
          </w:p>
        </w:tc>
        <w:tc>
          <w:tcPr>
            <w:tcW w:w="3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76"/>
              <w:spacing w:after="0"/>
              <w:rPr>
                <w:sz w:val="20"/>
                <w:szCs w:val="20"/>
                <w:color w:val="auto"/>
              </w:rPr>
            </w:pPr>
            <w:r>
              <w:rPr>
                <w:rFonts w:ascii="Arial" w:cs="Arial" w:eastAsia="Arial" w:hAnsi="Arial"/>
                <w:sz w:val="17"/>
                <w:szCs w:val="17"/>
                <w:b w:val="1"/>
                <w:bCs w:val="1"/>
                <w:color w:val="auto"/>
              </w:rPr>
              <w:t>2020</w:t>
            </w:r>
          </w:p>
        </w:tc>
        <w:tc>
          <w:tcPr>
            <w:tcW w:w="60" w:type="dxa"/>
            <w:vAlign w:val="bottom"/>
          </w:tcPr>
          <w:p>
            <w:pPr>
              <w:spacing w:after="0"/>
              <w:rPr>
                <w:sz w:val="22"/>
                <w:szCs w:val="22"/>
                <w:color w:val="auto"/>
              </w:rPr>
            </w:pPr>
          </w:p>
        </w:tc>
      </w:tr>
      <w:tr>
        <w:trPr>
          <w:trHeight w:val="234"/>
        </w:trPr>
        <w:tc>
          <w:tcPr>
            <w:tcW w:w="30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9"/>
              </w:rPr>
              <w:t>3/25/2015</w:t>
            </w:r>
          </w:p>
        </w:tc>
        <w:tc>
          <w:tcPr>
            <w:tcW w:w="1980" w:type="dxa"/>
            <w:vAlign w:val="bottom"/>
            <w:gridSpan w:val="2"/>
            <w:shd w:val="clear" w:color="auto" w:fill="CFF0FC"/>
          </w:tcPr>
          <w:p>
            <w:pPr>
              <w:jc w:val="center"/>
              <w:ind w:left="176"/>
              <w:spacing w:after="0"/>
              <w:rPr>
                <w:sz w:val="20"/>
                <w:szCs w:val="20"/>
                <w:color w:val="auto"/>
              </w:rPr>
            </w:pPr>
            <w:r>
              <w:rPr>
                <w:rFonts w:ascii="Arial" w:cs="Arial" w:eastAsia="Arial" w:hAnsi="Arial"/>
                <w:sz w:val="17"/>
                <w:szCs w:val="17"/>
                <w:color w:val="auto"/>
                <w:w w:val="90"/>
              </w:rPr>
              <w:t>3/1/2025</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3.277</w:t>
            </w:r>
          </w:p>
        </w:tc>
        <w:tc>
          <w:tcPr>
            <w:tcW w:w="600" w:type="dxa"/>
            <w:vAlign w:val="bottom"/>
            <w:shd w:val="clear" w:color="auto" w:fill="CFF0FC"/>
          </w:tcPr>
          <w:p>
            <w:pPr>
              <w:jc w:val="right"/>
              <w:ind w:right="216"/>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22,500</w:t>
            </w: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22,500</w:t>
            </w:r>
          </w:p>
        </w:tc>
        <w:tc>
          <w:tcPr>
            <w:tcW w:w="60" w:type="dxa"/>
            <w:vAlign w:val="bottom"/>
            <w:shd w:val="clear" w:color="auto" w:fill="CFF0FC"/>
          </w:tcPr>
          <w:p>
            <w:pPr>
              <w:spacing w:after="0"/>
              <w:rPr>
                <w:sz w:val="20"/>
                <w:szCs w:val="20"/>
                <w:color w:val="auto"/>
              </w:rPr>
            </w:pPr>
          </w:p>
        </w:tc>
      </w:tr>
      <w:tr>
        <w:trPr>
          <w:trHeight w:val="234"/>
        </w:trPr>
        <w:tc>
          <w:tcPr>
            <w:tcW w:w="3040" w:type="dxa"/>
            <w:vAlign w:val="bottom"/>
          </w:tcPr>
          <w:p>
            <w:pPr>
              <w:jc w:val="center"/>
              <w:spacing w:after="0"/>
              <w:rPr>
                <w:sz w:val="20"/>
                <w:szCs w:val="20"/>
                <w:color w:val="auto"/>
              </w:rPr>
            </w:pPr>
            <w:r>
              <w:rPr>
                <w:rFonts w:ascii="Arial" w:cs="Arial" w:eastAsia="Arial" w:hAnsi="Arial"/>
                <w:sz w:val="17"/>
                <w:szCs w:val="17"/>
                <w:color w:val="auto"/>
                <w:w w:val="89"/>
              </w:rPr>
              <w:t>9/23/2015</w:t>
            </w:r>
          </w:p>
        </w:tc>
        <w:tc>
          <w:tcPr>
            <w:tcW w:w="1980" w:type="dxa"/>
            <w:vAlign w:val="bottom"/>
            <w:gridSpan w:val="2"/>
          </w:tcPr>
          <w:p>
            <w:pPr>
              <w:jc w:val="center"/>
              <w:ind w:left="176"/>
              <w:spacing w:after="0"/>
              <w:rPr>
                <w:sz w:val="20"/>
                <w:szCs w:val="20"/>
                <w:color w:val="auto"/>
              </w:rPr>
            </w:pPr>
            <w:r>
              <w:rPr>
                <w:rFonts w:ascii="Arial" w:cs="Arial" w:eastAsia="Arial" w:hAnsi="Arial"/>
                <w:sz w:val="17"/>
                <w:szCs w:val="17"/>
                <w:color w:val="auto"/>
                <w:w w:val="90"/>
              </w:rPr>
              <w:t>9/1/2025</w:t>
            </w:r>
          </w:p>
        </w:tc>
        <w:tc>
          <w:tcPr>
            <w:tcW w:w="1920" w:type="dxa"/>
            <w:vAlign w:val="bottom"/>
            <w:gridSpan w:val="2"/>
          </w:tcPr>
          <w:p>
            <w:pPr>
              <w:jc w:val="right"/>
              <w:spacing w:after="0"/>
              <w:rPr>
                <w:sz w:val="20"/>
                <w:szCs w:val="20"/>
                <w:color w:val="auto"/>
              </w:rPr>
            </w:pPr>
            <w:r>
              <w:rPr>
                <w:rFonts w:ascii="Arial" w:cs="Arial" w:eastAsia="Arial" w:hAnsi="Arial"/>
                <w:sz w:val="17"/>
                <w:szCs w:val="17"/>
                <w:color w:val="auto"/>
              </w:rPr>
              <w:t>3.571</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16,700</w:t>
            </w:r>
          </w:p>
        </w:tc>
        <w:tc>
          <w:tcPr>
            <w:tcW w:w="60" w:type="dxa"/>
            <w:vAlign w:val="bottom"/>
          </w:tcPr>
          <w:p>
            <w:pPr>
              <w:spacing w:after="0"/>
              <w:rPr>
                <w:sz w:val="20"/>
                <w:szCs w:val="20"/>
                <w:color w:val="auto"/>
              </w:rPr>
            </w:pPr>
          </w:p>
        </w:tc>
      </w:tr>
      <w:tr>
        <w:trPr>
          <w:trHeight w:val="248"/>
        </w:trPr>
        <w:tc>
          <w:tcPr>
            <w:tcW w:w="30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9"/>
              </w:rPr>
              <w:t>3/23/2016</w:t>
            </w:r>
          </w:p>
        </w:tc>
        <w:tc>
          <w:tcPr>
            <w:tcW w:w="1980" w:type="dxa"/>
            <w:vAlign w:val="bottom"/>
            <w:gridSpan w:val="2"/>
            <w:shd w:val="clear" w:color="auto" w:fill="CFF0FC"/>
          </w:tcPr>
          <w:p>
            <w:pPr>
              <w:jc w:val="center"/>
              <w:ind w:left="176"/>
              <w:spacing w:after="0"/>
              <w:rPr>
                <w:sz w:val="20"/>
                <w:szCs w:val="20"/>
                <w:color w:val="auto"/>
              </w:rPr>
            </w:pPr>
            <w:r>
              <w:rPr>
                <w:rFonts w:ascii="Arial" w:cs="Arial" w:eastAsia="Arial" w:hAnsi="Arial"/>
                <w:sz w:val="17"/>
                <w:szCs w:val="17"/>
                <w:color w:val="auto"/>
                <w:w w:val="90"/>
              </w:rPr>
              <w:t>3/1/2026</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3.267</w:t>
            </w:r>
          </w:p>
        </w:tc>
        <w:tc>
          <w:tcPr>
            <w:tcW w:w="6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1,500</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1,500</w:t>
            </w:r>
          </w:p>
        </w:tc>
        <w:tc>
          <w:tcPr>
            <w:tcW w:w="60" w:type="dxa"/>
            <w:vAlign w:val="bottom"/>
            <w:shd w:val="clear" w:color="auto" w:fill="CFF0FC"/>
          </w:tcPr>
          <w:p>
            <w:pPr>
              <w:spacing w:after="0"/>
              <w:rPr>
                <w:sz w:val="21"/>
                <w:szCs w:val="21"/>
                <w:color w:val="auto"/>
              </w:rPr>
            </w:pPr>
          </w:p>
        </w:tc>
      </w:tr>
      <w:tr>
        <w:trPr>
          <w:trHeight w:val="234"/>
        </w:trPr>
        <w:tc>
          <w:tcPr>
            <w:tcW w:w="3040" w:type="dxa"/>
            <w:vAlign w:val="bottom"/>
          </w:tcPr>
          <w:p>
            <w:pPr>
              <w:jc w:val="center"/>
              <w:spacing w:after="0"/>
              <w:rPr>
                <w:sz w:val="20"/>
                <w:szCs w:val="20"/>
                <w:color w:val="auto"/>
              </w:rPr>
            </w:pPr>
            <w:r>
              <w:rPr>
                <w:rFonts w:ascii="Arial" w:cs="Arial" w:eastAsia="Arial" w:hAnsi="Arial"/>
                <w:sz w:val="17"/>
                <w:szCs w:val="17"/>
                <w:color w:val="auto"/>
                <w:w w:val="89"/>
              </w:rPr>
              <w:t>3/23/2016</w:t>
            </w:r>
          </w:p>
        </w:tc>
        <w:tc>
          <w:tcPr>
            <w:tcW w:w="1980" w:type="dxa"/>
            <w:vAlign w:val="bottom"/>
            <w:gridSpan w:val="2"/>
          </w:tcPr>
          <w:p>
            <w:pPr>
              <w:jc w:val="center"/>
              <w:ind w:left="176"/>
              <w:spacing w:after="0"/>
              <w:rPr>
                <w:sz w:val="20"/>
                <w:szCs w:val="20"/>
                <w:color w:val="auto"/>
              </w:rPr>
            </w:pPr>
            <w:r>
              <w:rPr>
                <w:rFonts w:ascii="Arial" w:cs="Arial" w:eastAsia="Arial" w:hAnsi="Arial"/>
                <w:sz w:val="17"/>
                <w:szCs w:val="17"/>
                <w:color w:val="auto"/>
                <w:w w:val="90"/>
              </w:rPr>
              <w:t>3/1/2026</w:t>
            </w:r>
          </w:p>
        </w:tc>
        <w:tc>
          <w:tcPr>
            <w:tcW w:w="1920" w:type="dxa"/>
            <w:vAlign w:val="bottom"/>
            <w:gridSpan w:val="2"/>
          </w:tcPr>
          <w:p>
            <w:pPr>
              <w:jc w:val="right"/>
              <w:spacing w:after="0"/>
              <w:rPr>
                <w:sz w:val="20"/>
                <w:szCs w:val="20"/>
                <w:color w:val="auto"/>
              </w:rPr>
            </w:pPr>
            <w:r>
              <w:rPr>
                <w:rFonts w:ascii="Arial" w:cs="Arial" w:eastAsia="Arial" w:hAnsi="Arial"/>
                <w:sz w:val="17"/>
                <w:szCs w:val="17"/>
                <w:color w:val="auto"/>
              </w:rPr>
              <w:t>3.249</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2,500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21,800</w:t>
            </w:r>
          </w:p>
        </w:tc>
        <w:tc>
          <w:tcPr>
            <w:tcW w:w="60" w:type="dxa"/>
            <w:vAlign w:val="bottom"/>
          </w:tcPr>
          <w:p>
            <w:pPr>
              <w:spacing w:after="0"/>
              <w:rPr>
                <w:sz w:val="20"/>
                <w:szCs w:val="20"/>
                <w:color w:val="auto"/>
              </w:rPr>
            </w:pPr>
          </w:p>
        </w:tc>
      </w:tr>
      <w:tr>
        <w:trPr>
          <w:trHeight w:val="248"/>
        </w:trPr>
        <w:tc>
          <w:tcPr>
            <w:tcW w:w="30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9"/>
              </w:rPr>
              <w:t>9/21/2016</w:t>
            </w:r>
          </w:p>
        </w:tc>
        <w:tc>
          <w:tcPr>
            <w:tcW w:w="1980" w:type="dxa"/>
            <w:vAlign w:val="bottom"/>
            <w:gridSpan w:val="2"/>
            <w:shd w:val="clear" w:color="auto" w:fill="CFF0FC"/>
          </w:tcPr>
          <w:p>
            <w:pPr>
              <w:jc w:val="center"/>
              <w:ind w:left="176"/>
              <w:spacing w:after="0"/>
              <w:rPr>
                <w:sz w:val="20"/>
                <w:szCs w:val="20"/>
                <w:color w:val="auto"/>
              </w:rPr>
            </w:pPr>
            <w:r>
              <w:rPr>
                <w:rFonts w:ascii="Arial" w:cs="Arial" w:eastAsia="Arial" w:hAnsi="Arial"/>
                <w:sz w:val="17"/>
                <w:szCs w:val="17"/>
                <w:color w:val="auto"/>
                <w:w w:val="90"/>
              </w:rPr>
              <w:t>9/1/2026</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2.793</w:t>
            </w:r>
          </w:p>
        </w:tc>
        <w:tc>
          <w:tcPr>
            <w:tcW w:w="6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500</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500</w:t>
            </w:r>
          </w:p>
        </w:tc>
        <w:tc>
          <w:tcPr>
            <w:tcW w:w="60" w:type="dxa"/>
            <w:vAlign w:val="bottom"/>
            <w:shd w:val="clear" w:color="auto" w:fill="CFF0FC"/>
          </w:tcPr>
          <w:p>
            <w:pPr>
              <w:spacing w:after="0"/>
              <w:rPr>
                <w:sz w:val="21"/>
                <w:szCs w:val="21"/>
                <w:color w:val="auto"/>
              </w:rPr>
            </w:pPr>
          </w:p>
        </w:tc>
      </w:tr>
      <w:tr>
        <w:trPr>
          <w:trHeight w:val="234"/>
        </w:trPr>
        <w:tc>
          <w:tcPr>
            <w:tcW w:w="3040" w:type="dxa"/>
            <w:vAlign w:val="bottom"/>
          </w:tcPr>
          <w:p>
            <w:pPr>
              <w:jc w:val="center"/>
              <w:spacing w:after="0"/>
              <w:rPr>
                <w:sz w:val="20"/>
                <w:szCs w:val="20"/>
                <w:color w:val="auto"/>
              </w:rPr>
            </w:pPr>
            <w:r>
              <w:rPr>
                <w:rFonts w:ascii="Arial" w:cs="Arial" w:eastAsia="Arial" w:hAnsi="Arial"/>
                <w:sz w:val="17"/>
                <w:szCs w:val="17"/>
                <w:color w:val="auto"/>
                <w:w w:val="89"/>
              </w:rPr>
              <w:t>3/29/2017</w:t>
            </w:r>
          </w:p>
        </w:tc>
        <w:tc>
          <w:tcPr>
            <w:tcW w:w="1980" w:type="dxa"/>
            <w:vAlign w:val="bottom"/>
            <w:gridSpan w:val="2"/>
          </w:tcPr>
          <w:p>
            <w:pPr>
              <w:jc w:val="center"/>
              <w:ind w:left="176"/>
              <w:spacing w:after="0"/>
              <w:rPr>
                <w:sz w:val="20"/>
                <w:szCs w:val="20"/>
                <w:color w:val="auto"/>
              </w:rPr>
            </w:pPr>
            <w:r>
              <w:rPr>
                <w:rFonts w:ascii="Arial" w:cs="Arial" w:eastAsia="Arial" w:hAnsi="Arial"/>
                <w:sz w:val="17"/>
                <w:szCs w:val="17"/>
                <w:color w:val="auto"/>
                <w:w w:val="90"/>
              </w:rPr>
              <w:t>3/1/2027</w:t>
            </w:r>
          </w:p>
        </w:tc>
        <w:tc>
          <w:tcPr>
            <w:tcW w:w="1920" w:type="dxa"/>
            <w:vAlign w:val="bottom"/>
            <w:gridSpan w:val="2"/>
          </w:tcPr>
          <w:p>
            <w:pPr>
              <w:jc w:val="right"/>
              <w:spacing w:after="0"/>
              <w:rPr>
                <w:sz w:val="20"/>
                <w:szCs w:val="20"/>
                <w:color w:val="auto"/>
              </w:rPr>
            </w:pPr>
            <w:r>
              <w:rPr>
                <w:rFonts w:ascii="Arial" w:cs="Arial" w:eastAsia="Arial" w:hAnsi="Arial"/>
                <w:sz w:val="17"/>
                <w:szCs w:val="17"/>
                <w:color w:val="auto"/>
              </w:rPr>
              <w:t>3.587</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10,000</w:t>
            </w:r>
          </w:p>
        </w:tc>
        <w:tc>
          <w:tcPr>
            <w:tcW w:w="60" w:type="dxa"/>
            <w:vAlign w:val="bottom"/>
          </w:tcPr>
          <w:p>
            <w:pPr>
              <w:spacing w:after="0"/>
              <w:rPr>
                <w:sz w:val="20"/>
                <w:szCs w:val="20"/>
                <w:color w:val="auto"/>
              </w:rPr>
            </w:pPr>
          </w:p>
        </w:tc>
      </w:tr>
      <w:tr>
        <w:trPr>
          <w:trHeight w:val="248"/>
        </w:trPr>
        <w:tc>
          <w:tcPr>
            <w:tcW w:w="30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9"/>
              </w:rPr>
              <w:t>9/20/2017</w:t>
            </w:r>
          </w:p>
        </w:tc>
        <w:tc>
          <w:tcPr>
            <w:tcW w:w="1980" w:type="dxa"/>
            <w:vAlign w:val="bottom"/>
            <w:gridSpan w:val="2"/>
            <w:shd w:val="clear" w:color="auto" w:fill="CFF0FC"/>
          </w:tcPr>
          <w:p>
            <w:pPr>
              <w:jc w:val="center"/>
              <w:ind w:left="176"/>
              <w:spacing w:after="0"/>
              <w:rPr>
                <w:sz w:val="20"/>
                <w:szCs w:val="20"/>
                <w:color w:val="auto"/>
              </w:rPr>
            </w:pPr>
            <w:r>
              <w:rPr>
                <w:rFonts w:ascii="Arial" w:cs="Arial" w:eastAsia="Arial" w:hAnsi="Arial"/>
                <w:sz w:val="17"/>
                <w:szCs w:val="17"/>
                <w:color w:val="auto"/>
                <w:w w:val="90"/>
              </w:rPr>
              <w:t>9/1/2027</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3.260</w:t>
            </w:r>
          </w:p>
        </w:tc>
        <w:tc>
          <w:tcPr>
            <w:tcW w:w="6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1,000</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1,000</w:t>
            </w:r>
          </w:p>
        </w:tc>
        <w:tc>
          <w:tcPr>
            <w:tcW w:w="60" w:type="dxa"/>
            <w:vAlign w:val="bottom"/>
            <w:shd w:val="clear" w:color="auto" w:fill="CFF0FC"/>
          </w:tcPr>
          <w:p>
            <w:pPr>
              <w:spacing w:after="0"/>
              <w:rPr>
                <w:sz w:val="21"/>
                <w:szCs w:val="21"/>
                <w:color w:val="auto"/>
              </w:rPr>
            </w:pPr>
          </w:p>
        </w:tc>
      </w:tr>
      <w:tr>
        <w:trPr>
          <w:trHeight w:val="234"/>
        </w:trPr>
        <w:tc>
          <w:tcPr>
            <w:tcW w:w="3040" w:type="dxa"/>
            <w:vAlign w:val="bottom"/>
          </w:tcPr>
          <w:p>
            <w:pPr>
              <w:jc w:val="center"/>
              <w:spacing w:after="0"/>
              <w:rPr>
                <w:sz w:val="20"/>
                <w:szCs w:val="20"/>
                <w:color w:val="auto"/>
              </w:rPr>
            </w:pPr>
            <w:r>
              <w:rPr>
                <w:rFonts w:ascii="Arial" w:cs="Arial" w:eastAsia="Arial" w:hAnsi="Arial"/>
                <w:sz w:val="17"/>
                <w:szCs w:val="17"/>
                <w:color w:val="auto"/>
                <w:w w:val="89"/>
              </w:rPr>
              <w:t>9/20/2017</w:t>
            </w:r>
          </w:p>
        </w:tc>
        <w:tc>
          <w:tcPr>
            <w:tcW w:w="1980" w:type="dxa"/>
            <w:vAlign w:val="bottom"/>
            <w:gridSpan w:val="2"/>
          </w:tcPr>
          <w:p>
            <w:pPr>
              <w:jc w:val="center"/>
              <w:ind w:left="176"/>
              <w:spacing w:after="0"/>
              <w:rPr>
                <w:sz w:val="20"/>
                <w:szCs w:val="20"/>
                <w:color w:val="auto"/>
              </w:rPr>
            </w:pPr>
            <w:r>
              <w:rPr>
                <w:rFonts w:ascii="Arial" w:cs="Arial" w:eastAsia="Arial" w:hAnsi="Arial"/>
                <w:sz w:val="17"/>
                <w:szCs w:val="17"/>
                <w:color w:val="auto"/>
                <w:w w:val="90"/>
              </w:rPr>
              <w:t>9/1/2027</w:t>
            </w:r>
          </w:p>
        </w:tc>
        <w:tc>
          <w:tcPr>
            <w:tcW w:w="1920" w:type="dxa"/>
            <w:vAlign w:val="bottom"/>
            <w:gridSpan w:val="2"/>
          </w:tcPr>
          <w:p>
            <w:pPr>
              <w:jc w:val="right"/>
              <w:spacing w:after="0"/>
              <w:rPr>
                <w:sz w:val="20"/>
                <w:szCs w:val="20"/>
                <w:color w:val="auto"/>
              </w:rPr>
            </w:pPr>
            <w:r>
              <w:rPr>
                <w:rFonts w:ascii="Arial" w:cs="Arial" w:eastAsia="Arial" w:hAnsi="Arial"/>
                <w:sz w:val="17"/>
                <w:szCs w:val="17"/>
                <w:color w:val="auto"/>
              </w:rPr>
              <w:t>3.190</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33,000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33,000</w:t>
            </w:r>
          </w:p>
        </w:tc>
        <w:tc>
          <w:tcPr>
            <w:tcW w:w="60" w:type="dxa"/>
            <w:vAlign w:val="bottom"/>
          </w:tcPr>
          <w:p>
            <w:pPr>
              <w:spacing w:after="0"/>
              <w:rPr>
                <w:sz w:val="20"/>
                <w:szCs w:val="20"/>
                <w:color w:val="auto"/>
              </w:rPr>
            </w:pPr>
          </w:p>
        </w:tc>
      </w:tr>
      <w:tr>
        <w:trPr>
          <w:trHeight w:val="248"/>
        </w:trPr>
        <w:tc>
          <w:tcPr>
            <w:tcW w:w="30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9"/>
              </w:rPr>
              <w:t>3/21/2018</w:t>
            </w:r>
          </w:p>
        </w:tc>
        <w:tc>
          <w:tcPr>
            <w:tcW w:w="1980" w:type="dxa"/>
            <w:vAlign w:val="bottom"/>
            <w:gridSpan w:val="2"/>
            <w:shd w:val="clear" w:color="auto" w:fill="CFF0FC"/>
          </w:tcPr>
          <w:p>
            <w:pPr>
              <w:jc w:val="center"/>
              <w:ind w:left="176"/>
              <w:spacing w:after="0"/>
              <w:rPr>
                <w:sz w:val="20"/>
                <w:szCs w:val="20"/>
                <w:color w:val="auto"/>
              </w:rPr>
            </w:pPr>
            <w:r>
              <w:rPr>
                <w:rFonts w:ascii="Arial" w:cs="Arial" w:eastAsia="Arial" w:hAnsi="Arial"/>
                <w:sz w:val="17"/>
                <w:szCs w:val="17"/>
                <w:color w:val="auto"/>
                <w:w w:val="90"/>
              </w:rPr>
              <w:t>3/1/2028</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3.859</w:t>
            </w:r>
          </w:p>
        </w:tc>
        <w:tc>
          <w:tcPr>
            <w:tcW w:w="6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16,000</w:t>
            </w:r>
          </w:p>
        </w:tc>
        <w:tc>
          <w:tcPr>
            <w:tcW w:w="60" w:type="dxa"/>
            <w:vAlign w:val="bottom"/>
            <w:shd w:val="clear" w:color="auto" w:fill="CFF0FC"/>
          </w:tcPr>
          <w:p>
            <w:pPr>
              <w:spacing w:after="0"/>
              <w:rPr>
                <w:sz w:val="21"/>
                <w:szCs w:val="21"/>
                <w:color w:val="auto"/>
              </w:rPr>
            </w:pPr>
          </w:p>
        </w:tc>
      </w:tr>
      <w:tr>
        <w:trPr>
          <w:trHeight w:val="234"/>
        </w:trPr>
        <w:tc>
          <w:tcPr>
            <w:tcW w:w="3040" w:type="dxa"/>
            <w:vAlign w:val="bottom"/>
          </w:tcPr>
          <w:p>
            <w:pPr>
              <w:jc w:val="center"/>
              <w:spacing w:after="0"/>
              <w:rPr>
                <w:sz w:val="20"/>
                <w:szCs w:val="20"/>
                <w:color w:val="auto"/>
              </w:rPr>
            </w:pPr>
            <w:r>
              <w:rPr>
                <w:rFonts w:ascii="Arial" w:cs="Arial" w:eastAsia="Arial" w:hAnsi="Arial"/>
                <w:sz w:val="17"/>
                <w:szCs w:val="17"/>
                <w:color w:val="auto"/>
                <w:w w:val="89"/>
              </w:rPr>
              <w:t>3/21/2018</w:t>
            </w:r>
          </w:p>
        </w:tc>
        <w:tc>
          <w:tcPr>
            <w:tcW w:w="1980" w:type="dxa"/>
            <w:vAlign w:val="bottom"/>
            <w:gridSpan w:val="2"/>
          </w:tcPr>
          <w:p>
            <w:pPr>
              <w:jc w:val="center"/>
              <w:ind w:left="176"/>
              <w:spacing w:after="0"/>
              <w:rPr>
                <w:sz w:val="20"/>
                <w:szCs w:val="20"/>
                <w:color w:val="auto"/>
              </w:rPr>
            </w:pPr>
            <w:r>
              <w:rPr>
                <w:rFonts w:ascii="Arial" w:cs="Arial" w:eastAsia="Arial" w:hAnsi="Arial"/>
                <w:sz w:val="17"/>
                <w:szCs w:val="17"/>
                <w:color w:val="auto"/>
                <w:w w:val="90"/>
              </w:rPr>
              <w:t>3/1/2028</w:t>
            </w:r>
          </w:p>
        </w:tc>
        <w:tc>
          <w:tcPr>
            <w:tcW w:w="1920" w:type="dxa"/>
            <w:vAlign w:val="bottom"/>
            <w:gridSpan w:val="2"/>
          </w:tcPr>
          <w:p>
            <w:pPr>
              <w:jc w:val="right"/>
              <w:spacing w:after="0"/>
              <w:rPr>
                <w:sz w:val="20"/>
                <w:szCs w:val="20"/>
                <w:color w:val="auto"/>
              </w:rPr>
            </w:pPr>
            <w:r>
              <w:rPr>
                <w:rFonts w:ascii="Arial" w:cs="Arial" w:eastAsia="Arial" w:hAnsi="Arial"/>
                <w:sz w:val="17"/>
                <w:szCs w:val="17"/>
                <w:color w:val="auto"/>
              </w:rPr>
              <w:t>3.534</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9,000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10,500</w:t>
            </w:r>
          </w:p>
        </w:tc>
        <w:tc>
          <w:tcPr>
            <w:tcW w:w="60" w:type="dxa"/>
            <w:vAlign w:val="bottom"/>
          </w:tcPr>
          <w:p>
            <w:pPr>
              <w:spacing w:after="0"/>
              <w:rPr>
                <w:sz w:val="20"/>
                <w:szCs w:val="20"/>
                <w:color w:val="auto"/>
              </w:rPr>
            </w:pPr>
          </w:p>
        </w:tc>
      </w:tr>
      <w:tr>
        <w:trPr>
          <w:trHeight w:val="248"/>
        </w:trPr>
        <w:tc>
          <w:tcPr>
            <w:tcW w:w="30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9"/>
              </w:rPr>
              <w:t>9/25/2019</w:t>
            </w:r>
          </w:p>
        </w:tc>
        <w:tc>
          <w:tcPr>
            <w:tcW w:w="1980" w:type="dxa"/>
            <w:vAlign w:val="bottom"/>
            <w:gridSpan w:val="2"/>
            <w:shd w:val="clear" w:color="auto" w:fill="CFF0FC"/>
          </w:tcPr>
          <w:p>
            <w:pPr>
              <w:jc w:val="center"/>
              <w:ind w:left="176"/>
              <w:spacing w:after="0"/>
              <w:rPr>
                <w:sz w:val="20"/>
                <w:szCs w:val="20"/>
                <w:color w:val="auto"/>
              </w:rPr>
            </w:pPr>
            <w:r>
              <w:rPr>
                <w:rFonts w:ascii="Arial" w:cs="Arial" w:eastAsia="Arial" w:hAnsi="Arial"/>
                <w:sz w:val="17"/>
                <w:szCs w:val="17"/>
                <w:color w:val="auto"/>
                <w:w w:val="90"/>
              </w:rPr>
              <w:t>9/1/2029</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2.377</w:t>
            </w:r>
          </w:p>
        </w:tc>
        <w:tc>
          <w:tcPr>
            <w:tcW w:w="6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7,500</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7,500</w:t>
            </w:r>
          </w:p>
        </w:tc>
        <w:tc>
          <w:tcPr>
            <w:tcW w:w="60" w:type="dxa"/>
            <w:vAlign w:val="bottom"/>
            <w:shd w:val="clear" w:color="auto" w:fill="CFF0FC"/>
          </w:tcPr>
          <w:p>
            <w:pPr>
              <w:spacing w:after="0"/>
              <w:rPr>
                <w:sz w:val="21"/>
                <w:szCs w:val="21"/>
                <w:color w:val="auto"/>
              </w:rPr>
            </w:pPr>
          </w:p>
        </w:tc>
      </w:tr>
      <w:tr>
        <w:trPr>
          <w:trHeight w:val="234"/>
        </w:trPr>
        <w:tc>
          <w:tcPr>
            <w:tcW w:w="3040" w:type="dxa"/>
            <w:vAlign w:val="bottom"/>
          </w:tcPr>
          <w:p>
            <w:pPr>
              <w:jc w:val="center"/>
              <w:spacing w:after="0"/>
              <w:rPr>
                <w:sz w:val="20"/>
                <w:szCs w:val="20"/>
                <w:color w:val="auto"/>
              </w:rPr>
            </w:pPr>
            <w:r>
              <w:rPr>
                <w:rFonts w:ascii="Arial" w:cs="Arial" w:eastAsia="Arial" w:hAnsi="Arial"/>
                <w:sz w:val="17"/>
                <w:szCs w:val="17"/>
                <w:color w:val="auto"/>
                <w:w w:val="89"/>
              </w:rPr>
              <w:t>3/25/2020</w:t>
            </w:r>
          </w:p>
        </w:tc>
        <w:tc>
          <w:tcPr>
            <w:tcW w:w="1980" w:type="dxa"/>
            <w:vAlign w:val="bottom"/>
            <w:gridSpan w:val="2"/>
          </w:tcPr>
          <w:p>
            <w:pPr>
              <w:jc w:val="center"/>
              <w:ind w:left="176"/>
              <w:spacing w:after="0"/>
              <w:rPr>
                <w:sz w:val="20"/>
                <w:szCs w:val="20"/>
                <w:color w:val="auto"/>
              </w:rPr>
            </w:pPr>
            <w:r>
              <w:rPr>
                <w:rFonts w:ascii="Arial" w:cs="Arial" w:eastAsia="Arial" w:hAnsi="Arial"/>
                <w:sz w:val="17"/>
                <w:szCs w:val="17"/>
                <w:color w:val="auto"/>
                <w:w w:val="90"/>
              </w:rPr>
              <w:t>3/1/2030</w:t>
            </w:r>
          </w:p>
        </w:tc>
        <w:tc>
          <w:tcPr>
            <w:tcW w:w="1920" w:type="dxa"/>
            <w:vAlign w:val="bottom"/>
            <w:gridSpan w:val="2"/>
          </w:tcPr>
          <w:p>
            <w:pPr>
              <w:jc w:val="right"/>
              <w:spacing w:after="0"/>
              <w:rPr>
                <w:sz w:val="20"/>
                <w:szCs w:val="20"/>
                <w:color w:val="auto"/>
              </w:rPr>
            </w:pPr>
            <w:r>
              <w:rPr>
                <w:rFonts w:ascii="Arial" w:cs="Arial" w:eastAsia="Arial" w:hAnsi="Arial"/>
                <w:sz w:val="17"/>
                <w:szCs w:val="17"/>
                <w:color w:val="auto"/>
              </w:rPr>
              <w:t>2.172</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6,000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6,000</w:t>
            </w:r>
          </w:p>
        </w:tc>
        <w:tc>
          <w:tcPr>
            <w:tcW w:w="60" w:type="dxa"/>
            <w:vAlign w:val="bottom"/>
          </w:tcPr>
          <w:p>
            <w:pPr>
              <w:spacing w:after="0"/>
              <w:rPr>
                <w:sz w:val="20"/>
                <w:szCs w:val="20"/>
                <w:color w:val="auto"/>
              </w:rPr>
            </w:pPr>
          </w:p>
        </w:tc>
      </w:tr>
      <w:tr>
        <w:trPr>
          <w:trHeight w:val="247"/>
        </w:trPr>
        <w:tc>
          <w:tcPr>
            <w:tcW w:w="30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7"/>
                <w:szCs w:val="17"/>
                <w:color w:val="auto"/>
                <w:w w:val="89"/>
              </w:rPr>
              <w:t>9/22/2021</w:t>
            </w:r>
          </w:p>
        </w:tc>
        <w:tc>
          <w:tcPr>
            <w:tcW w:w="1980" w:type="dxa"/>
            <w:vAlign w:val="bottom"/>
            <w:tcBorders>
              <w:bottom w:val="single" w:sz="8" w:color="CFF0FC"/>
            </w:tcBorders>
            <w:gridSpan w:val="2"/>
            <w:shd w:val="clear" w:color="auto" w:fill="CFF0FC"/>
          </w:tcPr>
          <w:p>
            <w:pPr>
              <w:jc w:val="center"/>
              <w:ind w:left="176"/>
              <w:spacing w:after="0"/>
              <w:rPr>
                <w:sz w:val="20"/>
                <w:szCs w:val="20"/>
                <w:color w:val="auto"/>
              </w:rPr>
            </w:pPr>
            <w:r>
              <w:rPr>
                <w:rFonts w:ascii="Arial" w:cs="Arial" w:eastAsia="Arial" w:hAnsi="Arial"/>
                <w:sz w:val="17"/>
                <w:szCs w:val="17"/>
                <w:color w:val="auto"/>
                <w:w w:val="90"/>
              </w:rPr>
              <w:t>9/1/2031</w:t>
            </w:r>
          </w:p>
        </w:tc>
        <w:tc>
          <w:tcPr>
            <w:tcW w:w="19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7"/>
                <w:szCs w:val="17"/>
                <w:color w:val="auto"/>
              </w:rPr>
              <w:t>1.398</w:t>
            </w:r>
          </w:p>
        </w:tc>
        <w:tc>
          <w:tcPr>
            <w:tcW w:w="6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11,500</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FF0FC"/>
            </w:tcBorders>
            <w:shd w:val="clear" w:color="auto" w:fill="CFF0FC"/>
          </w:tcPr>
          <w:p>
            <w:pPr>
              <w:spacing w:after="0"/>
              <w:rPr>
                <w:sz w:val="21"/>
                <w:szCs w:val="21"/>
                <w:color w:val="auto"/>
              </w:rPr>
            </w:pPr>
          </w:p>
        </w:tc>
      </w:tr>
      <w:tr>
        <w:trPr>
          <w:trHeight w:val="234"/>
        </w:trPr>
        <w:tc>
          <w:tcPr>
            <w:tcW w:w="3040" w:type="dxa"/>
            <w:vAlign w:val="bottom"/>
          </w:tcPr>
          <w:p>
            <w:pPr>
              <w:ind w:left="20"/>
              <w:spacing w:after="0"/>
              <w:rPr>
                <w:sz w:val="20"/>
                <w:szCs w:val="20"/>
                <w:color w:val="auto"/>
              </w:rPr>
            </w:pPr>
            <w:r>
              <w:rPr>
                <w:rFonts w:ascii="Arial" w:cs="Arial" w:eastAsia="Arial" w:hAnsi="Arial"/>
                <w:sz w:val="17"/>
                <w:szCs w:val="17"/>
                <w:color w:val="auto"/>
              </w:rPr>
              <w:t>Total outstanding SBA debentures</w:t>
            </w: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95,000</w:t>
            </w: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147,000</w:t>
            </w:r>
          </w:p>
        </w:tc>
        <w:tc>
          <w:tcPr>
            <w:tcW w:w="60" w:type="dxa"/>
            <w:vAlign w:val="bottom"/>
          </w:tcPr>
          <w:p>
            <w:pPr>
              <w:spacing w:after="0"/>
              <w:rPr>
                <w:sz w:val="20"/>
                <w:szCs w:val="20"/>
                <w:color w:val="auto"/>
              </w:rPr>
            </w:pPr>
          </w:p>
        </w:tc>
      </w:tr>
      <w:tr>
        <w:trPr>
          <w:trHeight w:val="20"/>
        </w:trPr>
        <w:tc>
          <w:tcPr>
            <w:tcW w:w="3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5837555</wp:posOffset>
            </wp:positionH>
            <wp:positionV relativeFrom="paragraph">
              <wp:posOffset>-181610</wp:posOffset>
            </wp:positionV>
            <wp:extent cx="209550" cy="50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09550" cy="5080"/>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-181610</wp:posOffset>
            </wp:positionV>
            <wp:extent cx="48260" cy="50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8260" cy="5080"/>
                    </a:xfrm>
                    <a:prstGeom prst="rect">
                      <a:avLst/>
                    </a:prstGeom>
                    <a:noFill/>
                  </pic:spPr>
                </pic:pic>
              </a:graphicData>
            </a:graphic>
          </wp:anchor>
        </w:drawing>
      </w:r>
    </w:p>
    <w:p>
      <w:pPr>
        <w:spacing w:after="0" w:line="190" w:lineRule="exact"/>
        <w:rPr>
          <w:sz w:val="20"/>
          <w:szCs w:val="20"/>
          <w:color w:val="auto"/>
        </w:rPr>
      </w:pPr>
    </w:p>
    <w:p>
      <w:pPr>
        <w:ind w:left="480" w:hanging="466"/>
        <w:spacing w:after="0"/>
        <w:tabs>
          <w:tab w:leader="none" w:pos="4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SBA has two scheduled pooling dates for debentures (in March and in September). Certain debentures funded during the reporting periods may not be pooled until the subsequent pooling date.</w:t>
      </w:r>
    </w:p>
    <w:p>
      <w:pPr>
        <w:spacing w:after="0" w:line="198" w:lineRule="exact"/>
        <w:rPr>
          <w:sz w:val="20"/>
          <w:szCs w:val="20"/>
          <w:color w:val="auto"/>
        </w:rPr>
      </w:pPr>
    </w:p>
    <w:p>
      <w:pPr>
        <w:jc w:val="both"/>
        <w:ind w:firstLine="469"/>
        <w:spacing w:after="0" w:line="311" w:lineRule="auto"/>
        <w:rPr>
          <w:sz w:val="20"/>
          <w:szCs w:val="20"/>
          <w:color w:val="auto"/>
        </w:rPr>
      </w:pPr>
      <w:r>
        <w:rPr>
          <w:rFonts w:ascii="Arial" w:cs="Arial" w:eastAsia="Arial" w:hAnsi="Arial"/>
          <w:sz w:val="15"/>
          <w:szCs w:val="15"/>
          <w:i w:val="1"/>
          <w:iCs w:val="1"/>
          <w:color w:val="auto"/>
        </w:rPr>
        <w:t xml:space="preserve">Notes: </w:t>
      </w:r>
      <w:r>
        <w:rPr>
          <w:rFonts w:ascii="Arial" w:cs="Arial" w:eastAsia="Arial" w:hAnsi="Arial"/>
          <w:sz w:val="15"/>
          <w:szCs w:val="15"/>
          <w:color w:val="auto"/>
        </w:rPr>
        <w:t>On February 2, 2018, the Company closed the public offering of approximately $43,478 in aggregate principal amount of its 5.875% notes due 2023, or</w:t>
      </w:r>
      <w:r>
        <w:rPr>
          <w:rFonts w:ascii="Arial" w:cs="Arial" w:eastAsia="Arial" w:hAnsi="Arial"/>
          <w:sz w:val="15"/>
          <w:szCs w:val="15"/>
          <w:i w:val="1"/>
          <w:iCs w:val="1"/>
          <w:color w:val="auto"/>
        </w:rPr>
        <w:t xml:space="preserve"> </w:t>
      </w:r>
      <w:r>
        <w:rPr>
          <w:rFonts w:ascii="Arial" w:cs="Arial" w:eastAsia="Arial" w:hAnsi="Arial"/>
          <w:sz w:val="15"/>
          <w:szCs w:val="15"/>
          <w:color w:val="auto"/>
        </w:rPr>
        <w:t>the “2023 Notes.” On February 22, 2018, the underwriters exercised their option to purchase an additional $6,522 in aggregate principal of the 2023 Notes. The total net proceeds to the Company from the 2023 Notes, including the exercise of the underwriters’ option, after deducting underwriting discounts of approximately $1,500 and offering expenses of $438, were approximately $48,062. The 2023 Notes mature on February 1, 2023 and bear interest at a rate of 5.875%. The 2023 Notes may be redeemed in whole or in part at any time or from time to time at the Company’s option on or after February 1, 2020. On January 19, 2021, the Company redeemed $50,000 in aggregate principal amount of the issued and outstanding 2023 Notes, resulting in a realized loss on extinguishment of debt of approximately $794.</w:t>
      </w:r>
    </w:p>
    <w:p>
      <w:pPr>
        <w:spacing w:after="0" w:line="104" w:lineRule="exact"/>
        <w:rPr>
          <w:sz w:val="20"/>
          <w:szCs w:val="20"/>
          <w:color w:val="auto"/>
        </w:rPr>
      </w:pPr>
    </w:p>
    <w:p>
      <w:pPr>
        <w:jc w:val="both"/>
        <w:ind w:firstLine="510"/>
        <w:spacing w:after="0" w:line="294" w:lineRule="auto"/>
        <w:rPr>
          <w:sz w:val="20"/>
          <w:szCs w:val="20"/>
          <w:color w:val="auto"/>
        </w:rPr>
      </w:pPr>
      <w:r>
        <w:rPr>
          <w:rFonts w:ascii="Arial" w:cs="Arial" w:eastAsia="Arial" w:hAnsi="Arial"/>
          <w:sz w:val="16"/>
          <w:szCs w:val="16"/>
          <w:color w:val="auto"/>
        </w:rPr>
        <w:t>On February 8, 2019, the Company closed the public offering of approximately $60,000 in aggregate principal amount of its 6.000% notes due 2024, or the “February 2024 Notes”. On February 19, 2019, the underwriters exercised their option to purchase an additional $9,000 in aggregate principal of the February 2024 Notes. The total net proceeds to the Company from the February 2024 Notes, including the exercise of the underwriters’ option, after deducting underwriting discounts of approximately $2,070 and estimated offering expenses of $409, were approximately $66,521.</w:t>
      </w:r>
    </w:p>
    <w:p>
      <w:pPr>
        <w:spacing w:after="0" w:line="113"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The February 2024 Notes mature on February 15, 2024 and bear interest at a rate of 6.000%. The February 2024 Notes may be redeemed in whole or in part at any time or from time to time at the Company’s option on or after February 15, 2021. Interest on the February 2024 Notes is payable quarterly on February 15, May 15, August 15 and November 15 of each year. The February 2024 Notes are listed on the NASDAQ Global Select Market under the trading symbol “FDUSZ.” On February 16, 2021, the Company redeemed $50,000 of the $69,000 aggregate principal amount on the February 2024 Notes, resulting in a realized loss on extinguishment of debt of approximately $1,081.</w:t>
      </w:r>
    </w:p>
    <w:p>
      <w:pPr>
        <w:spacing w:after="0" w:line="130" w:lineRule="exact"/>
        <w:rPr>
          <w:sz w:val="20"/>
          <w:szCs w:val="20"/>
          <w:color w:val="auto"/>
        </w:rPr>
      </w:pPr>
    </w:p>
    <w:p>
      <w:pPr>
        <w:jc w:val="both"/>
        <w:ind w:firstLine="510"/>
        <w:spacing w:after="0" w:line="299" w:lineRule="auto"/>
        <w:rPr>
          <w:sz w:val="20"/>
          <w:szCs w:val="20"/>
          <w:color w:val="auto"/>
        </w:rPr>
      </w:pPr>
      <w:r>
        <w:rPr>
          <w:rFonts w:ascii="Arial" w:cs="Arial" w:eastAsia="Arial" w:hAnsi="Arial"/>
          <w:sz w:val="15"/>
          <w:szCs w:val="15"/>
          <w:color w:val="auto"/>
        </w:rPr>
        <w:t>On October 16, 2019, the Company closed the public offering of approximately $55,000 in aggregate principal amount of its 5.375% notes due 2024, or the “November 2024 Notes” (and collectively with the 2023 Notes and February 2024 Notes, the “Public Notes”). On October 23, 2019, the underwriters exercised their option to purchase an additional $8,250 in aggregate principal of the November 2024 Notes. The total net proceeds to the Company from the November 2024 Notes, including the exercise of the underwriters’ option, after deducting underwriting discounts of approximately $1,898 and estimated offering expenses of $300, were approximately $61,053. The November 2024 Notes will mature on November 1, 2024 and bear interest at a rate of 5.375%. The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(unaudited)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November 2024 Notes may be redeemed in whole or in part at any time or from time to time at the Company’s option on or after November 1, 2021. Interest on the November 2024 Notes is payable quarterly on February 1, May 1, August 1 and November 1 of each year. The November 2024 Notes are listed on the NASDAQ Global Select Market under the trading symbol “FDUSG.”</w:t>
      </w:r>
    </w:p>
    <w:p>
      <w:pPr>
        <w:spacing w:after="0" w:line="124" w:lineRule="exact"/>
        <w:rPr>
          <w:sz w:val="20"/>
          <w:szCs w:val="20"/>
          <w:color w:val="auto"/>
        </w:rPr>
      </w:pPr>
    </w:p>
    <w:p>
      <w:pPr>
        <w:jc w:val="both"/>
        <w:ind w:firstLine="469"/>
        <w:spacing w:after="0" w:line="289" w:lineRule="auto"/>
        <w:rPr>
          <w:sz w:val="20"/>
          <w:szCs w:val="20"/>
          <w:color w:val="auto"/>
        </w:rPr>
      </w:pPr>
      <w:r>
        <w:rPr>
          <w:rFonts w:ascii="Arial" w:cs="Arial" w:eastAsia="Arial" w:hAnsi="Arial"/>
          <w:sz w:val="16"/>
          <w:szCs w:val="16"/>
          <w:color w:val="auto"/>
        </w:rPr>
        <w:t>On December 23, 2020, the Company closed the offering of approximately $125,000 in aggregate principal amount of its 4.75% notes due 2026, or the “2026 Notes” (collectively with the Public Notes, the “Notes”). The total net proceeds to the Company from the 2026 Notes after deducting underwriting discounts of $2,500 and estimated offering expenses of $400, were approximately $122,100. The 2026 Notes will mature on January 31, 2026 and bear interest at a rate of 4.75%. The 2026 Notes may be redeemed in whole or in part at any time or from time to time at our option subject to a make whole provision if redeemed more than three months prior to maturity and at par thereafter. Interest on the 2026 Notes is payable on January 31 and July 31 of each year. The Company does not intend to list the 2026 Notes on any securities exchange or automated dealer quotation system.</w:t>
      </w:r>
    </w:p>
    <w:p>
      <w:pPr>
        <w:spacing w:after="0" w:line="116" w:lineRule="exact"/>
        <w:rPr>
          <w:sz w:val="20"/>
          <w:szCs w:val="20"/>
          <w:color w:val="auto"/>
        </w:rPr>
      </w:pPr>
    </w:p>
    <w:p>
      <w:pPr>
        <w:jc w:val="both"/>
        <w:ind w:firstLine="469"/>
        <w:spacing w:after="0" w:line="272" w:lineRule="auto"/>
        <w:rPr>
          <w:sz w:val="20"/>
          <w:szCs w:val="20"/>
          <w:color w:val="auto"/>
        </w:rPr>
      </w:pPr>
      <w:r>
        <w:rPr>
          <w:rFonts w:ascii="Arial" w:cs="Arial" w:eastAsia="Arial" w:hAnsi="Arial"/>
          <w:sz w:val="17"/>
          <w:szCs w:val="17"/>
          <w:color w:val="auto"/>
        </w:rPr>
        <w:t>Each of the Notes are unsecured obligations of the Company and rank pari passu with the Company’s existing and future unsecured indebtedness; effectively subordinated to all of the Company’s existing and future secured indebtedness; and structurally subordinated to all existing and future indebtedness and other obligations of any of its subsidiaries, financing vehicles, or similar facilities the Company may form in the future, with respect to claims on the assets of any such subsidiaries, financing vehicles, or similar facilities.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Secured Borrowing</w:t>
      </w:r>
    </w:p>
    <w:p>
      <w:pPr>
        <w:spacing w:after="0" w:line="172" w:lineRule="exact"/>
        <w:rPr>
          <w:sz w:val="20"/>
          <w:szCs w:val="20"/>
          <w:color w:val="auto"/>
        </w:rPr>
      </w:pPr>
    </w:p>
    <w:p>
      <w:pPr>
        <w:jc w:val="both"/>
        <w:ind w:firstLine="462"/>
        <w:spacing w:after="0" w:line="319" w:lineRule="auto"/>
        <w:rPr>
          <w:sz w:val="20"/>
          <w:szCs w:val="20"/>
          <w:color w:val="auto"/>
        </w:rPr>
      </w:pPr>
      <w:r>
        <w:rPr>
          <w:rFonts w:ascii="Arial" w:cs="Arial" w:eastAsia="Arial" w:hAnsi="Arial"/>
          <w:sz w:val="15"/>
          <w:szCs w:val="15"/>
          <w:color w:val="auto"/>
        </w:rPr>
        <w:t>As of September 30, 2021, secured borrowings at fair value totaled $17,746 and the fair value of the associated loans included in investments was $17,746. As of December 31, 2020, there were no secured borrowings outstanding. These secured borrowings were created as a result of our completion of partial loan sales of certain unitranche loan assets that did not meet the definition of a “participating interest.” As a result, sale treatment was not permitted and these partial loan sales were treated as secured borrowings. The weighted average interest rate on our secured borrowings was approximately 4.4% as of September 30, 2021.</w:t>
      </w:r>
    </w:p>
    <w:p>
      <w:pPr>
        <w:spacing w:after="0" w:line="97" w:lineRule="exact"/>
        <w:rPr>
          <w:sz w:val="20"/>
          <w:szCs w:val="20"/>
          <w:color w:val="auto"/>
        </w:rPr>
      </w:pPr>
    </w:p>
    <w:p>
      <w:pPr>
        <w:jc w:val="both"/>
        <w:ind w:firstLine="469"/>
        <w:spacing w:after="0" w:line="270" w:lineRule="auto"/>
        <w:rPr>
          <w:sz w:val="20"/>
          <w:szCs w:val="20"/>
          <w:color w:val="auto"/>
        </w:rPr>
      </w:pPr>
      <w:r>
        <w:rPr>
          <w:rFonts w:ascii="Arial" w:cs="Arial" w:eastAsia="Arial" w:hAnsi="Arial"/>
          <w:sz w:val="17"/>
          <w:szCs w:val="17"/>
          <w:color w:val="auto"/>
        </w:rPr>
        <w:t>As of September 30, 2021, and December 31, 2020, the aggregate amount outstanding of the senior securities (including secured borrowings) issued by the Company was $264,996 and $307,250, respectively, for which our asset coverage was 268.9% and 233.7%, respectively. The SBA-guaranteed debentures are not subject to the asset coverage requirements of the 1940 Act as a result of exemptive relief granted to us by the SEC on June 30, 2014. The asset coverage ratio for a class of senior securities representing indebtedness is calculated as our consolidated total assets, less all liabilities and indebtedness not represented by senior securities, divided by total senior securities representing indebtedness.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and Financing Expenses</w:t>
      </w:r>
    </w:p>
    <w:p>
      <w:pPr>
        <w:spacing w:after="0" w:line="172" w:lineRule="exact"/>
        <w:rPr>
          <w:sz w:val="20"/>
          <w:szCs w:val="20"/>
          <w:color w:val="auto"/>
        </w:rPr>
      </w:pPr>
    </w:p>
    <w:p>
      <w:pPr>
        <w:jc w:val="both"/>
        <w:ind w:firstLine="601"/>
        <w:spacing w:after="0" w:line="288" w:lineRule="auto"/>
        <w:rPr>
          <w:sz w:val="20"/>
          <w:szCs w:val="20"/>
          <w:color w:val="auto"/>
        </w:rPr>
      </w:pPr>
      <w:r>
        <w:rPr>
          <w:rFonts w:ascii="Arial" w:cs="Arial" w:eastAsia="Arial" w:hAnsi="Arial"/>
          <w:sz w:val="17"/>
          <w:szCs w:val="17"/>
          <w:color w:val="auto"/>
        </w:rPr>
        <w:t>Interest and fees related to the Company’s debt for the three and nine months ended September 30, 2021 and 2020 which are included in interest and financing expenses on the consolidated statements of operations,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gridSpan w:val="13"/>
          </w:tcPr>
          <w:p>
            <w:pPr>
              <w:jc w:val="right"/>
              <w:ind w:right="320"/>
              <w:spacing w:after="0"/>
              <w:rPr>
                <w:sz w:val="20"/>
                <w:szCs w:val="20"/>
                <w:color w:val="auto"/>
              </w:rPr>
            </w:pPr>
            <w:r>
              <w:rPr>
                <w:rFonts w:ascii="Arial" w:cs="Arial" w:eastAsia="Arial" w:hAnsi="Arial"/>
                <w:sz w:val="10"/>
                <w:szCs w:val="10"/>
                <w:b w:val="1"/>
                <w:bCs w:val="1"/>
                <w:color w:val="auto"/>
              </w:rPr>
              <w:t>Three Months Ended September 30, 2021</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gridSpan w:val="11"/>
          </w:tcPr>
          <w:p>
            <w:pPr>
              <w:jc w:val="center"/>
              <w:ind w:left="14"/>
              <w:spacing w:after="0"/>
              <w:rPr>
                <w:sz w:val="20"/>
                <w:szCs w:val="20"/>
                <w:color w:val="auto"/>
              </w:rPr>
            </w:pPr>
            <w:r>
              <w:rPr>
                <w:rFonts w:ascii="Arial" w:cs="Arial" w:eastAsia="Arial" w:hAnsi="Arial"/>
                <w:sz w:val="10"/>
                <w:szCs w:val="10"/>
                <w:b w:val="1"/>
                <w:bCs w:val="1"/>
                <w:color w:val="auto"/>
                <w:w w:val="91"/>
              </w:rPr>
              <w:t>Three Months Ended September 30, 2020</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SBA</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Credit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Secured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SBA</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Credit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center"/>
              <w:spacing w:after="0"/>
              <w:rPr>
                <w:sz w:val="20"/>
                <w:szCs w:val="20"/>
                <w:color w:val="auto"/>
              </w:rPr>
            </w:pPr>
            <w:r>
              <w:rPr>
                <w:rFonts w:ascii="Arial" w:cs="Arial" w:eastAsia="Arial" w:hAnsi="Arial"/>
                <w:sz w:val="10"/>
                <w:szCs w:val="10"/>
                <w:b w:val="1"/>
                <w:bCs w:val="1"/>
                <w:color w:val="auto"/>
                <w:w w:val="86"/>
              </w:rPr>
              <w:t>Secured</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w w:val="88"/>
              </w:rPr>
              <w:t>debentures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Facility</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w w:val="89"/>
              </w:rPr>
              <w:t>Borrowings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Notes</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4"/>
          </w:tcPr>
          <w:p>
            <w:pPr>
              <w:jc w:val="right"/>
              <w:ind w:right="298"/>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w w:val="88"/>
              </w:rPr>
              <w:t>debentures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Facility</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center"/>
              <w:spacing w:after="0"/>
              <w:rPr>
                <w:sz w:val="20"/>
                <w:szCs w:val="20"/>
                <w:color w:val="auto"/>
              </w:rPr>
            </w:pPr>
            <w:r>
              <w:rPr>
                <w:rFonts w:ascii="Arial" w:cs="Arial" w:eastAsia="Arial" w:hAnsi="Arial"/>
                <w:sz w:val="10"/>
                <w:szCs w:val="10"/>
                <w:b w:val="1"/>
                <w:bCs w:val="1"/>
                <w:color w:val="auto"/>
                <w:w w:val="89"/>
              </w:rPr>
              <w:t>Borrowings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4"/>
          </w:tcPr>
          <w:p>
            <w:pPr>
              <w:ind w:left="140"/>
              <w:spacing w:after="0"/>
              <w:rPr>
                <w:sz w:val="20"/>
                <w:szCs w:val="20"/>
                <w:color w:val="auto"/>
              </w:rPr>
            </w:pPr>
            <w:r>
              <w:rPr>
                <w:rFonts w:ascii="Arial" w:cs="Arial" w:eastAsia="Arial" w:hAnsi="Arial"/>
                <w:sz w:val="10"/>
                <w:szCs w:val="10"/>
                <w:b w:val="1"/>
                <w:bCs w:val="1"/>
                <w:color w:val="auto"/>
              </w:rPr>
              <w:t>Notes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Total</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5"/>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Stated interest expense</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931</w:t>
            </w:r>
          </w:p>
        </w:tc>
        <w:tc>
          <w:tcPr>
            <w:tcW w:w="320" w:type="dxa"/>
            <w:vAlign w:val="bottom"/>
            <w:tcBorders>
              <w:bottom w:val="single" w:sz="8" w:color="CCEEFF"/>
            </w:tcBorders>
            <w:gridSpan w:val="3"/>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368</w:t>
            </w: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222</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2,603</w:t>
            </w:r>
          </w:p>
        </w:tc>
        <w:tc>
          <w:tcPr>
            <w:tcW w:w="4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4,124</w:t>
            </w:r>
          </w:p>
        </w:tc>
        <w:tc>
          <w:tcPr>
            <w:tcW w:w="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1,285</w:t>
            </w:r>
          </w:p>
        </w:tc>
        <w:tc>
          <w:tcPr>
            <w:tcW w:w="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392</w:t>
            </w:r>
          </w:p>
        </w:tc>
        <w:tc>
          <w:tcPr>
            <w:tcW w:w="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5"/>
                <w:szCs w:val="5"/>
                <w:color w:val="auto"/>
                <w:w w:val="70"/>
              </w:rPr>
              <w:t>$</w:t>
            </w:r>
          </w:p>
        </w:tc>
        <w:tc>
          <w:tcPr>
            <w:tcW w:w="50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gridSpan w:val="2"/>
            <w:shd w:val="clear" w:color="auto" w:fill="CCEEFF"/>
          </w:tcPr>
          <w:p>
            <w:pPr>
              <w:jc w:val="right"/>
              <w:ind w:right="17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79"/>
              </w:rPr>
              <w:t>2,619</w:t>
            </w:r>
          </w:p>
        </w:tc>
        <w:tc>
          <w:tcPr>
            <w:tcW w:w="1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gridSpan w:val="2"/>
            <w:shd w:val="clear" w:color="auto" w:fill="CCEEFF"/>
          </w:tcPr>
          <w:p>
            <w:pPr>
              <w:jc w:val="center"/>
              <w:ind w:left="74"/>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4,296</w:t>
            </w:r>
          </w:p>
        </w:tc>
        <w:tc>
          <w:tcPr>
            <w:tcW w:w="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700" w:type="dxa"/>
            <w:vAlign w:val="bottom"/>
          </w:tcPr>
          <w:p>
            <w:pPr>
              <w:ind w:left="20"/>
              <w:spacing w:after="0"/>
              <w:rPr>
                <w:sz w:val="20"/>
                <w:szCs w:val="20"/>
                <w:color w:val="auto"/>
              </w:rPr>
            </w:pPr>
            <w:r>
              <w:rPr>
                <w:rFonts w:ascii="Arial" w:cs="Arial" w:eastAsia="Arial" w:hAnsi="Arial"/>
                <w:sz w:val="10"/>
                <w:szCs w:val="10"/>
                <w:color w:val="auto"/>
              </w:rPr>
              <w:t>Amortization of deferred financing costs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0"/>
                <w:szCs w:val="10"/>
                <w:color w:val="auto"/>
              </w:rPr>
              <w:t>138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spacing w:after="0"/>
              <w:rPr>
                <w:sz w:val="20"/>
                <w:szCs w:val="20"/>
                <w:color w:val="auto"/>
              </w:rPr>
            </w:pPr>
            <w:r>
              <w:rPr>
                <w:rFonts w:ascii="Arial" w:cs="Arial" w:eastAsia="Arial" w:hAnsi="Arial"/>
                <w:sz w:val="10"/>
                <w:szCs w:val="10"/>
                <w:color w:val="auto"/>
              </w:rPr>
              <w:t>115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0"/>
                <w:szCs w:val="10"/>
                <w:color w:val="auto"/>
              </w:rPr>
              <w:t>285</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538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0"/>
                <w:szCs w:val="10"/>
                <w:color w:val="auto"/>
              </w:rPr>
              <w:t>136</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0"/>
                <w:szCs w:val="10"/>
                <w:color w:val="auto"/>
              </w:rPr>
              <w:t>116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0"/>
                <w:szCs w:val="10"/>
                <w:color w:val="auto"/>
              </w:rPr>
              <w:t>330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0"/>
                <w:szCs w:val="10"/>
                <w:color w:val="auto"/>
              </w:rPr>
              <w:t>582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Total interest and financing expenses</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1,069</w:t>
            </w:r>
          </w:p>
        </w:tc>
        <w:tc>
          <w:tcPr>
            <w:tcW w:w="180" w:type="dxa"/>
            <w:vAlign w:val="bottom"/>
            <w:tcBorders>
              <w:bottom w:val="single" w:sz="8" w:color="CCEEFF"/>
            </w:tcBorders>
            <w:gridSpan w:val="2"/>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rPr>
              <w:t>483</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222</w:t>
            </w:r>
          </w:p>
        </w:tc>
        <w:tc>
          <w:tcPr>
            <w:tcW w:w="180" w:type="dxa"/>
            <w:vAlign w:val="bottom"/>
            <w:tcBorders>
              <w:bottom w:val="single" w:sz="8" w:color="CCEEFF"/>
            </w:tcBorders>
            <w:gridSpan w:val="2"/>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2,888</w:t>
            </w: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4,662</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1,421</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508</w:t>
            </w:r>
          </w:p>
        </w:tc>
        <w:tc>
          <w:tcPr>
            <w:tcW w:w="1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50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79"/>
              </w:rPr>
              <w:t>2,949</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4,878</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27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11"/>
          </w:tcPr>
          <w:p>
            <w:pPr>
              <w:jc w:val="right"/>
              <w:ind w:right="49"/>
              <w:spacing w:after="0"/>
              <w:rPr>
                <w:sz w:val="20"/>
                <w:szCs w:val="20"/>
                <w:color w:val="auto"/>
              </w:rPr>
            </w:pPr>
            <w:r>
              <w:rPr>
                <w:rFonts w:ascii="Arial" w:cs="Arial" w:eastAsia="Arial" w:hAnsi="Arial"/>
                <w:sz w:val="8"/>
                <w:szCs w:val="8"/>
                <w:b w:val="1"/>
                <w:bCs w:val="1"/>
                <w:color w:val="auto"/>
              </w:rPr>
              <w:t>Nine Months Ended September 30, 2021</w:t>
            </w: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9"/>
          </w:tcPr>
          <w:p>
            <w:pPr>
              <w:jc w:val="right"/>
              <w:ind w:right="14"/>
              <w:spacing w:after="0"/>
              <w:rPr>
                <w:sz w:val="20"/>
                <w:szCs w:val="20"/>
                <w:color w:val="auto"/>
              </w:rPr>
            </w:pPr>
            <w:r>
              <w:rPr>
                <w:rFonts w:ascii="Arial" w:cs="Arial" w:eastAsia="Arial" w:hAnsi="Arial"/>
                <w:sz w:val="8"/>
                <w:szCs w:val="8"/>
                <w:b w:val="1"/>
                <w:bCs w:val="1"/>
                <w:color w:val="auto"/>
              </w:rPr>
              <w:t>Nine Months Ended September 30, 2020</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700" w:type="dxa"/>
            <w:vAlign w:val="bottom"/>
          </w:tcPr>
          <w:p>
            <w:pPr>
              <w:spacing w:after="0"/>
              <w:rPr>
                <w:sz w:val="9"/>
                <w:szCs w:val="9"/>
                <w:color w:val="auto"/>
              </w:rPr>
            </w:pPr>
          </w:p>
        </w:tc>
        <w:tc>
          <w:tcPr>
            <w:tcW w:w="840" w:type="dxa"/>
            <w:vAlign w:val="bottom"/>
            <w:gridSpan w:val="4"/>
            <w:vMerge w:val="restart"/>
          </w:tcPr>
          <w:p>
            <w:pPr>
              <w:jc w:val="right"/>
              <w:ind w:right="200"/>
              <w:spacing w:after="0"/>
              <w:rPr>
                <w:sz w:val="20"/>
                <w:szCs w:val="20"/>
                <w:color w:val="auto"/>
              </w:rPr>
            </w:pPr>
            <w:r>
              <w:rPr>
                <w:rFonts w:ascii="Arial" w:cs="Arial" w:eastAsia="Arial" w:hAnsi="Arial"/>
                <w:sz w:val="8"/>
                <w:szCs w:val="8"/>
                <w:b w:val="1"/>
                <w:bCs w:val="1"/>
                <w:color w:val="auto"/>
                <w:w w:val="99"/>
              </w:rPr>
              <w:t>SBA debentures</w:t>
            </w:r>
          </w:p>
        </w:tc>
        <w:tc>
          <w:tcPr>
            <w:tcW w:w="120" w:type="dxa"/>
            <w:vAlign w:val="bottom"/>
          </w:tcPr>
          <w:p>
            <w:pPr>
              <w:spacing w:after="0"/>
              <w:rPr>
                <w:sz w:val="9"/>
                <w:szCs w:val="9"/>
                <w:color w:val="auto"/>
              </w:rPr>
            </w:pPr>
          </w:p>
        </w:tc>
        <w:tc>
          <w:tcPr>
            <w:tcW w:w="760" w:type="dxa"/>
            <w:vAlign w:val="bottom"/>
            <w:gridSpan w:val="4"/>
            <w:vMerge w:val="restart"/>
          </w:tcPr>
          <w:p>
            <w:pPr>
              <w:ind w:left="20"/>
              <w:spacing w:after="0"/>
              <w:rPr>
                <w:sz w:val="20"/>
                <w:szCs w:val="20"/>
                <w:color w:val="auto"/>
              </w:rPr>
            </w:pPr>
            <w:r>
              <w:rPr>
                <w:rFonts w:ascii="Arial" w:cs="Arial" w:eastAsia="Arial" w:hAnsi="Arial"/>
                <w:sz w:val="8"/>
                <w:szCs w:val="8"/>
                <w:b w:val="1"/>
                <w:bCs w:val="1"/>
                <w:color w:val="auto"/>
              </w:rPr>
              <w:t>Credit Facility</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gridSpan w:val="3"/>
          </w:tcPr>
          <w:p>
            <w:pPr>
              <w:jc w:val="right"/>
              <w:ind w:right="360"/>
              <w:spacing w:after="0"/>
              <w:rPr>
                <w:sz w:val="20"/>
                <w:szCs w:val="20"/>
                <w:color w:val="auto"/>
              </w:rPr>
            </w:pPr>
            <w:r>
              <w:rPr>
                <w:rFonts w:ascii="Arial" w:cs="Arial" w:eastAsia="Arial" w:hAnsi="Arial"/>
                <w:sz w:val="8"/>
                <w:szCs w:val="8"/>
                <w:b w:val="1"/>
                <w:bCs w:val="1"/>
                <w:color w:val="auto"/>
              </w:rPr>
              <w:t>Secured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restart"/>
          </w:tcPr>
          <w:p>
            <w:pPr>
              <w:jc w:val="right"/>
              <w:ind w:right="420"/>
              <w:spacing w:after="0"/>
              <w:rPr>
                <w:sz w:val="20"/>
                <w:szCs w:val="20"/>
                <w:color w:val="auto"/>
              </w:rPr>
            </w:pPr>
            <w:r>
              <w:rPr>
                <w:rFonts w:ascii="Arial" w:cs="Arial" w:eastAsia="Arial" w:hAnsi="Arial"/>
                <w:sz w:val="8"/>
                <w:szCs w:val="8"/>
                <w:b w:val="1"/>
                <w:bCs w:val="1"/>
                <w:color w:val="auto"/>
                <w:w w:val="80"/>
              </w:rPr>
              <w:t>Notes</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vMerge w:val="restart"/>
          </w:tcPr>
          <w:p>
            <w:pPr>
              <w:jc w:val="right"/>
              <w:ind w:right="135"/>
              <w:spacing w:after="0"/>
              <w:rPr>
                <w:sz w:val="20"/>
                <w:szCs w:val="20"/>
                <w:color w:val="auto"/>
              </w:rPr>
            </w:pPr>
            <w:r>
              <w:rPr>
                <w:rFonts w:ascii="Arial" w:cs="Arial" w:eastAsia="Arial" w:hAnsi="Arial"/>
                <w:sz w:val="8"/>
                <w:szCs w:val="8"/>
                <w:b w:val="1"/>
                <w:bCs w:val="1"/>
                <w:color w:val="auto"/>
                <w:w w:val="93"/>
              </w:rPr>
              <w:t>Total</w:t>
            </w: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4"/>
            <w:vMerge w:val="restart"/>
          </w:tcPr>
          <w:p>
            <w:pPr>
              <w:jc w:val="right"/>
              <w:ind w:right="180"/>
              <w:spacing w:after="0"/>
              <w:rPr>
                <w:sz w:val="20"/>
                <w:szCs w:val="20"/>
                <w:color w:val="auto"/>
              </w:rPr>
            </w:pPr>
            <w:r>
              <w:rPr>
                <w:rFonts w:ascii="Arial" w:cs="Arial" w:eastAsia="Arial" w:hAnsi="Arial"/>
                <w:sz w:val="8"/>
                <w:szCs w:val="8"/>
                <w:b w:val="1"/>
                <w:bCs w:val="1"/>
                <w:color w:val="auto"/>
                <w:w w:val="89"/>
              </w:rPr>
              <w:t>SBA debentures</w:t>
            </w:r>
          </w:p>
        </w:tc>
        <w:tc>
          <w:tcPr>
            <w:tcW w:w="160" w:type="dxa"/>
            <w:vAlign w:val="bottom"/>
          </w:tcPr>
          <w:p>
            <w:pPr>
              <w:spacing w:after="0"/>
              <w:rPr>
                <w:sz w:val="9"/>
                <w:szCs w:val="9"/>
                <w:color w:val="auto"/>
              </w:rPr>
            </w:pPr>
          </w:p>
        </w:tc>
        <w:tc>
          <w:tcPr>
            <w:tcW w:w="680" w:type="dxa"/>
            <w:vAlign w:val="bottom"/>
            <w:gridSpan w:val="3"/>
            <w:vMerge w:val="restart"/>
          </w:tcPr>
          <w:p>
            <w:pPr>
              <w:jc w:val="right"/>
              <w:ind w:right="120"/>
              <w:spacing w:after="0"/>
              <w:rPr>
                <w:sz w:val="20"/>
                <w:szCs w:val="20"/>
                <w:color w:val="auto"/>
              </w:rPr>
            </w:pPr>
            <w:r>
              <w:rPr>
                <w:rFonts w:ascii="Arial" w:cs="Arial" w:eastAsia="Arial" w:hAnsi="Arial"/>
                <w:sz w:val="8"/>
                <w:szCs w:val="8"/>
                <w:b w:val="1"/>
                <w:bCs w:val="1"/>
                <w:color w:val="auto"/>
              </w:rPr>
              <w:t>Credit Facility</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2"/>
          </w:tcPr>
          <w:p>
            <w:pPr>
              <w:jc w:val="center"/>
              <w:ind w:right="120"/>
              <w:spacing w:after="0"/>
              <w:rPr>
                <w:sz w:val="20"/>
                <w:szCs w:val="20"/>
                <w:color w:val="auto"/>
              </w:rPr>
            </w:pPr>
            <w:r>
              <w:rPr>
                <w:rFonts w:ascii="Arial" w:cs="Arial" w:eastAsia="Arial" w:hAnsi="Arial"/>
                <w:sz w:val="8"/>
                <w:szCs w:val="8"/>
                <w:b w:val="1"/>
                <w:bCs w:val="1"/>
                <w:color w:val="auto"/>
                <w:w w:val="94"/>
              </w:rPr>
              <w:t>Secured</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gridSpan w:val="2"/>
            <w:vMerge w:val="restart"/>
          </w:tcPr>
          <w:p>
            <w:pPr>
              <w:jc w:val="right"/>
              <w:ind w:right="52"/>
              <w:spacing w:after="0"/>
              <w:rPr>
                <w:sz w:val="20"/>
                <w:szCs w:val="20"/>
                <w:color w:val="auto"/>
              </w:rPr>
            </w:pPr>
            <w:r>
              <w:rPr>
                <w:rFonts w:ascii="Arial" w:cs="Arial" w:eastAsia="Arial" w:hAnsi="Arial"/>
                <w:sz w:val="8"/>
                <w:szCs w:val="8"/>
                <w:b w:val="1"/>
                <w:bCs w:val="1"/>
                <w:color w:val="auto"/>
                <w:w w:val="98"/>
              </w:rPr>
              <w:t>Notes</w:t>
            </w: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4"/>
            <w:vMerge w:val="restart"/>
          </w:tcPr>
          <w:p>
            <w:pPr>
              <w:jc w:val="center"/>
              <w:ind w:right="320"/>
              <w:spacing w:after="0"/>
              <w:rPr>
                <w:sz w:val="20"/>
                <w:szCs w:val="20"/>
                <w:color w:val="auto"/>
              </w:rPr>
            </w:pPr>
            <w:r>
              <w:rPr>
                <w:rFonts w:ascii="Arial" w:cs="Arial" w:eastAsia="Arial" w:hAnsi="Arial"/>
                <w:sz w:val="8"/>
                <w:szCs w:val="8"/>
                <w:b w:val="1"/>
                <w:bCs w:val="1"/>
                <w:color w:val="auto"/>
                <w:w w:val="93"/>
              </w:rPr>
              <w:t>Total</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700" w:type="dxa"/>
            <w:vAlign w:val="bottom"/>
          </w:tcPr>
          <w:p>
            <w:pPr>
              <w:spacing w:after="0"/>
              <w:rPr>
                <w:sz w:val="4"/>
                <w:szCs w:val="4"/>
                <w:color w:val="auto"/>
              </w:rPr>
            </w:pPr>
          </w:p>
        </w:tc>
        <w:tc>
          <w:tcPr>
            <w:tcW w:w="84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gridSpan w:val="3"/>
            <w:vMerge w:val="restart"/>
          </w:tcPr>
          <w:p>
            <w:pPr>
              <w:jc w:val="right"/>
              <w:ind w:right="54"/>
              <w:spacing w:after="0"/>
              <w:rPr>
                <w:sz w:val="20"/>
                <w:szCs w:val="20"/>
                <w:color w:val="auto"/>
              </w:rPr>
            </w:pPr>
            <w:r>
              <w:rPr>
                <w:rFonts w:ascii="Arial" w:cs="Arial" w:eastAsia="Arial" w:hAnsi="Arial"/>
                <w:sz w:val="8"/>
                <w:szCs w:val="8"/>
                <w:b w:val="1"/>
                <w:bCs w:val="1"/>
                <w:color w:val="auto"/>
                <w:w w:val="94"/>
              </w:rPr>
              <w:t>Borrowings</w:t>
            </w:r>
          </w:p>
        </w:tc>
        <w:tc>
          <w:tcPr>
            <w:tcW w:w="18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4"/>
            <w:vMerge w:val="continue"/>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vMerge w:val="restart"/>
          </w:tcPr>
          <w:p>
            <w:pPr>
              <w:jc w:val="right"/>
              <w:ind w:right="16"/>
              <w:spacing w:after="0"/>
              <w:rPr>
                <w:sz w:val="20"/>
                <w:szCs w:val="20"/>
                <w:color w:val="auto"/>
              </w:rPr>
            </w:pPr>
            <w:r>
              <w:rPr>
                <w:rFonts w:ascii="Arial" w:cs="Arial" w:eastAsia="Arial" w:hAnsi="Arial"/>
                <w:sz w:val="8"/>
                <w:szCs w:val="8"/>
                <w:b w:val="1"/>
                <w:bCs w:val="1"/>
                <w:color w:val="auto"/>
                <w:w w:val="94"/>
              </w:rPr>
              <w:t>Borrowings</w:t>
            </w:r>
          </w:p>
        </w:tc>
        <w:tc>
          <w:tcPr>
            <w:tcW w:w="40" w:type="dxa"/>
            <w:vAlign w:val="bottom"/>
            <w:vMerge w:val="restart"/>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7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gridSpan w:val="3"/>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700" w:type="dxa"/>
            <w:vAlign w:val="bottom"/>
            <w:shd w:val="clear" w:color="auto" w:fill="CFF0FC"/>
          </w:tcPr>
          <w:p>
            <w:pPr>
              <w:ind w:left="20"/>
              <w:spacing w:after="0"/>
              <w:rPr>
                <w:sz w:val="20"/>
                <w:szCs w:val="20"/>
                <w:color w:val="auto"/>
              </w:rPr>
            </w:pPr>
            <w:r>
              <w:rPr>
                <w:rFonts w:ascii="Arial" w:cs="Arial" w:eastAsia="Arial" w:hAnsi="Arial"/>
                <w:sz w:val="8"/>
                <w:szCs w:val="8"/>
                <w:color w:val="auto"/>
              </w:rPr>
              <w:t>Stated interest expense</w:t>
            </w:r>
          </w:p>
        </w:tc>
        <w:tc>
          <w:tcPr>
            <w:tcW w:w="140" w:type="dxa"/>
            <w:vAlign w:val="bottom"/>
            <w:shd w:val="clear" w:color="auto" w:fill="CFF0FC"/>
          </w:tcPr>
          <w:p>
            <w:pPr>
              <w:jc w:val="right"/>
              <w:ind w:right="36"/>
              <w:spacing w:after="0"/>
              <w:rPr>
                <w:sz w:val="20"/>
                <w:szCs w:val="20"/>
                <w:color w:val="auto"/>
              </w:rPr>
            </w:pPr>
            <w:r>
              <w:rPr>
                <w:rFonts w:ascii="Arial" w:cs="Arial" w:eastAsia="Arial" w:hAnsi="Arial"/>
                <w:sz w:val="8"/>
                <w:szCs w:val="8"/>
                <w:color w:val="auto"/>
                <w:w w:val="88"/>
              </w:rPr>
              <w:t>$</w:t>
            </w: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8"/>
                <w:szCs w:val="8"/>
                <w:color w:val="auto"/>
              </w:rPr>
              <w:t>3,102</w:t>
            </w:r>
          </w:p>
        </w:tc>
        <w:tc>
          <w:tcPr>
            <w:tcW w:w="160" w:type="dxa"/>
            <w:vAlign w:val="bottom"/>
            <w:shd w:val="clear" w:color="auto" w:fill="CFF0FC"/>
          </w:tcPr>
          <w:p>
            <w:pPr>
              <w:spacing w:after="0"/>
              <w:rPr>
                <w:sz w:val="10"/>
                <w:szCs w:val="10"/>
                <w:color w:val="auto"/>
              </w:rPr>
            </w:pPr>
          </w:p>
        </w:tc>
        <w:tc>
          <w:tcPr>
            <w:tcW w:w="180" w:type="dxa"/>
            <w:vAlign w:val="bottom"/>
            <w:gridSpan w:val="2"/>
            <w:shd w:val="clear" w:color="auto" w:fill="CFF0FC"/>
          </w:tcPr>
          <w:p>
            <w:pPr>
              <w:ind w:left="140"/>
              <w:spacing w:after="0"/>
              <w:rPr>
                <w:sz w:val="20"/>
                <w:szCs w:val="20"/>
                <w:color w:val="auto"/>
              </w:rPr>
            </w:pPr>
            <w:r>
              <w:rPr>
                <w:rFonts w:ascii="Arial" w:cs="Arial" w:eastAsia="Arial" w:hAnsi="Arial"/>
                <w:sz w:val="5"/>
                <w:szCs w:val="5"/>
                <w:color w:val="auto"/>
                <w:w w:val="70"/>
              </w:rPr>
              <w:t>$</w:t>
            </w:r>
          </w:p>
        </w:tc>
        <w:tc>
          <w:tcPr>
            <w:tcW w:w="14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8"/>
                <w:szCs w:val="8"/>
                <w:color w:val="auto"/>
              </w:rPr>
              <w:t>1,101</w:t>
            </w:r>
          </w:p>
        </w:tc>
        <w:tc>
          <w:tcPr>
            <w:tcW w:w="180" w:type="dxa"/>
            <w:vAlign w:val="bottom"/>
            <w:shd w:val="clear" w:color="auto" w:fill="CFF0FC"/>
          </w:tcPr>
          <w:p>
            <w:pPr>
              <w:spacing w:after="0"/>
              <w:rPr>
                <w:sz w:val="10"/>
                <w:szCs w:val="10"/>
                <w:color w:val="auto"/>
              </w:rPr>
            </w:pPr>
          </w:p>
        </w:tc>
        <w:tc>
          <w:tcPr>
            <w:tcW w:w="180" w:type="dxa"/>
            <w:vAlign w:val="bottom"/>
            <w:gridSpan w:val="2"/>
            <w:shd w:val="clear" w:color="auto" w:fill="CFF0FC"/>
          </w:tcPr>
          <w:p>
            <w:pPr>
              <w:jc w:val="right"/>
              <w:ind w:right="14"/>
              <w:spacing w:after="0"/>
              <w:rPr>
                <w:sz w:val="20"/>
                <w:szCs w:val="20"/>
                <w:color w:val="auto"/>
              </w:rPr>
            </w:pPr>
            <w:r>
              <w:rPr>
                <w:rFonts w:ascii="Arial" w:cs="Arial" w:eastAsia="Arial" w:hAnsi="Arial"/>
                <w:sz w:val="8"/>
                <w:szCs w:val="8"/>
                <w:color w:val="auto"/>
              </w:rPr>
              <w:t>$</w:t>
            </w: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8"/>
                <w:szCs w:val="8"/>
                <w:color w:val="auto"/>
              </w:rPr>
              <w:t>222</w:t>
            </w:r>
          </w:p>
        </w:tc>
        <w:tc>
          <w:tcPr>
            <w:tcW w:w="180" w:type="dxa"/>
            <w:vAlign w:val="bottom"/>
            <w:shd w:val="clear" w:color="auto" w:fill="CFF0FC"/>
          </w:tcPr>
          <w:p>
            <w:pPr>
              <w:spacing w:after="0"/>
              <w:rPr>
                <w:sz w:val="10"/>
                <w:szCs w:val="1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8"/>
                <w:szCs w:val="8"/>
                <w:color w:val="auto"/>
              </w:rPr>
              <w:t>8,338</w:t>
            </w:r>
          </w:p>
        </w:tc>
        <w:tc>
          <w:tcPr>
            <w:tcW w:w="240" w:type="dxa"/>
            <w:vAlign w:val="bottom"/>
            <w:shd w:val="clear" w:color="auto" w:fill="CFF0FC"/>
          </w:tcPr>
          <w:p>
            <w:pPr>
              <w:spacing w:after="0"/>
              <w:rPr>
                <w:sz w:val="10"/>
                <w:szCs w:val="10"/>
                <w:color w:val="auto"/>
              </w:rPr>
            </w:pPr>
          </w:p>
        </w:tc>
        <w:tc>
          <w:tcPr>
            <w:tcW w:w="220" w:type="dxa"/>
            <w:vAlign w:val="bottom"/>
            <w:gridSpan w:val="2"/>
            <w:shd w:val="clear" w:color="auto" w:fill="CFF0FC"/>
          </w:tcPr>
          <w:p>
            <w:pPr>
              <w:jc w:val="right"/>
              <w:ind w:right="78"/>
              <w:spacing w:after="0"/>
              <w:rPr>
                <w:sz w:val="20"/>
                <w:szCs w:val="20"/>
                <w:color w:val="auto"/>
              </w:rPr>
            </w:pPr>
            <w:r>
              <w:rPr>
                <w:rFonts w:ascii="Arial" w:cs="Arial" w:eastAsia="Arial" w:hAnsi="Arial"/>
                <w:sz w:val="8"/>
                <w:szCs w:val="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8"/>
                <w:szCs w:val="8"/>
                <w:color w:val="auto"/>
              </w:rPr>
              <w:t>12,763</w:t>
            </w:r>
          </w:p>
        </w:tc>
        <w:tc>
          <w:tcPr>
            <w:tcW w:w="420" w:type="dxa"/>
            <w:vAlign w:val="bottom"/>
            <w:gridSpan w:val="3"/>
            <w:shd w:val="clear" w:color="auto" w:fill="CFF0FC"/>
          </w:tcPr>
          <w:p>
            <w:pPr>
              <w:jc w:val="right"/>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8"/>
                <w:szCs w:val="8"/>
                <w:color w:val="auto"/>
              </w:rPr>
              <w:t>3,918</w:t>
            </w:r>
          </w:p>
        </w:tc>
        <w:tc>
          <w:tcPr>
            <w:tcW w:w="120" w:type="dxa"/>
            <w:vAlign w:val="bottom"/>
            <w:shd w:val="clear" w:color="auto" w:fill="CFF0FC"/>
          </w:tcPr>
          <w:p>
            <w:pPr>
              <w:spacing w:after="0"/>
              <w:rPr>
                <w:sz w:val="10"/>
                <w:szCs w:val="10"/>
                <w:color w:val="auto"/>
              </w:rPr>
            </w:pPr>
          </w:p>
        </w:tc>
        <w:tc>
          <w:tcPr>
            <w:tcW w:w="280" w:type="dxa"/>
            <w:vAlign w:val="bottom"/>
            <w:gridSpan w:val="2"/>
            <w:shd w:val="clear" w:color="auto" w:fill="CFF0FC"/>
          </w:tcPr>
          <w:p>
            <w:pPr>
              <w:ind w:left="180"/>
              <w:spacing w:after="0"/>
              <w:rPr>
                <w:sz w:val="20"/>
                <w:szCs w:val="20"/>
                <w:color w:val="auto"/>
              </w:rPr>
            </w:pPr>
            <w:r>
              <w:rPr>
                <w:rFonts w:ascii="Arial" w:cs="Arial" w:eastAsia="Arial" w:hAnsi="Arial"/>
                <w:sz w:val="8"/>
                <w:szCs w:val="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8"/>
                <w:szCs w:val="8"/>
                <w:color w:val="auto"/>
              </w:rPr>
              <w:t>1,246</w:t>
            </w:r>
          </w:p>
        </w:tc>
        <w:tc>
          <w:tcPr>
            <w:tcW w:w="100" w:type="dxa"/>
            <w:vAlign w:val="bottom"/>
            <w:shd w:val="clear" w:color="auto" w:fill="CFF0FC"/>
          </w:tcPr>
          <w:p>
            <w:pPr>
              <w:spacing w:after="0"/>
              <w:rPr>
                <w:sz w:val="10"/>
                <w:szCs w:val="10"/>
                <w:color w:val="auto"/>
              </w:rPr>
            </w:pPr>
          </w:p>
        </w:tc>
        <w:tc>
          <w:tcPr>
            <w:tcW w:w="220" w:type="dxa"/>
            <w:vAlign w:val="bottom"/>
            <w:gridSpan w:val="2"/>
            <w:shd w:val="clear" w:color="auto" w:fill="CFF0FC"/>
          </w:tcPr>
          <w:p>
            <w:pPr>
              <w:ind w:left="180"/>
              <w:spacing w:after="0"/>
              <w:rPr>
                <w:sz w:val="20"/>
                <w:szCs w:val="20"/>
                <w:color w:val="auto"/>
              </w:rPr>
            </w:pPr>
            <w:r>
              <w:rPr>
                <w:rFonts w:ascii="Arial" w:cs="Arial" w:eastAsia="Arial" w:hAnsi="Arial"/>
                <w:sz w:val="5"/>
                <w:szCs w:val="5"/>
                <w:color w:val="auto"/>
                <w:w w:val="70"/>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40" w:type="dxa"/>
            <w:vAlign w:val="bottom"/>
            <w:shd w:val="clear" w:color="auto" w:fill="CFF0FC"/>
          </w:tcPr>
          <w:p>
            <w:pPr>
              <w:spacing w:after="0"/>
              <w:rPr>
                <w:sz w:val="10"/>
                <w:szCs w:val="10"/>
                <w:color w:val="auto"/>
              </w:rPr>
            </w:pPr>
          </w:p>
        </w:tc>
        <w:tc>
          <w:tcPr>
            <w:tcW w:w="260" w:type="dxa"/>
            <w:vAlign w:val="bottom"/>
            <w:gridSpan w:val="3"/>
            <w:shd w:val="clear" w:color="auto" w:fill="CFF0FC"/>
          </w:tcPr>
          <w:p>
            <w:pPr>
              <w:jc w:val="right"/>
              <w:ind w:right="14"/>
              <w:spacing w:after="0"/>
              <w:rPr>
                <w:sz w:val="20"/>
                <w:szCs w:val="20"/>
                <w:color w:val="auto"/>
              </w:rPr>
            </w:pPr>
            <w:r>
              <w:rPr>
                <w:rFonts w:ascii="Arial" w:cs="Arial" w:eastAsia="Arial" w:hAnsi="Arial"/>
                <w:sz w:val="8"/>
                <w:szCs w:val="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8"/>
                <w:szCs w:val="8"/>
                <w:color w:val="auto"/>
              </w:rPr>
              <w:t>7,857</w:t>
            </w:r>
          </w:p>
        </w:tc>
        <w:tc>
          <w:tcPr>
            <w:tcW w:w="360" w:type="dxa"/>
            <w:vAlign w:val="bottom"/>
            <w:gridSpan w:val="3"/>
            <w:shd w:val="clear" w:color="auto" w:fill="CFF0FC"/>
          </w:tcPr>
          <w:p>
            <w:pPr>
              <w:jc w:val="right"/>
              <w:ind w:right="18"/>
              <w:spacing w:after="0"/>
              <w:rPr>
                <w:sz w:val="20"/>
                <w:szCs w:val="20"/>
                <w:color w:val="auto"/>
              </w:rPr>
            </w:pPr>
            <w:r>
              <w:rPr>
                <w:rFonts w:ascii="Arial" w:cs="Arial" w:eastAsia="Arial" w:hAnsi="Arial"/>
                <w:sz w:val="8"/>
                <w:szCs w:val="8"/>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8"/>
                <w:szCs w:val="8"/>
                <w:color w:val="auto"/>
                <w:w w:val="89"/>
              </w:rPr>
              <w:t>13,021</w:t>
            </w: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00" w:type="dxa"/>
            <w:vAlign w:val="bottom"/>
          </w:tcPr>
          <w:p>
            <w:pPr>
              <w:ind w:left="20"/>
              <w:spacing w:after="0"/>
              <w:rPr>
                <w:sz w:val="20"/>
                <w:szCs w:val="20"/>
                <w:color w:val="auto"/>
              </w:rPr>
            </w:pPr>
            <w:r>
              <w:rPr>
                <w:rFonts w:ascii="Arial" w:cs="Arial" w:eastAsia="Arial" w:hAnsi="Arial"/>
                <w:sz w:val="8"/>
                <w:szCs w:val="8"/>
                <w:color w:val="auto"/>
              </w:rPr>
              <w:t>Amortization of deferred financing costs</w:t>
            </w: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408</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340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907</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1,655</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416</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282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8"/>
                <w:szCs w:val="8"/>
                <w:color w:val="auto"/>
              </w:rPr>
              <w:t>982</w:t>
            </w:r>
          </w:p>
        </w:tc>
        <w:tc>
          <w:tcPr>
            <w:tcW w:w="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1,680</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8"/>
                <w:szCs w:val="8"/>
                <w:color w:val="auto"/>
              </w:rPr>
              <w:t>Total interest and financing expenses</w:t>
            </w:r>
          </w:p>
        </w:tc>
        <w:tc>
          <w:tcPr>
            <w:tcW w:w="1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8"/>
                <w:szCs w:val="8"/>
                <w:color w:val="auto"/>
                <w:w w:val="88"/>
              </w:rPr>
              <w:t>$</w:t>
            </w:r>
          </w:p>
        </w:tc>
        <w:tc>
          <w:tcPr>
            <w:tcW w:w="8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3,510</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5"/>
                <w:szCs w:val="5"/>
                <w:color w:val="auto"/>
                <w:w w:val="70"/>
              </w:rPr>
              <w:t>$</w:t>
            </w:r>
          </w:p>
        </w:tc>
        <w:tc>
          <w:tcPr>
            <w:tcW w:w="14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1,441</w:t>
            </w:r>
          </w:p>
        </w:tc>
        <w:tc>
          <w:tcPr>
            <w:tcW w:w="1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5"/>
                <w:szCs w:val="5"/>
                <w:color w:val="auto"/>
                <w:w w:val="70"/>
              </w:rPr>
              <w:t>$</w:t>
            </w:r>
          </w:p>
        </w:tc>
        <w:tc>
          <w:tcPr>
            <w:tcW w:w="2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222</w:t>
            </w:r>
          </w:p>
        </w:tc>
        <w:tc>
          <w:tcPr>
            <w:tcW w:w="1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w w:val="88"/>
              </w:rPr>
              <w:t>$</w:t>
            </w:r>
          </w:p>
        </w:tc>
        <w:tc>
          <w:tcPr>
            <w:tcW w:w="8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9,245</w:t>
            </w:r>
          </w:p>
        </w:tc>
        <w:tc>
          <w:tcPr>
            <w:tcW w:w="24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jc w:val="right"/>
              <w:ind w:right="78"/>
              <w:spacing w:after="0"/>
              <w:rPr>
                <w:sz w:val="20"/>
                <w:szCs w:val="20"/>
                <w:color w:val="auto"/>
              </w:rPr>
            </w:pPr>
            <w:r>
              <w:rPr>
                <w:rFonts w:ascii="Arial" w:cs="Arial" w:eastAsia="Arial" w:hAnsi="Arial"/>
                <w:sz w:val="8"/>
                <w:szCs w:val="8"/>
                <w:color w:val="auto"/>
                <w:w w:val="88"/>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14,418</w:t>
            </w:r>
          </w:p>
        </w:tc>
        <w:tc>
          <w:tcPr>
            <w:tcW w:w="360" w:type="dxa"/>
            <w:vAlign w:val="bottom"/>
            <w:tcBorders>
              <w:bottom w:val="single" w:sz="8" w:color="CFF0FC"/>
            </w:tcBorders>
            <w:gridSpan w:val="2"/>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w w:val="88"/>
              </w:rPr>
              <w:t>$</w:t>
            </w:r>
          </w:p>
        </w:tc>
        <w:tc>
          <w:tcPr>
            <w:tcW w:w="8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4,334</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8"/>
                <w:szCs w:val="8"/>
                <w:color w:val="auto"/>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1,528</w:t>
            </w: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5"/>
                <w:szCs w:val="5"/>
                <w:color w:val="auto"/>
                <w:w w:val="70"/>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rPr>
              <w:t>-</w:t>
            </w:r>
          </w:p>
        </w:tc>
        <w:tc>
          <w:tcPr>
            <w:tcW w:w="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gridSpan w:val="2"/>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5"/>
                <w:szCs w:val="5"/>
                <w:color w:val="auto"/>
                <w:w w:val="70"/>
              </w:rPr>
              <w:t>$</w:t>
            </w:r>
          </w:p>
        </w:tc>
        <w:tc>
          <w:tcPr>
            <w:tcW w:w="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8"/>
                <w:szCs w:val="8"/>
                <w:color w:val="auto"/>
              </w:rPr>
              <w:t>8,839</w:t>
            </w:r>
          </w:p>
        </w:tc>
        <w:tc>
          <w:tcPr>
            <w:tcW w:w="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8"/>
                <w:szCs w:val="8"/>
                <w:color w:val="auto"/>
                <w:w w:val="88"/>
              </w:rPr>
              <w:t>$</w:t>
            </w:r>
          </w:p>
        </w:tc>
        <w:tc>
          <w:tcPr>
            <w:tcW w:w="12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8"/>
                <w:szCs w:val="8"/>
                <w:color w:val="auto"/>
                <w:w w:val="89"/>
              </w:rPr>
              <w:t>14,701</w:t>
            </w:r>
          </w:p>
        </w:tc>
        <w:tc>
          <w:tcPr>
            <w:tcW w:w="20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2700" w:type="dxa"/>
            <w:vAlign w:val="bottom"/>
          </w:tcPr>
          <w:p>
            <w:pPr>
              <w:ind w:left="20"/>
              <w:spacing w:after="0"/>
              <w:rPr>
                <w:sz w:val="20"/>
                <w:szCs w:val="20"/>
                <w:color w:val="auto"/>
              </w:rPr>
            </w:pPr>
            <w:r>
              <w:rPr>
                <w:rFonts w:ascii="Arial" w:cs="Arial" w:eastAsia="Arial" w:hAnsi="Arial"/>
                <w:sz w:val="8"/>
                <w:szCs w:val="8"/>
                <w:color w:val="auto"/>
              </w:rPr>
              <w:t>Weighted average stated interest rate, period end</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8"/>
                <w:szCs w:val="8"/>
                <w:color w:val="auto"/>
              </w:rPr>
              <w:t>2.899 %</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8"/>
                <w:szCs w:val="8"/>
                <w:color w:val="auto"/>
              </w:rPr>
              <w:t>3.125 %</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8"/>
                <w:szCs w:val="8"/>
                <w:color w:val="auto"/>
              </w:rPr>
              <w:t>4.392 %</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8"/>
                <w:szCs w:val="8"/>
                <w:color w:val="auto"/>
              </w:rPr>
              <w:t>5.055 %</w:t>
            </w: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gridSpan w:val="2"/>
          </w:tcPr>
          <w:p>
            <w:pPr>
              <w:jc w:val="right"/>
              <w:ind w:right="171"/>
              <w:spacing w:after="0"/>
              <w:rPr>
                <w:sz w:val="20"/>
                <w:szCs w:val="20"/>
                <w:color w:val="auto"/>
              </w:rPr>
            </w:pPr>
            <w:r>
              <w:rPr>
                <w:rFonts w:ascii="Arial" w:cs="Arial" w:eastAsia="Arial" w:hAnsi="Arial"/>
                <w:sz w:val="8"/>
                <w:szCs w:val="8"/>
                <w:color w:val="auto"/>
              </w:rPr>
              <w:t>4.239 %</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8"/>
                <w:szCs w:val="8"/>
                <w:color w:val="auto"/>
              </w:rPr>
              <w:t>3.297 %</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8"/>
                <w:szCs w:val="8"/>
                <w:color w:val="auto"/>
              </w:rPr>
              <w:t>3.188 %</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8"/>
                <w:szCs w:val="8"/>
                <w:color w:val="auto"/>
              </w:rPr>
              <w:t>N/A</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4"/>
          </w:tcPr>
          <w:p>
            <w:pPr>
              <w:jc w:val="right"/>
              <w:ind w:right="140"/>
              <w:spacing w:after="0"/>
              <w:rPr>
                <w:sz w:val="20"/>
                <w:szCs w:val="20"/>
                <w:color w:val="auto"/>
              </w:rPr>
            </w:pPr>
            <w:r>
              <w:rPr>
                <w:rFonts w:ascii="Arial" w:cs="Arial" w:eastAsia="Arial" w:hAnsi="Arial"/>
                <w:sz w:val="8"/>
                <w:szCs w:val="8"/>
                <w:color w:val="auto"/>
              </w:rPr>
              <w:t>5.749 %</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8"/>
                <w:szCs w:val="8"/>
                <w:color w:val="auto"/>
              </w:rPr>
              <w:t>4.558 %</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700" w:type="dxa"/>
            <w:vAlign w:val="bottom"/>
            <w:shd w:val="clear" w:color="auto" w:fill="CFF0FC"/>
          </w:tcPr>
          <w:p>
            <w:pPr>
              <w:ind w:left="20"/>
              <w:spacing w:after="0"/>
              <w:rPr>
                <w:sz w:val="20"/>
                <w:szCs w:val="20"/>
                <w:color w:val="auto"/>
              </w:rPr>
            </w:pPr>
            <w:r>
              <w:rPr>
                <w:rFonts w:ascii="Arial" w:cs="Arial" w:eastAsia="Arial" w:hAnsi="Arial"/>
                <w:sz w:val="8"/>
                <w:szCs w:val="8"/>
                <w:color w:val="auto"/>
              </w:rPr>
              <w:t>Unused commitment fee rate, period end</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8"/>
                <w:szCs w:val="8"/>
                <w:color w:val="auto"/>
              </w:rPr>
              <w:t>N/A</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0.500 %</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8"/>
                <w:szCs w:val="8"/>
                <w:color w:val="auto"/>
              </w:rPr>
              <w:t>N/A</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8"/>
                <w:szCs w:val="8"/>
                <w:color w:val="auto"/>
              </w:rPr>
              <w:t>N/A</w:t>
            </w:r>
          </w:p>
        </w:tc>
        <w:tc>
          <w:tcPr>
            <w:tcW w:w="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71"/>
              <w:spacing w:after="0"/>
              <w:rPr>
                <w:sz w:val="20"/>
                <w:szCs w:val="20"/>
                <w:color w:val="auto"/>
              </w:rPr>
            </w:pPr>
            <w:r>
              <w:rPr>
                <w:rFonts w:ascii="Arial" w:cs="Arial" w:eastAsia="Arial" w:hAnsi="Arial"/>
                <w:sz w:val="8"/>
                <w:szCs w:val="8"/>
                <w:color w:val="auto"/>
              </w:rPr>
              <w:t>0.500 %</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8"/>
                <w:szCs w:val="8"/>
                <w:color w:val="auto"/>
              </w:rPr>
              <w:t>N/A</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8"/>
                <w:szCs w:val="8"/>
                <w:color w:val="auto"/>
              </w:rPr>
              <w:t>0.890 %</w:t>
            </w: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8"/>
                <w:szCs w:val="8"/>
                <w:color w:val="auto"/>
              </w:rPr>
              <w:t>N/A</w:t>
            </w: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80" w:type="dxa"/>
            <w:vAlign w:val="bottom"/>
            <w:shd w:val="clear" w:color="auto" w:fill="CFF0FC"/>
          </w:tcPr>
          <w:p>
            <w:pPr>
              <w:ind w:left="140"/>
              <w:spacing w:after="0"/>
              <w:rPr>
                <w:sz w:val="20"/>
                <w:szCs w:val="20"/>
                <w:color w:val="auto"/>
              </w:rPr>
            </w:pPr>
            <w:r>
              <w:rPr>
                <w:rFonts w:ascii="Arial" w:cs="Arial" w:eastAsia="Arial" w:hAnsi="Arial"/>
                <w:sz w:val="8"/>
                <w:szCs w:val="8"/>
                <w:color w:val="auto"/>
                <w:w w:val="89"/>
              </w:rPr>
              <w:t>N/A</w:t>
            </w: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0.890 %</w:t>
            </w:r>
          </w:p>
        </w:tc>
        <w:tc>
          <w:tcPr>
            <w:tcW w:w="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2247265</wp:posOffset>
            </wp:positionH>
            <wp:positionV relativeFrom="paragraph">
              <wp:posOffset>-836295</wp:posOffset>
            </wp:positionV>
            <wp:extent cx="12065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0650" cy="8255"/>
                    </a:xfrm>
                    <a:prstGeom prst="rect">
                      <a:avLst/>
                    </a:prstGeom>
                    <a:noFill/>
                  </pic:spPr>
                </pic:pic>
              </a:graphicData>
            </a:graphic>
          </wp:anchor>
        </w:drawing>
        <w:drawing>
          <wp:anchor simplePos="0" relativeHeight="251657728" behindDoc="1" locked="0" layoutInCell="0" allowOverlap="1">
            <wp:simplePos x="0" y="0"/>
            <wp:positionH relativeFrom="column">
              <wp:posOffset>2247265</wp:posOffset>
            </wp:positionH>
            <wp:positionV relativeFrom="paragraph">
              <wp:posOffset>-820420</wp:posOffset>
            </wp:positionV>
            <wp:extent cx="12065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0650" cy="8255"/>
                    </a:xfrm>
                    <a:prstGeom prst="rect">
                      <a:avLst/>
                    </a:prstGeom>
                    <a:noFill/>
                  </pic:spPr>
                </pic:pic>
              </a:graphicData>
            </a:graphic>
          </wp:anchor>
        </w:drawing>
        <w:drawing>
          <wp:anchor simplePos="0" relativeHeight="251657728" behindDoc="1" locked="0" layoutInCell="0" allowOverlap="1">
            <wp:simplePos x="0" y="0"/>
            <wp:positionH relativeFrom="column">
              <wp:posOffset>2810510</wp:posOffset>
            </wp:positionH>
            <wp:positionV relativeFrom="paragraph">
              <wp:posOffset>-836295</wp:posOffset>
            </wp:positionV>
            <wp:extent cx="12065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0650" cy="8255"/>
                    </a:xfrm>
                    <a:prstGeom prst="rect">
                      <a:avLst/>
                    </a:prstGeom>
                    <a:noFill/>
                  </pic:spPr>
                </pic:pic>
              </a:graphicData>
            </a:graphic>
          </wp:anchor>
        </w:drawing>
        <w:drawing>
          <wp:anchor simplePos="0" relativeHeight="251657728" behindDoc="1" locked="0" layoutInCell="0" allowOverlap="1">
            <wp:simplePos x="0" y="0"/>
            <wp:positionH relativeFrom="column">
              <wp:posOffset>2810510</wp:posOffset>
            </wp:positionH>
            <wp:positionV relativeFrom="paragraph">
              <wp:posOffset>-820420</wp:posOffset>
            </wp:positionV>
            <wp:extent cx="12065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065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-836295</wp:posOffset>
            </wp:positionV>
            <wp:extent cx="12065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065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-820420</wp:posOffset>
            </wp:positionV>
            <wp:extent cx="12065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0650" cy="8255"/>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-836295</wp:posOffset>
            </wp:positionV>
            <wp:extent cx="1371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-820420</wp:posOffset>
            </wp:positionV>
            <wp:extent cx="1371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-836295</wp:posOffset>
            </wp:positionV>
            <wp:extent cx="12065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0650"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-820420</wp:posOffset>
            </wp:positionV>
            <wp:extent cx="12065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0650" cy="8255"/>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-836295</wp:posOffset>
            </wp:positionV>
            <wp:extent cx="10477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04775" cy="8255"/>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-820420</wp:posOffset>
            </wp:positionV>
            <wp:extent cx="10477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04775" cy="8255"/>
                    </a:xfrm>
                    <a:prstGeom prst="rect">
                      <a:avLst/>
                    </a:prstGeom>
                    <a:noFill/>
                  </pic:spPr>
                </pic:pic>
              </a:graphicData>
            </a:graphic>
          </wp:anchor>
        </w:drawing>
        <w:drawing>
          <wp:anchor simplePos="0" relativeHeight="251657728" behindDoc="1" locked="0" layoutInCell="0" allowOverlap="1">
            <wp:simplePos x="0" y="0"/>
            <wp:positionH relativeFrom="column">
              <wp:posOffset>5595620</wp:posOffset>
            </wp:positionH>
            <wp:positionV relativeFrom="paragraph">
              <wp:posOffset>-836295</wp:posOffset>
            </wp:positionV>
            <wp:extent cx="10477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04775" cy="8255"/>
                    </a:xfrm>
                    <a:prstGeom prst="rect">
                      <a:avLst/>
                    </a:prstGeom>
                    <a:noFill/>
                  </pic:spPr>
                </pic:pic>
              </a:graphicData>
            </a:graphic>
          </wp:anchor>
        </w:drawing>
        <w:drawing>
          <wp:anchor simplePos="0" relativeHeight="251657728" behindDoc="1" locked="0" layoutInCell="0" allowOverlap="1">
            <wp:simplePos x="0" y="0"/>
            <wp:positionH relativeFrom="column">
              <wp:posOffset>5595620</wp:posOffset>
            </wp:positionH>
            <wp:positionV relativeFrom="paragraph">
              <wp:posOffset>-820420</wp:posOffset>
            </wp:positionV>
            <wp:extent cx="10477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04775"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-836295</wp:posOffset>
            </wp:positionV>
            <wp:extent cx="1530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53035"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-820420</wp:posOffset>
            </wp:positionV>
            <wp:extent cx="1530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53035" cy="8255"/>
                    </a:xfrm>
                    <a:prstGeom prst="rect">
                      <a:avLst/>
                    </a:prstGeom>
                    <a:noFill/>
                  </pic:spPr>
                </pic:pic>
              </a:graphicData>
            </a:graphic>
          </wp:anchor>
        </w:drawing>
        <w:drawing>
          <wp:anchor simplePos="0" relativeHeight="251657728" behindDoc="1" locked="0" layoutInCell="0" allowOverlap="1">
            <wp:simplePos x="0" y="0"/>
            <wp:positionH relativeFrom="column">
              <wp:posOffset>6618605</wp:posOffset>
            </wp:positionH>
            <wp:positionV relativeFrom="paragraph">
              <wp:posOffset>-836295</wp:posOffset>
            </wp:positionV>
            <wp:extent cx="1530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53035" cy="8255"/>
                    </a:xfrm>
                    <a:prstGeom prst="rect">
                      <a:avLst/>
                    </a:prstGeom>
                    <a:noFill/>
                  </pic:spPr>
                </pic:pic>
              </a:graphicData>
            </a:graphic>
          </wp:anchor>
        </w:drawing>
        <w:drawing>
          <wp:anchor simplePos="0" relativeHeight="251657728" behindDoc="1" locked="0" layoutInCell="0" allowOverlap="1">
            <wp:simplePos x="0" y="0"/>
            <wp:positionH relativeFrom="column">
              <wp:posOffset>6618605</wp:posOffset>
            </wp:positionH>
            <wp:positionV relativeFrom="paragraph">
              <wp:posOffset>-820420</wp:posOffset>
            </wp:positionV>
            <wp:extent cx="1530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53035" cy="8255"/>
                    </a:xfrm>
                    <a:prstGeom prst="rect">
                      <a:avLst/>
                    </a:prstGeom>
                    <a:noFill/>
                  </pic:spPr>
                </pic:pic>
              </a:graphicData>
            </a:graphic>
          </wp:anchor>
        </w:drawing>
        <w:drawing>
          <wp:anchor simplePos="0" relativeHeight="251657728" behindDoc="1" locked="0" layoutInCell="0" allowOverlap="1">
            <wp:simplePos x="0" y="0"/>
            <wp:positionH relativeFrom="column">
              <wp:posOffset>7109460</wp:posOffset>
            </wp:positionH>
            <wp:positionV relativeFrom="paragraph">
              <wp:posOffset>-836295</wp:posOffset>
            </wp:positionV>
            <wp:extent cx="3238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2385" cy="8255"/>
                    </a:xfrm>
                    <a:prstGeom prst="rect">
                      <a:avLst/>
                    </a:prstGeom>
                    <a:noFill/>
                  </pic:spPr>
                </pic:pic>
              </a:graphicData>
            </a:graphic>
          </wp:anchor>
        </w:drawing>
        <w:drawing>
          <wp:anchor simplePos="0" relativeHeight="251657728" behindDoc="1" locked="0" layoutInCell="0" allowOverlap="1">
            <wp:simplePos x="0" y="0"/>
            <wp:positionH relativeFrom="column">
              <wp:posOffset>7109460</wp:posOffset>
            </wp:positionH>
            <wp:positionV relativeFrom="paragraph">
              <wp:posOffset>-820420</wp:posOffset>
            </wp:positionV>
            <wp:extent cx="3238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2385" cy="8255"/>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-184785</wp:posOffset>
            </wp:positionV>
            <wp:extent cx="17716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77165" cy="8255"/>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-168275</wp:posOffset>
            </wp:positionV>
            <wp:extent cx="17716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77165" cy="8255"/>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-184785</wp:posOffset>
            </wp:positionV>
            <wp:extent cx="17716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77165" cy="8255"/>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-168275</wp:posOffset>
            </wp:positionV>
            <wp:extent cx="17716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77165" cy="8255"/>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-184785</wp:posOffset>
            </wp:positionV>
            <wp:extent cx="16891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68910" cy="8255"/>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-168275</wp:posOffset>
            </wp:positionV>
            <wp:extent cx="16891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68910" cy="8255"/>
                    </a:xfrm>
                    <a:prstGeom prst="rect">
                      <a:avLst/>
                    </a:prstGeom>
                    <a:noFill/>
                  </pic:spPr>
                </pic:pic>
              </a:graphicData>
            </a:graphic>
          </wp:anchor>
        </w:drawing>
        <w:drawing>
          <wp:anchor simplePos="0" relativeHeight="251657728" behindDoc="1" locked="0" layoutInCell="0" allowOverlap="1">
            <wp:simplePos x="0" y="0"/>
            <wp:positionH relativeFrom="column">
              <wp:posOffset>3784600</wp:posOffset>
            </wp:positionH>
            <wp:positionV relativeFrom="paragraph">
              <wp:posOffset>-184785</wp:posOffset>
            </wp:positionV>
            <wp:extent cx="17716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77165" cy="8255"/>
                    </a:xfrm>
                    <a:prstGeom prst="rect">
                      <a:avLst/>
                    </a:prstGeom>
                    <a:noFill/>
                  </pic:spPr>
                </pic:pic>
              </a:graphicData>
            </a:graphic>
          </wp:anchor>
        </w:drawing>
        <w:drawing>
          <wp:anchor simplePos="0" relativeHeight="251657728" behindDoc="1" locked="0" layoutInCell="0" allowOverlap="1">
            <wp:simplePos x="0" y="0"/>
            <wp:positionH relativeFrom="column">
              <wp:posOffset>3784600</wp:posOffset>
            </wp:positionH>
            <wp:positionV relativeFrom="paragraph">
              <wp:posOffset>-168275</wp:posOffset>
            </wp:positionV>
            <wp:extent cx="17716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77165" cy="8255"/>
                    </a:xfrm>
                    <a:prstGeom prst="rect">
                      <a:avLst/>
                    </a:prstGeom>
                    <a:noFill/>
                  </pic:spPr>
                </pic:pic>
              </a:graphicData>
            </a:graphic>
          </wp:anchor>
        </w:drawing>
        <w:drawing>
          <wp:anchor simplePos="0" relativeHeight="251657728" behindDoc="1" locked="0" layoutInCell="0" allowOverlap="1">
            <wp:simplePos x="0" y="0"/>
            <wp:positionH relativeFrom="column">
              <wp:posOffset>4323715</wp:posOffset>
            </wp:positionH>
            <wp:positionV relativeFrom="paragraph">
              <wp:posOffset>-184785</wp:posOffset>
            </wp:positionV>
            <wp:extent cx="2254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25425" cy="8255"/>
                    </a:xfrm>
                    <a:prstGeom prst="rect">
                      <a:avLst/>
                    </a:prstGeom>
                    <a:noFill/>
                  </pic:spPr>
                </pic:pic>
              </a:graphicData>
            </a:graphic>
          </wp:anchor>
        </w:drawing>
        <w:drawing>
          <wp:anchor simplePos="0" relativeHeight="251657728" behindDoc="1" locked="0" layoutInCell="0" allowOverlap="1">
            <wp:simplePos x="0" y="0"/>
            <wp:positionH relativeFrom="column">
              <wp:posOffset>4323715</wp:posOffset>
            </wp:positionH>
            <wp:positionV relativeFrom="paragraph">
              <wp:posOffset>-168275</wp:posOffset>
            </wp:positionV>
            <wp:extent cx="2254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25425" cy="8255"/>
                    </a:xfrm>
                    <a:prstGeom prst="rect">
                      <a:avLst/>
                    </a:prstGeom>
                    <a:noFill/>
                  </pic:spPr>
                </pic:pic>
              </a:graphicData>
            </a:graphic>
          </wp:anchor>
        </w:drawing>
        <w:drawing>
          <wp:anchor simplePos="0" relativeHeight="251657728" behindDoc="1" locked="0" layoutInCell="0" allowOverlap="1">
            <wp:simplePos x="0" y="0"/>
            <wp:positionH relativeFrom="column">
              <wp:posOffset>4992370</wp:posOffset>
            </wp:positionH>
            <wp:positionV relativeFrom="paragraph">
              <wp:posOffset>-184785</wp:posOffset>
            </wp:positionV>
            <wp:extent cx="17716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77165" cy="8255"/>
                    </a:xfrm>
                    <a:prstGeom prst="rect">
                      <a:avLst/>
                    </a:prstGeom>
                    <a:noFill/>
                  </pic:spPr>
                </pic:pic>
              </a:graphicData>
            </a:graphic>
          </wp:anchor>
        </w:drawing>
        <w:drawing>
          <wp:anchor simplePos="0" relativeHeight="251657728" behindDoc="1" locked="0" layoutInCell="0" allowOverlap="1">
            <wp:simplePos x="0" y="0"/>
            <wp:positionH relativeFrom="column">
              <wp:posOffset>4992370</wp:posOffset>
            </wp:positionH>
            <wp:positionV relativeFrom="paragraph">
              <wp:posOffset>-168275</wp:posOffset>
            </wp:positionV>
            <wp:extent cx="17716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77165" cy="8255"/>
                    </a:xfrm>
                    <a:prstGeom prst="rect">
                      <a:avLst/>
                    </a:prstGeom>
                    <a:noFill/>
                  </pic:spPr>
                </pic:pic>
              </a:graphicData>
            </a:graphic>
          </wp:anchor>
        </w:drawing>
        <w:drawing>
          <wp:anchor simplePos="0" relativeHeight="251657728" behindDoc="1" locked="0" layoutInCell="0" allowOverlap="1">
            <wp:simplePos x="0" y="0"/>
            <wp:positionH relativeFrom="column">
              <wp:posOffset>5539740</wp:posOffset>
            </wp:positionH>
            <wp:positionV relativeFrom="paragraph">
              <wp:posOffset>-184785</wp:posOffset>
            </wp:positionV>
            <wp:extent cx="1612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61290" cy="8255"/>
                    </a:xfrm>
                    <a:prstGeom prst="rect">
                      <a:avLst/>
                    </a:prstGeom>
                    <a:noFill/>
                  </pic:spPr>
                </pic:pic>
              </a:graphicData>
            </a:graphic>
          </wp:anchor>
        </w:drawing>
        <w:drawing>
          <wp:anchor simplePos="0" relativeHeight="251657728" behindDoc="1" locked="0" layoutInCell="0" allowOverlap="1">
            <wp:simplePos x="0" y="0"/>
            <wp:positionH relativeFrom="column">
              <wp:posOffset>5539740</wp:posOffset>
            </wp:positionH>
            <wp:positionV relativeFrom="paragraph">
              <wp:posOffset>-168275</wp:posOffset>
            </wp:positionV>
            <wp:extent cx="1612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61290" cy="8255"/>
                    </a:xfrm>
                    <a:prstGeom prst="rect">
                      <a:avLst/>
                    </a:prstGeom>
                    <a:noFill/>
                  </pic:spPr>
                </pic:pic>
              </a:graphicData>
            </a:graphic>
          </wp:anchor>
        </w:drawing>
        <w:drawing>
          <wp:anchor simplePos="0" relativeHeight="251657728" behindDoc="1" locked="0" layoutInCell="0" allowOverlap="1">
            <wp:simplePos x="0" y="0"/>
            <wp:positionH relativeFrom="column">
              <wp:posOffset>6062980</wp:posOffset>
            </wp:positionH>
            <wp:positionV relativeFrom="paragraph">
              <wp:posOffset>-184785</wp:posOffset>
            </wp:positionV>
            <wp:extent cx="12890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6062980</wp:posOffset>
            </wp:positionH>
            <wp:positionV relativeFrom="paragraph">
              <wp:posOffset>-168275</wp:posOffset>
            </wp:positionV>
            <wp:extent cx="12890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6473190</wp:posOffset>
            </wp:positionH>
            <wp:positionV relativeFrom="paragraph">
              <wp:posOffset>-184785</wp:posOffset>
            </wp:positionV>
            <wp:extent cx="1447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6473190</wp:posOffset>
            </wp:positionH>
            <wp:positionV relativeFrom="paragraph">
              <wp:posOffset>-168275</wp:posOffset>
            </wp:positionV>
            <wp:extent cx="1447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6980555</wp:posOffset>
            </wp:positionH>
            <wp:positionV relativeFrom="paragraph">
              <wp:posOffset>-184785</wp:posOffset>
            </wp:positionV>
            <wp:extent cx="1612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61290" cy="8255"/>
                    </a:xfrm>
                    <a:prstGeom prst="rect">
                      <a:avLst/>
                    </a:prstGeom>
                    <a:noFill/>
                  </pic:spPr>
                </pic:pic>
              </a:graphicData>
            </a:graphic>
          </wp:anchor>
        </w:drawing>
        <w:drawing>
          <wp:anchor simplePos="0" relativeHeight="251657728" behindDoc="1" locked="0" layoutInCell="0" allowOverlap="1">
            <wp:simplePos x="0" y="0"/>
            <wp:positionH relativeFrom="column">
              <wp:posOffset>6980555</wp:posOffset>
            </wp:positionH>
            <wp:positionV relativeFrom="paragraph">
              <wp:posOffset>-168275</wp:posOffset>
            </wp:positionV>
            <wp:extent cx="1612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6129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Realized Losses on Extinguishment of Debt</w:t>
      </w:r>
    </w:p>
    <w:p>
      <w:pPr>
        <w:spacing w:after="0" w:line="172" w:lineRule="exact"/>
        <w:rPr>
          <w:sz w:val="20"/>
          <w:szCs w:val="20"/>
          <w:color w:val="auto"/>
        </w:rPr>
      </w:pPr>
    </w:p>
    <w:p>
      <w:pPr>
        <w:jc w:val="both"/>
        <w:ind w:firstLine="469"/>
        <w:spacing w:after="0" w:line="319" w:lineRule="auto"/>
        <w:rPr>
          <w:sz w:val="20"/>
          <w:szCs w:val="20"/>
          <w:color w:val="auto"/>
        </w:rPr>
      </w:pPr>
      <w:r>
        <w:rPr>
          <w:rFonts w:ascii="Arial" w:cs="Arial" w:eastAsia="Arial" w:hAnsi="Arial"/>
          <w:sz w:val="15"/>
          <w:szCs w:val="15"/>
          <w:color w:val="auto"/>
        </w:rPr>
        <w:t>During the nine months ended September 30, 2021 and 2020, the Company prepaid $63,500 and $16,500 of SBA debentures, respectively, which were scheduled to mature on dates ranging from 2025 to 2028 and 2024 to 2028, respectively. During the nine months ended September 30, 2021, the Company redeemed $50,000 and $50,000 of 2023 and 2024 Notes, respectively. As a result of the prepayments, the Company recognized realized losses on extinguishment of debt of $2,640 and $299, respectively, equal to the write-off of the related unamortized deferred financing costs, during the nine months ended September 30, 2021 and 2020.</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Deferred Financing Costs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(unaudited)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21" w:lineRule="exact"/>
        <w:rPr>
          <w:sz w:val="20"/>
          <w:szCs w:val="20"/>
          <w:color w:val="auto"/>
        </w:rPr>
      </w:pPr>
    </w:p>
    <w:p>
      <w:pPr>
        <w:jc w:val="both"/>
        <w:ind w:firstLine="465"/>
        <w:spacing w:after="0" w:line="276" w:lineRule="auto"/>
        <w:rPr>
          <w:sz w:val="20"/>
          <w:szCs w:val="20"/>
          <w:color w:val="auto"/>
        </w:rPr>
      </w:pPr>
      <w:r>
        <w:rPr>
          <w:rFonts w:ascii="Arial" w:cs="Arial" w:eastAsia="Arial" w:hAnsi="Arial"/>
          <w:sz w:val="17"/>
          <w:szCs w:val="17"/>
          <w:color w:val="auto"/>
        </w:rPr>
        <w:t>Deferred financing costs are amortized into interest and financing expenses on the consolidated statements of operations, using the effective interest method, over the term of the respective financing instrument. Deferred financing costs related to the Credit Facility, the SBA debentures, and the Notes as of September 30, 2021 and December 31, 2020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4"/>
                <w:szCs w:val="14"/>
                <w:b w:val="1"/>
                <w:bCs w:val="1"/>
                <w:color w:val="auto"/>
                <w:w w:val="88"/>
              </w:rPr>
              <w:t>September 30, 2021</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4"/>
                <w:szCs w:val="14"/>
                <w:b w:val="1"/>
                <w:bCs w:val="1"/>
                <w:color w:val="auto"/>
                <w:w w:val="96"/>
              </w:rPr>
              <w:t>December 31, 2020</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77"/>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SBA</w:t>
            </w:r>
          </w:p>
        </w:tc>
        <w:tc>
          <w:tcPr>
            <w:tcW w:w="14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Credit</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SBA</w:t>
            </w:r>
          </w:p>
        </w:tc>
        <w:tc>
          <w:tcPr>
            <w:tcW w:w="120" w:type="dxa"/>
            <w:vAlign w:val="bottom"/>
          </w:tcPr>
          <w:p>
            <w:pPr>
              <w:spacing w:after="0"/>
              <w:rPr>
                <w:sz w:val="15"/>
                <w:szCs w:val="15"/>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Credit</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3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4"/>
              </w:rPr>
              <w:t>debentures</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9"/>
              </w:rPr>
              <w:t>Facility</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7"/>
              </w:rPr>
              <w:t>Notes</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4"/>
              </w:rPr>
              <w:t>debentures</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5"/>
              </w:rPr>
              <w:t>Facility</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7"/>
              </w:rPr>
              <w:t>Notes</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7"/>
                <w:szCs w:val="17"/>
                <w:color w:val="auto"/>
              </w:rPr>
            </w:pPr>
          </w:p>
        </w:tc>
      </w:tr>
      <w:tr>
        <w:trPr>
          <w:trHeight w:val="188"/>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SBA debenture commitment fees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w:t>
            </w:r>
          </w:p>
        </w:tc>
        <w:tc>
          <w:tcPr>
            <w:tcW w:w="80" w:type="dxa"/>
            <w:vAlign w:val="bottom"/>
            <w:shd w:val="clear" w:color="auto" w:fill="CCEEFF"/>
          </w:tcPr>
          <w:p>
            <w:pPr>
              <w:spacing w:after="0"/>
              <w:rPr>
                <w:sz w:val="16"/>
                <w:szCs w:val="16"/>
                <w:color w:val="auto"/>
              </w:rPr>
            </w:pPr>
          </w:p>
        </w:tc>
      </w:tr>
      <w:tr>
        <w:trPr>
          <w:trHeight w:val="185"/>
        </w:trPr>
        <w:tc>
          <w:tcPr>
            <w:tcW w:w="3160" w:type="dxa"/>
            <w:vAlign w:val="bottom"/>
          </w:tcPr>
          <w:p>
            <w:pPr>
              <w:ind w:left="20"/>
              <w:spacing w:after="0"/>
              <w:rPr>
                <w:sz w:val="20"/>
                <w:szCs w:val="20"/>
                <w:color w:val="auto"/>
              </w:rPr>
            </w:pPr>
            <w:r>
              <w:rPr>
                <w:rFonts w:ascii="Arial" w:cs="Arial" w:eastAsia="Arial" w:hAnsi="Arial"/>
                <w:sz w:val="14"/>
                <w:szCs w:val="14"/>
                <w:color w:val="auto"/>
              </w:rPr>
              <w:t>SBA debenture leverage fees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4,246</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4,246</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3,966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3,966</w:t>
            </w:r>
          </w:p>
        </w:tc>
        <w:tc>
          <w:tcPr>
            <w:tcW w:w="80" w:type="dxa"/>
            <w:vAlign w:val="bottom"/>
          </w:tcPr>
          <w:p>
            <w:pPr>
              <w:spacing w:after="0"/>
              <w:rPr>
                <w:sz w:val="16"/>
                <w:szCs w:val="16"/>
                <w:color w:val="auto"/>
              </w:rPr>
            </w:pPr>
          </w:p>
        </w:tc>
      </w:tr>
      <w:tr>
        <w:trPr>
          <w:trHeight w:val="196"/>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Credit Facility upfront fees</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3,238</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3,238</w:t>
            </w:r>
          </w:p>
        </w:tc>
        <w:tc>
          <w:tcPr>
            <w:tcW w:w="80" w:type="dxa"/>
            <w:vAlign w:val="bottom"/>
            <w:shd w:val="clear" w:color="auto" w:fill="CCEEFF"/>
          </w:tcPr>
          <w:p>
            <w:pPr>
              <w:spacing w:after="0"/>
              <w:rPr>
                <w:sz w:val="17"/>
                <w:szCs w:val="17"/>
                <w:color w:val="auto"/>
              </w:rPr>
            </w:pPr>
          </w:p>
        </w:tc>
      </w:tr>
      <w:tr>
        <w:trPr>
          <w:trHeight w:val="185"/>
        </w:trPr>
        <w:tc>
          <w:tcPr>
            <w:tcW w:w="3160" w:type="dxa"/>
            <w:vAlign w:val="bottom"/>
          </w:tcPr>
          <w:p>
            <w:pPr>
              <w:ind w:left="20"/>
              <w:spacing w:after="0"/>
              <w:rPr>
                <w:sz w:val="20"/>
                <w:szCs w:val="20"/>
                <w:color w:val="auto"/>
              </w:rPr>
            </w:pPr>
            <w:r>
              <w:rPr>
                <w:rFonts w:ascii="Arial" w:cs="Arial" w:eastAsia="Arial" w:hAnsi="Arial"/>
                <w:sz w:val="14"/>
                <w:szCs w:val="14"/>
                <w:color w:val="auto"/>
              </w:rPr>
              <w:t>Notes underwriting discounts</w:t>
            </w:r>
          </w:p>
        </w:tc>
        <w:tc>
          <w:tcPr>
            <w:tcW w:w="12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6,468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6,468</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7,968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7,968</w:t>
            </w:r>
          </w:p>
        </w:tc>
        <w:tc>
          <w:tcPr>
            <w:tcW w:w="80" w:type="dxa"/>
            <w:vAlign w:val="bottom"/>
          </w:tcPr>
          <w:p>
            <w:pPr>
              <w:spacing w:after="0"/>
              <w:rPr>
                <w:sz w:val="16"/>
                <w:szCs w:val="16"/>
                <w:color w:val="auto"/>
              </w:rPr>
            </w:pPr>
          </w:p>
        </w:tc>
      </w:tr>
      <w:tr>
        <w:trPr>
          <w:trHeight w:val="190"/>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debt issue costs</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1,076</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1,076</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w:t>
            </w:r>
          </w:p>
        </w:tc>
        <w:tc>
          <w:tcPr>
            <w:tcW w:w="80" w:type="dxa"/>
            <w:vAlign w:val="bottom"/>
            <w:shd w:val="clear" w:color="auto" w:fill="CCEEFF"/>
          </w:tcPr>
          <w:p>
            <w:pPr>
              <w:spacing w:after="0"/>
              <w:rPr>
                <w:sz w:val="16"/>
                <w:szCs w:val="16"/>
                <w:color w:val="auto"/>
              </w:rPr>
            </w:pPr>
          </w:p>
        </w:tc>
      </w:tr>
      <w:tr>
        <w:trPr>
          <w:trHeight w:val="183"/>
        </w:trPr>
        <w:tc>
          <w:tcPr>
            <w:tcW w:w="316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Total deferred financing costs</w:t>
            </w: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6,746</w:t>
            </w:r>
          </w:p>
        </w:tc>
        <w:tc>
          <w:tcPr>
            <w:tcW w:w="26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3,238</w:t>
            </w: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7,544</w:t>
            </w:r>
          </w:p>
        </w:tc>
        <w:tc>
          <w:tcPr>
            <w:tcW w:w="2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17,528</w:t>
            </w: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5,716</w:t>
            </w:r>
          </w:p>
        </w:tc>
        <w:tc>
          <w:tcPr>
            <w:tcW w:w="2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3,238</w:t>
            </w: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9,547</w:t>
            </w: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18,501</w:t>
            </w:r>
          </w:p>
        </w:tc>
        <w:tc>
          <w:tcPr>
            <w:tcW w:w="80" w:type="dxa"/>
            <w:vAlign w:val="bottom"/>
            <w:tcBorders>
              <w:top w:val="single" w:sz="8" w:color="CCEEFF"/>
            </w:tcBorders>
          </w:tcPr>
          <w:p>
            <w:pPr>
              <w:spacing w:after="0"/>
              <w:rPr>
                <w:sz w:val="15"/>
                <w:szCs w:val="15"/>
                <w:color w:val="auto"/>
              </w:rPr>
            </w:pPr>
          </w:p>
        </w:tc>
      </w:tr>
      <w:tr>
        <w:trPr>
          <w:trHeight w:val="190"/>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(3,892 )</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(2,529 )</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(3,436 )</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(9,857 )</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(2,720 )</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(2,190 )</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(2,591 )</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(7,501 )</w:t>
            </w:r>
          </w:p>
        </w:tc>
      </w:tr>
      <w:tr>
        <w:trPr>
          <w:trHeight w:val="188"/>
        </w:trPr>
        <w:tc>
          <w:tcPr>
            <w:tcW w:w="316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Unamortized deferred financing costs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2,854</w:t>
            </w:r>
          </w:p>
        </w:tc>
        <w:tc>
          <w:tcPr>
            <w:tcW w:w="260" w:type="dxa"/>
            <w:vAlign w:val="bottom"/>
            <w:tcBorders>
              <w:top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709</w:t>
            </w: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4,108</w:t>
            </w: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7,671</w:t>
            </w:r>
          </w:p>
        </w:tc>
        <w:tc>
          <w:tcPr>
            <w:tcW w:w="200" w:type="dxa"/>
            <w:vAlign w:val="bottom"/>
            <w:tcBorders>
              <w:top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2,996</w:t>
            </w:r>
          </w:p>
        </w:tc>
        <w:tc>
          <w:tcPr>
            <w:tcW w:w="240" w:type="dxa"/>
            <w:vAlign w:val="bottom"/>
            <w:tcBorders>
              <w:top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1,048</w:t>
            </w: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6,956</w:t>
            </w: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11,000</w:t>
            </w:r>
          </w:p>
        </w:tc>
        <w:tc>
          <w:tcPr>
            <w:tcW w:w="80" w:type="dxa"/>
            <w:vAlign w:val="bottom"/>
            <w:tcBorders>
              <w:top w:val="single" w:sz="8" w:color="CCEEFF"/>
            </w:tcBorders>
          </w:tcPr>
          <w:p>
            <w:pPr>
              <w:spacing w:after="0"/>
              <w:rPr>
                <w:sz w:val="16"/>
                <w:szCs w:val="16"/>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2593340</wp:posOffset>
            </wp:positionH>
            <wp:positionV relativeFrom="paragraph">
              <wp:posOffset>-399415</wp:posOffset>
            </wp:positionV>
            <wp:extent cx="4548505" cy="1257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548505" cy="125730"/>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-149860</wp:posOffset>
            </wp:positionV>
            <wp:extent cx="4548505" cy="1504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548505" cy="150495"/>
                    </a:xfrm>
                    <a:prstGeom prst="rect">
                      <a:avLst/>
                    </a:prstGeom>
                    <a:noFill/>
                  </pic:spPr>
                </pic:pic>
              </a:graphicData>
            </a:graphic>
          </wp:anchor>
        </w:drawing>
      </w:r>
    </w:p>
    <w:p>
      <w:pPr>
        <w:spacing w:after="0" w:line="196" w:lineRule="exact"/>
        <w:rPr>
          <w:sz w:val="20"/>
          <w:szCs w:val="20"/>
          <w:color w:val="auto"/>
        </w:rPr>
      </w:pPr>
    </w:p>
    <w:p>
      <w:pPr>
        <w:jc w:val="both"/>
        <w:ind w:firstLine="480"/>
        <w:spacing w:after="0" w:line="276" w:lineRule="auto"/>
        <w:rPr>
          <w:sz w:val="20"/>
          <w:szCs w:val="20"/>
          <w:color w:val="auto"/>
        </w:rPr>
      </w:pPr>
      <w:r>
        <w:rPr>
          <w:rFonts w:ascii="Arial" w:cs="Arial" w:eastAsia="Arial" w:hAnsi="Arial"/>
          <w:sz w:val="17"/>
          <w:szCs w:val="17"/>
          <w:color w:val="auto"/>
        </w:rPr>
        <w:t>Unamortized deferred financing costs are presented as a direct offset to the SBA debentures, Credit Facility and Notes liabilities on the consolidated statements of assets and liabilities. The following table summarizes the outstanding debt net of unamortized deferred financing costs as of September 30, 2021 and December 31, 2020: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4"/>
                <w:szCs w:val="14"/>
                <w:b w:val="1"/>
                <w:bCs w:val="1"/>
                <w:color w:val="auto"/>
              </w:rPr>
              <w:t>September 30, 2021</w:t>
            </w:r>
            <w:r>
              <w:rPr>
                <w:rFonts w:ascii="Arial" w:cs="Arial" w:eastAsia="Arial" w:hAnsi="Arial"/>
                <w:sz w:val="18"/>
                <w:szCs w:val="18"/>
                <w:b w:val="1"/>
                <w:bCs w:val="1"/>
                <w:color w:val="auto"/>
                <w:vertAlign w:val="superscript"/>
              </w:rPr>
              <w:t>(1)</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85"/>
              </w:rPr>
              <w:t>December 31, 2020</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7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SBA</w:t>
            </w:r>
          </w:p>
        </w:tc>
        <w:tc>
          <w:tcPr>
            <w:tcW w:w="16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Credit</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SBA</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Credit</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35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4"/>
              </w:rPr>
              <w:t>debentures</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Facility</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Notes</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84"/>
              </w:rPr>
              <w:t>debentures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1"/>
              </w:rPr>
              <w:t>Facility</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Notes</w:t>
            </w:r>
          </w:p>
        </w:tc>
        <w:tc>
          <w:tcPr>
            <w:tcW w:w="60" w:type="dxa"/>
            <w:vAlign w:val="bottom"/>
          </w:tcPr>
          <w:p>
            <w:pPr>
              <w:spacing w:after="0"/>
              <w:rPr>
                <w:sz w:val="17"/>
                <w:szCs w:val="17"/>
                <w:color w:val="auto"/>
              </w:rPr>
            </w:pPr>
          </w:p>
        </w:tc>
      </w:tr>
      <w:tr>
        <w:trPr>
          <w:trHeight w:val="188"/>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debt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95,000</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207,250</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342,250</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147,000</w:t>
            </w:r>
          </w:p>
        </w:tc>
        <w:tc>
          <w:tcPr>
            <w:tcW w:w="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307,250</w:t>
            </w:r>
          </w:p>
        </w:tc>
        <w:tc>
          <w:tcPr>
            <w:tcW w:w="60" w:type="dxa"/>
            <w:vAlign w:val="bottom"/>
            <w:shd w:val="clear" w:color="auto" w:fill="CCEEFF"/>
          </w:tcPr>
          <w:p>
            <w:pPr>
              <w:spacing w:after="0"/>
              <w:rPr>
                <w:sz w:val="16"/>
                <w:szCs w:val="16"/>
                <w:color w:val="auto"/>
              </w:rPr>
            </w:pPr>
          </w:p>
        </w:tc>
      </w:tr>
      <w:tr>
        <w:trPr>
          <w:trHeight w:val="185"/>
        </w:trPr>
        <w:tc>
          <w:tcPr>
            <w:tcW w:w="3520" w:type="dxa"/>
            <w:vAlign w:val="bottom"/>
          </w:tcPr>
          <w:p>
            <w:pPr>
              <w:ind w:left="20"/>
              <w:spacing w:after="0"/>
              <w:rPr>
                <w:sz w:val="20"/>
                <w:szCs w:val="20"/>
                <w:color w:val="auto"/>
              </w:rPr>
            </w:pPr>
            <w:r>
              <w:rPr>
                <w:rFonts w:ascii="Arial" w:cs="Arial" w:eastAsia="Arial" w:hAnsi="Arial"/>
                <w:sz w:val="14"/>
                <w:szCs w:val="14"/>
                <w:color w:val="auto"/>
              </w:rPr>
              <w:t>Less: unamortized deferred financing costs</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(2,854 )</w:t>
            </w:r>
          </w:p>
        </w:tc>
        <w:tc>
          <w:tcPr>
            <w:tcW w:w="16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(709 )</w:t>
            </w:r>
          </w:p>
        </w:tc>
        <w:tc>
          <w:tcPr>
            <w:tcW w:w="2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(4,108 )</w:t>
            </w:r>
          </w:p>
        </w:tc>
        <w:tc>
          <w:tcPr>
            <w:tcW w:w="20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(7,671 )</w:t>
            </w:r>
          </w:p>
        </w:tc>
        <w:tc>
          <w:tcPr>
            <w:tcW w:w="10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(2,996 )</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(1,048 )</w:t>
            </w:r>
          </w:p>
        </w:tc>
        <w:tc>
          <w:tcPr>
            <w:tcW w:w="18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(6,956 )</w:t>
            </w:r>
          </w:p>
        </w:tc>
      </w:tr>
      <w:tr>
        <w:trPr>
          <w:trHeight w:val="20"/>
        </w:trPr>
        <w:tc>
          <w:tcPr>
            <w:tcW w:w="3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8"/>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 of deferred financing costs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92,146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39,291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203,142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334,579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144,004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(1,048 )</w:t>
            </w: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300,294</w:t>
            </w:r>
          </w:p>
        </w:tc>
        <w:tc>
          <w:tcPr>
            <w:tcW w:w="60" w:type="dxa"/>
            <w:vAlign w:val="bottom"/>
            <w:shd w:val="clear" w:color="auto" w:fill="CCEEFF"/>
          </w:tcPr>
          <w:p>
            <w:pPr>
              <w:spacing w:after="0"/>
              <w:rPr>
                <w:sz w:val="18"/>
                <w:szCs w:val="18"/>
                <w:color w:val="auto"/>
              </w:rPr>
            </w:pPr>
          </w:p>
        </w:tc>
      </w:tr>
      <w:tr>
        <w:trPr>
          <w:trHeight w:val="20"/>
        </w:trPr>
        <w:tc>
          <w:tcPr>
            <w:tcW w:w="3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-23495</wp:posOffset>
            </wp:positionV>
            <wp:extent cx="1530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53035" cy="8255"/>
                    </a:xfrm>
                    <a:prstGeom prst="rect">
                      <a:avLst/>
                    </a:prstGeom>
                    <a:noFill/>
                  </pic:spPr>
                </pic:pic>
              </a:graphicData>
            </a:graphic>
          </wp:anchor>
        </w:drawing>
        <w:drawing>
          <wp:anchor simplePos="0" relativeHeight="251657728" behindDoc="1" locked="0" layoutInCell="0" allowOverlap="1">
            <wp:simplePos x="0" y="0"/>
            <wp:positionH relativeFrom="column">
              <wp:posOffset>2810510</wp:posOffset>
            </wp:positionH>
            <wp:positionV relativeFrom="paragraph">
              <wp:posOffset>-7620</wp:posOffset>
            </wp:positionV>
            <wp:extent cx="1530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53035" cy="8255"/>
                    </a:xfrm>
                    <a:prstGeom prst="rect">
                      <a:avLst/>
                    </a:prstGeom>
                    <a:noFill/>
                  </pic:spPr>
                </pic:pic>
              </a:graphicData>
            </a:graphic>
          </wp:anchor>
        </w:drawing>
        <w:drawing>
          <wp:anchor simplePos="0" relativeHeight="251657728" behindDoc="1" locked="0" layoutInCell="0" allowOverlap="1">
            <wp:simplePos x="0" y="0"/>
            <wp:positionH relativeFrom="column">
              <wp:posOffset>3535045</wp:posOffset>
            </wp:positionH>
            <wp:positionV relativeFrom="paragraph">
              <wp:posOffset>-23495</wp:posOffset>
            </wp:positionV>
            <wp:extent cx="1530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53035" cy="8255"/>
                    </a:xfrm>
                    <a:prstGeom prst="rect">
                      <a:avLst/>
                    </a:prstGeom>
                    <a:noFill/>
                  </pic:spPr>
                </pic:pic>
              </a:graphicData>
            </a:graphic>
          </wp:anchor>
        </w:drawing>
        <w:drawing>
          <wp:anchor simplePos="0" relativeHeight="251657728" behindDoc="1" locked="0" layoutInCell="0" allowOverlap="1">
            <wp:simplePos x="0" y="0"/>
            <wp:positionH relativeFrom="column">
              <wp:posOffset>3535045</wp:posOffset>
            </wp:positionH>
            <wp:positionV relativeFrom="paragraph">
              <wp:posOffset>-7620</wp:posOffset>
            </wp:positionV>
            <wp:extent cx="1530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53035" cy="8255"/>
                    </a:xfrm>
                    <a:prstGeom prst="rect">
                      <a:avLst/>
                    </a:prstGeom>
                    <a:noFill/>
                  </pic:spPr>
                </pic:pic>
              </a:graphicData>
            </a:graphic>
          </wp:anchor>
        </w:drawing>
        <w:drawing>
          <wp:anchor simplePos="0" relativeHeight="251657728" behindDoc="1" locked="0" layoutInCell="0" allowOverlap="1">
            <wp:simplePos x="0" y="0"/>
            <wp:positionH relativeFrom="column">
              <wp:posOffset>4259580</wp:posOffset>
            </wp:positionH>
            <wp:positionV relativeFrom="paragraph">
              <wp:posOffset>-23495</wp:posOffset>
            </wp:positionV>
            <wp:extent cx="1530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53035" cy="8255"/>
                    </a:xfrm>
                    <a:prstGeom prst="rect">
                      <a:avLst/>
                    </a:prstGeom>
                    <a:noFill/>
                  </pic:spPr>
                </pic:pic>
              </a:graphicData>
            </a:graphic>
          </wp:anchor>
        </w:drawing>
        <w:drawing>
          <wp:anchor simplePos="0" relativeHeight="251657728" behindDoc="1" locked="0" layoutInCell="0" allowOverlap="1">
            <wp:simplePos x="0" y="0"/>
            <wp:positionH relativeFrom="column">
              <wp:posOffset>4259580</wp:posOffset>
            </wp:positionH>
            <wp:positionV relativeFrom="paragraph">
              <wp:posOffset>-7620</wp:posOffset>
            </wp:positionV>
            <wp:extent cx="1530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53035" cy="8255"/>
                    </a:xfrm>
                    <a:prstGeom prst="rect">
                      <a:avLst/>
                    </a:prstGeom>
                    <a:noFill/>
                  </pic:spPr>
                </pic:pic>
              </a:graphicData>
            </a:graphic>
          </wp:anchor>
        </w:drawing>
        <w:drawing>
          <wp:anchor simplePos="0" relativeHeight="251657728" behindDoc="1" locked="0" layoutInCell="0" allowOverlap="1">
            <wp:simplePos x="0" y="0"/>
            <wp:positionH relativeFrom="column">
              <wp:posOffset>4984115</wp:posOffset>
            </wp:positionH>
            <wp:positionV relativeFrom="paragraph">
              <wp:posOffset>-23495</wp:posOffset>
            </wp:positionV>
            <wp:extent cx="1612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61290" cy="8255"/>
                    </a:xfrm>
                    <a:prstGeom prst="rect">
                      <a:avLst/>
                    </a:prstGeom>
                    <a:noFill/>
                  </pic:spPr>
                </pic:pic>
              </a:graphicData>
            </a:graphic>
          </wp:anchor>
        </w:drawing>
        <w:drawing>
          <wp:anchor simplePos="0" relativeHeight="251657728" behindDoc="1" locked="0" layoutInCell="0" allowOverlap="1">
            <wp:simplePos x="0" y="0"/>
            <wp:positionH relativeFrom="column">
              <wp:posOffset>4984115</wp:posOffset>
            </wp:positionH>
            <wp:positionV relativeFrom="paragraph">
              <wp:posOffset>-7620</wp:posOffset>
            </wp:positionV>
            <wp:extent cx="1612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612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5708650</wp:posOffset>
            </wp:positionH>
            <wp:positionV relativeFrom="paragraph">
              <wp:posOffset>-23495</wp:posOffset>
            </wp:positionV>
            <wp:extent cx="13716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5708650</wp:posOffset>
            </wp:positionH>
            <wp:positionV relativeFrom="paragraph">
              <wp:posOffset>-7620</wp:posOffset>
            </wp:positionV>
            <wp:extent cx="1371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-23495</wp:posOffset>
            </wp:positionV>
            <wp:extent cx="13716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-7620</wp:posOffset>
            </wp:positionV>
            <wp:extent cx="13716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-23495</wp:posOffset>
            </wp:positionV>
            <wp:extent cx="482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8260" cy="8255"/>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-7620</wp:posOffset>
            </wp:positionV>
            <wp:extent cx="482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8260" cy="8255"/>
                    </a:xfrm>
                    <a:prstGeom prst="rect">
                      <a:avLst/>
                    </a:prstGeom>
                    <a:noFill/>
                  </pic:spPr>
                </pic:pic>
              </a:graphicData>
            </a:graphic>
          </wp:anchor>
        </w:drawing>
      </w:r>
    </w:p>
    <w:p>
      <w:pPr>
        <w:spacing w:after="0" w:line="76" w:lineRule="exact"/>
        <w:rPr>
          <w:sz w:val="20"/>
          <w:szCs w:val="20"/>
          <w:color w:val="auto"/>
        </w:rPr>
      </w:pPr>
    </w:p>
    <w:p>
      <w:pPr>
        <w:ind w:left="420" w:hanging="419"/>
        <w:spacing w:after="0"/>
        <w:tabs>
          <w:tab w:leader="none" w:pos="4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Total excludes $17,746 of Secured Borrowings</w:t>
      </w:r>
    </w:p>
    <w:p>
      <w:pPr>
        <w:spacing w:after="0" w:line="21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 xml:space="preserve">As of September 30, 2021, the Company’s debt liabilities are scheduled to mature as follows </w:t>
      </w:r>
      <w:r>
        <w:rPr>
          <w:rFonts w:ascii="Arial" w:cs="Arial" w:eastAsia="Arial" w:hAnsi="Arial"/>
          <w:sz w:val="22"/>
          <w:szCs w:val="22"/>
          <w:color w:val="auto"/>
          <w:vertAlign w:val="superscript"/>
        </w:rPr>
        <w:t>(1)</w:t>
      </w:r>
      <w:r>
        <w:rPr>
          <w:rFonts w:ascii="Arial" w:cs="Arial" w:eastAsia="Arial" w:hAnsi="Arial"/>
          <w:sz w:val="17"/>
          <w:szCs w:val="17"/>
          <w:color w:val="auto"/>
        </w:rPr>
        <w:t>:</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219"/>
        </w:trPr>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ind w:right="516"/>
              <w:spacing w:after="0"/>
              <w:rPr>
                <w:sz w:val="20"/>
                <w:szCs w:val="20"/>
                <w:color w:val="auto"/>
              </w:rPr>
            </w:pPr>
            <w:r>
              <w:rPr>
                <w:rFonts w:ascii="Arial" w:cs="Arial" w:eastAsia="Arial" w:hAnsi="Arial"/>
                <w:sz w:val="17"/>
                <w:szCs w:val="17"/>
                <w:b w:val="1"/>
                <w:bCs w:val="1"/>
                <w:color w:val="auto"/>
              </w:rPr>
              <w:t>SBA</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416"/>
              <w:spacing w:after="0"/>
              <w:rPr>
                <w:sz w:val="20"/>
                <w:szCs w:val="20"/>
                <w:color w:val="auto"/>
              </w:rPr>
            </w:pPr>
            <w:r>
              <w:rPr>
                <w:rFonts w:ascii="Arial" w:cs="Arial" w:eastAsia="Arial" w:hAnsi="Arial"/>
                <w:sz w:val="17"/>
                <w:szCs w:val="17"/>
                <w:b w:val="1"/>
                <w:bCs w:val="1"/>
                <w:color w:val="auto"/>
              </w:rPr>
              <w:t>Credit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396"/>
              <w:spacing w:after="0"/>
              <w:rPr>
                <w:sz w:val="20"/>
                <w:szCs w:val="20"/>
                <w:color w:val="auto"/>
              </w:rPr>
            </w:pPr>
            <w:r>
              <w:rPr>
                <w:rFonts w:ascii="Arial" w:cs="Arial" w:eastAsia="Arial" w:hAnsi="Arial"/>
                <w:sz w:val="17"/>
                <w:szCs w:val="17"/>
                <w:b w:val="1"/>
                <w:bCs w:val="1"/>
                <w:color w:val="auto"/>
              </w:rPr>
              <w:t>Secured</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4"/>
        </w:trPr>
        <w:tc>
          <w:tcPr>
            <w:tcW w:w="1500" w:type="dxa"/>
            <w:vAlign w:val="bottom"/>
            <w:tcBorders>
              <w:bottom w:val="single" w:sz="8" w:color="auto"/>
            </w:tcBorders>
          </w:tcPr>
          <w:p>
            <w:pPr>
              <w:ind w:left="580"/>
              <w:spacing w:after="0"/>
              <w:rPr>
                <w:sz w:val="20"/>
                <w:szCs w:val="20"/>
                <w:color w:val="auto"/>
              </w:rPr>
            </w:pPr>
            <w:r>
              <w:rPr>
                <w:rFonts w:ascii="Arial" w:cs="Arial" w:eastAsia="Arial" w:hAnsi="Arial"/>
                <w:sz w:val="17"/>
                <w:szCs w:val="17"/>
                <w:b w:val="1"/>
                <w:bCs w:val="1"/>
                <w:color w:val="auto"/>
              </w:rPr>
              <w:t>Year</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w w:val="98"/>
              </w:rPr>
              <w:t>debentures</w:t>
            </w:r>
          </w:p>
        </w:tc>
        <w:tc>
          <w:tcPr>
            <w:tcW w:w="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 xml:space="preserve">Facility </w:t>
            </w:r>
            <w:r>
              <w:rPr>
                <w:rFonts w:ascii="Arial" w:cs="Arial" w:eastAsia="Arial" w:hAnsi="Arial"/>
                <w:sz w:val="22"/>
                <w:szCs w:val="22"/>
                <w:b w:val="1"/>
                <w:bCs w:val="1"/>
                <w:color w:val="auto"/>
                <w:vertAlign w:val="superscript"/>
              </w:rPr>
              <w:t>(2)</w:t>
            </w:r>
          </w:p>
        </w:tc>
        <w:tc>
          <w:tcPr>
            <w:tcW w:w="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auto"/>
                <w:w w:val="99"/>
              </w:rPr>
              <w:t>Borrowings</w:t>
            </w:r>
          </w:p>
        </w:tc>
        <w:tc>
          <w:tcPr>
            <w:tcW w:w="2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b w:val="1"/>
                <w:bCs w:val="1"/>
                <w:color w:val="auto"/>
              </w:rPr>
              <w:t>Notes</w:t>
            </w:r>
          </w:p>
        </w:tc>
        <w:tc>
          <w:tcPr>
            <w:tcW w:w="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 xml:space="preserve">Total </w:t>
            </w:r>
            <w:r>
              <w:rPr>
                <w:rFonts w:ascii="Arial" w:cs="Arial" w:eastAsia="Arial" w:hAnsi="Arial"/>
                <w:sz w:val="22"/>
                <w:szCs w:val="22"/>
                <w:b w:val="1"/>
                <w:bCs w:val="1"/>
                <w:color w:val="auto"/>
                <w:vertAlign w:val="superscript"/>
              </w:rPr>
              <w:t>(3)</w:t>
            </w:r>
          </w:p>
        </w:tc>
        <w:tc>
          <w:tcPr>
            <w:tcW w:w="60" w:type="dxa"/>
            <w:vAlign w:val="bottom"/>
          </w:tcPr>
          <w:p>
            <w:pPr>
              <w:spacing w:after="0"/>
              <w:rPr>
                <w:sz w:val="22"/>
                <w:szCs w:val="22"/>
                <w:color w:val="auto"/>
              </w:rPr>
            </w:pPr>
          </w:p>
        </w:tc>
      </w:tr>
      <w:tr>
        <w:trPr>
          <w:trHeight w:val="227"/>
        </w:trPr>
        <w:tc>
          <w:tcPr>
            <w:tcW w:w="1500" w:type="dxa"/>
            <w:vAlign w:val="bottom"/>
          </w:tcPr>
          <w:p>
            <w:pPr>
              <w:ind w:left="580"/>
              <w:spacing w:after="0"/>
              <w:rPr>
                <w:sz w:val="20"/>
                <w:szCs w:val="20"/>
                <w:color w:val="auto"/>
              </w:rPr>
            </w:pPr>
            <w:r>
              <w:rPr>
                <w:rFonts w:ascii="Arial" w:cs="Arial" w:eastAsia="Arial" w:hAnsi="Arial"/>
                <w:sz w:val="17"/>
                <w:szCs w:val="17"/>
                <w:color w:val="auto"/>
              </w:rPr>
              <w:t>2021</w:t>
            </w:r>
          </w:p>
        </w:tc>
        <w:tc>
          <w:tcPr>
            <w:tcW w:w="4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r>
      <w:tr>
        <w:trPr>
          <w:trHeight w:val="248"/>
        </w:trPr>
        <w:tc>
          <w:tcPr>
            <w:tcW w:w="1500" w:type="dxa"/>
            <w:vAlign w:val="bottom"/>
            <w:shd w:val="clear" w:color="auto" w:fill="CCEEFF"/>
          </w:tcPr>
          <w:p>
            <w:pPr>
              <w:ind w:left="580"/>
              <w:spacing w:after="0"/>
              <w:rPr>
                <w:sz w:val="20"/>
                <w:szCs w:val="20"/>
                <w:color w:val="auto"/>
              </w:rPr>
            </w:pPr>
            <w:r>
              <w:rPr>
                <w:rFonts w:ascii="Arial" w:cs="Arial" w:eastAsia="Arial" w:hAnsi="Arial"/>
                <w:sz w:val="17"/>
                <w:szCs w:val="17"/>
                <w:color w:val="auto"/>
              </w:rPr>
              <w:t>2022</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w:t>
            </w: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w:t>
            </w:r>
          </w:p>
        </w:tc>
        <w:tc>
          <w:tcPr>
            <w:tcW w:w="60" w:type="dxa"/>
            <w:vAlign w:val="bottom"/>
            <w:shd w:val="clear" w:color="auto" w:fill="CCEEFF"/>
          </w:tcPr>
          <w:p>
            <w:pPr>
              <w:spacing w:after="0"/>
              <w:rPr>
                <w:sz w:val="21"/>
                <w:szCs w:val="21"/>
                <w:color w:val="auto"/>
              </w:rPr>
            </w:pPr>
          </w:p>
        </w:tc>
      </w:tr>
      <w:tr>
        <w:trPr>
          <w:trHeight w:val="234"/>
        </w:trPr>
        <w:tc>
          <w:tcPr>
            <w:tcW w:w="1500" w:type="dxa"/>
            <w:vAlign w:val="bottom"/>
          </w:tcPr>
          <w:p>
            <w:pPr>
              <w:ind w:left="580"/>
              <w:spacing w:after="0"/>
              <w:rPr>
                <w:sz w:val="20"/>
                <w:szCs w:val="20"/>
                <w:color w:val="auto"/>
              </w:rPr>
            </w:pPr>
            <w:r>
              <w:rPr>
                <w:rFonts w:ascii="Arial" w:cs="Arial" w:eastAsia="Arial" w:hAnsi="Arial"/>
                <w:sz w:val="17"/>
                <w:szCs w:val="17"/>
                <w:color w:val="auto"/>
              </w:rPr>
              <w:t>2023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40,000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40,000</w:t>
            </w:r>
          </w:p>
        </w:tc>
        <w:tc>
          <w:tcPr>
            <w:tcW w:w="60" w:type="dxa"/>
            <w:vAlign w:val="bottom"/>
          </w:tcPr>
          <w:p>
            <w:pPr>
              <w:spacing w:after="0"/>
              <w:rPr>
                <w:sz w:val="20"/>
                <w:szCs w:val="20"/>
                <w:color w:val="auto"/>
              </w:rPr>
            </w:pPr>
          </w:p>
        </w:tc>
      </w:tr>
      <w:tr>
        <w:trPr>
          <w:trHeight w:val="248"/>
        </w:trPr>
        <w:tc>
          <w:tcPr>
            <w:tcW w:w="1500" w:type="dxa"/>
            <w:vAlign w:val="bottom"/>
            <w:shd w:val="clear" w:color="auto" w:fill="CCEEFF"/>
          </w:tcPr>
          <w:p>
            <w:pPr>
              <w:ind w:left="580"/>
              <w:spacing w:after="0"/>
              <w:rPr>
                <w:sz w:val="20"/>
                <w:szCs w:val="20"/>
                <w:color w:val="auto"/>
              </w:rPr>
            </w:pPr>
            <w:r>
              <w:rPr>
                <w:rFonts w:ascii="Arial" w:cs="Arial" w:eastAsia="Arial" w:hAnsi="Arial"/>
                <w:sz w:val="17"/>
                <w:szCs w:val="17"/>
                <w:color w:val="auto"/>
              </w:rPr>
              <w:t>2024</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82,250</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82,250</w:t>
            </w:r>
          </w:p>
        </w:tc>
        <w:tc>
          <w:tcPr>
            <w:tcW w:w="60" w:type="dxa"/>
            <w:vAlign w:val="bottom"/>
            <w:shd w:val="clear" w:color="auto" w:fill="CCEEFF"/>
          </w:tcPr>
          <w:p>
            <w:pPr>
              <w:spacing w:after="0"/>
              <w:rPr>
                <w:sz w:val="21"/>
                <w:szCs w:val="21"/>
                <w:color w:val="auto"/>
              </w:rPr>
            </w:pPr>
          </w:p>
        </w:tc>
      </w:tr>
      <w:tr>
        <w:trPr>
          <w:trHeight w:val="234"/>
        </w:trPr>
        <w:tc>
          <w:tcPr>
            <w:tcW w:w="1500" w:type="dxa"/>
            <w:vAlign w:val="bottom"/>
          </w:tcPr>
          <w:p>
            <w:pPr>
              <w:ind w:left="580"/>
              <w:spacing w:after="0"/>
              <w:rPr>
                <w:sz w:val="20"/>
                <w:szCs w:val="20"/>
                <w:color w:val="auto"/>
              </w:rPr>
            </w:pPr>
            <w:r>
              <w:rPr>
                <w:rFonts w:ascii="Arial" w:cs="Arial" w:eastAsia="Arial" w:hAnsi="Arial"/>
                <w:sz w:val="17"/>
                <w:szCs w:val="17"/>
                <w:color w:val="auto"/>
              </w:rPr>
              <w:t>2025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22,500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22,500</w:t>
            </w:r>
          </w:p>
        </w:tc>
        <w:tc>
          <w:tcPr>
            <w:tcW w:w="60" w:type="dxa"/>
            <w:vAlign w:val="bottom"/>
          </w:tcPr>
          <w:p>
            <w:pPr>
              <w:spacing w:after="0"/>
              <w:rPr>
                <w:sz w:val="20"/>
                <w:szCs w:val="20"/>
                <w:color w:val="auto"/>
              </w:rPr>
            </w:pPr>
          </w:p>
        </w:tc>
      </w:tr>
      <w:tr>
        <w:trPr>
          <w:trHeight w:val="247"/>
        </w:trPr>
        <w:tc>
          <w:tcPr>
            <w:tcW w:w="1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Thereafter</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72,500</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17,416</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125,000</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214,916</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34"/>
        </w:trPr>
        <w:tc>
          <w:tcPr>
            <w:tcW w:w="1500" w:type="dxa"/>
            <w:vAlign w:val="bottom"/>
          </w:tcPr>
          <w:p>
            <w:pPr>
              <w:ind w:left="560"/>
              <w:spacing w:after="0"/>
              <w:rPr>
                <w:sz w:val="20"/>
                <w:szCs w:val="20"/>
                <w:color w:val="auto"/>
              </w:rPr>
            </w:pPr>
            <w:r>
              <w:rPr>
                <w:rFonts w:ascii="Arial" w:cs="Arial" w:eastAsia="Arial" w:hAnsi="Arial"/>
                <w:sz w:val="17"/>
                <w:szCs w:val="17"/>
                <w:color w:val="auto"/>
              </w:rPr>
              <w:t>Total</w:t>
            </w:r>
          </w:p>
        </w:tc>
        <w:tc>
          <w:tcPr>
            <w:tcW w:w="4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95,000</w:t>
            </w:r>
          </w:p>
        </w:tc>
        <w:tc>
          <w:tcPr>
            <w:tcW w:w="4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40,000</w:t>
            </w:r>
          </w:p>
        </w:tc>
        <w:tc>
          <w:tcPr>
            <w:tcW w:w="4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17,746</w:t>
            </w:r>
          </w:p>
        </w:tc>
        <w:tc>
          <w:tcPr>
            <w:tcW w:w="5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207,250</w:t>
            </w: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359,996</w:t>
            </w:r>
          </w:p>
        </w:tc>
        <w:tc>
          <w:tcPr>
            <w:tcW w:w="60" w:type="dxa"/>
            <w:vAlign w:val="bottom"/>
          </w:tcPr>
          <w:p>
            <w:pPr>
              <w:spacing w:after="0"/>
              <w:rPr>
                <w:sz w:val="20"/>
                <w:szCs w:val="20"/>
                <w:color w:val="auto"/>
              </w:rPr>
            </w:pPr>
          </w:p>
        </w:tc>
      </w:tr>
      <w:tr>
        <w:trPr>
          <w:trHeight w:val="20"/>
        </w:trPr>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2399665</wp:posOffset>
            </wp:positionH>
            <wp:positionV relativeFrom="paragraph">
              <wp:posOffset>-181610</wp:posOffset>
            </wp:positionV>
            <wp:extent cx="4387215" cy="1822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387215" cy="182245"/>
                    </a:xfrm>
                    <a:prstGeom prst="rect">
                      <a:avLst/>
                    </a:prstGeom>
                    <a:noFill/>
                  </pic:spPr>
                </pic:pic>
              </a:graphicData>
            </a:graphic>
          </wp:anchor>
        </w:drawing>
      </w:r>
    </w:p>
    <w:p>
      <w:pPr>
        <w:spacing w:after="0" w:line="190" w:lineRule="exact"/>
        <w:rPr>
          <w:sz w:val="20"/>
          <w:szCs w:val="20"/>
          <w:color w:val="auto"/>
        </w:rPr>
      </w:pPr>
    </w:p>
    <w:p>
      <w:pPr>
        <w:ind w:left="360" w:hanging="346"/>
        <w:spacing w:after="0" w:line="297" w:lineRule="auto"/>
        <w:tabs>
          <w:tab w:leader="none" w:pos="3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table above presents scheduled maturities of the Company’s outstanding debt liabilities as of a point in time pursuant to the terms of those instruments. The timing of actual repayments of outstanding debt liabilities may not ultimately correspond with the scheduled maturity dates depending on the terms of the underlying instruments and the potential for earlier prepayments.</w:t>
      </w:r>
    </w:p>
    <w:p>
      <w:pPr>
        <w:ind w:left="360" w:hanging="346"/>
        <w:spacing w:after="0"/>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Credit Facility matures on April 24, 2023.</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Commitments and Contingencies</w:t>
      </w:r>
    </w:p>
    <w:p>
      <w:pPr>
        <w:spacing w:after="0" w:line="176" w:lineRule="exact"/>
        <w:rPr>
          <w:sz w:val="20"/>
          <w:szCs w:val="20"/>
          <w:color w:val="auto"/>
        </w:rPr>
      </w:pPr>
    </w:p>
    <w:p>
      <w:pPr>
        <w:jc w:val="both"/>
        <w:ind w:firstLine="478"/>
        <w:spacing w:after="0" w:line="276" w:lineRule="auto"/>
        <w:rPr>
          <w:sz w:val="20"/>
          <w:szCs w:val="20"/>
          <w:color w:val="auto"/>
        </w:rPr>
      </w:pPr>
      <w:r>
        <w:rPr>
          <w:rFonts w:ascii="Arial" w:cs="Arial" w:eastAsia="Arial" w:hAnsi="Arial"/>
          <w:sz w:val="17"/>
          <w:szCs w:val="17"/>
          <w:i w:val="1"/>
          <w:iCs w:val="1"/>
          <w:color w:val="auto"/>
        </w:rPr>
        <w:t xml:space="preserve">Commitments: </w:t>
      </w:r>
      <w:r>
        <w:rPr>
          <w:rFonts w:ascii="Arial" w:cs="Arial" w:eastAsia="Arial" w:hAnsi="Arial"/>
          <w:sz w:val="17"/>
          <w:szCs w:val="17"/>
          <w:color w:val="auto"/>
        </w:rPr>
        <w:t>The Company had outstanding commitments to portfolio companies to fund various undrawn revolving loans, other debt investments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commitments totaling $8,615 and $5,645 as of September 30, 2021 and December 31, 2020, respectively. Such outstanding commitments are summarized in the following table:</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4"/>
          </w:tcPr>
          <w:p>
            <w:pPr>
              <w:jc w:val="right"/>
              <w:ind w:right="661"/>
              <w:spacing w:after="0"/>
              <w:rPr>
                <w:sz w:val="20"/>
                <w:szCs w:val="20"/>
                <w:color w:val="auto"/>
              </w:rPr>
            </w:pPr>
            <w:r>
              <w:rPr>
                <w:rFonts w:ascii="Arial" w:cs="Arial" w:eastAsia="Arial" w:hAnsi="Arial"/>
                <w:sz w:val="12"/>
                <w:szCs w:val="12"/>
                <w:b w:val="1"/>
                <w:bCs w:val="1"/>
                <w:color w:val="auto"/>
              </w:rPr>
              <w:t>September 30, 2021</w:t>
            </w:r>
          </w:p>
        </w:tc>
        <w:tc>
          <w:tcPr>
            <w:tcW w:w="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4"/>
          </w:tcPr>
          <w:p>
            <w:pPr>
              <w:jc w:val="right"/>
              <w:ind w:right="541"/>
              <w:spacing w:after="0"/>
              <w:rPr>
                <w:sz w:val="20"/>
                <w:szCs w:val="20"/>
                <w:color w:val="auto"/>
              </w:rPr>
            </w:pPr>
            <w:r>
              <w:rPr>
                <w:rFonts w:ascii="Arial" w:cs="Arial" w:eastAsia="Arial" w:hAnsi="Arial"/>
                <w:sz w:val="12"/>
                <w:szCs w:val="12"/>
                <w:b w:val="1"/>
                <w:bCs w:val="1"/>
                <w:color w:val="auto"/>
              </w:rPr>
              <w:t>December 31, 2020</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361"/>
              <w:spacing w:after="0"/>
              <w:rPr>
                <w:sz w:val="20"/>
                <w:szCs w:val="20"/>
                <w:color w:val="auto"/>
              </w:rPr>
            </w:pPr>
            <w:r>
              <w:rPr>
                <w:rFonts w:ascii="Arial" w:cs="Arial" w:eastAsia="Arial" w:hAnsi="Arial"/>
                <w:sz w:val="12"/>
                <w:szCs w:val="12"/>
                <w:b w:val="1"/>
                <w:bCs w:val="1"/>
                <w:color w:val="auto"/>
              </w:rPr>
              <w:t>Total</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181"/>
              <w:spacing w:after="0"/>
              <w:rPr>
                <w:sz w:val="20"/>
                <w:szCs w:val="20"/>
                <w:color w:val="auto"/>
              </w:rPr>
            </w:pPr>
            <w:r>
              <w:rPr>
                <w:rFonts w:ascii="Arial" w:cs="Arial" w:eastAsia="Arial" w:hAnsi="Arial"/>
                <w:sz w:val="12"/>
                <w:szCs w:val="12"/>
                <w:b w:val="1"/>
                <w:bCs w:val="1"/>
                <w:color w:val="auto"/>
              </w:rPr>
              <w:t>Unfunded</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301"/>
              <w:spacing w:after="0"/>
              <w:rPr>
                <w:sz w:val="20"/>
                <w:szCs w:val="20"/>
                <w:color w:val="auto"/>
              </w:rPr>
            </w:pPr>
            <w:r>
              <w:rPr>
                <w:rFonts w:ascii="Arial" w:cs="Arial" w:eastAsia="Arial" w:hAnsi="Arial"/>
                <w:sz w:val="12"/>
                <w:szCs w:val="12"/>
                <w:b w:val="1"/>
                <w:bCs w:val="1"/>
                <w:color w:val="auto"/>
              </w:rPr>
              <w:t>Total</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121"/>
              <w:spacing w:after="0"/>
              <w:rPr>
                <w:sz w:val="20"/>
                <w:szCs w:val="20"/>
                <w:color w:val="auto"/>
              </w:rPr>
            </w:pPr>
            <w:r>
              <w:rPr>
                <w:rFonts w:ascii="Arial" w:cs="Arial" w:eastAsia="Arial" w:hAnsi="Arial"/>
                <w:sz w:val="12"/>
                <w:szCs w:val="12"/>
                <w:b w:val="1"/>
                <w:bCs w:val="1"/>
                <w:color w:val="auto"/>
              </w:rPr>
              <w:t>Unfunded</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Portfolio Company - Investment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61"/>
              <w:spacing w:after="0"/>
              <w:rPr>
                <w:sz w:val="20"/>
                <w:szCs w:val="20"/>
                <w:color w:val="auto"/>
              </w:rPr>
            </w:pPr>
            <w:r>
              <w:rPr>
                <w:rFonts w:ascii="Arial" w:cs="Arial" w:eastAsia="Arial" w:hAnsi="Arial"/>
                <w:sz w:val="12"/>
                <w:szCs w:val="12"/>
                <w:b w:val="1"/>
                <w:bCs w:val="1"/>
                <w:color w:val="auto"/>
                <w:w w:val="98"/>
              </w:rPr>
              <w:t>Commitment</w:t>
            </w:r>
          </w:p>
        </w:tc>
        <w:tc>
          <w:tcPr>
            <w:tcW w:w="3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b w:val="1"/>
                <w:bCs w:val="1"/>
                <w:color w:val="auto"/>
                <w:w w:val="95"/>
              </w:rPr>
              <w:t>Commitment</w:t>
            </w:r>
          </w:p>
        </w:tc>
        <w:tc>
          <w:tcPr>
            <w:tcW w:w="3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b w:val="1"/>
                <w:bCs w:val="1"/>
                <w:color w:val="auto"/>
                <w:w w:val="95"/>
              </w:rPr>
              <w:t>Commitment</w:t>
            </w:r>
          </w:p>
        </w:tc>
        <w:tc>
          <w:tcPr>
            <w:tcW w:w="3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b w:val="1"/>
                <w:bCs w:val="1"/>
                <w:color w:val="auto"/>
                <w:w w:val="92"/>
              </w:rPr>
              <w:t>Commitment</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020" w:type="dxa"/>
            <w:vAlign w:val="bottom"/>
            <w:gridSpan w:val="2"/>
          </w:tcPr>
          <w:p>
            <w:pPr>
              <w:ind w:left="20"/>
              <w:spacing w:after="0"/>
              <w:rPr>
                <w:sz w:val="20"/>
                <w:szCs w:val="20"/>
                <w:color w:val="auto"/>
              </w:rPr>
            </w:pPr>
            <w:r>
              <w:rPr>
                <w:rFonts w:ascii="Arial" w:cs="Arial" w:eastAsia="Arial" w:hAnsi="Arial"/>
                <w:sz w:val="12"/>
                <w:szCs w:val="12"/>
                <w:color w:val="auto"/>
              </w:rPr>
              <w:t>Combined Systems, Inc. - Revolving Loan</w:t>
            </w: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4,000</w:t>
            </w: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550</w:t>
            </w: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4,000</w:t>
            </w:r>
          </w:p>
        </w:tc>
        <w:tc>
          <w:tcPr>
            <w:tcW w:w="3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1,050</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Elements Brands, LLC - Revolving Loan</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838</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838</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020" w:type="dxa"/>
            <w:vAlign w:val="bottom"/>
            <w:gridSpan w:val="2"/>
          </w:tcPr>
          <w:p>
            <w:pPr>
              <w:ind w:left="20"/>
              <w:spacing w:after="0"/>
              <w:rPr>
                <w:sz w:val="20"/>
                <w:szCs w:val="20"/>
                <w:color w:val="auto"/>
              </w:rPr>
            </w:pPr>
            <w:r>
              <w:rPr>
                <w:rFonts w:ascii="Arial" w:cs="Arial" w:eastAsia="Arial" w:hAnsi="Arial"/>
                <w:sz w:val="12"/>
                <w:szCs w:val="12"/>
                <w:color w:val="auto"/>
              </w:rPr>
              <w:t>Mesa Line Services, LLC - Delayed Draw Term Loan</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4,000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1,500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Rhino Assembly Company, LLC - Delayed Draw Commitment</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875</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875</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875</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875</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6020" w:type="dxa"/>
            <w:vAlign w:val="bottom"/>
            <w:gridSpan w:val="2"/>
            <w:vMerge w:val="restart"/>
          </w:tcPr>
          <w:p>
            <w:pPr>
              <w:ind w:left="20"/>
              <w:spacing w:after="0"/>
              <w:rPr>
                <w:sz w:val="20"/>
                <w:szCs w:val="20"/>
                <w:color w:val="auto"/>
              </w:rPr>
            </w:pPr>
            <w:r>
              <w:rPr>
                <w:rFonts w:ascii="Arial" w:cs="Arial" w:eastAsia="Arial" w:hAnsi="Arial"/>
                <w:sz w:val="12"/>
                <w:szCs w:val="12"/>
                <w:color w:val="auto"/>
              </w:rPr>
              <w:t>Safety Products Group, LLC - Common Equity (Units)</w:t>
            </w:r>
          </w:p>
        </w:tc>
        <w:tc>
          <w:tcPr>
            <w:tcW w:w="14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2"/>
                <w:szCs w:val="12"/>
                <w:color w:val="auto"/>
              </w:rPr>
              <w:t>2,852</w:t>
            </w:r>
          </w:p>
        </w:tc>
        <w:tc>
          <w:tcPr>
            <w:tcW w:w="340" w:type="dxa"/>
            <w:vAlign w:val="bottom"/>
          </w:tcPr>
          <w:p>
            <w:pPr>
              <w:jc w:val="right"/>
              <w:ind w:right="71"/>
              <w:spacing w:after="0"/>
              <w:rPr>
                <w:sz w:val="20"/>
                <w:szCs w:val="20"/>
                <w:color w:val="auto"/>
              </w:rPr>
            </w:pPr>
            <w:r>
              <w:rPr>
                <w:rFonts w:ascii="Arial" w:cs="Arial" w:eastAsia="Arial" w:hAnsi="Arial"/>
                <w:sz w:val="8"/>
                <w:szCs w:val="8"/>
                <w:color w:val="auto"/>
              </w:rPr>
              <w:t>(1)</w:t>
            </w:r>
          </w:p>
        </w:tc>
        <w:tc>
          <w:tcPr>
            <w:tcW w:w="10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2,852</w:t>
            </w:r>
          </w:p>
        </w:tc>
        <w:tc>
          <w:tcPr>
            <w:tcW w:w="340" w:type="dxa"/>
            <w:vAlign w:val="bottom"/>
          </w:tcPr>
          <w:p>
            <w:pPr>
              <w:jc w:val="right"/>
              <w:ind w:right="71"/>
              <w:spacing w:after="0"/>
              <w:rPr>
                <w:sz w:val="20"/>
                <w:szCs w:val="20"/>
                <w:color w:val="auto"/>
              </w:rPr>
            </w:pPr>
            <w:r>
              <w:rPr>
                <w:rFonts w:ascii="Arial" w:cs="Arial" w:eastAsia="Arial" w:hAnsi="Arial"/>
                <w:sz w:val="8"/>
                <w:szCs w:val="8"/>
                <w:color w:val="auto"/>
              </w:rPr>
              <w:t>(1)</w:t>
            </w:r>
          </w:p>
        </w:tc>
        <w:tc>
          <w:tcPr>
            <w:tcW w:w="10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2,852</w:t>
            </w:r>
          </w:p>
        </w:tc>
        <w:tc>
          <w:tcPr>
            <w:tcW w:w="300" w:type="dxa"/>
            <w:vAlign w:val="bottom"/>
          </w:tcPr>
          <w:p>
            <w:pPr>
              <w:jc w:val="right"/>
              <w:ind w:right="31"/>
              <w:spacing w:after="0"/>
              <w:rPr>
                <w:sz w:val="20"/>
                <w:szCs w:val="20"/>
                <w:color w:val="auto"/>
              </w:rPr>
            </w:pPr>
            <w:r>
              <w:rPr>
                <w:rFonts w:ascii="Arial" w:cs="Arial" w:eastAsia="Arial" w:hAnsi="Arial"/>
                <w:sz w:val="8"/>
                <w:szCs w:val="8"/>
                <w:color w:val="auto"/>
              </w:rPr>
              <w:t>(1)</w:t>
            </w:r>
          </w:p>
        </w:tc>
        <w:tc>
          <w:tcPr>
            <w:tcW w:w="8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2,852</w:t>
            </w:r>
          </w:p>
        </w:tc>
        <w:tc>
          <w:tcPr>
            <w:tcW w:w="320" w:type="dxa"/>
            <w:vAlign w:val="bottom"/>
          </w:tcPr>
          <w:p>
            <w:pPr>
              <w:jc w:val="right"/>
              <w:ind w:right="80"/>
              <w:spacing w:after="0"/>
              <w:rPr>
                <w:sz w:val="20"/>
                <w:szCs w:val="20"/>
                <w:color w:val="auto"/>
              </w:rPr>
            </w:pPr>
            <w:r>
              <w:rPr>
                <w:rFonts w:ascii="Arial" w:cs="Arial" w:eastAsia="Arial" w:hAnsi="Arial"/>
                <w:sz w:val="8"/>
                <w:szCs w:val="8"/>
                <w:color w:val="auto"/>
              </w:rPr>
              <w:t>(1)</w:t>
            </w:r>
          </w:p>
        </w:tc>
        <w:tc>
          <w:tcPr>
            <w:tcW w:w="0" w:type="dxa"/>
            <w:vAlign w:val="bottom"/>
          </w:tcPr>
          <w:p>
            <w:pPr>
              <w:spacing w:after="0"/>
              <w:rPr>
                <w:sz w:val="1"/>
                <w:szCs w:val="1"/>
                <w:color w:val="auto"/>
              </w:rPr>
            </w:pPr>
          </w:p>
        </w:tc>
      </w:tr>
      <w:tr>
        <w:trPr>
          <w:trHeight w:val="58"/>
        </w:trPr>
        <w:tc>
          <w:tcPr>
            <w:tcW w:w="60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Spectra A&amp;D Acquisition, Inc. (fka FDS Avionics Corp.) - Revolving Loan</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020" w:type="dxa"/>
            <w:vAlign w:val="bottom"/>
            <w:gridSpan w:val="2"/>
          </w:tcPr>
          <w:p>
            <w:pPr>
              <w:ind w:left="20"/>
              <w:spacing w:after="0"/>
              <w:rPr>
                <w:sz w:val="20"/>
                <w:szCs w:val="20"/>
                <w:color w:val="auto"/>
              </w:rPr>
            </w:pPr>
            <w:r>
              <w:rPr>
                <w:rFonts w:ascii="Arial" w:cs="Arial" w:eastAsia="Arial" w:hAnsi="Arial"/>
                <w:sz w:val="12"/>
                <w:szCs w:val="12"/>
                <w:color w:val="auto"/>
              </w:rPr>
              <w:t>Wonderware Holdings, LLC (dba CORE Business Technologies) - Delayed Draw Term Loan</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2,000</w:t>
            </w: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2,000</w:t>
            </w: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16,727</w:t>
            </w: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8,615</w:t>
            </w: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10,977</w:t>
            </w:r>
          </w:p>
        </w:tc>
        <w:tc>
          <w:tcPr>
            <w:tcW w:w="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5,645</w:t>
            </w:r>
          </w:p>
        </w:tc>
        <w:tc>
          <w:tcPr>
            <w:tcW w:w="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-23495</wp:posOffset>
            </wp:positionV>
            <wp:extent cx="21717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17170"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-7620</wp:posOffset>
            </wp:positionV>
            <wp:extent cx="2171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171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-23495</wp:posOffset>
            </wp:positionV>
            <wp:extent cx="2171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171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21717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17170" cy="8255"/>
                    </a:xfrm>
                    <a:prstGeom prst="rect">
                      <a:avLst/>
                    </a:prstGeom>
                    <a:noFill/>
                  </pic:spPr>
                </pic:pic>
              </a:graphicData>
            </a:graphic>
          </wp:anchor>
        </w:drawing>
        <w:drawing>
          <wp:anchor simplePos="0" relativeHeight="251657728" behindDoc="1" locked="0" layoutInCell="0" allowOverlap="1">
            <wp:simplePos x="0" y="0"/>
            <wp:positionH relativeFrom="column">
              <wp:posOffset>6183630</wp:posOffset>
            </wp:positionH>
            <wp:positionV relativeFrom="paragraph">
              <wp:posOffset>-23495</wp:posOffset>
            </wp:positionV>
            <wp:extent cx="19304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93040" cy="8255"/>
                    </a:xfrm>
                    <a:prstGeom prst="rect">
                      <a:avLst/>
                    </a:prstGeom>
                    <a:noFill/>
                  </pic:spPr>
                </pic:pic>
              </a:graphicData>
            </a:graphic>
          </wp:anchor>
        </w:drawing>
        <w:drawing>
          <wp:anchor simplePos="0" relativeHeight="251657728" behindDoc="1" locked="0" layoutInCell="0" allowOverlap="1">
            <wp:simplePos x="0" y="0"/>
            <wp:positionH relativeFrom="column">
              <wp:posOffset>6183630</wp:posOffset>
            </wp:positionH>
            <wp:positionV relativeFrom="paragraph">
              <wp:posOffset>-7620</wp:posOffset>
            </wp:positionV>
            <wp:extent cx="19304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93040" cy="825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-23495</wp:posOffset>
            </wp:positionV>
            <wp:extent cx="20955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09550" cy="825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-7620</wp:posOffset>
            </wp:positionV>
            <wp:extent cx="20955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09550" cy="825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86360</wp:posOffset>
            </wp:positionV>
            <wp:extent cx="7165975" cy="4127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(unaudited)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20" w:lineRule="exact"/>
        <w:rPr>
          <w:sz w:val="20"/>
          <w:szCs w:val="20"/>
          <w:color w:val="auto"/>
        </w:rPr>
      </w:pPr>
    </w:p>
    <w:p>
      <w:pPr>
        <w:ind w:left="400" w:hanging="399"/>
        <w:spacing w:after="0" w:line="255" w:lineRule="auto"/>
        <w:tabs>
          <w:tab w:leader="none" w:pos="4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Portfolio company was no longer held at period end. The commitment represents the Company's maximum potential liability related to certain guaranteed obligations stemming from the prior sale of the portfolio company's underlying operations.</w:t>
      </w:r>
    </w:p>
    <w:p>
      <w:pPr>
        <w:spacing w:after="0" w:line="14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Additional detail for each of the commitments above is provided in the Company’s consolidated schedules of investments.</w:t>
      </w:r>
    </w:p>
    <w:p>
      <w:pPr>
        <w:spacing w:after="0" w:line="172" w:lineRule="exact"/>
        <w:rPr>
          <w:sz w:val="20"/>
          <w:szCs w:val="20"/>
          <w:color w:val="auto"/>
        </w:rPr>
      </w:pPr>
    </w:p>
    <w:p>
      <w:pPr>
        <w:jc w:val="both"/>
        <w:ind w:firstLine="478"/>
        <w:spacing w:after="0" w:line="288" w:lineRule="auto"/>
        <w:rPr>
          <w:sz w:val="20"/>
          <w:szCs w:val="20"/>
          <w:color w:val="auto"/>
        </w:rPr>
      </w:pPr>
      <w:r>
        <w:rPr>
          <w:rFonts w:ascii="Arial" w:cs="Arial" w:eastAsia="Arial" w:hAnsi="Arial"/>
          <w:sz w:val="17"/>
          <w:szCs w:val="17"/>
          <w:color w:val="auto"/>
        </w:rPr>
        <w:t>The commitments are generally subject to the borrowers meeting certain criteria such as compliance with financial and nonfinancial covenants. Since commitments may expire without being drawn upon, the total commitment amount does not necessarily represent future cash requirements.</w:t>
      </w:r>
    </w:p>
    <w:p>
      <w:pPr>
        <w:spacing w:after="0" w:line="114" w:lineRule="exact"/>
        <w:rPr>
          <w:sz w:val="20"/>
          <w:szCs w:val="20"/>
          <w:color w:val="auto"/>
        </w:rPr>
      </w:pPr>
    </w:p>
    <w:p>
      <w:pPr>
        <w:jc w:val="both"/>
        <w:ind w:firstLine="478"/>
        <w:spacing w:after="0" w:line="289" w:lineRule="auto"/>
        <w:rPr>
          <w:sz w:val="20"/>
          <w:szCs w:val="20"/>
          <w:color w:val="auto"/>
        </w:rPr>
      </w:pPr>
      <w:r>
        <w:rPr>
          <w:rFonts w:ascii="Arial" w:cs="Arial" w:eastAsia="Arial" w:hAnsi="Arial"/>
          <w:sz w:val="16"/>
          <w:szCs w:val="16"/>
          <w:i w:val="1"/>
          <w:iCs w:val="1"/>
          <w:color w:val="auto"/>
        </w:rPr>
        <w:t xml:space="preserve">Indemnifications: </w:t>
      </w:r>
      <w:r>
        <w:rPr>
          <w:rFonts w:ascii="Arial" w:cs="Arial" w:eastAsia="Arial" w:hAnsi="Arial"/>
          <w:sz w:val="16"/>
          <w:szCs w:val="16"/>
          <w:color w:val="auto"/>
        </w:rPr>
        <w:t>In the normal course of business, the Company enters into contracts and agreements that contain a variety of representations and warranties</w:t>
      </w:r>
      <w:r>
        <w:rPr>
          <w:rFonts w:ascii="Arial" w:cs="Arial" w:eastAsia="Arial" w:hAnsi="Arial"/>
          <w:sz w:val="16"/>
          <w:szCs w:val="16"/>
          <w:i w:val="1"/>
          <w:iCs w:val="1"/>
          <w:color w:val="auto"/>
        </w:rPr>
        <w:t xml:space="preserve"> </w:t>
      </w:r>
      <w:r>
        <w:rPr>
          <w:rFonts w:ascii="Arial" w:cs="Arial" w:eastAsia="Arial" w:hAnsi="Arial"/>
          <w:sz w:val="16"/>
          <w:szCs w:val="16"/>
          <w:color w:val="auto"/>
        </w:rPr>
        <w:t>that provide indemnifications under certain circumstances. In addition, in connection with the disposition of an investment in a portfolio company, the Company may be required to make representations about the business and financial affairs of such portfolio company typical of those made in connection with the sale of a business. The Company may also be required to indemnify the purchasers of such investment to the extent that any such representations are inaccurate. The Company’s maximum exposure under these arrangements is unknown, as this would involve future claims that may be made against the Company that have not yet occurred. The Company expects the risk of future obligation under these indemnifications to be remote.</w:t>
      </w:r>
    </w:p>
    <w:p>
      <w:pPr>
        <w:spacing w:after="0" w:line="116" w:lineRule="exact"/>
        <w:rPr>
          <w:sz w:val="20"/>
          <w:szCs w:val="20"/>
          <w:color w:val="auto"/>
        </w:rPr>
      </w:pPr>
    </w:p>
    <w:p>
      <w:pPr>
        <w:jc w:val="both"/>
        <w:ind w:firstLine="478"/>
        <w:spacing w:after="0" w:line="276" w:lineRule="auto"/>
        <w:rPr>
          <w:sz w:val="20"/>
          <w:szCs w:val="20"/>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In the normal course of business, the Company may be subject to legal and regulatory proceedings that are generally incidental to its</w:t>
      </w:r>
      <w:r>
        <w:rPr>
          <w:rFonts w:ascii="Arial" w:cs="Arial" w:eastAsia="Arial" w:hAnsi="Arial"/>
          <w:sz w:val="17"/>
          <w:szCs w:val="17"/>
          <w:i w:val="1"/>
          <w:iCs w:val="1"/>
          <w:color w:val="auto"/>
        </w:rPr>
        <w:t xml:space="preserve"> </w:t>
      </w:r>
      <w:r>
        <w:rPr>
          <w:rFonts w:ascii="Arial" w:cs="Arial" w:eastAsia="Arial" w:hAnsi="Arial"/>
          <w:sz w:val="17"/>
          <w:szCs w:val="17"/>
          <w:color w:val="auto"/>
        </w:rPr>
        <w:t>ongoing operations. While the outcome of any such legal proceedings cannot be predicted with certainty, the Company does not believe any such legal proceedings will have a material adverse effect on the Company’s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Public Offerings of Common Stock</w:t>
      </w:r>
    </w:p>
    <w:p>
      <w:pPr>
        <w:spacing w:after="0" w:line="172" w:lineRule="exact"/>
        <w:rPr>
          <w:sz w:val="20"/>
          <w:szCs w:val="20"/>
          <w:color w:val="auto"/>
        </w:rPr>
      </w:pPr>
    </w:p>
    <w:p>
      <w:pPr>
        <w:jc w:val="both"/>
        <w:ind w:firstLine="480"/>
        <w:spacing w:after="0" w:line="288" w:lineRule="auto"/>
        <w:rPr>
          <w:sz w:val="20"/>
          <w:szCs w:val="20"/>
          <w:color w:val="auto"/>
        </w:rPr>
      </w:pPr>
      <w:r>
        <w:rPr>
          <w:rFonts w:ascii="Arial" w:cs="Arial" w:eastAsia="Arial" w:hAnsi="Arial"/>
          <w:sz w:val="17"/>
          <w:szCs w:val="17"/>
          <w:color w:val="auto"/>
        </w:rPr>
        <w:t>The following table summarizes the cumulative total shares issued, net proceeds received, and weighted average offering price in public offerings of the Company’s common stock since the IPO.</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40" w:type="dxa"/>
            <w:vAlign w:val="bottom"/>
            <w:vMerge w:val="restart"/>
          </w:tcPr>
          <w:p>
            <w:pPr>
              <w:ind w:left="1280"/>
              <w:spacing w:after="0"/>
              <w:rPr>
                <w:sz w:val="20"/>
                <w:szCs w:val="20"/>
                <w:color w:val="auto"/>
              </w:rPr>
            </w:pPr>
            <w:r>
              <w:rPr>
                <w:rFonts w:ascii="Arial" w:cs="Arial" w:eastAsia="Arial" w:hAnsi="Arial"/>
                <w:sz w:val="17"/>
                <w:szCs w:val="17"/>
                <w:b w:val="1"/>
                <w:bCs w:val="1"/>
                <w:color w:val="auto"/>
              </w:rPr>
              <w:t>Period</w:t>
            </w:r>
          </w:p>
        </w:tc>
        <w:tc>
          <w:tcPr>
            <w:tcW w:w="2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w w:val="93"/>
              </w:rPr>
              <w:t>Cumulative</w:t>
            </w:r>
          </w:p>
        </w:tc>
        <w:tc>
          <w:tcPr>
            <w:tcW w:w="280" w:type="dxa"/>
            <w:vAlign w:val="bottom"/>
          </w:tcPr>
          <w:p>
            <w:pPr>
              <w:spacing w:after="0"/>
              <w:rPr>
                <w:sz w:val="16"/>
                <w:szCs w:val="16"/>
                <w:color w:val="auto"/>
              </w:rPr>
            </w:pPr>
          </w:p>
        </w:tc>
        <w:tc>
          <w:tcPr>
            <w:tcW w:w="1480" w:type="dxa"/>
            <w:vAlign w:val="bottom"/>
            <w:gridSpan w:val="2"/>
          </w:tcPr>
          <w:p>
            <w:pPr>
              <w:jc w:val="center"/>
              <w:spacing w:after="0"/>
              <w:rPr>
                <w:sz w:val="20"/>
                <w:szCs w:val="20"/>
                <w:color w:val="auto"/>
              </w:rPr>
            </w:pPr>
            <w:r>
              <w:rPr>
                <w:rFonts w:ascii="Arial" w:cs="Arial" w:eastAsia="Arial" w:hAnsi="Arial"/>
                <w:sz w:val="17"/>
                <w:szCs w:val="17"/>
                <w:b w:val="1"/>
                <w:bCs w:val="1"/>
                <w:color w:val="auto"/>
                <w:w w:val="89"/>
              </w:rPr>
              <w:t>Cumulative Gross</w:t>
            </w:r>
          </w:p>
        </w:tc>
        <w:tc>
          <w:tcPr>
            <w:tcW w:w="280" w:type="dxa"/>
            <w:vAlign w:val="bottom"/>
          </w:tcPr>
          <w:p>
            <w:pPr>
              <w:spacing w:after="0"/>
              <w:rPr>
                <w:sz w:val="16"/>
                <w:szCs w:val="16"/>
                <w:color w:val="auto"/>
              </w:rPr>
            </w:pPr>
          </w:p>
        </w:tc>
        <w:tc>
          <w:tcPr>
            <w:tcW w:w="2720" w:type="dxa"/>
            <w:vAlign w:val="bottom"/>
            <w:gridSpan w:val="2"/>
          </w:tcPr>
          <w:p>
            <w:pPr>
              <w:jc w:val="center"/>
              <w:spacing w:after="0"/>
              <w:rPr>
                <w:sz w:val="20"/>
                <w:szCs w:val="20"/>
                <w:color w:val="auto"/>
              </w:rPr>
            </w:pPr>
            <w:r>
              <w:rPr>
                <w:rFonts w:ascii="Arial" w:cs="Arial" w:eastAsia="Arial" w:hAnsi="Arial"/>
                <w:sz w:val="17"/>
                <w:szCs w:val="17"/>
                <w:b w:val="1"/>
                <w:bCs w:val="1"/>
                <w:color w:val="auto"/>
                <w:w w:val="91"/>
              </w:rPr>
              <w:t>Cumulative Underwriting Fees and</w:t>
            </w:r>
          </w:p>
        </w:tc>
        <w:tc>
          <w:tcPr>
            <w:tcW w:w="26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Arial" w:cs="Arial" w:eastAsia="Arial" w:hAnsi="Arial"/>
                <w:sz w:val="17"/>
                <w:szCs w:val="17"/>
                <w:b w:val="1"/>
                <w:bCs w:val="1"/>
                <w:color w:val="auto"/>
                <w:w w:val="88"/>
              </w:rPr>
              <w:t>Weighted Average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30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88"/>
              </w:rPr>
              <w:t>Number of Shares</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vMerge w:val="restart"/>
          </w:tcPr>
          <w:p>
            <w:pPr>
              <w:jc w:val="center"/>
              <w:ind w:right="176"/>
              <w:spacing w:after="0"/>
              <w:rPr>
                <w:sz w:val="20"/>
                <w:szCs w:val="20"/>
                <w:color w:val="auto"/>
              </w:rPr>
            </w:pPr>
            <w:r>
              <w:rPr>
                <w:rFonts w:ascii="Arial" w:cs="Arial" w:eastAsia="Arial" w:hAnsi="Arial"/>
                <w:sz w:val="17"/>
                <w:szCs w:val="17"/>
                <w:b w:val="1"/>
                <w:bCs w:val="1"/>
                <w:color w:val="auto"/>
                <w:w w:val="83"/>
              </w:rPr>
              <w:t>Proceeds</w:t>
            </w:r>
          </w:p>
        </w:tc>
        <w:tc>
          <w:tcPr>
            <w:tcW w:w="280" w:type="dxa"/>
            <w:vAlign w:val="bottom"/>
          </w:tcPr>
          <w:p>
            <w:pPr>
              <w:spacing w:after="0"/>
              <w:rPr>
                <w:sz w:val="10"/>
                <w:szCs w:val="10"/>
                <w:color w:val="auto"/>
              </w:rPr>
            </w:pPr>
          </w:p>
        </w:tc>
        <w:tc>
          <w:tcPr>
            <w:tcW w:w="2720" w:type="dxa"/>
            <w:vAlign w:val="bottom"/>
            <w:gridSpan w:val="2"/>
            <w:vMerge w:val="restart"/>
          </w:tcPr>
          <w:p>
            <w:pPr>
              <w:jc w:val="center"/>
              <w:spacing w:after="0"/>
              <w:rPr>
                <w:sz w:val="20"/>
                <w:szCs w:val="20"/>
                <w:color w:val="auto"/>
              </w:rPr>
            </w:pPr>
            <w:r>
              <w:rPr>
                <w:rFonts w:ascii="Arial" w:cs="Arial" w:eastAsia="Arial" w:hAnsi="Arial"/>
                <w:sz w:val="17"/>
                <w:szCs w:val="17"/>
                <w:b w:val="1"/>
                <w:bCs w:val="1"/>
                <w:color w:val="auto"/>
                <w:w w:val="87"/>
              </w:rPr>
              <w:t xml:space="preserve">Commissions and Offering Costs </w:t>
            </w:r>
            <w:r>
              <w:rPr>
                <w:rFonts w:ascii="Arial" w:cs="Arial" w:eastAsia="Arial" w:hAnsi="Arial"/>
                <w:sz w:val="22"/>
                <w:szCs w:val="22"/>
                <w:b w:val="1"/>
                <w:bCs w:val="1"/>
                <w:color w:val="auto"/>
                <w:w w:val="87"/>
                <w:vertAlign w:val="superscript"/>
              </w:rPr>
              <w:t>(1)</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vMerge w:val="restart"/>
          </w:tcPr>
          <w:p>
            <w:pPr>
              <w:jc w:val="center"/>
              <w:ind w:right="96"/>
              <w:spacing w:after="0"/>
              <w:rPr>
                <w:sz w:val="20"/>
                <w:szCs w:val="20"/>
                <w:color w:val="auto"/>
              </w:rPr>
            </w:pPr>
            <w:r>
              <w:rPr>
                <w:rFonts w:ascii="Arial" w:cs="Arial" w:eastAsia="Arial" w:hAnsi="Arial"/>
                <w:sz w:val="17"/>
                <w:szCs w:val="17"/>
                <w:b w:val="1"/>
                <w:bCs w:val="1"/>
                <w:color w:val="auto"/>
                <w:w w:val="92"/>
              </w:rPr>
              <w:t>Offering Price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30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tcBorders>
              <w:bottom w:val="single" w:sz="8" w:color="auto"/>
            </w:tcBorders>
            <w:vMerge w:val="continue"/>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vMerge w:val="continue"/>
          </w:tcPr>
          <w:p>
            <w:pPr>
              <w:spacing w:after="0"/>
              <w:rPr>
                <w:sz w:val="11"/>
                <w:szCs w:val="11"/>
                <w:color w:val="auto"/>
              </w:rPr>
            </w:pPr>
          </w:p>
        </w:tc>
        <w:tc>
          <w:tcPr>
            <w:tcW w:w="280" w:type="dxa"/>
            <w:vAlign w:val="bottom"/>
          </w:tcPr>
          <w:p>
            <w:pPr>
              <w:spacing w:after="0"/>
              <w:rPr>
                <w:sz w:val="11"/>
                <w:szCs w:val="11"/>
                <w:color w:val="auto"/>
              </w:rPr>
            </w:pPr>
          </w:p>
        </w:tc>
        <w:tc>
          <w:tcPr>
            <w:tcW w:w="2720" w:type="dxa"/>
            <w:vAlign w:val="bottom"/>
            <w:tcBorders>
              <w:bottom w:val="single" w:sz="8" w:color="auto"/>
            </w:tcBorders>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3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Cumulative since IPO</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14,388,414</w:t>
            </w:r>
          </w:p>
        </w:tc>
        <w:tc>
          <w:tcPr>
            <w:tcW w:w="54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236,597</w:t>
            </w:r>
          </w:p>
        </w:tc>
        <w:tc>
          <w:tcPr>
            <w:tcW w:w="1500" w:type="dxa"/>
            <w:vAlign w:val="bottom"/>
            <w:gridSpan w:val="2"/>
            <w:shd w:val="clear" w:color="auto" w:fill="CCEEFF"/>
          </w:tcPr>
          <w:p>
            <w:pPr>
              <w:jc w:val="right"/>
              <w:ind w:right="1036"/>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8,989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16.44</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firstLine="1"/>
        <w:spacing w:after="0" w:line="262" w:lineRule="auto"/>
        <w:tabs>
          <w:tab w:leader="none" w:pos="203" w:val="left"/>
        </w:tabs>
        <w:numPr>
          <w:ilvl w:val="0"/>
          <w:numId w:val="22"/>
        </w:numPr>
        <w:rPr>
          <w:rFonts w:ascii="Arial" w:cs="Arial" w:eastAsia="Arial" w:hAnsi="Arial"/>
          <w:sz w:val="14"/>
          <w:szCs w:val="14"/>
          <w:color w:val="auto"/>
        </w:rPr>
      </w:pPr>
      <w:r>
        <w:rPr>
          <w:rFonts w:ascii="Arial" w:cs="Arial" w:eastAsia="Arial" w:hAnsi="Arial"/>
          <w:sz w:val="14"/>
          <w:szCs w:val="14"/>
          <w:color w:val="auto"/>
        </w:rPr>
        <w:t>Fidus Investment Advisors, LLC agreed to bear a cumulative of $1,925 of underwriting fees and commissions and offering costs associated with these offerings (such amounts are not included in the number reported above). All such payments made by Fidus Investment Advisors, LLC are not subject to reimbursement by the Company.</w:t>
      </w:r>
    </w:p>
    <w:p>
      <w:pPr>
        <w:spacing w:after="0" w:line="13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 shares have been issued for the three and nine months ended September 30, 2021 and 2020.</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Common Stock ATM Program</w:t>
      </w:r>
    </w:p>
    <w:p>
      <w:pPr>
        <w:spacing w:after="0" w:line="172" w:lineRule="exact"/>
        <w:rPr>
          <w:sz w:val="20"/>
          <w:szCs w:val="20"/>
          <w:color w:val="auto"/>
        </w:rPr>
      </w:pPr>
    </w:p>
    <w:p>
      <w:pPr>
        <w:jc w:val="both"/>
        <w:ind w:firstLine="480"/>
        <w:spacing w:after="0" w:line="272" w:lineRule="auto"/>
        <w:rPr>
          <w:sz w:val="20"/>
          <w:szCs w:val="20"/>
          <w:color w:val="auto"/>
        </w:rPr>
      </w:pPr>
      <w:r>
        <w:rPr>
          <w:rFonts w:ascii="Arial" w:cs="Arial" w:eastAsia="Arial" w:hAnsi="Arial"/>
          <w:sz w:val="17"/>
          <w:szCs w:val="17"/>
          <w:color w:val="auto"/>
        </w:rPr>
        <w:t>On August 21, 2014, the Company entered into an equity distribution agreement with Raymond James &amp; Associates, Inc. and Robert W. Baird &amp; Co. Incorporated through which the Company could sell, by means of at-the-market offerings from time to time, shares of the Company’s common stock having an aggregate offering price of up to $50,000 (the “ATM Program”). There were no issuances of common stock under the ATM program during the last two fiscal years and for the nine months ended September 30, 2021.</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Repurchase Program</w:t>
      </w:r>
    </w:p>
    <w:p>
      <w:pPr>
        <w:spacing w:after="0" w:line="172" w:lineRule="exact"/>
        <w:rPr>
          <w:sz w:val="20"/>
          <w:szCs w:val="20"/>
          <w:color w:val="auto"/>
        </w:rPr>
      </w:pPr>
    </w:p>
    <w:p>
      <w:pPr>
        <w:jc w:val="both"/>
        <w:ind w:firstLine="478"/>
        <w:spacing w:after="0" w:line="269" w:lineRule="auto"/>
        <w:rPr>
          <w:sz w:val="20"/>
          <w:szCs w:val="20"/>
          <w:color w:val="auto"/>
        </w:rPr>
      </w:pPr>
      <w:r>
        <w:rPr>
          <w:rFonts w:ascii="Arial" w:cs="Arial" w:eastAsia="Arial" w:hAnsi="Arial"/>
          <w:sz w:val="17"/>
          <w:szCs w:val="17"/>
          <w:color w:val="auto"/>
        </w:rPr>
        <w:t>As described in Note 2, the Company has a Stock Repurchase Program under which the Company may acquire up to $5,000 of its outstanding common stock. The Company did not make any repurchases of common stock during the three and nine months ended September 30, 2021. During the three and nine months ended September 30, 2020, the Company repurchased zero and 25,719 shares of common stock, respectively, on the open market for zero and $268, respectively. The Company’s NAV per share increased by approximately zero and $0.01 for the three and nine months ended September 30, 2020, respectively, as a result of the share repurchases. The following table summarizes the Company’s share repurchases under the Stock Repurchase Program for the three and nine months ended September 30, 2021 and 2020:</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6"/>
        </w:trPr>
        <w:tc>
          <w:tcPr>
            <w:tcW w:w="7140" w:type="dxa"/>
            <w:vAlign w:val="bottom"/>
            <w:gridSpan w:val="6"/>
          </w:tcPr>
          <w:p>
            <w:pPr>
              <w:jc w:val="center"/>
              <w:ind w:left="4016"/>
              <w:spacing w:after="0"/>
              <w:rPr>
                <w:sz w:val="20"/>
                <w:szCs w:val="20"/>
                <w:color w:val="auto"/>
              </w:rPr>
            </w:pPr>
            <w:r>
              <w:rPr>
                <w:rFonts w:ascii="Arial" w:cs="Arial" w:eastAsia="Arial" w:hAnsi="Arial"/>
                <w:sz w:val="17"/>
                <w:szCs w:val="17"/>
                <w:b w:val="1"/>
                <w:bCs w:val="1"/>
                <w:color w:val="auto"/>
              </w:rPr>
              <w:t>FIDUS INVESTMENT CORPORATION</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8020" w:type="dxa"/>
            <w:vAlign w:val="bottom"/>
            <w:gridSpan w:val="7"/>
          </w:tcPr>
          <w:p>
            <w:pPr>
              <w:jc w:val="center"/>
              <w:ind w:left="3156"/>
              <w:spacing w:after="0"/>
              <w:rPr>
                <w:sz w:val="20"/>
                <w:szCs w:val="20"/>
                <w:color w:val="auto"/>
              </w:rPr>
            </w:pPr>
            <w:r>
              <w:rPr>
                <w:rFonts w:ascii="Arial" w:cs="Arial" w:eastAsia="Arial" w:hAnsi="Arial"/>
                <w:sz w:val="17"/>
                <w:szCs w:val="17"/>
                <w:b w:val="1"/>
                <w:bCs w:val="1"/>
                <w:color w:val="auto"/>
                <w:w w:val="88"/>
              </w:rPr>
              <w:t>Notes to Consolidated Financial Statements (unaudited)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9"/>
        </w:trPr>
        <w:tc>
          <w:tcPr>
            <w:tcW w:w="8020" w:type="dxa"/>
            <w:vAlign w:val="bottom"/>
            <w:gridSpan w:val="7"/>
          </w:tcPr>
          <w:p>
            <w:pPr>
              <w:jc w:val="center"/>
              <w:ind w:left="3156"/>
              <w:spacing w:after="0"/>
              <w:rPr>
                <w:sz w:val="20"/>
                <w:szCs w:val="20"/>
                <w:color w:val="auto"/>
              </w:rPr>
            </w:pPr>
            <w:r>
              <w:rPr>
                <w:rFonts w:ascii="Arial" w:cs="Arial" w:eastAsia="Arial" w:hAnsi="Arial"/>
                <w:sz w:val="17"/>
                <w:szCs w:val="17"/>
                <w:b w:val="1"/>
                <w:bCs w:val="1"/>
                <w:color w:val="auto"/>
                <w:w w:val="87"/>
              </w:rPr>
              <w:t>(in thousands, except shares and per share data)</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60"/>
        </w:trPr>
        <w:tc>
          <w:tcPr>
            <w:tcW w:w="4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20" w:type="dxa"/>
            <w:vAlign w:val="bottom"/>
            <w:gridSpan w:val="4"/>
          </w:tcPr>
          <w:p>
            <w:pPr>
              <w:jc w:val="right"/>
              <w:ind w:right="96"/>
              <w:spacing w:after="0"/>
              <w:rPr>
                <w:sz w:val="20"/>
                <w:szCs w:val="20"/>
                <w:color w:val="auto"/>
              </w:rPr>
            </w:pPr>
            <w:r>
              <w:rPr>
                <w:rFonts w:ascii="Arial" w:cs="Arial" w:eastAsia="Arial" w:hAnsi="Arial"/>
                <w:sz w:val="17"/>
                <w:szCs w:val="17"/>
                <w:b w:val="1"/>
                <w:bCs w:val="1"/>
                <w:color w:val="auto"/>
                <w:w w:val="90"/>
              </w:rPr>
              <w:t>Three Months Ended September 30,</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00" w:type="dxa"/>
            <w:vAlign w:val="bottom"/>
            <w:gridSpan w:val="5"/>
          </w:tcPr>
          <w:p>
            <w:pPr>
              <w:jc w:val="right"/>
              <w:ind w:right="360"/>
              <w:spacing w:after="0"/>
              <w:rPr>
                <w:sz w:val="20"/>
                <w:szCs w:val="20"/>
                <w:color w:val="auto"/>
              </w:rPr>
            </w:pPr>
            <w:r>
              <w:rPr>
                <w:rFonts w:ascii="Arial" w:cs="Arial" w:eastAsia="Arial" w:hAnsi="Arial"/>
                <w:sz w:val="17"/>
                <w:szCs w:val="17"/>
                <w:b w:val="1"/>
                <w:bCs w:val="1"/>
                <w:color w:val="auto"/>
                <w:w w:val="90"/>
              </w:rPr>
              <w:t>Nine Months Ended September 30,</w:t>
            </w:r>
          </w:p>
        </w:tc>
      </w:tr>
      <w:tr>
        <w:trPr>
          <w:trHeight w:val="259"/>
        </w:trPr>
        <w:tc>
          <w:tcPr>
            <w:tcW w:w="4940" w:type="dxa"/>
            <w:vAlign w:val="bottom"/>
            <w:tcBorders>
              <w:bottom w:val="single" w:sz="8" w:color="auto"/>
            </w:tcBorders>
          </w:tcPr>
          <w:p>
            <w:pPr>
              <w:ind w:left="1340"/>
              <w:spacing w:after="0"/>
              <w:rPr>
                <w:sz w:val="20"/>
                <w:szCs w:val="20"/>
                <w:color w:val="auto"/>
              </w:rPr>
            </w:pPr>
            <w:r>
              <w:rPr>
                <w:rFonts w:ascii="Arial" w:cs="Arial" w:eastAsia="Arial" w:hAnsi="Arial"/>
                <w:sz w:val="17"/>
                <w:szCs w:val="17"/>
                <w:b w:val="1"/>
                <w:bCs w:val="1"/>
                <w:color w:val="auto"/>
              </w:rPr>
              <w:t>Repurchases of Common Stock</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top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7"/>
                <w:szCs w:val="17"/>
                <w:b w:val="1"/>
                <w:bCs w:val="1"/>
                <w:color w:val="auto"/>
                <w:w w:val="89"/>
              </w:rPr>
              <w:t>2020</w:t>
            </w:r>
          </w:p>
        </w:tc>
        <w:tc>
          <w:tcPr>
            <w:tcW w:w="2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2020</w:t>
            </w:r>
          </w:p>
        </w:tc>
        <w:tc>
          <w:tcPr>
            <w:tcW w:w="240" w:type="dxa"/>
            <w:vAlign w:val="bottom"/>
          </w:tcPr>
          <w:p>
            <w:pPr>
              <w:spacing w:after="0"/>
              <w:rPr>
                <w:sz w:val="22"/>
                <w:szCs w:val="22"/>
                <w:color w:val="auto"/>
              </w:rPr>
            </w:pPr>
          </w:p>
        </w:tc>
      </w:tr>
      <w:tr>
        <w:trPr>
          <w:trHeight w:val="241"/>
        </w:trPr>
        <w:tc>
          <w:tcPr>
            <w:tcW w:w="5080" w:type="dxa"/>
            <w:vAlign w:val="bottom"/>
            <w:gridSpan w:val="2"/>
            <w:shd w:val="clear" w:color="auto" w:fill="CFF0FC"/>
          </w:tcPr>
          <w:p>
            <w:pPr>
              <w:ind w:left="20"/>
              <w:spacing w:after="0"/>
              <w:rPr>
                <w:sz w:val="20"/>
                <w:szCs w:val="20"/>
                <w:color w:val="auto"/>
              </w:rPr>
            </w:pPr>
            <w:r>
              <w:rPr>
                <w:rFonts w:ascii="Arial" w:cs="Arial" w:eastAsia="Arial" w:hAnsi="Arial"/>
                <w:sz w:val="17"/>
                <w:szCs w:val="17"/>
                <w:color w:val="auto"/>
              </w:rPr>
              <w:t>Number of shares repurchased</w:t>
            </w: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25,719</w:t>
            </w:r>
          </w:p>
        </w:tc>
        <w:tc>
          <w:tcPr>
            <w:tcW w:w="240" w:type="dxa"/>
            <w:vAlign w:val="bottom"/>
            <w:shd w:val="clear" w:color="auto" w:fill="CFF0FC"/>
          </w:tcPr>
          <w:p>
            <w:pPr>
              <w:spacing w:after="0"/>
              <w:rPr>
                <w:sz w:val="20"/>
                <w:szCs w:val="20"/>
                <w:color w:val="auto"/>
              </w:rPr>
            </w:pPr>
          </w:p>
        </w:tc>
      </w:tr>
      <w:tr>
        <w:trPr>
          <w:trHeight w:val="234"/>
        </w:trPr>
        <w:tc>
          <w:tcPr>
            <w:tcW w:w="5080" w:type="dxa"/>
            <w:vAlign w:val="bottom"/>
            <w:gridSpan w:val="2"/>
          </w:tcPr>
          <w:p>
            <w:pPr>
              <w:ind w:left="20"/>
              <w:spacing w:after="0"/>
              <w:rPr>
                <w:sz w:val="20"/>
                <w:szCs w:val="20"/>
                <w:color w:val="auto"/>
              </w:rPr>
            </w:pPr>
            <w:r>
              <w:rPr>
                <w:rFonts w:ascii="Arial" w:cs="Arial" w:eastAsia="Arial" w:hAnsi="Arial"/>
                <w:sz w:val="17"/>
                <w:szCs w:val="17"/>
                <w:color w:val="auto"/>
              </w:rPr>
              <w:t>Cost of shares repurchased, including commissions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268</w:t>
            </w:r>
          </w:p>
        </w:tc>
        <w:tc>
          <w:tcPr>
            <w:tcW w:w="240" w:type="dxa"/>
            <w:vAlign w:val="bottom"/>
          </w:tcPr>
          <w:p>
            <w:pPr>
              <w:spacing w:after="0"/>
              <w:rPr>
                <w:sz w:val="20"/>
                <w:szCs w:val="20"/>
                <w:color w:val="auto"/>
              </w:rPr>
            </w:pPr>
          </w:p>
        </w:tc>
      </w:tr>
      <w:tr>
        <w:trPr>
          <w:trHeight w:val="248"/>
        </w:trPr>
        <w:tc>
          <w:tcPr>
            <w:tcW w:w="5080" w:type="dxa"/>
            <w:vAlign w:val="bottom"/>
            <w:gridSpan w:val="2"/>
            <w:shd w:val="clear" w:color="auto" w:fill="CFF0FC"/>
          </w:tcPr>
          <w:p>
            <w:pPr>
              <w:ind w:left="20"/>
              <w:spacing w:after="0"/>
              <w:rPr>
                <w:sz w:val="20"/>
                <w:szCs w:val="20"/>
                <w:color w:val="auto"/>
              </w:rPr>
            </w:pPr>
            <w:r>
              <w:rPr>
                <w:rFonts w:ascii="Arial" w:cs="Arial" w:eastAsia="Arial" w:hAnsi="Arial"/>
                <w:sz w:val="17"/>
                <w:szCs w:val="17"/>
                <w:color w:val="auto"/>
              </w:rPr>
              <w:t>Weighted average price per share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FF0FC"/>
          </w:tcPr>
          <w:p>
            <w:pPr>
              <w:jc w:val="right"/>
              <w:ind w:right="3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10.37</w:t>
            </w:r>
          </w:p>
        </w:tc>
        <w:tc>
          <w:tcPr>
            <w:tcW w:w="240" w:type="dxa"/>
            <w:vAlign w:val="bottom"/>
            <w:shd w:val="clear" w:color="auto" w:fill="CFF0FC"/>
          </w:tcPr>
          <w:p>
            <w:pPr>
              <w:spacing w:after="0"/>
              <w:rPr>
                <w:sz w:val="21"/>
                <w:szCs w:val="21"/>
                <w:color w:val="auto"/>
              </w:rPr>
            </w:pPr>
          </w:p>
        </w:tc>
      </w:tr>
      <w:tr>
        <w:trPr>
          <w:trHeight w:val="227"/>
        </w:trPr>
        <w:tc>
          <w:tcPr>
            <w:tcW w:w="5080" w:type="dxa"/>
            <w:vAlign w:val="bottom"/>
            <w:gridSpan w:val="2"/>
          </w:tcPr>
          <w:p>
            <w:pPr>
              <w:ind w:left="20"/>
              <w:spacing w:after="0"/>
              <w:rPr>
                <w:sz w:val="20"/>
                <w:szCs w:val="20"/>
                <w:color w:val="auto"/>
              </w:rPr>
            </w:pPr>
            <w:r>
              <w:rPr>
                <w:rFonts w:ascii="Arial" w:cs="Arial" w:eastAsia="Arial" w:hAnsi="Arial"/>
                <w:sz w:val="17"/>
                <w:szCs w:val="17"/>
                <w:color w:val="auto"/>
              </w:rPr>
              <w:t>Weighted average discount to net asset value prior to repurchases</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N/A</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N/A</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N/A</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38.5 %</w:t>
            </w:r>
          </w:p>
        </w:tc>
      </w:tr>
    </w:tbl>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Refer to Note 9 for additional information regarding the issuance of shares under the DRIP.</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had 24,437,400 shares of common stock outstanding as of September 30, 2021 and December 31, 2020.</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Dividends and Distributions</w:t>
      </w:r>
    </w:p>
    <w:p>
      <w:pPr>
        <w:spacing w:after="0" w:line="176" w:lineRule="exact"/>
        <w:rPr>
          <w:sz w:val="20"/>
          <w:szCs w:val="20"/>
          <w:color w:val="auto"/>
        </w:rPr>
      </w:pPr>
    </w:p>
    <w:p>
      <w:pPr>
        <w:jc w:val="both"/>
        <w:ind w:firstLine="480"/>
        <w:spacing w:after="0" w:line="288" w:lineRule="auto"/>
        <w:rPr>
          <w:sz w:val="20"/>
          <w:szCs w:val="20"/>
          <w:color w:val="auto"/>
        </w:rPr>
      </w:pPr>
      <w:r>
        <w:rPr>
          <w:rFonts w:ascii="Arial" w:cs="Arial" w:eastAsia="Arial" w:hAnsi="Arial"/>
          <w:sz w:val="17"/>
          <w:szCs w:val="17"/>
          <w:color w:val="auto"/>
        </w:rPr>
        <w:t>The Company’s dividends and distributions are recorded on the record date. The following table summarizes the dividends paid during the last two fiscal years and for the nine months ended September 30, 2021.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center"/>
              <w:ind w:right="72"/>
              <w:spacing w:after="0"/>
              <w:rPr>
                <w:sz w:val="20"/>
                <w:szCs w:val="20"/>
                <w:color w:val="auto"/>
              </w:rPr>
            </w:pPr>
            <w:r>
              <w:rPr>
                <w:rFonts w:ascii="Arial" w:cs="Arial" w:eastAsia="Arial" w:hAnsi="Arial"/>
                <w:sz w:val="14"/>
                <w:szCs w:val="14"/>
                <w:b w:val="1"/>
                <w:bCs w:val="1"/>
                <w:color w:val="auto"/>
              </w:rPr>
              <w:t>DRIP</w:t>
            </w: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DRIP</w:t>
            </w:r>
          </w:p>
        </w:tc>
        <w:tc>
          <w:tcPr>
            <w:tcW w:w="60" w:type="dxa"/>
            <w:vAlign w:val="bottom"/>
          </w:tcPr>
          <w:p>
            <w:pPr>
              <w:spacing w:after="0"/>
              <w:rPr>
                <w:sz w:val="15"/>
                <w:szCs w:val="15"/>
                <w:color w:val="auto"/>
              </w:rPr>
            </w:pPr>
          </w:p>
        </w:tc>
      </w:tr>
      <w:tr>
        <w:trPr>
          <w:trHeight w:val="190"/>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6"/>
                <w:szCs w:val="16"/>
                <w:color w:val="auto"/>
              </w:rPr>
            </w:pPr>
          </w:p>
        </w:tc>
        <w:tc>
          <w:tcPr>
            <w:tcW w:w="780" w:type="dxa"/>
            <w:vAlign w:val="bottom"/>
          </w:tcPr>
          <w:p>
            <w:pPr>
              <w:jc w:val="right"/>
              <w:ind w:right="112"/>
              <w:spacing w:after="0"/>
              <w:rPr>
                <w:sz w:val="20"/>
                <w:szCs w:val="20"/>
                <w:color w:val="auto"/>
              </w:rPr>
            </w:pPr>
            <w:r>
              <w:rPr>
                <w:rFonts w:ascii="Arial" w:cs="Arial" w:eastAsia="Arial" w:hAnsi="Arial"/>
                <w:sz w:val="14"/>
                <w:szCs w:val="14"/>
                <w:b w:val="1"/>
                <w:bCs w:val="1"/>
                <w:color w:val="auto"/>
              </w:rPr>
              <w:t>Record</w:t>
            </w:r>
          </w:p>
        </w:tc>
        <w:tc>
          <w:tcPr>
            <w:tcW w:w="80" w:type="dxa"/>
            <w:vAlign w:val="bottom"/>
          </w:tcPr>
          <w:p>
            <w:pPr>
              <w:spacing w:after="0"/>
              <w:rPr>
                <w:sz w:val="16"/>
                <w:szCs w:val="16"/>
                <w:color w:val="auto"/>
              </w:rPr>
            </w:pPr>
          </w:p>
        </w:tc>
        <w:tc>
          <w:tcPr>
            <w:tcW w:w="860" w:type="dxa"/>
            <w:vAlign w:val="bottom"/>
          </w:tcPr>
          <w:p>
            <w:pPr>
              <w:jc w:val="right"/>
              <w:ind w:right="112"/>
              <w:spacing w:after="0"/>
              <w:rPr>
                <w:sz w:val="20"/>
                <w:szCs w:val="20"/>
                <w:color w:val="auto"/>
              </w:rPr>
            </w:pPr>
            <w:r>
              <w:rPr>
                <w:rFonts w:ascii="Arial" w:cs="Arial" w:eastAsia="Arial" w:hAnsi="Arial"/>
                <w:sz w:val="14"/>
                <w:szCs w:val="14"/>
                <w:b w:val="1"/>
                <w:bCs w:val="1"/>
                <w:color w:val="auto"/>
              </w:rPr>
              <w:t>Payment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332"/>
              <w:spacing w:after="0"/>
              <w:rPr>
                <w:sz w:val="20"/>
                <w:szCs w:val="20"/>
                <w:color w:val="auto"/>
              </w:rPr>
            </w:pPr>
            <w:r>
              <w:rPr>
                <w:rFonts w:ascii="Arial" w:cs="Arial" w:eastAsia="Arial" w:hAnsi="Arial"/>
                <w:sz w:val="14"/>
                <w:szCs w:val="14"/>
                <w:b w:val="1"/>
                <w:bCs w:val="1"/>
                <w:color w:val="auto"/>
              </w:rPr>
              <w:t>Cash</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center"/>
              <w:ind w:right="72"/>
              <w:spacing w:after="0"/>
              <w:rPr>
                <w:sz w:val="20"/>
                <w:szCs w:val="20"/>
                <w:color w:val="auto"/>
              </w:rPr>
            </w:pPr>
            <w:r>
              <w:rPr>
                <w:rFonts w:ascii="Arial" w:cs="Arial" w:eastAsia="Arial" w:hAnsi="Arial"/>
                <w:sz w:val="14"/>
                <w:szCs w:val="14"/>
                <w:b w:val="1"/>
                <w:bCs w:val="1"/>
                <w:color w:val="auto"/>
                <w:w w:val="81"/>
              </w:rPr>
              <w:t>Shares</w:t>
            </w:r>
          </w:p>
        </w:tc>
        <w:tc>
          <w:tcPr>
            <w:tcW w:w="320" w:type="dxa"/>
            <w:vAlign w:val="bottom"/>
          </w:tcPr>
          <w:p>
            <w:pPr>
              <w:spacing w:after="0"/>
              <w:rPr>
                <w:sz w:val="16"/>
                <w:szCs w:val="16"/>
                <w:color w:val="auto"/>
              </w:rPr>
            </w:pPr>
          </w:p>
        </w:tc>
        <w:tc>
          <w:tcPr>
            <w:tcW w:w="700" w:type="dxa"/>
            <w:vAlign w:val="bottom"/>
          </w:tcPr>
          <w:p>
            <w:pPr>
              <w:ind w:left="180"/>
              <w:spacing w:after="0"/>
              <w:rPr>
                <w:sz w:val="20"/>
                <w:szCs w:val="20"/>
                <w:color w:val="auto"/>
              </w:rPr>
            </w:pPr>
            <w:r>
              <w:rPr>
                <w:rFonts w:ascii="Arial" w:cs="Arial" w:eastAsia="Arial" w:hAnsi="Arial"/>
                <w:sz w:val="14"/>
                <w:szCs w:val="14"/>
                <w:b w:val="1"/>
                <w:bCs w:val="1"/>
                <w:color w:val="auto"/>
              </w:rPr>
              <w:t>DRIP</w:t>
            </w:r>
          </w:p>
        </w:tc>
        <w:tc>
          <w:tcPr>
            <w:tcW w:w="3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Share</w:t>
            </w:r>
          </w:p>
        </w:tc>
        <w:tc>
          <w:tcPr>
            <w:tcW w:w="60" w:type="dxa"/>
            <w:vAlign w:val="bottom"/>
          </w:tcPr>
          <w:p>
            <w:pPr>
              <w:spacing w:after="0"/>
              <w:rPr>
                <w:sz w:val="16"/>
                <w:szCs w:val="16"/>
                <w:color w:val="auto"/>
              </w:rPr>
            </w:pPr>
          </w:p>
        </w:tc>
      </w:tr>
      <w:tr>
        <w:trPr>
          <w:trHeight w:val="196"/>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Declared</w:t>
            </w:r>
          </w:p>
        </w:tc>
        <w:tc>
          <w:tcPr>
            <w:tcW w:w="80" w:type="dxa"/>
            <w:vAlign w:val="bottom"/>
          </w:tcPr>
          <w:p>
            <w:pPr>
              <w:spacing w:after="0"/>
              <w:rPr>
                <w:sz w:val="17"/>
                <w:szCs w:val="17"/>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1"/>
              </w:rPr>
              <w:t>Per Share</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6"/>
              </w:rPr>
              <w:t>Distribution</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4"/>
              </w:rPr>
              <w:t>Distribution</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5"/>
              </w:rPr>
              <w:t>Value</w:t>
            </w:r>
          </w:p>
        </w:tc>
        <w:tc>
          <w:tcPr>
            <w:tcW w:w="320" w:type="dxa"/>
            <w:vAlign w:val="bottom"/>
          </w:tcPr>
          <w:p>
            <w:pPr>
              <w:spacing w:after="0"/>
              <w:rPr>
                <w:sz w:val="17"/>
                <w:szCs w:val="17"/>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Issue Price</w:t>
            </w:r>
          </w:p>
        </w:tc>
        <w:tc>
          <w:tcPr>
            <w:tcW w:w="60" w:type="dxa"/>
            <w:vAlign w:val="bottom"/>
          </w:tcPr>
          <w:p>
            <w:pPr>
              <w:spacing w:after="0"/>
              <w:rPr>
                <w:sz w:val="17"/>
                <w:szCs w:val="17"/>
                <w:color w:val="auto"/>
              </w:rPr>
            </w:pPr>
          </w:p>
        </w:tc>
      </w:tr>
      <w:tr>
        <w:trPr>
          <w:trHeight w:val="188"/>
        </w:trPr>
        <w:tc>
          <w:tcPr>
            <w:tcW w:w="26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Year Ended December 31, 2019:</w:t>
            </w:r>
          </w:p>
        </w:tc>
        <w:tc>
          <w:tcPr>
            <w:tcW w:w="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r>
      <w:tr>
        <w:trPr>
          <w:trHeight w:val="185"/>
        </w:trPr>
        <w:tc>
          <w:tcPr>
            <w:tcW w:w="2640" w:type="dxa"/>
            <w:vAlign w:val="bottom"/>
          </w:tcPr>
          <w:p>
            <w:pPr>
              <w:ind w:left="20"/>
              <w:spacing w:after="0"/>
              <w:rPr>
                <w:sz w:val="20"/>
                <w:szCs w:val="20"/>
                <w:color w:val="auto"/>
              </w:rPr>
            </w:pPr>
            <w:r>
              <w:rPr>
                <w:rFonts w:ascii="Arial" w:cs="Arial" w:eastAsia="Arial" w:hAnsi="Arial"/>
                <w:sz w:val="14"/>
                <w:szCs w:val="14"/>
                <w:color w:val="auto"/>
              </w:rPr>
              <w:t>1/31/2019</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3/8/2019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3/22/2019</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0.39</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9,541</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9,541</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0" w:type="dxa"/>
            <w:vAlign w:val="bottom"/>
          </w:tcPr>
          <w:p>
            <w:pPr>
              <w:ind w:left="440"/>
              <w:spacing w:after="0"/>
              <w:rPr>
                <w:sz w:val="20"/>
                <w:szCs w:val="20"/>
                <w:color w:val="auto"/>
              </w:rPr>
            </w:pPr>
            <w:r>
              <w:rPr>
                <w:rFonts w:ascii="Arial" w:cs="Arial" w:eastAsia="Arial" w:hAnsi="Arial"/>
                <w:sz w:val="14"/>
                <w:szCs w:val="14"/>
                <w:color w:val="auto"/>
                <w:w w:val="99"/>
              </w:rPr>
              <w:t>—</w:t>
            </w:r>
          </w:p>
        </w:tc>
        <w:tc>
          <w:tcPr>
            <w:tcW w:w="320" w:type="dxa"/>
            <w:vAlign w:val="bottom"/>
          </w:tcPr>
          <w:p>
            <w:pPr>
              <w:jc w:val="right"/>
              <w:ind w:right="95"/>
              <w:spacing w:after="0"/>
              <w:rPr>
                <w:sz w:val="20"/>
                <w:szCs w:val="20"/>
                <w:color w:val="auto"/>
              </w:rPr>
            </w:pPr>
            <w:r>
              <w:rPr>
                <w:rFonts w:ascii="Arial" w:cs="Arial" w:eastAsia="Arial" w:hAnsi="Arial"/>
                <w:sz w:val="9"/>
                <w:szCs w:val="9"/>
                <w:color w:val="auto"/>
              </w:rPr>
              <w:t>(3)</w:t>
            </w:r>
          </w:p>
        </w:tc>
        <w:tc>
          <w:tcPr>
            <w:tcW w:w="700" w:type="dxa"/>
            <w:vAlign w:val="bottom"/>
          </w:tcPr>
          <w:p>
            <w:pPr>
              <w:ind w:left="560"/>
              <w:spacing w:after="0"/>
              <w:rPr>
                <w:sz w:val="20"/>
                <w:szCs w:val="20"/>
                <w:color w:val="auto"/>
              </w:rPr>
            </w:pPr>
            <w:r>
              <w:rPr>
                <w:rFonts w:ascii="Arial" w:cs="Arial" w:eastAsia="Arial" w:hAnsi="Arial"/>
                <w:sz w:val="14"/>
                <w:szCs w:val="14"/>
                <w:color w:val="auto"/>
                <w:w w:val="85"/>
              </w:rPr>
              <w:t>—</w:t>
            </w:r>
          </w:p>
        </w:tc>
        <w:tc>
          <w:tcPr>
            <w:tcW w:w="320" w:type="dxa"/>
            <w:vAlign w:val="bottom"/>
          </w:tcPr>
          <w:p>
            <w:pPr>
              <w:jc w:val="right"/>
              <w:ind w:right="95"/>
              <w:spacing w:after="0"/>
              <w:rPr>
                <w:sz w:val="20"/>
                <w:szCs w:val="20"/>
                <w:color w:val="auto"/>
              </w:rPr>
            </w:pPr>
            <w:r>
              <w:rPr>
                <w:rFonts w:ascii="Arial" w:cs="Arial" w:eastAsia="Arial" w:hAnsi="Arial"/>
                <w:sz w:val="9"/>
                <w:szCs w:val="9"/>
                <w:color w:val="auto"/>
              </w:rPr>
              <w:t>(3)</w:t>
            </w:r>
          </w:p>
        </w:tc>
        <w:tc>
          <w:tcPr>
            <w:tcW w:w="1060" w:type="dxa"/>
            <w:vAlign w:val="bottom"/>
          </w:tcPr>
          <w:p>
            <w:pPr>
              <w:ind w:left="920"/>
              <w:spacing w:after="0"/>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6"/>
                <w:szCs w:val="16"/>
                <w:color w:val="auto"/>
              </w:rPr>
            </w:pPr>
          </w:p>
        </w:tc>
      </w:tr>
      <w:tr>
        <w:trPr>
          <w:trHeight w:val="196"/>
        </w:trPr>
        <w:tc>
          <w:tcPr>
            <w:tcW w:w="2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4/29/2019</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6/7/2019</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6/21/2019</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0.39</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9,540</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9,540</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ind w:left="440"/>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(3)</w:t>
            </w:r>
          </w:p>
        </w:tc>
        <w:tc>
          <w:tcPr>
            <w:tcW w:w="700" w:type="dxa"/>
            <w:vAlign w:val="bottom"/>
            <w:shd w:val="clear" w:color="auto" w:fill="CFF0FC"/>
          </w:tcPr>
          <w:p>
            <w:pPr>
              <w:ind w:left="560"/>
              <w:spacing w:after="0"/>
              <w:rPr>
                <w:sz w:val="20"/>
                <w:szCs w:val="20"/>
                <w:color w:val="auto"/>
              </w:rPr>
            </w:pPr>
            <w:r>
              <w:rPr>
                <w:rFonts w:ascii="Arial" w:cs="Arial" w:eastAsia="Arial" w:hAnsi="Arial"/>
                <w:sz w:val="14"/>
                <w:szCs w:val="14"/>
                <w:color w:val="auto"/>
                <w:w w:val="85"/>
              </w:rPr>
              <w:t>—</w:t>
            </w:r>
          </w:p>
        </w:tc>
        <w:tc>
          <w:tcPr>
            <w:tcW w:w="32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(3)</w:t>
            </w:r>
          </w:p>
        </w:tc>
        <w:tc>
          <w:tcPr>
            <w:tcW w:w="1060" w:type="dxa"/>
            <w:vAlign w:val="bottom"/>
            <w:shd w:val="clear" w:color="auto" w:fill="CFF0FC"/>
          </w:tcPr>
          <w:p>
            <w:pPr>
              <w:ind w:left="920"/>
              <w:spacing w:after="0"/>
              <w:rPr>
                <w:sz w:val="20"/>
                <w:szCs w:val="20"/>
                <w:color w:val="auto"/>
              </w:rPr>
            </w:pPr>
            <w:r>
              <w:rPr>
                <w:rFonts w:ascii="Arial" w:cs="Arial" w:eastAsia="Arial" w:hAnsi="Arial"/>
                <w:sz w:val="14"/>
                <w:szCs w:val="14"/>
                <w:color w:val="auto"/>
                <w:w w:val="85"/>
              </w:rPr>
              <w:t>—</w:t>
            </w:r>
          </w:p>
        </w:tc>
        <w:tc>
          <w:tcPr>
            <w:tcW w:w="60" w:type="dxa"/>
            <w:vAlign w:val="bottom"/>
            <w:shd w:val="clear" w:color="auto" w:fill="CFF0FC"/>
          </w:tcPr>
          <w:p>
            <w:pPr>
              <w:spacing w:after="0"/>
              <w:rPr>
                <w:sz w:val="17"/>
                <w:szCs w:val="17"/>
                <w:color w:val="auto"/>
              </w:rPr>
            </w:pPr>
          </w:p>
        </w:tc>
      </w:tr>
      <w:tr>
        <w:trPr>
          <w:trHeight w:val="185"/>
        </w:trPr>
        <w:tc>
          <w:tcPr>
            <w:tcW w:w="2640" w:type="dxa"/>
            <w:vAlign w:val="bottom"/>
          </w:tcPr>
          <w:p>
            <w:pPr>
              <w:ind w:left="20"/>
              <w:spacing w:after="0"/>
              <w:rPr>
                <w:sz w:val="20"/>
                <w:szCs w:val="20"/>
                <w:color w:val="auto"/>
              </w:rPr>
            </w:pPr>
            <w:r>
              <w:rPr>
                <w:rFonts w:ascii="Arial" w:cs="Arial" w:eastAsia="Arial" w:hAnsi="Arial"/>
                <w:sz w:val="14"/>
                <w:szCs w:val="14"/>
                <w:color w:val="auto"/>
              </w:rPr>
              <w:t>7/29/2019</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9/6/2019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9/20/2019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0.39</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9,541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9,541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ind w:left="440"/>
              <w:spacing w:after="0"/>
              <w:rPr>
                <w:sz w:val="20"/>
                <w:szCs w:val="20"/>
                <w:color w:val="auto"/>
              </w:rPr>
            </w:pPr>
            <w:r>
              <w:rPr>
                <w:rFonts w:ascii="Arial" w:cs="Arial" w:eastAsia="Arial" w:hAnsi="Arial"/>
                <w:sz w:val="14"/>
                <w:szCs w:val="14"/>
                <w:color w:val="auto"/>
                <w:w w:val="99"/>
              </w:rPr>
              <w:t>—</w:t>
            </w:r>
          </w:p>
        </w:tc>
        <w:tc>
          <w:tcPr>
            <w:tcW w:w="320" w:type="dxa"/>
            <w:vAlign w:val="bottom"/>
          </w:tcPr>
          <w:p>
            <w:pPr>
              <w:jc w:val="right"/>
              <w:ind w:right="95"/>
              <w:spacing w:after="0"/>
              <w:rPr>
                <w:sz w:val="20"/>
                <w:szCs w:val="20"/>
                <w:color w:val="auto"/>
              </w:rPr>
            </w:pPr>
            <w:r>
              <w:rPr>
                <w:rFonts w:ascii="Arial" w:cs="Arial" w:eastAsia="Arial" w:hAnsi="Arial"/>
                <w:sz w:val="9"/>
                <w:szCs w:val="9"/>
                <w:color w:val="auto"/>
              </w:rPr>
              <w:t>(3)</w:t>
            </w:r>
          </w:p>
        </w:tc>
        <w:tc>
          <w:tcPr>
            <w:tcW w:w="700" w:type="dxa"/>
            <w:vAlign w:val="bottom"/>
          </w:tcPr>
          <w:p>
            <w:pPr>
              <w:ind w:left="560"/>
              <w:spacing w:after="0"/>
              <w:rPr>
                <w:sz w:val="20"/>
                <w:szCs w:val="20"/>
                <w:color w:val="auto"/>
              </w:rPr>
            </w:pPr>
            <w:r>
              <w:rPr>
                <w:rFonts w:ascii="Arial" w:cs="Arial" w:eastAsia="Arial" w:hAnsi="Arial"/>
                <w:sz w:val="14"/>
                <w:szCs w:val="14"/>
                <w:color w:val="auto"/>
                <w:w w:val="85"/>
              </w:rPr>
              <w:t>—</w:t>
            </w:r>
          </w:p>
        </w:tc>
        <w:tc>
          <w:tcPr>
            <w:tcW w:w="320" w:type="dxa"/>
            <w:vAlign w:val="bottom"/>
          </w:tcPr>
          <w:p>
            <w:pPr>
              <w:jc w:val="right"/>
              <w:ind w:right="95"/>
              <w:spacing w:after="0"/>
              <w:rPr>
                <w:sz w:val="20"/>
                <w:szCs w:val="20"/>
                <w:color w:val="auto"/>
              </w:rPr>
            </w:pPr>
            <w:r>
              <w:rPr>
                <w:rFonts w:ascii="Arial" w:cs="Arial" w:eastAsia="Arial" w:hAnsi="Arial"/>
                <w:sz w:val="9"/>
                <w:szCs w:val="9"/>
                <w:color w:val="auto"/>
              </w:rPr>
              <w:t>(3)</w:t>
            </w:r>
          </w:p>
        </w:tc>
        <w:tc>
          <w:tcPr>
            <w:tcW w:w="1060" w:type="dxa"/>
            <w:vAlign w:val="bottom"/>
          </w:tcPr>
          <w:p>
            <w:pPr>
              <w:ind w:left="920"/>
              <w:spacing w:after="0"/>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6"/>
                <w:szCs w:val="16"/>
                <w:color w:val="auto"/>
              </w:rPr>
            </w:pPr>
          </w:p>
        </w:tc>
      </w:tr>
      <w:tr>
        <w:trPr>
          <w:trHeight w:val="196"/>
        </w:trPr>
        <w:tc>
          <w:tcPr>
            <w:tcW w:w="2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10/29/2019</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12/6/2019</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12/20/2019</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0.39</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9,541</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9,541</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ind w:left="440"/>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(3)</w:t>
            </w:r>
          </w:p>
        </w:tc>
        <w:tc>
          <w:tcPr>
            <w:tcW w:w="700" w:type="dxa"/>
            <w:vAlign w:val="bottom"/>
            <w:shd w:val="clear" w:color="auto" w:fill="CFF0FC"/>
          </w:tcPr>
          <w:p>
            <w:pPr>
              <w:ind w:left="560"/>
              <w:spacing w:after="0"/>
              <w:rPr>
                <w:sz w:val="20"/>
                <w:szCs w:val="20"/>
                <w:color w:val="auto"/>
              </w:rPr>
            </w:pPr>
            <w:r>
              <w:rPr>
                <w:rFonts w:ascii="Arial" w:cs="Arial" w:eastAsia="Arial" w:hAnsi="Arial"/>
                <w:sz w:val="14"/>
                <w:szCs w:val="14"/>
                <w:color w:val="auto"/>
                <w:w w:val="85"/>
              </w:rPr>
              <w:t>—</w:t>
            </w:r>
          </w:p>
        </w:tc>
        <w:tc>
          <w:tcPr>
            <w:tcW w:w="32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(3)</w:t>
            </w:r>
          </w:p>
        </w:tc>
        <w:tc>
          <w:tcPr>
            <w:tcW w:w="1060" w:type="dxa"/>
            <w:vAlign w:val="bottom"/>
            <w:shd w:val="clear" w:color="auto" w:fill="CFF0FC"/>
          </w:tcPr>
          <w:p>
            <w:pPr>
              <w:ind w:left="920"/>
              <w:spacing w:after="0"/>
              <w:rPr>
                <w:sz w:val="20"/>
                <w:szCs w:val="20"/>
                <w:color w:val="auto"/>
              </w:rPr>
            </w:pPr>
            <w:r>
              <w:rPr>
                <w:rFonts w:ascii="Arial" w:cs="Arial" w:eastAsia="Arial" w:hAnsi="Arial"/>
                <w:sz w:val="14"/>
                <w:szCs w:val="14"/>
                <w:color w:val="auto"/>
                <w:w w:val="85"/>
              </w:rPr>
              <w:t>—</w:t>
            </w:r>
          </w:p>
        </w:tc>
        <w:tc>
          <w:tcPr>
            <w:tcW w:w="60" w:type="dxa"/>
            <w:vAlign w:val="bottom"/>
            <w:shd w:val="clear" w:color="auto" w:fill="CFF0FC"/>
          </w:tcPr>
          <w:p>
            <w:pPr>
              <w:spacing w:after="0"/>
              <w:rPr>
                <w:sz w:val="17"/>
                <w:szCs w:val="17"/>
                <w:color w:val="auto"/>
              </w:rPr>
            </w:pPr>
          </w:p>
        </w:tc>
      </w:tr>
      <w:tr>
        <w:trPr>
          <w:trHeight w:val="190"/>
        </w:trPr>
        <w:tc>
          <w:tcPr>
            <w:tcW w:w="2640" w:type="dxa"/>
            <w:vAlign w:val="bottom"/>
          </w:tcPr>
          <w:p>
            <w:pPr>
              <w:ind w:left="20"/>
              <w:spacing w:after="0"/>
              <w:rPr>
                <w:sz w:val="20"/>
                <w:szCs w:val="20"/>
                <w:color w:val="auto"/>
              </w:rPr>
            </w:pPr>
            <w:r>
              <w:rPr>
                <w:rFonts w:ascii="Arial" w:cs="Arial" w:eastAsia="Arial" w:hAnsi="Arial"/>
                <w:sz w:val="14"/>
                <w:szCs w:val="14"/>
                <w:color w:val="auto"/>
              </w:rPr>
              <w:t>10/29/2019 (1)</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12/6/2019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12/20/2019</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978</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978</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w w:val="99"/>
              </w:rPr>
              <w:t>—</w:t>
            </w:r>
          </w:p>
        </w:tc>
        <w:tc>
          <w:tcPr>
            <w:tcW w:w="320" w:type="dxa"/>
            <w:vAlign w:val="bottom"/>
          </w:tcPr>
          <w:p>
            <w:pPr>
              <w:jc w:val="right"/>
              <w:ind w:right="95"/>
              <w:spacing w:after="0"/>
              <w:rPr>
                <w:sz w:val="20"/>
                <w:szCs w:val="20"/>
                <w:color w:val="auto"/>
              </w:rPr>
            </w:pPr>
            <w:r>
              <w:rPr>
                <w:rFonts w:ascii="Arial" w:cs="Arial" w:eastAsia="Arial" w:hAnsi="Arial"/>
                <w:sz w:val="9"/>
                <w:szCs w:val="9"/>
                <w:color w:val="auto"/>
              </w:rPr>
              <w:t>(3)</w:t>
            </w:r>
          </w:p>
        </w:tc>
        <w:tc>
          <w:tcPr>
            <w:tcW w:w="70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w w:val="85"/>
              </w:rPr>
              <w:t>—</w:t>
            </w:r>
          </w:p>
        </w:tc>
        <w:tc>
          <w:tcPr>
            <w:tcW w:w="320" w:type="dxa"/>
            <w:vAlign w:val="bottom"/>
          </w:tcPr>
          <w:p>
            <w:pPr>
              <w:jc w:val="right"/>
              <w:ind w:right="95"/>
              <w:spacing w:after="0"/>
              <w:rPr>
                <w:sz w:val="20"/>
                <w:szCs w:val="20"/>
                <w:color w:val="auto"/>
              </w:rPr>
            </w:pPr>
            <w:r>
              <w:rPr>
                <w:rFonts w:ascii="Arial" w:cs="Arial" w:eastAsia="Arial" w:hAnsi="Arial"/>
                <w:sz w:val="9"/>
                <w:szCs w:val="9"/>
                <w:color w:val="auto"/>
              </w:rPr>
              <w:t>(3)</w:t>
            </w:r>
          </w:p>
        </w:tc>
        <w:tc>
          <w:tcPr>
            <w:tcW w:w="1060" w:type="dxa"/>
            <w:vAlign w:val="bottom"/>
          </w:tcPr>
          <w:p>
            <w:pPr>
              <w:ind w:left="920"/>
              <w:spacing w:after="0"/>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6"/>
                <w:szCs w:val="16"/>
                <w:color w:val="auto"/>
              </w:rPr>
            </w:pPr>
          </w:p>
        </w:tc>
      </w:tr>
      <w:tr>
        <w:trPr>
          <w:trHeight w:val="217"/>
        </w:trPr>
        <w:tc>
          <w:tcPr>
            <w:tcW w:w="2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39,141</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39,141</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ind w:left="440"/>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ind w:left="560"/>
              <w:spacing w:after="0"/>
              <w:rPr>
                <w:sz w:val="20"/>
                <w:szCs w:val="20"/>
                <w:color w:val="auto"/>
              </w:rPr>
            </w:pPr>
            <w:r>
              <w:rPr>
                <w:rFonts w:ascii="Arial" w:cs="Arial" w:eastAsia="Arial" w:hAnsi="Arial"/>
                <w:sz w:val="14"/>
                <w:szCs w:val="14"/>
                <w:color w:val="auto"/>
                <w:w w:val="85"/>
              </w:rPr>
              <w:t>—</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168"/>
        </w:trPr>
        <w:tc>
          <w:tcPr>
            <w:tcW w:w="264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Year Ended December 31, 2020:</w:t>
            </w:r>
          </w:p>
        </w:tc>
        <w:tc>
          <w:tcPr>
            <w:tcW w:w="80" w:type="dxa"/>
            <w:vAlign w:val="bottom"/>
            <w:tcBorders>
              <w:top w:val="single" w:sz="8" w:color="CFF0FC"/>
            </w:tcBorders>
          </w:tcPr>
          <w:p>
            <w:pPr>
              <w:spacing w:after="0"/>
              <w:rPr>
                <w:sz w:val="14"/>
                <w:szCs w:val="14"/>
                <w:color w:val="auto"/>
              </w:rPr>
            </w:pPr>
          </w:p>
        </w:tc>
        <w:tc>
          <w:tcPr>
            <w:tcW w:w="78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86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320" w:type="dxa"/>
            <w:vAlign w:val="bottom"/>
            <w:tcBorders>
              <w:top w:val="single" w:sz="8" w:color="CFF0FC"/>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20" w:type="dxa"/>
            <w:vAlign w:val="bottom"/>
            <w:tcBorders>
              <w:top w:val="single" w:sz="8" w:color="CFF0FC"/>
            </w:tcBorders>
          </w:tcPr>
          <w:p>
            <w:pPr>
              <w:spacing w:after="0"/>
              <w:rPr>
                <w:sz w:val="14"/>
                <w:szCs w:val="14"/>
                <w:color w:val="auto"/>
              </w:rPr>
            </w:pPr>
          </w:p>
        </w:tc>
        <w:tc>
          <w:tcPr>
            <w:tcW w:w="1060" w:type="dxa"/>
            <w:vAlign w:val="bottom"/>
            <w:tcBorders>
              <w:top w:val="single" w:sz="8" w:color="CFF0FC"/>
            </w:tcBorders>
          </w:tcPr>
          <w:p>
            <w:pPr>
              <w:spacing w:after="0"/>
              <w:rPr>
                <w:sz w:val="14"/>
                <w:szCs w:val="14"/>
                <w:color w:val="auto"/>
              </w:rPr>
            </w:pPr>
          </w:p>
        </w:tc>
        <w:tc>
          <w:tcPr>
            <w:tcW w:w="60" w:type="dxa"/>
            <w:vAlign w:val="bottom"/>
            <w:tcBorders>
              <w:top w:val="single" w:sz="8" w:color="CFF0FC"/>
            </w:tcBorders>
          </w:tcPr>
          <w:p>
            <w:pPr>
              <w:spacing w:after="0"/>
              <w:rPr>
                <w:sz w:val="14"/>
                <w:szCs w:val="14"/>
                <w:color w:val="auto"/>
              </w:rPr>
            </w:pPr>
          </w:p>
        </w:tc>
      </w:tr>
      <w:tr>
        <w:trPr>
          <w:trHeight w:val="196"/>
        </w:trPr>
        <w:tc>
          <w:tcPr>
            <w:tcW w:w="2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2/14/2020</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3/13/2020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3/27/2020</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0.39</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9,537</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9,537</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ind w:left="440"/>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(3)</w:t>
            </w:r>
          </w:p>
        </w:tc>
        <w:tc>
          <w:tcPr>
            <w:tcW w:w="700" w:type="dxa"/>
            <w:vAlign w:val="bottom"/>
            <w:shd w:val="clear" w:color="auto" w:fill="CFF0FC"/>
          </w:tcPr>
          <w:p>
            <w:pPr>
              <w:ind w:left="560"/>
              <w:spacing w:after="0"/>
              <w:rPr>
                <w:sz w:val="20"/>
                <w:szCs w:val="20"/>
                <w:color w:val="auto"/>
              </w:rPr>
            </w:pPr>
            <w:r>
              <w:rPr>
                <w:rFonts w:ascii="Arial" w:cs="Arial" w:eastAsia="Arial" w:hAnsi="Arial"/>
                <w:sz w:val="14"/>
                <w:szCs w:val="14"/>
                <w:color w:val="auto"/>
                <w:w w:val="85"/>
              </w:rPr>
              <w:t>—</w:t>
            </w:r>
          </w:p>
        </w:tc>
        <w:tc>
          <w:tcPr>
            <w:tcW w:w="32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(3)</w:t>
            </w:r>
          </w:p>
        </w:tc>
        <w:tc>
          <w:tcPr>
            <w:tcW w:w="1060" w:type="dxa"/>
            <w:vAlign w:val="bottom"/>
            <w:shd w:val="clear" w:color="auto" w:fill="CFF0FC"/>
          </w:tcPr>
          <w:p>
            <w:pPr>
              <w:ind w:left="920"/>
              <w:spacing w:after="0"/>
              <w:rPr>
                <w:sz w:val="20"/>
                <w:szCs w:val="20"/>
                <w:color w:val="auto"/>
              </w:rPr>
            </w:pPr>
            <w:r>
              <w:rPr>
                <w:rFonts w:ascii="Arial" w:cs="Arial" w:eastAsia="Arial" w:hAnsi="Arial"/>
                <w:sz w:val="14"/>
                <w:szCs w:val="14"/>
                <w:color w:val="auto"/>
                <w:w w:val="85"/>
              </w:rPr>
              <w:t>—</w:t>
            </w:r>
          </w:p>
        </w:tc>
        <w:tc>
          <w:tcPr>
            <w:tcW w:w="60" w:type="dxa"/>
            <w:vAlign w:val="bottom"/>
            <w:shd w:val="clear" w:color="auto" w:fill="CFF0FC"/>
          </w:tcPr>
          <w:p>
            <w:pPr>
              <w:spacing w:after="0"/>
              <w:rPr>
                <w:sz w:val="17"/>
                <w:szCs w:val="17"/>
                <w:color w:val="auto"/>
              </w:rPr>
            </w:pPr>
          </w:p>
        </w:tc>
      </w:tr>
      <w:tr>
        <w:trPr>
          <w:trHeight w:val="185"/>
        </w:trPr>
        <w:tc>
          <w:tcPr>
            <w:tcW w:w="2640" w:type="dxa"/>
            <w:vAlign w:val="bottom"/>
          </w:tcPr>
          <w:p>
            <w:pPr>
              <w:ind w:left="20"/>
              <w:spacing w:after="0"/>
              <w:rPr>
                <w:sz w:val="20"/>
                <w:szCs w:val="20"/>
                <w:color w:val="auto"/>
              </w:rPr>
            </w:pPr>
            <w:r>
              <w:rPr>
                <w:rFonts w:ascii="Arial" w:cs="Arial" w:eastAsia="Arial" w:hAnsi="Arial"/>
                <w:sz w:val="14"/>
                <w:szCs w:val="14"/>
                <w:color w:val="auto"/>
              </w:rPr>
              <w:t>4/29/2020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6/12/2020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6/26/2020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0.30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7,331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7,331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ind w:left="440"/>
              <w:spacing w:after="0"/>
              <w:rPr>
                <w:sz w:val="20"/>
                <w:szCs w:val="20"/>
                <w:color w:val="auto"/>
              </w:rPr>
            </w:pPr>
            <w:r>
              <w:rPr>
                <w:rFonts w:ascii="Arial" w:cs="Arial" w:eastAsia="Arial" w:hAnsi="Arial"/>
                <w:sz w:val="14"/>
                <w:szCs w:val="14"/>
                <w:color w:val="auto"/>
                <w:w w:val="99"/>
              </w:rPr>
              <w:t>—</w:t>
            </w:r>
          </w:p>
        </w:tc>
        <w:tc>
          <w:tcPr>
            <w:tcW w:w="320" w:type="dxa"/>
            <w:vAlign w:val="bottom"/>
          </w:tcPr>
          <w:p>
            <w:pPr>
              <w:jc w:val="right"/>
              <w:ind w:right="95"/>
              <w:spacing w:after="0"/>
              <w:rPr>
                <w:sz w:val="20"/>
                <w:szCs w:val="20"/>
                <w:color w:val="auto"/>
              </w:rPr>
            </w:pPr>
            <w:r>
              <w:rPr>
                <w:rFonts w:ascii="Arial" w:cs="Arial" w:eastAsia="Arial" w:hAnsi="Arial"/>
                <w:sz w:val="9"/>
                <w:szCs w:val="9"/>
                <w:color w:val="auto"/>
              </w:rPr>
              <w:t>(3)</w:t>
            </w:r>
          </w:p>
        </w:tc>
        <w:tc>
          <w:tcPr>
            <w:tcW w:w="700" w:type="dxa"/>
            <w:vAlign w:val="bottom"/>
          </w:tcPr>
          <w:p>
            <w:pPr>
              <w:ind w:left="560"/>
              <w:spacing w:after="0"/>
              <w:rPr>
                <w:sz w:val="20"/>
                <w:szCs w:val="20"/>
                <w:color w:val="auto"/>
              </w:rPr>
            </w:pPr>
            <w:r>
              <w:rPr>
                <w:rFonts w:ascii="Arial" w:cs="Arial" w:eastAsia="Arial" w:hAnsi="Arial"/>
                <w:sz w:val="14"/>
                <w:szCs w:val="14"/>
                <w:color w:val="auto"/>
                <w:w w:val="85"/>
              </w:rPr>
              <w:t>—</w:t>
            </w:r>
          </w:p>
        </w:tc>
        <w:tc>
          <w:tcPr>
            <w:tcW w:w="320" w:type="dxa"/>
            <w:vAlign w:val="bottom"/>
          </w:tcPr>
          <w:p>
            <w:pPr>
              <w:jc w:val="right"/>
              <w:ind w:right="95"/>
              <w:spacing w:after="0"/>
              <w:rPr>
                <w:sz w:val="20"/>
                <w:szCs w:val="20"/>
                <w:color w:val="auto"/>
              </w:rPr>
            </w:pPr>
            <w:r>
              <w:rPr>
                <w:rFonts w:ascii="Arial" w:cs="Arial" w:eastAsia="Arial" w:hAnsi="Arial"/>
                <w:sz w:val="9"/>
                <w:szCs w:val="9"/>
                <w:color w:val="auto"/>
              </w:rPr>
              <w:t>(3)</w:t>
            </w:r>
          </w:p>
        </w:tc>
        <w:tc>
          <w:tcPr>
            <w:tcW w:w="1060" w:type="dxa"/>
            <w:vAlign w:val="bottom"/>
          </w:tcPr>
          <w:p>
            <w:pPr>
              <w:ind w:left="920"/>
              <w:spacing w:after="0"/>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6"/>
                <w:szCs w:val="16"/>
                <w:color w:val="auto"/>
              </w:rPr>
            </w:pPr>
          </w:p>
        </w:tc>
      </w:tr>
      <w:tr>
        <w:trPr>
          <w:trHeight w:val="196"/>
        </w:trPr>
        <w:tc>
          <w:tcPr>
            <w:tcW w:w="2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8/03/2020</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9/11/2020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9/25/2020</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0.30</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7,331</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7,331</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ind w:left="440"/>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(3)</w:t>
            </w:r>
          </w:p>
        </w:tc>
        <w:tc>
          <w:tcPr>
            <w:tcW w:w="700" w:type="dxa"/>
            <w:vAlign w:val="bottom"/>
            <w:shd w:val="clear" w:color="auto" w:fill="CFF0FC"/>
          </w:tcPr>
          <w:p>
            <w:pPr>
              <w:ind w:left="560"/>
              <w:spacing w:after="0"/>
              <w:rPr>
                <w:sz w:val="20"/>
                <w:szCs w:val="20"/>
                <w:color w:val="auto"/>
              </w:rPr>
            </w:pPr>
            <w:r>
              <w:rPr>
                <w:rFonts w:ascii="Arial" w:cs="Arial" w:eastAsia="Arial" w:hAnsi="Arial"/>
                <w:sz w:val="14"/>
                <w:szCs w:val="14"/>
                <w:color w:val="auto"/>
                <w:w w:val="85"/>
              </w:rPr>
              <w:t>—</w:t>
            </w:r>
          </w:p>
        </w:tc>
        <w:tc>
          <w:tcPr>
            <w:tcW w:w="32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(3)</w:t>
            </w:r>
          </w:p>
        </w:tc>
        <w:tc>
          <w:tcPr>
            <w:tcW w:w="1060" w:type="dxa"/>
            <w:vAlign w:val="bottom"/>
            <w:shd w:val="clear" w:color="auto" w:fill="CFF0FC"/>
          </w:tcPr>
          <w:p>
            <w:pPr>
              <w:ind w:left="920"/>
              <w:spacing w:after="0"/>
              <w:rPr>
                <w:sz w:val="20"/>
                <w:szCs w:val="20"/>
                <w:color w:val="auto"/>
              </w:rPr>
            </w:pPr>
            <w:r>
              <w:rPr>
                <w:rFonts w:ascii="Arial" w:cs="Arial" w:eastAsia="Arial" w:hAnsi="Arial"/>
                <w:sz w:val="14"/>
                <w:szCs w:val="14"/>
                <w:color w:val="auto"/>
                <w:w w:val="85"/>
              </w:rPr>
              <w:t>—</w:t>
            </w:r>
          </w:p>
        </w:tc>
        <w:tc>
          <w:tcPr>
            <w:tcW w:w="60" w:type="dxa"/>
            <w:vAlign w:val="bottom"/>
            <w:shd w:val="clear" w:color="auto" w:fill="CFF0FC"/>
          </w:tcPr>
          <w:p>
            <w:pPr>
              <w:spacing w:after="0"/>
              <w:rPr>
                <w:sz w:val="17"/>
                <w:szCs w:val="17"/>
                <w:color w:val="auto"/>
              </w:rPr>
            </w:pPr>
          </w:p>
        </w:tc>
      </w:tr>
      <w:tr>
        <w:trPr>
          <w:trHeight w:val="185"/>
        </w:trPr>
        <w:tc>
          <w:tcPr>
            <w:tcW w:w="2640" w:type="dxa"/>
            <w:vAlign w:val="bottom"/>
          </w:tcPr>
          <w:p>
            <w:pPr>
              <w:ind w:left="20"/>
              <w:spacing w:after="0"/>
              <w:rPr>
                <w:sz w:val="20"/>
                <w:szCs w:val="20"/>
                <w:color w:val="auto"/>
              </w:rPr>
            </w:pPr>
            <w:r>
              <w:rPr>
                <w:rFonts w:ascii="Arial" w:cs="Arial" w:eastAsia="Arial" w:hAnsi="Arial"/>
                <w:sz w:val="14"/>
                <w:szCs w:val="14"/>
                <w:color w:val="auto"/>
              </w:rPr>
              <w:t>10/26/2020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12/4/2020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12/18/2020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0.30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7,331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7,331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ind w:left="440"/>
              <w:spacing w:after="0"/>
              <w:rPr>
                <w:sz w:val="20"/>
                <w:szCs w:val="20"/>
                <w:color w:val="auto"/>
              </w:rPr>
            </w:pPr>
            <w:r>
              <w:rPr>
                <w:rFonts w:ascii="Arial" w:cs="Arial" w:eastAsia="Arial" w:hAnsi="Arial"/>
                <w:sz w:val="14"/>
                <w:szCs w:val="14"/>
                <w:color w:val="auto"/>
                <w:w w:val="99"/>
              </w:rPr>
              <w:t>—</w:t>
            </w:r>
          </w:p>
        </w:tc>
        <w:tc>
          <w:tcPr>
            <w:tcW w:w="320" w:type="dxa"/>
            <w:vAlign w:val="bottom"/>
          </w:tcPr>
          <w:p>
            <w:pPr>
              <w:jc w:val="right"/>
              <w:ind w:right="95"/>
              <w:spacing w:after="0"/>
              <w:rPr>
                <w:sz w:val="20"/>
                <w:szCs w:val="20"/>
                <w:color w:val="auto"/>
              </w:rPr>
            </w:pPr>
            <w:r>
              <w:rPr>
                <w:rFonts w:ascii="Arial" w:cs="Arial" w:eastAsia="Arial" w:hAnsi="Arial"/>
                <w:sz w:val="9"/>
                <w:szCs w:val="9"/>
                <w:color w:val="auto"/>
              </w:rPr>
              <w:t>(3)</w:t>
            </w:r>
          </w:p>
        </w:tc>
        <w:tc>
          <w:tcPr>
            <w:tcW w:w="700" w:type="dxa"/>
            <w:vAlign w:val="bottom"/>
          </w:tcPr>
          <w:p>
            <w:pPr>
              <w:ind w:left="560"/>
              <w:spacing w:after="0"/>
              <w:rPr>
                <w:sz w:val="20"/>
                <w:szCs w:val="20"/>
                <w:color w:val="auto"/>
              </w:rPr>
            </w:pPr>
            <w:r>
              <w:rPr>
                <w:rFonts w:ascii="Arial" w:cs="Arial" w:eastAsia="Arial" w:hAnsi="Arial"/>
                <w:sz w:val="14"/>
                <w:szCs w:val="14"/>
                <w:color w:val="auto"/>
                <w:w w:val="85"/>
              </w:rPr>
              <w:t>—</w:t>
            </w:r>
          </w:p>
        </w:tc>
        <w:tc>
          <w:tcPr>
            <w:tcW w:w="320" w:type="dxa"/>
            <w:vAlign w:val="bottom"/>
          </w:tcPr>
          <w:p>
            <w:pPr>
              <w:jc w:val="right"/>
              <w:ind w:right="95"/>
              <w:spacing w:after="0"/>
              <w:rPr>
                <w:sz w:val="20"/>
                <w:szCs w:val="20"/>
                <w:color w:val="auto"/>
              </w:rPr>
            </w:pPr>
            <w:r>
              <w:rPr>
                <w:rFonts w:ascii="Arial" w:cs="Arial" w:eastAsia="Arial" w:hAnsi="Arial"/>
                <w:sz w:val="9"/>
                <w:szCs w:val="9"/>
                <w:color w:val="auto"/>
              </w:rPr>
              <w:t>(3)</w:t>
            </w:r>
          </w:p>
        </w:tc>
        <w:tc>
          <w:tcPr>
            <w:tcW w:w="1060" w:type="dxa"/>
            <w:vAlign w:val="bottom"/>
          </w:tcPr>
          <w:p>
            <w:pPr>
              <w:ind w:left="920"/>
              <w:spacing w:after="0"/>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6"/>
                <w:szCs w:val="16"/>
                <w:color w:val="auto"/>
              </w:rPr>
            </w:pPr>
          </w:p>
        </w:tc>
      </w:tr>
      <w:tr>
        <w:trPr>
          <w:trHeight w:val="196"/>
        </w:trPr>
        <w:tc>
          <w:tcPr>
            <w:tcW w:w="2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10/26/2020 (2)</w:t>
            </w: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12/4/2020</w:t>
            </w:r>
          </w:p>
        </w:tc>
        <w:tc>
          <w:tcPr>
            <w:tcW w:w="9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12/18/2020</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0.04</w:t>
            </w: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978</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978</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ind w:left="440"/>
              <w:spacing w:after="0"/>
              <w:rPr>
                <w:sz w:val="20"/>
                <w:szCs w:val="20"/>
                <w:color w:val="auto"/>
              </w:rPr>
            </w:pPr>
            <w:r>
              <w:rPr>
                <w:rFonts w:ascii="Arial" w:cs="Arial" w:eastAsia="Arial" w:hAnsi="Arial"/>
                <w:sz w:val="14"/>
                <w:szCs w:val="14"/>
                <w:color w:val="auto"/>
                <w:w w:val="99"/>
              </w:rPr>
              <w:t>—</w:t>
            </w:r>
          </w:p>
        </w:tc>
        <w:tc>
          <w:tcPr>
            <w:tcW w:w="320" w:type="dxa"/>
            <w:vAlign w:val="bottom"/>
            <w:tcBorders>
              <w:bottom w:val="single" w:sz="8" w:color="CFF0FC"/>
            </w:tcBorders>
            <w:shd w:val="clear" w:color="auto" w:fill="CFF0FC"/>
          </w:tcPr>
          <w:p>
            <w:pPr>
              <w:jc w:val="right"/>
              <w:ind w:right="95"/>
              <w:spacing w:after="0"/>
              <w:rPr>
                <w:sz w:val="20"/>
                <w:szCs w:val="20"/>
                <w:color w:val="auto"/>
              </w:rPr>
            </w:pPr>
            <w:r>
              <w:rPr>
                <w:rFonts w:ascii="Arial" w:cs="Arial" w:eastAsia="Arial" w:hAnsi="Arial"/>
                <w:sz w:val="9"/>
                <w:szCs w:val="9"/>
                <w:color w:val="auto"/>
              </w:rPr>
              <w:t>(3)</w:t>
            </w:r>
          </w:p>
        </w:tc>
        <w:tc>
          <w:tcPr>
            <w:tcW w:w="700" w:type="dxa"/>
            <w:vAlign w:val="bottom"/>
            <w:tcBorders>
              <w:bottom w:val="single" w:sz="8" w:color="auto"/>
            </w:tcBorders>
            <w:shd w:val="clear" w:color="auto" w:fill="CFF0FC"/>
          </w:tcPr>
          <w:p>
            <w:pPr>
              <w:ind w:left="560"/>
              <w:spacing w:after="0"/>
              <w:rPr>
                <w:sz w:val="20"/>
                <w:szCs w:val="20"/>
                <w:color w:val="auto"/>
              </w:rPr>
            </w:pPr>
            <w:r>
              <w:rPr>
                <w:rFonts w:ascii="Arial" w:cs="Arial" w:eastAsia="Arial" w:hAnsi="Arial"/>
                <w:sz w:val="14"/>
                <w:szCs w:val="14"/>
                <w:color w:val="auto"/>
                <w:w w:val="85"/>
              </w:rPr>
              <w:t>—</w:t>
            </w:r>
          </w:p>
        </w:tc>
        <w:tc>
          <w:tcPr>
            <w:tcW w:w="320" w:type="dxa"/>
            <w:vAlign w:val="bottom"/>
            <w:tcBorders>
              <w:bottom w:val="single" w:sz="8" w:color="CFF0FC"/>
            </w:tcBorders>
            <w:shd w:val="clear" w:color="auto" w:fill="CFF0FC"/>
          </w:tcPr>
          <w:p>
            <w:pPr>
              <w:jc w:val="right"/>
              <w:ind w:right="95"/>
              <w:spacing w:after="0"/>
              <w:rPr>
                <w:sz w:val="20"/>
                <w:szCs w:val="20"/>
                <w:color w:val="auto"/>
              </w:rPr>
            </w:pPr>
            <w:r>
              <w:rPr>
                <w:rFonts w:ascii="Arial" w:cs="Arial" w:eastAsia="Arial" w:hAnsi="Arial"/>
                <w:sz w:val="9"/>
                <w:szCs w:val="9"/>
                <w:color w:val="auto"/>
              </w:rPr>
              <w:t>(3)</w:t>
            </w:r>
          </w:p>
        </w:tc>
        <w:tc>
          <w:tcPr>
            <w:tcW w:w="1060" w:type="dxa"/>
            <w:vAlign w:val="bottom"/>
            <w:tcBorders>
              <w:bottom w:val="single" w:sz="8" w:color="CFF0FC"/>
            </w:tcBorders>
            <w:shd w:val="clear" w:color="auto" w:fill="CFF0FC"/>
          </w:tcPr>
          <w:p>
            <w:pPr>
              <w:ind w:left="920"/>
              <w:spacing w:after="0"/>
              <w:rPr>
                <w:sz w:val="20"/>
                <w:szCs w:val="20"/>
                <w:color w:val="auto"/>
              </w:rPr>
            </w:pPr>
            <w:r>
              <w:rPr>
                <w:rFonts w:ascii="Arial" w:cs="Arial" w:eastAsia="Arial" w:hAnsi="Arial"/>
                <w:sz w:val="14"/>
                <w:szCs w:val="14"/>
                <w:color w:val="auto"/>
                <w:w w:val="85"/>
              </w:rPr>
              <w:t>—</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77"/>
        </w:trPr>
        <w:tc>
          <w:tcPr>
            <w:tcW w:w="2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1.33</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32,508</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32,508</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0" w:type="dxa"/>
            <w:vAlign w:val="bottom"/>
          </w:tcPr>
          <w:p>
            <w:pPr>
              <w:ind w:left="440"/>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5"/>
                <w:szCs w:val="15"/>
                <w:color w:val="auto"/>
              </w:rPr>
            </w:pPr>
          </w:p>
        </w:tc>
        <w:tc>
          <w:tcPr>
            <w:tcW w:w="700" w:type="dxa"/>
            <w:vAlign w:val="bottom"/>
          </w:tcPr>
          <w:p>
            <w:pPr>
              <w:ind w:left="560"/>
              <w:spacing w:after="0"/>
              <w:rPr>
                <w:sz w:val="20"/>
                <w:szCs w:val="20"/>
                <w:color w:val="auto"/>
              </w:rPr>
            </w:pPr>
            <w:r>
              <w:rPr>
                <w:rFonts w:ascii="Arial" w:cs="Arial" w:eastAsia="Arial" w:hAnsi="Arial"/>
                <w:sz w:val="14"/>
                <w:szCs w:val="14"/>
                <w:color w:val="auto"/>
                <w:w w:val="85"/>
              </w:rPr>
              <w:t>—</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2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4"/>
        </w:trPr>
        <w:tc>
          <w:tcPr>
            <w:tcW w:w="26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w w:val="96"/>
              </w:rPr>
              <w:t>Nine Months Ended September 30, 2021:</w:t>
            </w: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85"/>
        </w:trPr>
        <w:tc>
          <w:tcPr>
            <w:tcW w:w="2640" w:type="dxa"/>
            <w:vAlign w:val="bottom"/>
          </w:tcPr>
          <w:p>
            <w:pPr>
              <w:ind w:left="20"/>
              <w:spacing w:after="0"/>
              <w:rPr>
                <w:sz w:val="20"/>
                <w:szCs w:val="20"/>
                <w:color w:val="auto"/>
              </w:rPr>
            </w:pPr>
            <w:r>
              <w:rPr>
                <w:rFonts w:ascii="Arial" w:cs="Arial" w:eastAsia="Arial" w:hAnsi="Arial"/>
                <w:sz w:val="14"/>
                <w:szCs w:val="14"/>
                <w:color w:val="auto"/>
              </w:rPr>
              <w:t>2/09/2021</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3/12/2021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3/26/2021</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0.31</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7,575</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7,575</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0" w:type="dxa"/>
            <w:vAlign w:val="bottom"/>
          </w:tcPr>
          <w:p>
            <w:pPr>
              <w:ind w:left="440"/>
              <w:spacing w:after="0"/>
              <w:rPr>
                <w:sz w:val="20"/>
                <w:szCs w:val="20"/>
                <w:color w:val="auto"/>
              </w:rPr>
            </w:pPr>
            <w:r>
              <w:rPr>
                <w:rFonts w:ascii="Arial" w:cs="Arial" w:eastAsia="Arial" w:hAnsi="Arial"/>
                <w:sz w:val="14"/>
                <w:szCs w:val="14"/>
                <w:color w:val="auto"/>
                <w:w w:val="99"/>
              </w:rPr>
              <w:t>—</w:t>
            </w:r>
          </w:p>
        </w:tc>
        <w:tc>
          <w:tcPr>
            <w:tcW w:w="320" w:type="dxa"/>
            <w:vAlign w:val="bottom"/>
          </w:tcPr>
          <w:p>
            <w:pPr>
              <w:jc w:val="right"/>
              <w:ind w:right="95"/>
              <w:spacing w:after="0"/>
              <w:rPr>
                <w:sz w:val="20"/>
                <w:szCs w:val="20"/>
                <w:color w:val="auto"/>
              </w:rPr>
            </w:pPr>
            <w:r>
              <w:rPr>
                <w:rFonts w:ascii="Arial" w:cs="Arial" w:eastAsia="Arial" w:hAnsi="Arial"/>
                <w:sz w:val="9"/>
                <w:szCs w:val="9"/>
                <w:color w:val="auto"/>
              </w:rPr>
              <w:t>(3)</w:t>
            </w:r>
          </w:p>
        </w:tc>
        <w:tc>
          <w:tcPr>
            <w:tcW w:w="700" w:type="dxa"/>
            <w:vAlign w:val="bottom"/>
          </w:tcPr>
          <w:p>
            <w:pPr>
              <w:ind w:left="560"/>
              <w:spacing w:after="0"/>
              <w:rPr>
                <w:sz w:val="20"/>
                <w:szCs w:val="20"/>
                <w:color w:val="auto"/>
              </w:rPr>
            </w:pPr>
            <w:r>
              <w:rPr>
                <w:rFonts w:ascii="Arial" w:cs="Arial" w:eastAsia="Arial" w:hAnsi="Arial"/>
                <w:sz w:val="14"/>
                <w:szCs w:val="14"/>
                <w:color w:val="auto"/>
                <w:w w:val="85"/>
              </w:rPr>
              <w:t>—</w:t>
            </w:r>
          </w:p>
        </w:tc>
        <w:tc>
          <w:tcPr>
            <w:tcW w:w="320" w:type="dxa"/>
            <w:vAlign w:val="bottom"/>
          </w:tcPr>
          <w:p>
            <w:pPr>
              <w:jc w:val="right"/>
              <w:ind w:right="95"/>
              <w:spacing w:after="0"/>
              <w:rPr>
                <w:sz w:val="20"/>
                <w:szCs w:val="20"/>
                <w:color w:val="auto"/>
              </w:rPr>
            </w:pPr>
            <w:r>
              <w:rPr>
                <w:rFonts w:ascii="Arial" w:cs="Arial" w:eastAsia="Arial" w:hAnsi="Arial"/>
                <w:sz w:val="9"/>
                <w:szCs w:val="9"/>
                <w:color w:val="auto"/>
              </w:rPr>
              <w:t>(3)</w:t>
            </w:r>
          </w:p>
        </w:tc>
        <w:tc>
          <w:tcPr>
            <w:tcW w:w="1060" w:type="dxa"/>
            <w:vAlign w:val="bottom"/>
          </w:tcPr>
          <w:p>
            <w:pPr>
              <w:ind w:left="920"/>
              <w:spacing w:after="0"/>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6"/>
                <w:szCs w:val="16"/>
                <w:color w:val="auto"/>
              </w:rPr>
            </w:pPr>
          </w:p>
        </w:tc>
      </w:tr>
      <w:tr>
        <w:trPr>
          <w:trHeight w:val="196"/>
        </w:trPr>
        <w:tc>
          <w:tcPr>
            <w:tcW w:w="2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2/09/2021 (2)</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3/12/2021</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3/26/2021</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0.07</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1,711</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1,711</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ind w:left="440"/>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(3)</w:t>
            </w:r>
          </w:p>
        </w:tc>
        <w:tc>
          <w:tcPr>
            <w:tcW w:w="700" w:type="dxa"/>
            <w:vAlign w:val="bottom"/>
            <w:shd w:val="clear" w:color="auto" w:fill="CFF0FC"/>
          </w:tcPr>
          <w:p>
            <w:pPr>
              <w:ind w:left="560"/>
              <w:spacing w:after="0"/>
              <w:rPr>
                <w:sz w:val="20"/>
                <w:szCs w:val="20"/>
                <w:color w:val="auto"/>
              </w:rPr>
            </w:pPr>
            <w:r>
              <w:rPr>
                <w:rFonts w:ascii="Arial" w:cs="Arial" w:eastAsia="Arial" w:hAnsi="Arial"/>
                <w:sz w:val="14"/>
                <w:szCs w:val="14"/>
                <w:color w:val="auto"/>
                <w:w w:val="85"/>
              </w:rPr>
              <w:t>—</w:t>
            </w:r>
          </w:p>
        </w:tc>
        <w:tc>
          <w:tcPr>
            <w:tcW w:w="32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(3)</w:t>
            </w:r>
          </w:p>
        </w:tc>
        <w:tc>
          <w:tcPr>
            <w:tcW w:w="1060" w:type="dxa"/>
            <w:vAlign w:val="bottom"/>
            <w:shd w:val="clear" w:color="auto" w:fill="CFF0FC"/>
          </w:tcPr>
          <w:p>
            <w:pPr>
              <w:ind w:left="920"/>
              <w:spacing w:after="0"/>
              <w:rPr>
                <w:sz w:val="20"/>
                <w:szCs w:val="20"/>
                <w:color w:val="auto"/>
              </w:rPr>
            </w:pPr>
            <w:r>
              <w:rPr>
                <w:rFonts w:ascii="Arial" w:cs="Arial" w:eastAsia="Arial" w:hAnsi="Arial"/>
                <w:sz w:val="14"/>
                <w:szCs w:val="14"/>
                <w:color w:val="auto"/>
                <w:w w:val="85"/>
              </w:rPr>
              <w:t>—</w:t>
            </w:r>
          </w:p>
        </w:tc>
        <w:tc>
          <w:tcPr>
            <w:tcW w:w="60" w:type="dxa"/>
            <w:vAlign w:val="bottom"/>
            <w:shd w:val="clear" w:color="auto" w:fill="CFF0FC"/>
          </w:tcPr>
          <w:p>
            <w:pPr>
              <w:spacing w:after="0"/>
              <w:rPr>
                <w:sz w:val="17"/>
                <w:szCs w:val="17"/>
                <w:color w:val="auto"/>
              </w:rPr>
            </w:pPr>
          </w:p>
        </w:tc>
      </w:tr>
      <w:tr>
        <w:trPr>
          <w:trHeight w:val="185"/>
        </w:trPr>
        <w:tc>
          <w:tcPr>
            <w:tcW w:w="2640" w:type="dxa"/>
            <w:vAlign w:val="bottom"/>
          </w:tcPr>
          <w:p>
            <w:pPr>
              <w:ind w:left="20"/>
              <w:spacing w:after="0"/>
              <w:rPr>
                <w:sz w:val="20"/>
                <w:szCs w:val="20"/>
                <w:color w:val="auto"/>
              </w:rPr>
            </w:pPr>
            <w:r>
              <w:rPr>
                <w:rFonts w:ascii="Arial" w:cs="Arial" w:eastAsia="Arial" w:hAnsi="Arial"/>
                <w:sz w:val="14"/>
                <w:szCs w:val="14"/>
                <w:color w:val="auto"/>
              </w:rPr>
              <w:t>5/03/2021</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6/14/2021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6/28/2021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0.31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7,576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7,576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ind w:left="440"/>
              <w:spacing w:after="0"/>
              <w:rPr>
                <w:sz w:val="20"/>
                <w:szCs w:val="20"/>
                <w:color w:val="auto"/>
              </w:rPr>
            </w:pPr>
            <w:r>
              <w:rPr>
                <w:rFonts w:ascii="Arial" w:cs="Arial" w:eastAsia="Arial" w:hAnsi="Arial"/>
                <w:sz w:val="14"/>
                <w:szCs w:val="14"/>
                <w:color w:val="auto"/>
                <w:w w:val="99"/>
              </w:rPr>
              <w:t>—</w:t>
            </w:r>
          </w:p>
        </w:tc>
        <w:tc>
          <w:tcPr>
            <w:tcW w:w="320" w:type="dxa"/>
            <w:vAlign w:val="bottom"/>
          </w:tcPr>
          <w:p>
            <w:pPr>
              <w:jc w:val="right"/>
              <w:ind w:right="95"/>
              <w:spacing w:after="0"/>
              <w:rPr>
                <w:sz w:val="20"/>
                <w:szCs w:val="20"/>
                <w:color w:val="auto"/>
              </w:rPr>
            </w:pPr>
            <w:r>
              <w:rPr>
                <w:rFonts w:ascii="Arial" w:cs="Arial" w:eastAsia="Arial" w:hAnsi="Arial"/>
                <w:sz w:val="9"/>
                <w:szCs w:val="9"/>
                <w:color w:val="auto"/>
              </w:rPr>
              <w:t>(3)</w:t>
            </w:r>
          </w:p>
        </w:tc>
        <w:tc>
          <w:tcPr>
            <w:tcW w:w="700" w:type="dxa"/>
            <w:vAlign w:val="bottom"/>
          </w:tcPr>
          <w:p>
            <w:pPr>
              <w:ind w:left="560"/>
              <w:spacing w:after="0"/>
              <w:rPr>
                <w:sz w:val="20"/>
                <w:szCs w:val="20"/>
                <w:color w:val="auto"/>
              </w:rPr>
            </w:pPr>
            <w:r>
              <w:rPr>
                <w:rFonts w:ascii="Arial" w:cs="Arial" w:eastAsia="Arial" w:hAnsi="Arial"/>
                <w:sz w:val="14"/>
                <w:szCs w:val="14"/>
                <w:color w:val="auto"/>
                <w:w w:val="85"/>
              </w:rPr>
              <w:t>—</w:t>
            </w:r>
          </w:p>
        </w:tc>
        <w:tc>
          <w:tcPr>
            <w:tcW w:w="320" w:type="dxa"/>
            <w:vAlign w:val="bottom"/>
          </w:tcPr>
          <w:p>
            <w:pPr>
              <w:jc w:val="right"/>
              <w:ind w:right="95"/>
              <w:spacing w:after="0"/>
              <w:rPr>
                <w:sz w:val="20"/>
                <w:szCs w:val="20"/>
                <w:color w:val="auto"/>
              </w:rPr>
            </w:pPr>
            <w:r>
              <w:rPr>
                <w:rFonts w:ascii="Arial" w:cs="Arial" w:eastAsia="Arial" w:hAnsi="Arial"/>
                <w:sz w:val="9"/>
                <w:szCs w:val="9"/>
                <w:color w:val="auto"/>
              </w:rPr>
              <w:t>(3)</w:t>
            </w:r>
          </w:p>
        </w:tc>
        <w:tc>
          <w:tcPr>
            <w:tcW w:w="1060" w:type="dxa"/>
            <w:vAlign w:val="bottom"/>
          </w:tcPr>
          <w:p>
            <w:pPr>
              <w:ind w:left="920"/>
              <w:spacing w:after="0"/>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6"/>
                <w:szCs w:val="16"/>
                <w:color w:val="auto"/>
              </w:rPr>
            </w:pPr>
          </w:p>
        </w:tc>
      </w:tr>
      <w:tr>
        <w:trPr>
          <w:trHeight w:val="196"/>
        </w:trPr>
        <w:tc>
          <w:tcPr>
            <w:tcW w:w="2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5/03/2021 (2)</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6/14/2021</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6/28/2021</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0.08</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1,955</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1,955</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ind w:left="440"/>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(3)</w:t>
            </w:r>
          </w:p>
        </w:tc>
        <w:tc>
          <w:tcPr>
            <w:tcW w:w="700" w:type="dxa"/>
            <w:vAlign w:val="bottom"/>
            <w:shd w:val="clear" w:color="auto" w:fill="CFF0FC"/>
          </w:tcPr>
          <w:p>
            <w:pPr>
              <w:ind w:left="560"/>
              <w:spacing w:after="0"/>
              <w:rPr>
                <w:sz w:val="20"/>
                <w:szCs w:val="20"/>
                <w:color w:val="auto"/>
              </w:rPr>
            </w:pPr>
            <w:r>
              <w:rPr>
                <w:rFonts w:ascii="Arial" w:cs="Arial" w:eastAsia="Arial" w:hAnsi="Arial"/>
                <w:sz w:val="14"/>
                <w:szCs w:val="14"/>
                <w:color w:val="auto"/>
                <w:w w:val="85"/>
              </w:rPr>
              <w:t>—</w:t>
            </w:r>
          </w:p>
        </w:tc>
        <w:tc>
          <w:tcPr>
            <w:tcW w:w="32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(3)</w:t>
            </w:r>
          </w:p>
        </w:tc>
        <w:tc>
          <w:tcPr>
            <w:tcW w:w="1060" w:type="dxa"/>
            <w:vAlign w:val="bottom"/>
            <w:shd w:val="clear" w:color="auto" w:fill="CFF0FC"/>
          </w:tcPr>
          <w:p>
            <w:pPr>
              <w:ind w:left="920"/>
              <w:spacing w:after="0"/>
              <w:rPr>
                <w:sz w:val="20"/>
                <w:szCs w:val="20"/>
                <w:color w:val="auto"/>
              </w:rPr>
            </w:pPr>
            <w:r>
              <w:rPr>
                <w:rFonts w:ascii="Arial" w:cs="Arial" w:eastAsia="Arial" w:hAnsi="Arial"/>
                <w:sz w:val="14"/>
                <w:szCs w:val="14"/>
                <w:color w:val="auto"/>
                <w:w w:val="85"/>
              </w:rPr>
              <w:t>—</w:t>
            </w:r>
          </w:p>
        </w:tc>
        <w:tc>
          <w:tcPr>
            <w:tcW w:w="60" w:type="dxa"/>
            <w:vAlign w:val="bottom"/>
            <w:shd w:val="clear" w:color="auto" w:fill="CFF0FC"/>
          </w:tcPr>
          <w:p>
            <w:pPr>
              <w:spacing w:after="0"/>
              <w:rPr>
                <w:sz w:val="17"/>
                <w:szCs w:val="17"/>
                <w:color w:val="auto"/>
              </w:rPr>
            </w:pPr>
          </w:p>
        </w:tc>
      </w:tr>
      <w:tr>
        <w:trPr>
          <w:trHeight w:val="185"/>
        </w:trPr>
        <w:tc>
          <w:tcPr>
            <w:tcW w:w="2640" w:type="dxa"/>
            <w:vAlign w:val="bottom"/>
          </w:tcPr>
          <w:p>
            <w:pPr>
              <w:ind w:left="20"/>
              <w:spacing w:after="0"/>
              <w:rPr>
                <w:sz w:val="20"/>
                <w:szCs w:val="20"/>
                <w:color w:val="auto"/>
              </w:rPr>
            </w:pPr>
            <w:r>
              <w:rPr>
                <w:rFonts w:ascii="Arial" w:cs="Arial" w:eastAsia="Arial" w:hAnsi="Arial"/>
                <w:sz w:val="14"/>
                <w:szCs w:val="14"/>
                <w:color w:val="auto"/>
              </w:rPr>
              <w:t>8/02/2021</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9/14/2021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9/28/2021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0.32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7,820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7,820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ind w:left="440"/>
              <w:spacing w:after="0"/>
              <w:rPr>
                <w:sz w:val="20"/>
                <w:szCs w:val="20"/>
                <w:color w:val="auto"/>
              </w:rPr>
            </w:pPr>
            <w:r>
              <w:rPr>
                <w:rFonts w:ascii="Arial" w:cs="Arial" w:eastAsia="Arial" w:hAnsi="Arial"/>
                <w:sz w:val="14"/>
                <w:szCs w:val="14"/>
                <w:color w:val="auto"/>
                <w:w w:val="99"/>
              </w:rPr>
              <w:t>—</w:t>
            </w:r>
          </w:p>
        </w:tc>
        <w:tc>
          <w:tcPr>
            <w:tcW w:w="320" w:type="dxa"/>
            <w:vAlign w:val="bottom"/>
          </w:tcPr>
          <w:p>
            <w:pPr>
              <w:jc w:val="right"/>
              <w:ind w:right="95"/>
              <w:spacing w:after="0"/>
              <w:rPr>
                <w:sz w:val="20"/>
                <w:szCs w:val="20"/>
                <w:color w:val="auto"/>
              </w:rPr>
            </w:pPr>
            <w:r>
              <w:rPr>
                <w:rFonts w:ascii="Arial" w:cs="Arial" w:eastAsia="Arial" w:hAnsi="Arial"/>
                <w:sz w:val="9"/>
                <w:szCs w:val="9"/>
                <w:color w:val="auto"/>
              </w:rPr>
              <w:t>(3)</w:t>
            </w:r>
          </w:p>
        </w:tc>
        <w:tc>
          <w:tcPr>
            <w:tcW w:w="700" w:type="dxa"/>
            <w:vAlign w:val="bottom"/>
          </w:tcPr>
          <w:p>
            <w:pPr>
              <w:ind w:left="560"/>
              <w:spacing w:after="0"/>
              <w:rPr>
                <w:sz w:val="20"/>
                <w:szCs w:val="20"/>
                <w:color w:val="auto"/>
              </w:rPr>
            </w:pPr>
            <w:r>
              <w:rPr>
                <w:rFonts w:ascii="Arial" w:cs="Arial" w:eastAsia="Arial" w:hAnsi="Arial"/>
                <w:sz w:val="14"/>
                <w:szCs w:val="14"/>
                <w:color w:val="auto"/>
                <w:w w:val="85"/>
              </w:rPr>
              <w:t>—</w:t>
            </w:r>
          </w:p>
        </w:tc>
        <w:tc>
          <w:tcPr>
            <w:tcW w:w="320" w:type="dxa"/>
            <w:vAlign w:val="bottom"/>
          </w:tcPr>
          <w:p>
            <w:pPr>
              <w:jc w:val="right"/>
              <w:ind w:right="95"/>
              <w:spacing w:after="0"/>
              <w:rPr>
                <w:sz w:val="20"/>
                <w:szCs w:val="20"/>
                <w:color w:val="auto"/>
              </w:rPr>
            </w:pPr>
            <w:r>
              <w:rPr>
                <w:rFonts w:ascii="Arial" w:cs="Arial" w:eastAsia="Arial" w:hAnsi="Arial"/>
                <w:sz w:val="9"/>
                <w:szCs w:val="9"/>
                <w:color w:val="auto"/>
              </w:rPr>
              <w:t>(3)</w:t>
            </w:r>
          </w:p>
        </w:tc>
        <w:tc>
          <w:tcPr>
            <w:tcW w:w="1060" w:type="dxa"/>
            <w:vAlign w:val="bottom"/>
          </w:tcPr>
          <w:p>
            <w:pPr>
              <w:ind w:left="920"/>
              <w:spacing w:after="0"/>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6"/>
                <w:szCs w:val="16"/>
                <w:color w:val="auto"/>
              </w:rPr>
            </w:pPr>
          </w:p>
        </w:tc>
      </w:tr>
      <w:tr>
        <w:trPr>
          <w:trHeight w:val="196"/>
        </w:trPr>
        <w:tc>
          <w:tcPr>
            <w:tcW w:w="2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8/02/2021 (2)</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9/14/2021</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9/28/2021</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0.06</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1,466</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1,466</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ind w:left="440"/>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(3)</w:t>
            </w:r>
          </w:p>
        </w:tc>
        <w:tc>
          <w:tcPr>
            <w:tcW w:w="700" w:type="dxa"/>
            <w:vAlign w:val="bottom"/>
            <w:shd w:val="clear" w:color="auto" w:fill="CFF0FC"/>
          </w:tcPr>
          <w:p>
            <w:pPr>
              <w:ind w:left="560"/>
              <w:spacing w:after="0"/>
              <w:rPr>
                <w:sz w:val="20"/>
                <w:szCs w:val="20"/>
                <w:color w:val="auto"/>
              </w:rPr>
            </w:pPr>
            <w:r>
              <w:rPr>
                <w:rFonts w:ascii="Arial" w:cs="Arial" w:eastAsia="Arial" w:hAnsi="Arial"/>
                <w:sz w:val="14"/>
                <w:szCs w:val="14"/>
                <w:color w:val="auto"/>
                <w:w w:val="85"/>
              </w:rPr>
              <w:t>—</w:t>
            </w:r>
          </w:p>
        </w:tc>
        <w:tc>
          <w:tcPr>
            <w:tcW w:w="32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rPr>
              <w:t>(3)</w:t>
            </w:r>
          </w:p>
        </w:tc>
        <w:tc>
          <w:tcPr>
            <w:tcW w:w="1060" w:type="dxa"/>
            <w:vAlign w:val="bottom"/>
            <w:shd w:val="clear" w:color="auto" w:fill="CFF0FC"/>
          </w:tcPr>
          <w:p>
            <w:pPr>
              <w:ind w:left="920"/>
              <w:spacing w:after="0"/>
              <w:rPr>
                <w:sz w:val="20"/>
                <w:szCs w:val="20"/>
                <w:color w:val="auto"/>
              </w:rPr>
            </w:pPr>
            <w:r>
              <w:rPr>
                <w:rFonts w:ascii="Arial" w:cs="Arial" w:eastAsia="Arial" w:hAnsi="Arial"/>
                <w:sz w:val="14"/>
                <w:szCs w:val="14"/>
                <w:color w:val="auto"/>
                <w:w w:val="85"/>
              </w:rPr>
              <w:t>—</w:t>
            </w:r>
          </w:p>
        </w:tc>
        <w:tc>
          <w:tcPr>
            <w:tcW w:w="60" w:type="dxa"/>
            <w:vAlign w:val="bottom"/>
            <w:shd w:val="clear" w:color="auto" w:fill="CFF0FC"/>
          </w:tcPr>
          <w:p>
            <w:pPr>
              <w:spacing w:after="0"/>
              <w:rPr>
                <w:sz w:val="17"/>
                <w:szCs w:val="17"/>
                <w:color w:val="auto"/>
              </w:rPr>
            </w:pPr>
          </w:p>
        </w:tc>
      </w:tr>
      <w:tr>
        <w:trPr>
          <w:trHeight w:val="179"/>
        </w:trPr>
        <w:tc>
          <w:tcPr>
            <w:tcW w:w="2640" w:type="dxa"/>
            <w:vAlign w:val="bottom"/>
          </w:tcPr>
          <w:p>
            <w:pPr>
              <w:ind w:left="20"/>
              <w:spacing w:after="0"/>
              <w:rPr>
                <w:sz w:val="20"/>
                <w:szCs w:val="20"/>
                <w:color w:val="auto"/>
              </w:rPr>
            </w:pPr>
            <w:r>
              <w:rPr>
                <w:rFonts w:ascii="Arial" w:cs="Arial" w:eastAsia="Arial" w:hAnsi="Arial"/>
                <w:sz w:val="14"/>
                <w:szCs w:val="14"/>
                <w:color w:val="auto"/>
              </w:rPr>
              <w:t>8/02/2021 (1)</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9/14/2021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9/28/2021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0.04</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978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978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ind w:left="440"/>
              <w:spacing w:after="0"/>
              <w:rPr>
                <w:sz w:val="20"/>
                <w:szCs w:val="20"/>
                <w:color w:val="auto"/>
              </w:rPr>
            </w:pPr>
            <w:r>
              <w:rPr>
                <w:rFonts w:ascii="Arial" w:cs="Arial" w:eastAsia="Arial" w:hAnsi="Arial"/>
                <w:sz w:val="14"/>
                <w:szCs w:val="14"/>
                <w:color w:val="auto"/>
                <w:w w:val="99"/>
              </w:rPr>
              <w:t>—</w:t>
            </w:r>
          </w:p>
        </w:tc>
        <w:tc>
          <w:tcPr>
            <w:tcW w:w="320" w:type="dxa"/>
            <w:vAlign w:val="bottom"/>
          </w:tcPr>
          <w:p>
            <w:pPr>
              <w:jc w:val="right"/>
              <w:ind w:right="95"/>
              <w:spacing w:after="0"/>
              <w:rPr>
                <w:sz w:val="20"/>
                <w:szCs w:val="20"/>
                <w:color w:val="auto"/>
              </w:rPr>
            </w:pPr>
            <w:r>
              <w:rPr>
                <w:rFonts w:ascii="Arial" w:cs="Arial" w:eastAsia="Arial" w:hAnsi="Arial"/>
                <w:sz w:val="9"/>
                <w:szCs w:val="9"/>
                <w:color w:val="auto"/>
              </w:rPr>
              <w:t>(3)</w:t>
            </w:r>
          </w:p>
        </w:tc>
        <w:tc>
          <w:tcPr>
            <w:tcW w:w="700" w:type="dxa"/>
            <w:vAlign w:val="bottom"/>
          </w:tcPr>
          <w:p>
            <w:pPr>
              <w:ind w:left="560"/>
              <w:spacing w:after="0"/>
              <w:rPr>
                <w:sz w:val="20"/>
                <w:szCs w:val="20"/>
                <w:color w:val="auto"/>
              </w:rPr>
            </w:pPr>
            <w:r>
              <w:rPr>
                <w:rFonts w:ascii="Arial" w:cs="Arial" w:eastAsia="Arial" w:hAnsi="Arial"/>
                <w:sz w:val="14"/>
                <w:szCs w:val="14"/>
                <w:color w:val="auto"/>
                <w:w w:val="85"/>
              </w:rPr>
              <w:t>—</w:t>
            </w:r>
          </w:p>
        </w:tc>
        <w:tc>
          <w:tcPr>
            <w:tcW w:w="320" w:type="dxa"/>
            <w:vAlign w:val="bottom"/>
          </w:tcPr>
          <w:p>
            <w:pPr>
              <w:jc w:val="right"/>
              <w:ind w:right="95"/>
              <w:spacing w:after="0"/>
              <w:rPr>
                <w:sz w:val="20"/>
                <w:szCs w:val="20"/>
                <w:color w:val="auto"/>
              </w:rPr>
            </w:pPr>
            <w:r>
              <w:rPr>
                <w:rFonts w:ascii="Arial" w:cs="Arial" w:eastAsia="Arial" w:hAnsi="Arial"/>
                <w:sz w:val="9"/>
                <w:szCs w:val="9"/>
                <w:color w:val="auto"/>
              </w:rPr>
              <w:t>(3)</w:t>
            </w:r>
          </w:p>
        </w:tc>
        <w:tc>
          <w:tcPr>
            <w:tcW w:w="1060" w:type="dxa"/>
            <w:vAlign w:val="bottom"/>
          </w:tcPr>
          <w:p>
            <w:pPr>
              <w:ind w:left="920"/>
              <w:spacing w:after="0"/>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5"/>
                <w:szCs w:val="15"/>
                <w:color w:val="auto"/>
              </w:rPr>
            </w:pPr>
          </w:p>
        </w:tc>
      </w:tr>
      <w:tr>
        <w:trPr>
          <w:trHeight w:val="196"/>
        </w:trPr>
        <w:tc>
          <w:tcPr>
            <w:tcW w:w="2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1.19</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29,081</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29,081</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0" w:type="dxa"/>
            <w:vAlign w:val="bottom"/>
          </w:tcPr>
          <w:p>
            <w:pPr>
              <w:ind w:left="440"/>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7"/>
                <w:szCs w:val="17"/>
                <w:color w:val="auto"/>
              </w:rPr>
            </w:pPr>
          </w:p>
        </w:tc>
        <w:tc>
          <w:tcPr>
            <w:tcW w:w="700" w:type="dxa"/>
            <w:vAlign w:val="bottom"/>
          </w:tcPr>
          <w:p>
            <w:pPr>
              <w:ind w:left="560"/>
              <w:spacing w:after="0"/>
              <w:rPr>
                <w:sz w:val="20"/>
                <w:szCs w:val="20"/>
                <w:color w:val="auto"/>
              </w:rPr>
            </w:pPr>
            <w:r>
              <w:rPr>
                <w:rFonts w:ascii="Arial" w:cs="Arial" w:eastAsia="Arial" w:hAnsi="Arial"/>
                <w:sz w:val="14"/>
                <w:szCs w:val="14"/>
                <w:color w:val="auto"/>
                <w:w w:val="85"/>
              </w:rPr>
              <w:t>—</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2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3446145</wp:posOffset>
            </wp:positionH>
            <wp:positionV relativeFrom="paragraph">
              <wp:posOffset>-2011680</wp:posOffset>
            </wp:positionV>
            <wp:extent cx="9652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96520" cy="8255"/>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-1995805</wp:posOffset>
            </wp:positionV>
            <wp:extent cx="9652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96520" cy="8255"/>
                    </a:xfrm>
                    <a:prstGeom prst="rect">
                      <a:avLst/>
                    </a:prstGeom>
                    <a:noFill/>
                  </pic:spPr>
                </pic:pic>
              </a:graphicData>
            </a:graphic>
          </wp:anchor>
        </w:drawing>
        <w:drawing>
          <wp:anchor simplePos="0" relativeHeight="251657728" behindDoc="1" locked="0" layoutInCell="0" allowOverlap="1">
            <wp:simplePos x="0" y="0"/>
            <wp:positionH relativeFrom="column">
              <wp:posOffset>4251325</wp:posOffset>
            </wp:positionH>
            <wp:positionV relativeFrom="paragraph">
              <wp:posOffset>-2011680</wp:posOffset>
            </wp:positionV>
            <wp:extent cx="8826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265" cy="8255"/>
                    </a:xfrm>
                    <a:prstGeom prst="rect">
                      <a:avLst/>
                    </a:prstGeom>
                    <a:noFill/>
                  </pic:spPr>
                </pic:pic>
              </a:graphicData>
            </a:graphic>
          </wp:anchor>
        </w:drawing>
        <w:drawing>
          <wp:anchor simplePos="0" relativeHeight="251657728" behindDoc="1" locked="0" layoutInCell="0" allowOverlap="1">
            <wp:simplePos x="0" y="0"/>
            <wp:positionH relativeFrom="column">
              <wp:posOffset>4251325</wp:posOffset>
            </wp:positionH>
            <wp:positionV relativeFrom="paragraph">
              <wp:posOffset>-1995805</wp:posOffset>
            </wp:positionV>
            <wp:extent cx="8826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265" cy="8255"/>
                    </a:xfrm>
                    <a:prstGeom prst="rect">
                      <a:avLst/>
                    </a:prstGeom>
                    <a:noFill/>
                  </pic:spPr>
                </pic:pic>
              </a:graphicData>
            </a:graphic>
          </wp:anchor>
        </w:drawing>
        <w:drawing>
          <wp:anchor simplePos="0" relativeHeight="251657728" behindDoc="1" locked="0" layoutInCell="0" allowOverlap="1">
            <wp:simplePos x="0" y="0"/>
            <wp:positionH relativeFrom="column">
              <wp:posOffset>5032375</wp:posOffset>
            </wp:positionH>
            <wp:positionV relativeFrom="paragraph">
              <wp:posOffset>-2011680</wp:posOffset>
            </wp:positionV>
            <wp:extent cx="8064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5032375</wp:posOffset>
            </wp:positionH>
            <wp:positionV relativeFrom="paragraph">
              <wp:posOffset>-1995805</wp:posOffset>
            </wp:positionV>
            <wp:extent cx="8064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0645" cy="8255"/>
                    </a:xfrm>
                    <a:prstGeom prst="rect">
                      <a:avLst/>
                    </a:prstGeom>
                    <a:noFill/>
                  </pic:spPr>
                </pic:pic>
              </a:graphicData>
            </a:graphic>
          </wp:anchor>
        </w:drawing>
        <w:drawing>
          <wp:anchor simplePos="0" relativeHeight="251657728" behindDoc="1" locked="0" layoutInCell="0" allowOverlap="1">
            <wp:simplePos x="0" y="0"/>
            <wp:positionH relativeFrom="column">
              <wp:posOffset>5571490</wp:posOffset>
            </wp:positionH>
            <wp:positionV relativeFrom="paragraph">
              <wp:posOffset>-2011680</wp:posOffset>
            </wp:positionV>
            <wp:extent cx="1612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61290" cy="8255"/>
                    </a:xfrm>
                    <a:prstGeom prst="rect">
                      <a:avLst/>
                    </a:prstGeom>
                    <a:noFill/>
                  </pic:spPr>
                </pic:pic>
              </a:graphicData>
            </a:graphic>
          </wp:anchor>
        </w:drawing>
        <w:drawing>
          <wp:anchor simplePos="0" relativeHeight="251657728" behindDoc="1" locked="0" layoutInCell="0" allowOverlap="1">
            <wp:simplePos x="0" y="0"/>
            <wp:positionH relativeFrom="column">
              <wp:posOffset>5571490</wp:posOffset>
            </wp:positionH>
            <wp:positionV relativeFrom="paragraph">
              <wp:posOffset>-1995805</wp:posOffset>
            </wp:positionV>
            <wp:extent cx="1612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61290" cy="8255"/>
                    </a:xfrm>
                    <a:prstGeom prst="rect">
                      <a:avLst/>
                    </a:prstGeom>
                    <a:noFill/>
                  </pic:spPr>
                </pic:pic>
              </a:graphicData>
            </a:graphic>
          </wp:anchor>
        </w:drawing>
        <w:drawing>
          <wp:anchor simplePos="0" relativeHeight="251657728" behindDoc="1" locked="0" layoutInCell="0" allowOverlap="1">
            <wp:simplePos x="0" y="0"/>
            <wp:positionH relativeFrom="column">
              <wp:posOffset>6223635</wp:posOffset>
            </wp:positionH>
            <wp:positionV relativeFrom="paragraph">
              <wp:posOffset>-2011680</wp:posOffset>
            </wp:positionV>
            <wp:extent cx="1612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61290" cy="8255"/>
                    </a:xfrm>
                    <a:prstGeom prst="rect">
                      <a:avLst/>
                    </a:prstGeom>
                    <a:noFill/>
                  </pic:spPr>
                </pic:pic>
              </a:graphicData>
            </a:graphic>
          </wp:anchor>
        </w:drawing>
        <w:drawing>
          <wp:anchor simplePos="0" relativeHeight="251657728" behindDoc="1" locked="0" layoutInCell="0" allowOverlap="1">
            <wp:simplePos x="0" y="0"/>
            <wp:positionH relativeFrom="column">
              <wp:posOffset>6223635</wp:posOffset>
            </wp:positionH>
            <wp:positionV relativeFrom="paragraph">
              <wp:posOffset>-1995805</wp:posOffset>
            </wp:positionV>
            <wp:extent cx="1612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61290" cy="8255"/>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-1260475</wp:posOffset>
            </wp:positionV>
            <wp:extent cx="96520" cy="508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96520" cy="5080"/>
                    </a:xfrm>
                    <a:prstGeom prst="rect">
                      <a:avLst/>
                    </a:prstGeom>
                    <a:noFill/>
                  </pic:spPr>
                </pic:pic>
              </a:graphicData>
            </a:graphic>
          </wp:anchor>
        </w:drawing>
        <w:drawing>
          <wp:anchor simplePos="0" relativeHeight="251657728" behindDoc="1" locked="0" layoutInCell="0" allowOverlap="1">
            <wp:simplePos x="0" y="0"/>
            <wp:positionH relativeFrom="column">
              <wp:posOffset>4251325</wp:posOffset>
            </wp:positionH>
            <wp:positionV relativeFrom="paragraph">
              <wp:posOffset>-1260475</wp:posOffset>
            </wp:positionV>
            <wp:extent cx="88265" cy="508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265" cy="5080"/>
                    </a:xfrm>
                    <a:prstGeom prst="rect">
                      <a:avLst/>
                    </a:prstGeom>
                    <a:noFill/>
                  </pic:spPr>
                </pic:pic>
              </a:graphicData>
            </a:graphic>
          </wp:anchor>
        </w:drawing>
        <w:drawing>
          <wp:anchor simplePos="0" relativeHeight="251657728" behindDoc="1" locked="0" layoutInCell="0" allowOverlap="1">
            <wp:simplePos x="0" y="0"/>
            <wp:positionH relativeFrom="column">
              <wp:posOffset>5032375</wp:posOffset>
            </wp:positionH>
            <wp:positionV relativeFrom="paragraph">
              <wp:posOffset>-1260475</wp:posOffset>
            </wp:positionV>
            <wp:extent cx="80645" cy="508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0645" cy="5080"/>
                    </a:xfrm>
                    <a:prstGeom prst="rect">
                      <a:avLst/>
                    </a:prstGeom>
                    <a:noFill/>
                  </pic:spPr>
                </pic:pic>
              </a:graphicData>
            </a:graphic>
          </wp:anchor>
        </w:drawing>
        <w:drawing>
          <wp:anchor simplePos="0" relativeHeight="251657728" behindDoc="1" locked="0" layoutInCell="0" allowOverlap="1">
            <wp:simplePos x="0" y="0"/>
            <wp:positionH relativeFrom="column">
              <wp:posOffset>5571490</wp:posOffset>
            </wp:positionH>
            <wp:positionV relativeFrom="paragraph">
              <wp:posOffset>-1260475</wp:posOffset>
            </wp:positionV>
            <wp:extent cx="161290" cy="508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61290" cy="5080"/>
                    </a:xfrm>
                    <a:prstGeom prst="rect">
                      <a:avLst/>
                    </a:prstGeom>
                    <a:noFill/>
                  </pic:spPr>
                </pic:pic>
              </a:graphicData>
            </a:graphic>
          </wp:anchor>
        </w:drawing>
        <w:drawing>
          <wp:anchor simplePos="0" relativeHeight="251657728" behindDoc="1" locked="0" layoutInCell="0" allowOverlap="1">
            <wp:simplePos x="0" y="0"/>
            <wp:positionH relativeFrom="column">
              <wp:posOffset>6223635</wp:posOffset>
            </wp:positionH>
            <wp:positionV relativeFrom="paragraph">
              <wp:posOffset>-1260475</wp:posOffset>
            </wp:positionV>
            <wp:extent cx="161290" cy="508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61290" cy="5080"/>
                    </a:xfrm>
                    <a:prstGeom prst="rect">
                      <a:avLst/>
                    </a:prstGeom>
                    <a:noFill/>
                  </pic:spPr>
                </pic:pic>
              </a:graphicData>
            </a:graphic>
          </wp:anchor>
        </w:drawing>
      </w:r>
    </w:p>
    <w:p>
      <w:pPr>
        <w:spacing w:after="0" w:line="190" w:lineRule="exact"/>
        <w:rPr>
          <w:sz w:val="20"/>
          <w:szCs w:val="20"/>
          <w:color w:val="auto"/>
        </w:rPr>
      </w:pPr>
    </w:p>
    <w:p>
      <w:pPr>
        <w:ind w:left="360" w:hanging="346"/>
        <w:spacing w:after="0"/>
        <w:tabs>
          <w:tab w:leader="none" w:pos="3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Special dividend</w:t>
      </w:r>
    </w:p>
    <w:p>
      <w:pPr>
        <w:spacing w:after="0" w:line="16" w:lineRule="exact"/>
        <w:rPr>
          <w:rFonts w:ascii="Arial" w:cs="Arial" w:eastAsia="Arial" w:hAnsi="Arial"/>
          <w:sz w:val="14"/>
          <w:szCs w:val="14"/>
          <w:color w:val="auto"/>
        </w:rPr>
      </w:pPr>
    </w:p>
    <w:p>
      <w:pPr>
        <w:ind w:left="360" w:hanging="346"/>
        <w:spacing w:after="0"/>
        <w:tabs>
          <w:tab w:leader="none" w:pos="3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Supplemental dividend</w:t>
      </w:r>
    </w:p>
    <w:p>
      <w:pPr>
        <w:spacing w:after="0" w:line="16" w:lineRule="exact"/>
        <w:rPr>
          <w:rFonts w:ascii="Arial" w:cs="Arial" w:eastAsia="Arial" w:hAnsi="Arial"/>
          <w:sz w:val="14"/>
          <w:szCs w:val="14"/>
          <w:color w:val="auto"/>
        </w:rPr>
      </w:pPr>
    </w:p>
    <w:p>
      <w:pPr>
        <w:ind w:left="360" w:right="40" w:hanging="346"/>
        <w:spacing w:after="0" w:line="346" w:lineRule="auto"/>
        <w:tabs>
          <w:tab w:leader="none" w:pos="360" w:val="left"/>
        </w:tabs>
        <w:numPr>
          <w:ilvl w:val="0"/>
          <w:numId w:val="23"/>
        </w:numPr>
        <w:rPr>
          <w:rFonts w:ascii="Arial" w:cs="Arial" w:eastAsia="Arial" w:hAnsi="Arial"/>
          <w:sz w:val="12"/>
          <w:szCs w:val="12"/>
          <w:color w:val="auto"/>
        </w:rPr>
      </w:pPr>
      <w:r>
        <w:rPr>
          <w:rFonts w:ascii="Arial" w:cs="Arial" w:eastAsia="Arial" w:hAnsi="Arial"/>
          <w:sz w:val="12"/>
          <w:szCs w:val="12"/>
          <w:color w:val="auto"/>
        </w:rPr>
        <w:t>During the nine months ended September 30, 2021 and the years ended December 31, 2020 and 2019, the Company directed the DRIP plan administrator to repurchase shares on the open market in order to satisfy the DRIP obligation to deliver shares of common stock in lieu of issuing new shares. Accordingly, the Company purchased and reissued shares to satisfy the DRIP obligation as follows:</w:t>
      </w:r>
    </w:p>
    <w:p>
      <w:pPr>
        <w:sectPr>
          <w:pgSz w:w="11900" w:h="16838" w:orient="portrait"/>
          <w:cols w:equalWidth="0" w:num="1">
            <w:col w:w="11240"/>
          </w:cols>
          <w:pgMar w:left="320" w:top="1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Fiscal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29845</wp:posOffset>
            </wp:positionV>
            <wp:extent cx="22059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205990" cy="8255"/>
                    </a:xfrm>
                    <a:prstGeom prst="rect">
                      <a:avLst/>
                    </a:prstGeom>
                    <a:noFill/>
                  </pic:spPr>
                </pic:pic>
              </a:graphicData>
            </a:graphic>
          </wp:anchor>
        </w:drawing>
      </w:r>
    </w:p>
    <w:p>
      <w:pPr>
        <w:spacing w:after="0" w:line="47"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January 1, 2019 through March 31, 2019</w:t>
      </w:r>
    </w:p>
    <w:p>
      <w:pPr>
        <w:spacing w:after="0" w:line="5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April 1, 2019 through June 30, 2019</w:t>
      </w:r>
    </w:p>
    <w:p>
      <w:pPr>
        <w:spacing w:after="0" w:line="29"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July 1, 2019 through September 30, 2019</w:t>
      </w:r>
    </w:p>
    <w:p>
      <w:pPr>
        <w:spacing w:after="0" w:line="65"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October 1, 2019 through December 31, 2019</w:t>
      </w:r>
    </w:p>
    <w:p>
      <w:pPr>
        <w:spacing w:after="0" w:line="90"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90"/>
        </w:trPr>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ind w:right="132"/>
              <w:spacing w:after="0"/>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ind w:right="112"/>
              <w:spacing w:after="0"/>
              <w:rPr>
                <w:sz w:val="20"/>
                <w:szCs w:val="20"/>
                <w:color w:val="auto"/>
              </w:rPr>
            </w:pPr>
            <w:r>
              <w:rPr>
                <w:rFonts w:ascii="Arial" w:cs="Arial" w:eastAsia="Arial" w:hAnsi="Arial"/>
                <w:sz w:val="14"/>
                <w:szCs w:val="14"/>
                <w:b w:val="1"/>
                <w:bCs w:val="1"/>
                <w:color w:val="auto"/>
                <w:w w:val="88"/>
              </w:rPr>
              <w:t>Price Paid</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92"/>
              <w:spacing w:after="0"/>
              <w:rPr>
                <w:sz w:val="20"/>
                <w:szCs w:val="20"/>
                <w:color w:val="auto"/>
              </w:rPr>
            </w:pPr>
            <w:r>
              <w:rPr>
                <w:rFonts w:ascii="Arial" w:cs="Arial" w:eastAsia="Arial" w:hAnsi="Arial"/>
                <w:sz w:val="14"/>
                <w:szCs w:val="14"/>
                <w:b w:val="1"/>
                <w:bCs w:val="1"/>
                <w:color w:val="auto"/>
              </w:rPr>
              <w:t>Total</w:t>
            </w:r>
          </w:p>
        </w:tc>
      </w:tr>
      <w:tr>
        <w:trPr>
          <w:trHeight w:val="196"/>
        </w:trPr>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and Reissued</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8"/>
              </w:rPr>
              <w:t>Per Share</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7"/>
              </w:rPr>
              <w:t>Amount Paid</w:t>
            </w:r>
          </w:p>
        </w:tc>
      </w:tr>
      <w:tr>
        <w:trPr>
          <w:trHeight w:val="177"/>
        </w:trPr>
        <w:tc>
          <w:tcPr>
            <w:tcW w:w="1280" w:type="dxa"/>
            <w:vAlign w:val="bottom"/>
          </w:tcPr>
          <w:p>
            <w:pPr>
              <w:jc w:val="right"/>
              <w:spacing w:after="0"/>
              <w:rPr>
                <w:sz w:val="20"/>
                <w:szCs w:val="20"/>
                <w:color w:val="auto"/>
              </w:rPr>
            </w:pPr>
            <w:r>
              <w:rPr>
                <w:rFonts w:ascii="Arial" w:cs="Arial" w:eastAsia="Arial" w:hAnsi="Arial"/>
                <w:sz w:val="14"/>
                <w:szCs w:val="14"/>
                <w:color w:val="auto"/>
              </w:rPr>
              <w:t>21,855</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15.25</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333</w:t>
            </w:r>
          </w:p>
        </w:tc>
      </w:tr>
      <w:tr>
        <w:trPr>
          <w:trHeight w:val="190"/>
        </w:trPr>
        <w:tc>
          <w:tcPr>
            <w:tcW w:w="1280" w:type="dxa"/>
            <w:vAlign w:val="bottom"/>
          </w:tcPr>
          <w:p>
            <w:pPr>
              <w:jc w:val="right"/>
              <w:spacing w:after="0"/>
              <w:rPr>
                <w:sz w:val="20"/>
                <w:szCs w:val="20"/>
                <w:color w:val="auto"/>
              </w:rPr>
            </w:pPr>
            <w:r>
              <w:rPr>
                <w:rFonts w:ascii="Arial" w:cs="Arial" w:eastAsia="Arial" w:hAnsi="Arial"/>
                <w:sz w:val="14"/>
                <w:szCs w:val="14"/>
                <w:color w:val="auto"/>
              </w:rPr>
              <w:t>14,067</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16.23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228</w:t>
            </w:r>
          </w:p>
        </w:tc>
      </w:tr>
      <w:tr>
        <w:trPr>
          <w:trHeight w:val="190"/>
        </w:trPr>
        <w:tc>
          <w:tcPr>
            <w:tcW w:w="1280" w:type="dxa"/>
            <w:vAlign w:val="bottom"/>
          </w:tcPr>
          <w:p>
            <w:pPr>
              <w:jc w:val="right"/>
              <w:spacing w:after="0"/>
              <w:rPr>
                <w:sz w:val="20"/>
                <w:szCs w:val="20"/>
                <w:color w:val="auto"/>
              </w:rPr>
            </w:pPr>
            <w:r>
              <w:rPr>
                <w:rFonts w:ascii="Arial" w:cs="Arial" w:eastAsia="Arial" w:hAnsi="Arial"/>
                <w:sz w:val="14"/>
                <w:szCs w:val="14"/>
                <w:color w:val="auto"/>
              </w:rPr>
              <w:t>15,289</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15.35</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235</w:t>
            </w:r>
          </w:p>
        </w:tc>
      </w:tr>
      <w:tr>
        <w:trPr>
          <w:trHeight w:val="196"/>
        </w:trPr>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17,525</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15.27</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w:t>
            </w:r>
          </w:p>
        </w:tc>
      </w:tr>
      <w:tr>
        <w:trPr>
          <w:trHeight w:val="183"/>
        </w:trPr>
        <w:tc>
          <w:tcPr>
            <w:tcW w:w="1280" w:type="dxa"/>
            <w:vAlign w:val="bottom"/>
          </w:tcPr>
          <w:p>
            <w:pPr>
              <w:jc w:val="right"/>
              <w:spacing w:after="0"/>
              <w:rPr>
                <w:sz w:val="20"/>
                <w:szCs w:val="20"/>
                <w:color w:val="auto"/>
              </w:rPr>
            </w:pPr>
            <w:r>
              <w:rPr>
                <w:rFonts w:ascii="Arial" w:cs="Arial" w:eastAsia="Arial" w:hAnsi="Arial"/>
                <w:sz w:val="14"/>
                <w:szCs w:val="14"/>
                <w:color w:val="auto"/>
              </w:rPr>
              <w:t>68,736</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15.48</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1,064</w:t>
            </w:r>
          </w:p>
        </w:tc>
      </w:tr>
      <w:tr>
        <w:trPr>
          <w:trHeight w:val="20"/>
        </w:trPr>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-3015615</wp:posOffset>
            </wp:positionH>
            <wp:positionV relativeFrom="paragraph">
              <wp:posOffset>-635635</wp:posOffset>
            </wp:positionV>
            <wp:extent cx="5708015" cy="1206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708015" cy="120650"/>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-393700</wp:posOffset>
            </wp:positionV>
            <wp:extent cx="5708015" cy="1206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708015" cy="120650"/>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-144145</wp:posOffset>
            </wp:positionV>
            <wp:extent cx="5708015" cy="14478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708015" cy="1447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720"/>
            <w:col w:w="5360"/>
          </w:cols>
          <w:pgMar w:left="320" w:top="136" w:right="339" w:bottom="1440" w:gutter="0" w:footer="0" w:header="0"/>
          <w:type w:val="continuous"/>
        </w:sectPr>
      </w:pP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86360</wp:posOffset>
            </wp:positionV>
            <wp:extent cx="7165975" cy="4127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type w:val="continuous"/>
        </w:sectPr>
      </w:pPr>
    </w:p>
    <w:bookmarkStart w:id="36" w:name="page37"/>
    <w:bookmarkEnd w:id="36"/>
    <w:p>
      <w:pPr>
        <w:jc w:val="center"/>
        <w:ind w:right="-19"/>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 (unaudited)</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shares and per share data)</w:t>
      </w:r>
    </w:p>
    <w:p>
      <w:pPr>
        <w:sectPr>
          <w:pgSz w:w="11900" w:h="16838" w:orient="portrait"/>
          <w:cols w:equalWidth="0" w:num="1">
            <w:col w:w="11240"/>
          </w:cols>
          <w:pgMar w:left="320" w:top="136"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Fiscal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29845</wp:posOffset>
            </wp:positionV>
            <wp:extent cx="22059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205990" cy="8255"/>
                    </a:xfrm>
                    <a:prstGeom prst="rect">
                      <a:avLst/>
                    </a:prstGeom>
                    <a:noFill/>
                  </pic:spPr>
                </pic:pic>
              </a:graphicData>
            </a:graphic>
          </wp:anchor>
        </w:drawing>
      </w:r>
    </w:p>
    <w:p>
      <w:pPr>
        <w:spacing w:after="0" w:line="47"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January 1, 2020 through March 31, 2020</w:t>
      </w:r>
    </w:p>
    <w:p>
      <w:pPr>
        <w:spacing w:after="0" w:line="5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April 1, 2020 through June 30, 2020</w:t>
      </w:r>
    </w:p>
    <w:p>
      <w:pPr>
        <w:spacing w:after="0" w:line="29"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July 1, 2020 through September 30, 2020</w:t>
      </w:r>
    </w:p>
    <w:p>
      <w:pPr>
        <w:spacing w:after="0" w:line="65"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October 1, 2020 through December 31, 2020</w:t>
      </w:r>
    </w:p>
    <w:p>
      <w:pPr>
        <w:spacing w:after="0" w:line="90"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90"/>
        </w:trPr>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ind w:right="132"/>
              <w:spacing w:after="0"/>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ind w:right="112"/>
              <w:spacing w:after="0"/>
              <w:rPr>
                <w:sz w:val="20"/>
                <w:szCs w:val="20"/>
                <w:color w:val="auto"/>
              </w:rPr>
            </w:pPr>
            <w:r>
              <w:rPr>
                <w:rFonts w:ascii="Arial" w:cs="Arial" w:eastAsia="Arial" w:hAnsi="Arial"/>
                <w:sz w:val="14"/>
                <w:szCs w:val="14"/>
                <w:b w:val="1"/>
                <w:bCs w:val="1"/>
                <w:color w:val="auto"/>
                <w:w w:val="88"/>
              </w:rPr>
              <w:t>Price Paid</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92"/>
              <w:spacing w:after="0"/>
              <w:rPr>
                <w:sz w:val="20"/>
                <w:szCs w:val="20"/>
                <w:color w:val="auto"/>
              </w:rPr>
            </w:pPr>
            <w:r>
              <w:rPr>
                <w:rFonts w:ascii="Arial" w:cs="Arial" w:eastAsia="Arial" w:hAnsi="Arial"/>
                <w:sz w:val="14"/>
                <w:szCs w:val="14"/>
                <w:b w:val="1"/>
                <w:bCs w:val="1"/>
                <w:color w:val="auto"/>
              </w:rPr>
              <w:t>Total</w:t>
            </w:r>
          </w:p>
        </w:tc>
      </w:tr>
      <w:tr>
        <w:trPr>
          <w:trHeight w:val="196"/>
        </w:trPr>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and Reissued</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8"/>
              </w:rPr>
              <w:t>Per Share</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7"/>
              </w:rPr>
              <w:t>Amount Paid</w:t>
            </w:r>
          </w:p>
        </w:tc>
      </w:tr>
      <w:tr>
        <w:trPr>
          <w:trHeight w:val="177"/>
        </w:trPr>
        <w:tc>
          <w:tcPr>
            <w:tcW w:w="1280" w:type="dxa"/>
            <w:vAlign w:val="bottom"/>
          </w:tcPr>
          <w:p>
            <w:pPr>
              <w:jc w:val="right"/>
              <w:spacing w:after="0"/>
              <w:rPr>
                <w:sz w:val="20"/>
                <w:szCs w:val="20"/>
                <w:color w:val="auto"/>
              </w:rPr>
            </w:pPr>
            <w:r>
              <w:rPr>
                <w:rFonts w:ascii="Arial" w:cs="Arial" w:eastAsia="Arial" w:hAnsi="Arial"/>
                <w:sz w:val="14"/>
                <w:szCs w:val="14"/>
                <w:color w:val="auto"/>
              </w:rPr>
              <w:t>31,586</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7.58</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239</w:t>
            </w:r>
          </w:p>
        </w:tc>
      </w:tr>
      <w:tr>
        <w:trPr>
          <w:trHeight w:val="190"/>
        </w:trPr>
        <w:tc>
          <w:tcPr>
            <w:tcW w:w="1280" w:type="dxa"/>
            <w:vAlign w:val="bottom"/>
          </w:tcPr>
          <w:p>
            <w:pPr>
              <w:jc w:val="right"/>
              <w:spacing w:after="0"/>
              <w:rPr>
                <w:sz w:val="20"/>
                <w:szCs w:val="20"/>
                <w:color w:val="auto"/>
              </w:rPr>
            </w:pPr>
            <w:r>
              <w:rPr>
                <w:rFonts w:ascii="Arial" w:cs="Arial" w:eastAsia="Arial" w:hAnsi="Arial"/>
                <w:sz w:val="14"/>
                <w:szCs w:val="14"/>
                <w:color w:val="auto"/>
              </w:rPr>
              <w:t>21,904</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9.04</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198</w:t>
            </w:r>
          </w:p>
        </w:tc>
      </w:tr>
      <w:tr>
        <w:trPr>
          <w:trHeight w:val="190"/>
        </w:trPr>
        <w:tc>
          <w:tcPr>
            <w:tcW w:w="1280" w:type="dxa"/>
            <w:vAlign w:val="bottom"/>
          </w:tcPr>
          <w:p>
            <w:pPr>
              <w:jc w:val="right"/>
              <w:spacing w:after="0"/>
              <w:rPr>
                <w:sz w:val="20"/>
                <w:szCs w:val="20"/>
                <w:color w:val="auto"/>
              </w:rPr>
            </w:pPr>
            <w:r>
              <w:rPr>
                <w:rFonts w:ascii="Arial" w:cs="Arial" w:eastAsia="Arial" w:hAnsi="Arial"/>
                <w:sz w:val="14"/>
                <w:szCs w:val="14"/>
                <w:color w:val="auto"/>
              </w:rPr>
              <w:t>28,871</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10.18</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294</w:t>
            </w:r>
          </w:p>
        </w:tc>
      </w:tr>
      <w:tr>
        <w:trPr>
          <w:trHeight w:val="196"/>
        </w:trPr>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20,222</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12.91</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w:t>
            </w:r>
          </w:p>
        </w:tc>
      </w:tr>
      <w:tr>
        <w:trPr>
          <w:trHeight w:val="183"/>
        </w:trPr>
        <w:tc>
          <w:tcPr>
            <w:tcW w:w="1280" w:type="dxa"/>
            <w:vAlign w:val="bottom"/>
          </w:tcPr>
          <w:p>
            <w:pPr>
              <w:jc w:val="right"/>
              <w:spacing w:after="0"/>
              <w:rPr>
                <w:sz w:val="20"/>
                <w:szCs w:val="20"/>
                <w:color w:val="auto"/>
              </w:rPr>
            </w:pPr>
            <w:r>
              <w:rPr>
                <w:rFonts w:ascii="Arial" w:cs="Arial" w:eastAsia="Arial" w:hAnsi="Arial"/>
                <w:sz w:val="14"/>
                <w:szCs w:val="14"/>
                <w:color w:val="auto"/>
              </w:rPr>
              <w:t>102,583</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9.67</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992</w:t>
            </w:r>
          </w:p>
        </w:tc>
      </w:tr>
      <w:tr>
        <w:trPr>
          <w:trHeight w:val="20"/>
        </w:trPr>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-3015615</wp:posOffset>
            </wp:positionH>
            <wp:positionV relativeFrom="paragraph">
              <wp:posOffset>-635635</wp:posOffset>
            </wp:positionV>
            <wp:extent cx="5708015" cy="1206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708015" cy="120650"/>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-393700</wp:posOffset>
            </wp:positionV>
            <wp:extent cx="5708015" cy="1206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708015" cy="120650"/>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-144145</wp:posOffset>
            </wp:positionV>
            <wp:extent cx="5708015" cy="14478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708015" cy="1447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720"/>
            <w:col w:w="5360"/>
          </w:cols>
          <w:pgMar w:left="320" w:top="136" w:right="339" w:bottom="1440" w:gutter="0" w:footer="0" w:header="0"/>
          <w:type w:val="continuous"/>
        </w:sectPr>
      </w:pPr>
    </w:p>
    <w:p>
      <w:pPr>
        <w:spacing w:after="0" w:line="21" w:lineRule="exact"/>
        <w:rPr>
          <w:sz w:val="20"/>
          <w:szCs w:val="20"/>
          <w:color w:val="auto"/>
        </w:rPr>
      </w:pPr>
    </w:p>
    <w:tbl>
      <w:tblPr>
        <w:tblLayout w:type="fixed"/>
        <w:tblInd w:w="1120" w:type="dxa"/>
        <w:tblCellMar>
          <w:top w:w="0" w:type="dxa"/>
          <w:left w:w="0" w:type="dxa"/>
          <w:bottom w:w="0" w:type="dxa"/>
          <w:right w:w="0" w:type="dxa"/>
        </w:tblCellMar>
      </w:tblPr>
      <w:tr>
        <w:trPr>
          <w:trHeight w:val="174"/>
        </w:trPr>
        <w:tc>
          <w:tcPr>
            <w:tcW w:w="3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0"/>
        </w:trPr>
        <w:tc>
          <w:tcPr>
            <w:tcW w:w="3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52"/>
              <w:spacing w:after="0"/>
              <w:rPr>
                <w:sz w:val="20"/>
                <w:szCs w:val="20"/>
                <w:color w:val="auto"/>
              </w:rPr>
            </w:pPr>
            <w:r>
              <w:rPr>
                <w:rFonts w:ascii="Arial" w:cs="Arial" w:eastAsia="Arial" w:hAnsi="Arial"/>
                <w:sz w:val="14"/>
                <w:szCs w:val="14"/>
                <w:b w:val="1"/>
                <w:bCs w:val="1"/>
                <w:color w:val="auto"/>
                <w:w w:val="83"/>
              </w:rPr>
              <w:t>Average</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0"/>
        </w:trPr>
        <w:tc>
          <w:tcPr>
            <w:tcW w:w="3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72"/>
              <w:spacing w:after="0"/>
              <w:rPr>
                <w:sz w:val="20"/>
                <w:szCs w:val="20"/>
                <w:color w:val="auto"/>
              </w:rPr>
            </w:pPr>
            <w:r>
              <w:rPr>
                <w:rFonts w:ascii="Arial" w:cs="Arial" w:eastAsia="Arial" w:hAnsi="Arial"/>
                <w:sz w:val="14"/>
                <w:szCs w:val="14"/>
                <w:b w:val="1"/>
                <w:bCs w:val="1"/>
                <w:color w:val="auto"/>
                <w:w w:val="88"/>
              </w:rPr>
              <w:t>Price Paid</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6"/>
                <w:szCs w:val="16"/>
                <w:color w:val="auto"/>
              </w:rPr>
            </w:pPr>
          </w:p>
        </w:tc>
      </w:tr>
      <w:tr>
        <w:trPr>
          <w:trHeight w:val="196"/>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Nine Months Ended September 30, 2021:</w:t>
            </w:r>
          </w:p>
        </w:tc>
        <w:tc>
          <w:tcPr>
            <w:tcW w:w="110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and Reissued</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8"/>
              </w:rPr>
              <w:t>Per Share</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Amount Paid</w:t>
            </w:r>
          </w:p>
        </w:tc>
        <w:tc>
          <w:tcPr>
            <w:tcW w:w="60" w:type="dxa"/>
            <w:vAlign w:val="bottom"/>
          </w:tcPr>
          <w:p>
            <w:pPr>
              <w:spacing w:after="0"/>
              <w:rPr>
                <w:sz w:val="17"/>
                <w:szCs w:val="17"/>
                <w:color w:val="auto"/>
              </w:rPr>
            </w:pPr>
          </w:p>
        </w:tc>
      </w:tr>
      <w:tr>
        <w:trPr>
          <w:trHeight w:val="188"/>
        </w:trPr>
        <w:tc>
          <w:tcPr>
            <w:tcW w:w="3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January 1, 2021 through March 31, 2021</w:t>
            </w:r>
          </w:p>
        </w:tc>
        <w:tc>
          <w:tcPr>
            <w:tcW w:w="2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15,562</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15.62</w:t>
            </w: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w:t>
            </w:r>
          </w:p>
        </w:tc>
        <w:tc>
          <w:tcPr>
            <w:tcW w:w="60" w:type="dxa"/>
            <w:vAlign w:val="bottom"/>
            <w:shd w:val="clear" w:color="auto" w:fill="CFF0FC"/>
          </w:tcPr>
          <w:p>
            <w:pPr>
              <w:spacing w:after="0"/>
              <w:rPr>
                <w:sz w:val="16"/>
                <w:szCs w:val="16"/>
                <w:color w:val="auto"/>
              </w:rPr>
            </w:pPr>
          </w:p>
        </w:tc>
      </w:tr>
      <w:tr>
        <w:trPr>
          <w:trHeight w:val="185"/>
        </w:trPr>
        <w:tc>
          <w:tcPr>
            <w:tcW w:w="3480" w:type="dxa"/>
            <w:vAlign w:val="bottom"/>
          </w:tcPr>
          <w:p>
            <w:pPr>
              <w:ind w:left="20"/>
              <w:spacing w:after="0"/>
              <w:rPr>
                <w:sz w:val="20"/>
                <w:szCs w:val="20"/>
                <w:color w:val="auto"/>
              </w:rPr>
            </w:pPr>
            <w:r>
              <w:rPr>
                <w:rFonts w:ascii="Arial" w:cs="Arial" w:eastAsia="Arial" w:hAnsi="Arial"/>
                <w:sz w:val="14"/>
                <w:szCs w:val="14"/>
                <w:color w:val="auto"/>
              </w:rPr>
              <w:t>April 1, 2021 through June 30, 2021</w:t>
            </w:r>
          </w:p>
        </w:tc>
        <w:tc>
          <w:tcPr>
            <w:tcW w:w="2340" w:type="dxa"/>
            <w:vAlign w:val="bottom"/>
            <w:gridSpan w:val="2"/>
          </w:tcPr>
          <w:p>
            <w:pPr>
              <w:jc w:val="right"/>
              <w:spacing w:after="0"/>
              <w:rPr>
                <w:sz w:val="20"/>
                <w:szCs w:val="20"/>
                <w:color w:val="auto"/>
              </w:rPr>
            </w:pPr>
            <w:r>
              <w:rPr>
                <w:rFonts w:ascii="Arial" w:cs="Arial" w:eastAsia="Arial" w:hAnsi="Arial"/>
                <w:sz w:val="14"/>
                <w:szCs w:val="14"/>
                <w:color w:val="auto"/>
              </w:rPr>
              <w:t>17,042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17.20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293</w:t>
            </w:r>
          </w:p>
        </w:tc>
        <w:tc>
          <w:tcPr>
            <w:tcW w:w="60" w:type="dxa"/>
            <w:vAlign w:val="bottom"/>
          </w:tcPr>
          <w:p>
            <w:pPr>
              <w:spacing w:after="0"/>
              <w:rPr>
                <w:sz w:val="16"/>
                <w:szCs w:val="16"/>
                <w:color w:val="auto"/>
              </w:rPr>
            </w:pPr>
          </w:p>
        </w:tc>
      </w:tr>
      <w:tr>
        <w:trPr>
          <w:trHeight w:val="190"/>
        </w:trPr>
        <w:tc>
          <w:tcPr>
            <w:tcW w:w="3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July 1, 2021 through September 30, 2021</w:t>
            </w:r>
          </w:p>
        </w:tc>
        <w:tc>
          <w:tcPr>
            <w:tcW w:w="1100" w:type="dxa"/>
            <w:vAlign w:val="bottom"/>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18,201</w:t>
            </w:r>
          </w:p>
        </w:tc>
        <w:tc>
          <w:tcPr>
            <w:tcW w:w="16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17.82</w:t>
            </w:r>
          </w:p>
        </w:tc>
        <w:tc>
          <w:tcPr>
            <w:tcW w:w="14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324</w:t>
            </w:r>
          </w:p>
        </w:tc>
        <w:tc>
          <w:tcPr>
            <w:tcW w:w="60" w:type="dxa"/>
            <w:vAlign w:val="bottom"/>
            <w:shd w:val="clear" w:color="auto" w:fill="CFF0FC"/>
          </w:tcPr>
          <w:p>
            <w:pPr>
              <w:spacing w:after="0"/>
              <w:rPr>
                <w:sz w:val="16"/>
                <w:szCs w:val="16"/>
                <w:color w:val="auto"/>
              </w:rPr>
            </w:pPr>
          </w:p>
        </w:tc>
      </w:tr>
      <w:tr>
        <w:trPr>
          <w:trHeight w:val="188"/>
        </w:trPr>
        <w:tc>
          <w:tcPr>
            <w:tcW w:w="3480" w:type="dxa"/>
            <w:vAlign w:val="bottom"/>
          </w:tcPr>
          <w:p>
            <w:pPr>
              <w:ind w:left="20"/>
              <w:spacing w:after="0"/>
              <w:rPr>
                <w:sz w:val="20"/>
                <w:szCs w:val="20"/>
                <w:color w:val="auto"/>
              </w:rPr>
            </w:pPr>
            <w:r>
              <w:rPr>
                <w:rFonts w:ascii="Arial" w:cs="Arial" w:eastAsia="Arial" w:hAnsi="Arial"/>
                <w:sz w:val="14"/>
                <w:szCs w:val="14"/>
                <w:color w:val="auto"/>
              </w:rPr>
              <w:t>Total</w:t>
            </w:r>
          </w:p>
        </w:tc>
        <w:tc>
          <w:tcPr>
            <w:tcW w:w="2340" w:type="dxa"/>
            <w:vAlign w:val="bottom"/>
            <w:gridSpan w:val="2"/>
          </w:tcPr>
          <w:p>
            <w:pPr>
              <w:jc w:val="right"/>
              <w:spacing w:after="0"/>
              <w:rPr>
                <w:sz w:val="20"/>
                <w:szCs w:val="20"/>
                <w:color w:val="auto"/>
              </w:rPr>
            </w:pPr>
            <w:r>
              <w:rPr>
                <w:rFonts w:ascii="Arial" w:cs="Arial" w:eastAsia="Arial" w:hAnsi="Arial"/>
                <w:sz w:val="14"/>
                <w:szCs w:val="14"/>
                <w:color w:val="auto"/>
              </w:rPr>
              <w:t>50,805</w:t>
            </w: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16.93</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860</w:t>
            </w:r>
          </w:p>
        </w:tc>
        <w:tc>
          <w:tcPr>
            <w:tcW w:w="60" w:type="dxa"/>
            <w:vAlign w:val="bottom"/>
          </w:tcPr>
          <w:p>
            <w:pPr>
              <w:spacing w:after="0"/>
              <w:rPr>
                <w:sz w:val="16"/>
                <w:szCs w:val="16"/>
                <w:color w:val="auto"/>
              </w:rPr>
            </w:pPr>
          </w:p>
        </w:tc>
      </w:tr>
      <w:tr>
        <w:trPr>
          <w:trHeight w:val="20"/>
        </w:trPr>
        <w:tc>
          <w:tcPr>
            <w:tcW w:w="3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Financial Highlights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is a schedule of financial highlights for the nine months ended September 30, 2021 and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9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900" w:type="dxa"/>
            <w:vAlign w:val="bottom"/>
            <w:gridSpan w:val="5"/>
          </w:tcPr>
          <w:p>
            <w:pPr>
              <w:jc w:val="right"/>
              <w:ind w:right="1080"/>
              <w:spacing w:after="0"/>
              <w:rPr>
                <w:sz w:val="20"/>
                <w:szCs w:val="20"/>
                <w:color w:val="auto"/>
              </w:rPr>
            </w:pPr>
            <w:r>
              <w:rPr>
                <w:rFonts w:ascii="Arial" w:cs="Arial" w:eastAsia="Arial" w:hAnsi="Arial"/>
                <w:sz w:val="17"/>
                <w:szCs w:val="17"/>
                <w:b w:val="1"/>
                <w:bCs w:val="1"/>
                <w:color w:val="auto"/>
              </w:rPr>
              <w:t>Nine Months Ended September 30,</w:t>
            </w:r>
          </w:p>
        </w:tc>
      </w:tr>
      <w:tr>
        <w:trPr>
          <w:trHeight w:val="259"/>
        </w:trPr>
        <w:tc>
          <w:tcPr>
            <w:tcW w:w="49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7"/>
                <w:szCs w:val="17"/>
                <w:b w:val="1"/>
                <w:bCs w:val="1"/>
                <w:color w:val="auto"/>
              </w:rPr>
              <w:t>2021</w:t>
            </w:r>
          </w:p>
        </w:tc>
        <w:tc>
          <w:tcPr>
            <w:tcW w:w="48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7"/>
                <w:szCs w:val="17"/>
                <w:b w:val="1"/>
                <w:bCs w:val="1"/>
                <w:color w:val="auto"/>
              </w:rPr>
              <w:t>2020</w:t>
            </w:r>
          </w:p>
        </w:tc>
        <w:tc>
          <w:tcPr>
            <w:tcW w:w="360" w:type="dxa"/>
            <w:vAlign w:val="bottom"/>
          </w:tcPr>
          <w:p>
            <w:pPr>
              <w:spacing w:after="0"/>
              <w:rPr>
                <w:sz w:val="22"/>
                <w:szCs w:val="22"/>
                <w:color w:val="auto"/>
              </w:rPr>
            </w:pPr>
          </w:p>
        </w:tc>
      </w:tr>
      <w:tr>
        <w:trPr>
          <w:trHeight w:val="241"/>
        </w:trPr>
        <w:tc>
          <w:tcPr>
            <w:tcW w:w="494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Per share data:</w:t>
            </w:r>
          </w:p>
        </w:tc>
        <w:tc>
          <w:tcPr>
            <w:tcW w:w="19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r>
      <w:tr>
        <w:trPr>
          <w:trHeight w:val="234"/>
        </w:trPr>
        <w:tc>
          <w:tcPr>
            <w:tcW w:w="4940" w:type="dxa"/>
            <w:vAlign w:val="bottom"/>
          </w:tcPr>
          <w:p>
            <w:pPr>
              <w:ind w:left="20"/>
              <w:spacing w:after="0"/>
              <w:rPr>
                <w:sz w:val="20"/>
                <w:szCs w:val="20"/>
                <w:color w:val="auto"/>
              </w:rPr>
            </w:pPr>
            <w:r>
              <w:rPr>
                <w:rFonts w:ascii="Arial" w:cs="Arial" w:eastAsia="Arial" w:hAnsi="Arial"/>
                <w:sz w:val="17"/>
                <w:szCs w:val="17"/>
                <w:color w:val="auto"/>
              </w:rPr>
              <w:t>Net asset value at beginning of period</w:t>
            </w:r>
          </w:p>
        </w:tc>
        <w:tc>
          <w:tcPr>
            <w:tcW w:w="2400" w:type="dxa"/>
            <w:vAlign w:val="bottom"/>
            <w:gridSpan w:val="2"/>
          </w:tcPr>
          <w:p>
            <w:pPr>
              <w:jc w:val="right"/>
              <w:ind w:right="236"/>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16.81</w:t>
            </w:r>
          </w:p>
        </w:tc>
        <w:tc>
          <w:tcPr>
            <w:tcW w:w="480" w:type="dxa"/>
            <w:vAlign w:val="bottom"/>
          </w:tcPr>
          <w:p>
            <w:pPr>
              <w:spacing w:after="0"/>
              <w:rPr>
                <w:sz w:val="20"/>
                <w:szCs w:val="20"/>
                <w:color w:val="auto"/>
              </w:rPr>
            </w:pP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16.85</w:t>
            </w:r>
          </w:p>
        </w:tc>
        <w:tc>
          <w:tcPr>
            <w:tcW w:w="360" w:type="dxa"/>
            <w:vAlign w:val="bottom"/>
          </w:tcPr>
          <w:p>
            <w:pPr>
              <w:spacing w:after="0"/>
              <w:rPr>
                <w:sz w:val="20"/>
                <w:szCs w:val="20"/>
                <w:color w:val="auto"/>
              </w:rPr>
            </w:pPr>
          </w:p>
        </w:tc>
      </w:tr>
      <w:tr>
        <w:trPr>
          <w:trHeight w:val="248"/>
        </w:trPr>
        <w:tc>
          <w:tcPr>
            <w:tcW w:w="4940" w:type="dxa"/>
            <w:vAlign w:val="bottom"/>
            <w:shd w:val="clear" w:color="auto" w:fill="CFF0FC"/>
          </w:tcPr>
          <w:p>
            <w:pPr>
              <w:ind w:left="20"/>
              <w:spacing w:after="0" w:line="247" w:lineRule="exact"/>
              <w:rPr>
                <w:sz w:val="20"/>
                <w:szCs w:val="20"/>
                <w:color w:val="auto"/>
              </w:rPr>
            </w:pPr>
            <w:r>
              <w:rPr>
                <w:rFonts w:ascii="Arial" w:cs="Arial" w:eastAsia="Arial" w:hAnsi="Arial"/>
                <w:sz w:val="17"/>
                <w:szCs w:val="17"/>
                <w:color w:val="auto"/>
              </w:rPr>
              <w:t xml:space="preserve">Net investment income </w:t>
            </w:r>
            <w:r>
              <w:rPr>
                <w:rFonts w:ascii="Arial" w:cs="Arial" w:eastAsia="Arial" w:hAnsi="Arial"/>
                <w:sz w:val="22"/>
                <w:szCs w:val="22"/>
                <w:color w:val="auto"/>
                <w:vertAlign w:val="superscript"/>
              </w:rPr>
              <w:t>(1)</w:t>
            </w:r>
          </w:p>
        </w:tc>
        <w:tc>
          <w:tcPr>
            <w:tcW w:w="19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0.93</w:t>
            </w:r>
          </w:p>
        </w:tc>
        <w:tc>
          <w:tcPr>
            <w:tcW w:w="4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1.37</w:t>
            </w:r>
          </w:p>
        </w:tc>
        <w:tc>
          <w:tcPr>
            <w:tcW w:w="360" w:type="dxa"/>
            <w:vAlign w:val="bottom"/>
            <w:shd w:val="clear" w:color="auto" w:fill="CFF0FC"/>
          </w:tcPr>
          <w:p>
            <w:pPr>
              <w:spacing w:after="0"/>
              <w:rPr>
                <w:sz w:val="21"/>
                <w:szCs w:val="21"/>
                <w:color w:val="auto"/>
              </w:rPr>
            </w:pPr>
          </w:p>
        </w:tc>
      </w:tr>
      <w:tr>
        <w:trPr>
          <w:trHeight w:val="241"/>
        </w:trPr>
        <w:tc>
          <w:tcPr>
            <w:tcW w:w="4940" w:type="dxa"/>
            <w:vAlign w:val="bottom"/>
          </w:tcPr>
          <w:p>
            <w:pPr>
              <w:ind w:left="20"/>
              <w:spacing w:after="0" w:line="241" w:lineRule="exact"/>
              <w:rPr>
                <w:sz w:val="20"/>
                <w:szCs w:val="20"/>
                <w:color w:val="auto"/>
              </w:rPr>
            </w:pPr>
            <w:r>
              <w:rPr>
                <w:rFonts w:ascii="Arial" w:cs="Arial" w:eastAsia="Arial" w:hAnsi="Arial"/>
                <w:sz w:val="17"/>
                <w:szCs w:val="17"/>
                <w:color w:val="auto"/>
              </w:rPr>
              <w:t xml:space="preserve">Net realized gain (loss) on investments, net of tax (provision) </w:t>
            </w:r>
            <w:r>
              <w:rPr>
                <w:rFonts w:ascii="Arial" w:cs="Arial" w:eastAsia="Arial" w:hAnsi="Arial"/>
                <w:sz w:val="22"/>
                <w:szCs w:val="22"/>
                <w:color w:val="auto"/>
                <w:vertAlign w:val="superscript"/>
              </w:rPr>
              <w:t>(1)</w:t>
            </w:r>
          </w:p>
        </w:tc>
        <w:tc>
          <w:tcPr>
            <w:tcW w:w="1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0.57</w:t>
            </w: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1.31</w:t>
            </w:r>
          </w:p>
        </w:tc>
        <w:tc>
          <w:tcPr>
            <w:tcW w:w="360" w:type="dxa"/>
            <w:vAlign w:val="bottom"/>
          </w:tcPr>
          <w:p>
            <w:pPr>
              <w:spacing w:after="0"/>
              <w:rPr>
                <w:sz w:val="20"/>
                <w:szCs w:val="20"/>
                <w:color w:val="auto"/>
              </w:rPr>
            </w:pPr>
          </w:p>
        </w:tc>
      </w:tr>
      <w:tr>
        <w:trPr>
          <w:trHeight w:val="241"/>
        </w:trPr>
        <w:tc>
          <w:tcPr>
            <w:tcW w:w="4940" w:type="dxa"/>
            <w:vAlign w:val="bottom"/>
            <w:shd w:val="clear" w:color="auto" w:fill="CFF0FC"/>
          </w:tcPr>
          <w:p>
            <w:pPr>
              <w:ind w:left="20"/>
              <w:spacing w:after="0" w:line="241" w:lineRule="exact"/>
              <w:rPr>
                <w:sz w:val="20"/>
                <w:szCs w:val="20"/>
                <w:color w:val="auto"/>
              </w:rPr>
            </w:pPr>
            <w:r>
              <w:rPr>
                <w:rFonts w:ascii="Arial" w:cs="Arial" w:eastAsia="Arial" w:hAnsi="Arial"/>
                <w:sz w:val="17"/>
                <w:szCs w:val="17"/>
                <w:color w:val="auto"/>
              </w:rPr>
              <w:t xml:space="preserve">Net unrealized appreciation (depreciation) on investments </w:t>
            </w:r>
            <w:r>
              <w:rPr>
                <w:rFonts w:ascii="Arial" w:cs="Arial" w:eastAsia="Arial" w:hAnsi="Arial"/>
                <w:sz w:val="22"/>
                <w:szCs w:val="22"/>
                <w:color w:val="auto"/>
                <w:vertAlign w:val="superscript"/>
              </w:rPr>
              <w:t>(1)</w:t>
            </w:r>
          </w:p>
        </w:tc>
        <w:tc>
          <w:tcPr>
            <w:tcW w:w="19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w:t>
            </w:r>
          </w:p>
        </w:tc>
        <w:tc>
          <w:tcPr>
            <w:tcW w:w="4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(2.60 )</w:t>
            </w:r>
          </w:p>
        </w:tc>
      </w:tr>
      <w:tr>
        <w:trPr>
          <w:trHeight w:val="241"/>
        </w:trPr>
        <w:tc>
          <w:tcPr>
            <w:tcW w:w="4940" w:type="dxa"/>
            <w:vAlign w:val="bottom"/>
          </w:tcPr>
          <w:p>
            <w:pPr>
              <w:ind w:left="20"/>
              <w:spacing w:after="0" w:line="241" w:lineRule="exact"/>
              <w:rPr>
                <w:sz w:val="20"/>
                <w:szCs w:val="20"/>
                <w:color w:val="auto"/>
              </w:rPr>
            </w:pPr>
            <w:r>
              <w:rPr>
                <w:rFonts w:ascii="Arial" w:cs="Arial" w:eastAsia="Arial" w:hAnsi="Arial"/>
                <w:sz w:val="17"/>
                <w:szCs w:val="17"/>
                <w:color w:val="auto"/>
              </w:rPr>
              <w:t xml:space="preserve">Realized losses on extinguishment of debt </w:t>
            </w:r>
            <w:r>
              <w:rPr>
                <w:rFonts w:ascii="Arial" w:cs="Arial" w:eastAsia="Arial" w:hAnsi="Arial"/>
                <w:sz w:val="22"/>
                <w:szCs w:val="22"/>
                <w:color w:val="auto"/>
                <w:vertAlign w:val="superscript"/>
              </w:rPr>
              <w:t>(1)</w:t>
            </w:r>
          </w:p>
        </w:tc>
        <w:tc>
          <w:tcPr>
            <w:tcW w:w="1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60" w:type="dxa"/>
            <w:vAlign w:val="bottom"/>
            <w:gridSpan w:val="2"/>
          </w:tcPr>
          <w:p>
            <w:pPr>
              <w:jc w:val="right"/>
              <w:ind w:right="400"/>
              <w:spacing w:after="0"/>
              <w:rPr>
                <w:sz w:val="20"/>
                <w:szCs w:val="20"/>
                <w:color w:val="auto"/>
              </w:rPr>
            </w:pPr>
            <w:r>
              <w:rPr>
                <w:rFonts w:ascii="Arial" w:cs="Arial" w:eastAsia="Arial" w:hAnsi="Arial"/>
                <w:sz w:val="17"/>
                <w:szCs w:val="17"/>
                <w:color w:val="auto"/>
              </w:rPr>
              <w:t>(0.11 )</w:t>
            </w:r>
          </w:p>
        </w:tc>
        <w:tc>
          <w:tcPr>
            <w:tcW w:w="380" w:type="dxa"/>
            <w:vAlign w:val="bottom"/>
          </w:tcPr>
          <w:p>
            <w:pPr>
              <w:spacing w:after="0"/>
              <w:rPr>
                <w:sz w:val="20"/>
                <w:szCs w:val="20"/>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7"/>
                <w:szCs w:val="17"/>
                <w:color w:val="auto"/>
              </w:rPr>
              <w:t>(0.01 )</w:t>
            </w:r>
          </w:p>
        </w:tc>
      </w:tr>
      <w:tr>
        <w:trPr>
          <w:trHeight w:val="234"/>
        </w:trPr>
        <w:tc>
          <w:tcPr>
            <w:tcW w:w="4940" w:type="dxa"/>
            <w:vAlign w:val="bottom"/>
            <w:shd w:val="clear" w:color="auto" w:fill="CFF0FC"/>
          </w:tcPr>
          <w:p>
            <w:pPr>
              <w:ind w:left="20"/>
              <w:spacing w:after="0" w:line="233" w:lineRule="exact"/>
              <w:rPr>
                <w:sz w:val="20"/>
                <w:szCs w:val="20"/>
                <w:color w:val="auto"/>
              </w:rPr>
            </w:pPr>
            <w:r>
              <w:rPr>
                <w:rFonts w:ascii="Arial" w:cs="Arial" w:eastAsia="Arial" w:hAnsi="Arial"/>
                <w:sz w:val="17"/>
                <w:szCs w:val="17"/>
                <w:color w:val="auto"/>
              </w:rPr>
              <w:t xml:space="preserve">Total increase from investment operations </w:t>
            </w:r>
            <w:r>
              <w:rPr>
                <w:rFonts w:ascii="Arial" w:cs="Arial" w:eastAsia="Arial" w:hAnsi="Arial"/>
                <w:sz w:val="22"/>
                <w:szCs w:val="22"/>
                <w:color w:val="auto"/>
                <w:vertAlign w:val="superscript"/>
              </w:rPr>
              <w:t>(1)</w:t>
            </w:r>
          </w:p>
        </w:tc>
        <w:tc>
          <w:tcPr>
            <w:tcW w:w="198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2.70</w:t>
            </w:r>
          </w:p>
        </w:tc>
        <w:tc>
          <w:tcPr>
            <w:tcW w:w="48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0.07</w:t>
            </w:r>
          </w:p>
        </w:tc>
        <w:tc>
          <w:tcPr>
            <w:tcW w:w="360" w:type="dxa"/>
            <w:vAlign w:val="bottom"/>
            <w:shd w:val="clear" w:color="auto" w:fill="CFF0FC"/>
          </w:tcPr>
          <w:p>
            <w:pPr>
              <w:spacing w:after="0"/>
              <w:rPr>
                <w:sz w:val="20"/>
                <w:szCs w:val="20"/>
                <w:color w:val="auto"/>
              </w:rPr>
            </w:pPr>
          </w:p>
        </w:tc>
      </w:tr>
      <w:tr>
        <w:trPr>
          <w:trHeight w:val="234"/>
        </w:trPr>
        <w:tc>
          <w:tcPr>
            <w:tcW w:w="4940" w:type="dxa"/>
            <w:vAlign w:val="bottom"/>
          </w:tcPr>
          <w:p>
            <w:pPr>
              <w:ind w:left="20"/>
              <w:spacing w:after="0"/>
              <w:rPr>
                <w:sz w:val="20"/>
                <w:szCs w:val="20"/>
                <w:color w:val="auto"/>
              </w:rPr>
            </w:pPr>
            <w:r>
              <w:rPr>
                <w:rFonts w:ascii="Arial" w:cs="Arial" w:eastAsia="Arial" w:hAnsi="Arial"/>
                <w:sz w:val="17"/>
                <w:szCs w:val="17"/>
                <w:color w:val="auto"/>
              </w:rPr>
              <w:t>Accretive (dilutive) effect of share issuances and repurchases</w:t>
            </w:r>
          </w:p>
        </w:tc>
        <w:tc>
          <w:tcPr>
            <w:tcW w:w="1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0.01</w:t>
            </w:r>
          </w:p>
        </w:tc>
        <w:tc>
          <w:tcPr>
            <w:tcW w:w="360" w:type="dxa"/>
            <w:vAlign w:val="bottom"/>
          </w:tcPr>
          <w:p>
            <w:pPr>
              <w:spacing w:after="0"/>
              <w:rPr>
                <w:sz w:val="20"/>
                <w:szCs w:val="20"/>
                <w:color w:val="auto"/>
              </w:rPr>
            </w:pPr>
          </w:p>
        </w:tc>
      </w:tr>
      <w:tr>
        <w:trPr>
          <w:trHeight w:val="248"/>
        </w:trPr>
        <w:tc>
          <w:tcPr>
            <w:tcW w:w="4940" w:type="dxa"/>
            <w:vAlign w:val="bottom"/>
            <w:shd w:val="clear" w:color="auto" w:fill="CFF0FC"/>
          </w:tcPr>
          <w:p>
            <w:pPr>
              <w:ind w:left="20"/>
              <w:spacing w:after="0"/>
              <w:rPr>
                <w:sz w:val="20"/>
                <w:szCs w:val="20"/>
                <w:color w:val="auto"/>
              </w:rPr>
            </w:pPr>
            <w:r>
              <w:rPr>
                <w:rFonts w:ascii="Arial" w:cs="Arial" w:eastAsia="Arial" w:hAnsi="Arial"/>
                <w:sz w:val="17"/>
                <w:szCs w:val="17"/>
                <w:color w:val="auto"/>
              </w:rPr>
              <w:t>Dividends to stockholders</w:t>
            </w:r>
          </w:p>
        </w:tc>
        <w:tc>
          <w:tcPr>
            <w:tcW w:w="19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400"/>
              <w:spacing w:after="0"/>
              <w:rPr>
                <w:sz w:val="20"/>
                <w:szCs w:val="20"/>
                <w:color w:val="auto"/>
              </w:rPr>
            </w:pPr>
            <w:r>
              <w:rPr>
                <w:rFonts w:ascii="Arial" w:cs="Arial" w:eastAsia="Arial" w:hAnsi="Arial"/>
                <w:sz w:val="17"/>
                <w:szCs w:val="17"/>
                <w:color w:val="auto"/>
              </w:rPr>
              <w:t>(1.19 )</w:t>
            </w:r>
          </w:p>
        </w:tc>
        <w:tc>
          <w:tcPr>
            <w:tcW w:w="38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(0.99 )</w:t>
            </w:r>
          </w:p>
        </w:tc>
      </w:tr>
      <w:tr>
        <w:trPr>
          <w:trHeight w:val="241"/>
        </w:trPr>
        <w:tc>
          <w:tcPr>
            <w:tcW w:w="4940" w:type="dxa"/>
            <w:vAlign w:val="bottom"/>
          </w:tcPr>
          <w:p>
            <w:pPr>
              <w:ind w:left="20"/>
              <w:spacing w:after="0" w:line="241"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2"/>
                <w:szCs w:val="22"/>
                <w:color w:val="auto"/>
                <w:vertAlign w:val="superscript"/>
              </w:rPr>
              <w:t>(12)</w:t>
            </w:r>
          </w:p>
        </w:tc>
        <w:tc>
          <w:tcPr>
            <w:tcW w:w="1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60" w:type="dxa"/>
            <w:vAlign w:val="bottom"/>
            <w:gridSpan w:val="2"/>
          </w:tcPr>
          <w:p>
            <w:pPr>
              <w:jc w:val="right"/>
              <w:ind w:right="400"/>
              <w:spacing w:after="0"/>
              <w:rPr>
                <w:sz w:val="20"/>
                <w:szCs w:val="20"/>
                <w:color w:val="auto"/>
              </w:rPr>
            </w:pPr>
            <w:r>
              <w:rPr>
                <w:rFonts w:ascii="Arial" w:cs="Arial" w:eastAsia="Arial" w:hAnsi="Arial"/>
                <w:sz w:val="17"/>
                <w:szCs w:val="17"/>
                <w:color w:val="auto"/>
              </w:rPr>
              <w:t>(0.01 )</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r>
      <w:tr>
        <w:trPr>
          <w:trHeight w:val="273"/>
        </w:trPr>
        <w:tc>
          <w:tcPr>
            <w:tcW w:w="4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Net asset value at end of period</w:t>
            </w:r>
          </w:p>
        </w:tc>
        <w:tc>
          <w:tcPr>
            <w:tcW w:w="198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top w:val="single" w:sz="8" w:color="auto"/>
              <w:bottom w:val="single" w:sz="8" w:color="auto"/>
            </w:tcBorders>
            <w:shd w:val="clear" w:color="auto" w:fill="CFF0FC"/>
          </w:tcPr>
          <w:p>
            <w:pPr>
              <w:jc w:val="right"/>
              <w:ind w:right="236"/>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18.31</w:t>
            </w:r>
          </w:p>
        </w:tc>
        <w:tc>
          <w:tcPr>
            <w:tcW w:w="48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top w:val="single" w:sz="8" w:color="auto"/>
              <w:bottom w:val="single" w:sz="8" w:color="auto"/>
            </w:tcBorders>
            <w:shd w:val="clear" w:color="auto" w:fill="CFF0FC"/>
          </w:tcPr>
          <w:p>
            <w:pPr>
              <w:jc w:val="right"/>
              <w:ind w:right="196"/>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15.94</w:t>
            </w:r>
          </w:p>
        </w:tc>
        <w:tc>
          <w:tcPr>
            <w:tcW w:w="360" w:type="dxa"/>
            <w:vAlign w:val="bottom"/>
            <w:tcBorders>
              <w:bottom w:val="single" w:sz="8" w:color="CFF0FC"/>
            </w:tcBorders>
            <w:shd w:val="clear" w:color="auto" w:fill="CFF0FC"/>
          </w:tcPr>
          <w:p>
            <w:pPr>
              <w:spacing w:after="0"/>
              <w:rPr>
                <w:sz w:val="23"/>
                <w:szCs w:val="23"/>
                <w:color w:val="auto"/>
              </w:rPr>
            </w:pPr>
          </w:p>
        </w:tc>
      </w:tr>
      <w:tr>
        <w:trPr>
          <w:trHeight w:val="219"/>
        </w:trPr>
        <w:tc>
          <w:tcPr>
            <w:tcW w:w="4940" w:type="dxa"/>
            <w:vAlign w:val="bottom"/>
          </w:tcPr>
          <w:p>
            <w:pPr>
              <w:ind w:left="20"/>
              <w:spacing w:after="0"/>
              <w:rPr>
                <w:sz w:val="20"/>
                <w:szCs w:val="20"/>
                <w:color w:val="auto"/>
              </w:rPr>
            </w:pPr>
            <w:r>
              <w:rPr>
                <w:rFonts w:ascii="Arial" w:cs="Arial" w:eastAsia="Arial" w:hAnsi="Arial"/>
                <w:sz w:val="17"/>
                <w:szCs w:val="17"/>
                <w:color w:val="auto"/>
              </w:rPr>
              <w:t>Market value at end of period</w:t>
            </w:r>
          </w:p>
        </w:tc>
        <w:tc>
          <w:tcPr>
            <w:tcW w:w="2400" w:type="dxa"/>
            <w:vAlign w:val="bottom"/>
            <w:gridSpan w:val="2"/>
          </w:tcPr>
          <w:p>
            <w:pPr>
              <w:jc w:val="right"/>
              <w:ind w:right="236"/>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17.44</w:t>
            </w:r>
          </w:p>
        </w:tc>
        <w:tc>
          <w:tcPr>
            <w:tcW w:w="480" w:type="dxa"/>
            <w:vAlign w:val="bottom"/>
          </w:tcPr>
          <w:p>
            <w:pPr>
              <w:spacing w:after="0"/>
              <w:rPr>
                <w:sz w:val="19"/>
                <w:szCs w:val="19"/>
                <w:color w:val="auto"/>
              </w:rPr>
            </w:pP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9.85</w:t>
            </w:r>
          </w:p>
        </w:tc>
        <w:tc>
          <w:tcPr>
            <w:tcW w:w="36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9"/>
        </w:trPr>
        <w:tc>
          <w:tcPr>
            <w:tcW w:w="4940" w:type="dxa"/>
            <w:vAlign w:val="bottom"/>
            <w:shd w:val="clear" w:color="auto" w:fill="CFF0FC"/>
          </w:tcPr>
          <w:p>
            <w:pPr>
              <w:ind w:left="20"/>
              <w:spacing w:after="0"/>
              <w:rPr>
                <w:sz w:val="20"/>
                <w:szCs w:val="20"/>
                <w:color w:val="auto"/>
              </w:rPr>
            </w:pPr>
            <w:r>
              <w:rPr>
                <w:rFonts w:ascii="Arial" w:cs="Arial" w:eastAsia="Arial" w:hAnsi="Arial"/>
                <w:sz w:val="17"/>
                <w:szCs w:val="17"/>
                <w:color w:val="auto"/>
              </w:rPr>
              <w:t>Shares outstanding at end of period</w:t>
            </w:r>
          </w:p>
        </w:tc>
        <w:tc>
          <w:tcPr>
            <w:tcW w:w="19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24,437,400</w:t>
            </w:r>
          </w:p>
        </w:tc>
        <w:tc>
          <w:tcPr>
            <w:tcW w:w="4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24,437,400</w:t>
            </w:r>
          </w:p>
        </w:tc>
        <w:tc>
          <w:tcPr>
            <w:tcW w:w="360" w:type="dxa"/>
            <w:vAlign w:val="bottom"/>
            <w:shd w:val="clear" w:color="auto" w:fill="CFF0FC"/>
          </w:tcPr>
          <w:p>
            <w:pPr>
              <w:spacing w:after="0"/>
              <w:rPr>
                <w:sz w:val="19"/>
                <w:szCs w:val="19"/>
                <w:color w:val="auto"/>
              </w:rPr>
            </w:pPr>
          </w:p>
        </w:tc>
      </w:tr>
      <w:tr>
        <w:trPr>
          <w:trHeight w:val="234"/>
        </w:trPr>
        <w:tc>
          <w:tcPr>
            <w:tcW w:w="4940" w:type="dxa"/>
            <w:vAlign w:val="bottom"/>
          </w:tcPr>
          <w:p>
            <w:pPr>
              <w:ind w:left="20"/>
              <w:spacing w:after="0"/>
              <w:rPr>
                <w:sz w:val="20"/>
                <w:szCs w:val="20"/>
                <w:color w:val="auto"/>
              </w:rPr>
            </w:pPr>
            <w:r>
              <w:rPr>
                <w:rFonts w:ascii="Arial" w:cs="Arial" w:eastAsia="Arial" w:hAnsi="Arial"/>
                <w:sz w:val="17"/>
                <w:szCs w:val="17"/>
                <w:color w:val="auto"/>
              </w:rPr>
              <w:t>Weighted average shares outstanding during the period</w:t>
            </w:r>
          </w:p>
        </w:tc>
        <w:tc>
          <w:tcPr>
            <w:tcW w:w="1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24,437,400</w:t>
            </w: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24,444,120</w:t>
            </w:r>
          </w:p>
        </w:tc>
        <w:tc>
          <w:tcPr>
            <w:tcW w:w="360" w:type="dxa"/>
            <w:vAlign w:val="bottom"/>
          </w:tcPr>
          <w:p>
            <w:pPr>
              <w:spacing w:after="0"/>
              <w:rPr>
                <w:sz w:val="20"/>
                <w:szCs w:val="20"/>
                <w:color w:val="auto"/>
              </w:rPr>
            </w:pPr>
          </w:p>
        </w:tc>
      </w:tr>
      <w:tr>
        <w:trPr>
          <w:trHeight w:val="248"/>
        </w:trPr>
        <w:tc>
          <w:tcPr>
            <w:tcW w:w="494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assets at end of period</w:t>
            </w:r>
          </w:p>
        </w:tc>
        <w:tc>
          <w:tcPr>
            <w:tcW w:w="2400" w:type="dxa"/>
            <w:vAlign w:val="bottom"/>
            <w:gridSpan w:val="2"/>
            <w:shd w:val="clear" w:color="auto" w:fill="CFF0FC"/>
          </w:tcPr>
          <w:p>
            <w:pPr>
              <w:jc w:val="right"/>
              <w:ind w:right="236"/>
              <w:spacing w:after="0"/>
              <w:rPr>
                <w:sz w:val="20"/>
                <w:szCs w:val="20"/>
                <w:color w:val="auto"/>
              </w:rPr>
            </w:pPr>
            <w:r>
              <w:rPr>
                <w:rFonts w:ascii="Arial" w:cs="Arial" w:eastAsia="Arial" w:hAnsi="Arial"/>
                <w:sz w:val="17"/>
                <w:szCs w:val="17"/>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447,545</w:t>
            </w:r>
          </w:p>
        </w:tc>
        <w:tc>
          <w:tcPr>
            <w:tcW w:w="48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6"/>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389,552</w:t>
            </w:r>
          </w:p>
        </w:tc>
        <w:tc>
          <w:tcPr>
            <w:tcW w:w="360" w:type="dxa"/>
            <w:vAlign w:val="bottom"/>
            <w:shd w:val="clear" w:color="auto" w:fill="CFF0FC"/>
          </w:tcPr>
          <w:p>
            <w:pPr>
              <w:spacing w:after="0"/>
              <w:rPr>
                <w:sz w:val="21"/>
                <w:szCs w:val="21"/>
                <w:color w:val="auto"/>
              </w:rPr>
            </w:pPr>
          </w:p>
        </w:tc>
      </w:tr>
      <w:tr>
        <w:trPr>
          <w:trHeight w:val="241"/>
        </w:trPr>
        <w:tc>
          <w:tcPr>
            <w:tcW w:w="4940" w:type="dxa"/>
            <w:vAlign w:val="bottom"/>
          </w:tcPr>
          <w:p>
            <w:pPr>
              <w:ind w:left="20"/>
              <w:spacing w:after="0" w:line="241" w:lineRule="exact"/>
              <w:rPr>
                <w:sz w:val="20"/>
                <w:szCs w:val="20"/>
                <w:color w:val="auto"/>
              </w:rPr>
            </w:pPr>
            <w:r>
              <w:rPr>
                <w:rFonts w:ascii="Arial" w:cs="Arial" w:eastAsia="Arial" w:hAnsi="Arial"/>
                <w:sz w:val="17"/>
                <w:szCs w:val="17"/>
                <w:color w:val="auto"/>
              </w:rPr>
              <w:t xml:space="preserve">Average net assets </w:t>
            </w:r>
            <w:r>
              <w:rPr>
                <w:rFonts w:ascii="Arial" w:cs="Arial" w:eastAsia="Arial" w:hAnsi="Arial"/>
                <w:sz w:val="22"/>
                <w:szCs w:val="22"/>
                <w:color w:val="auto"/>
                <w:vertAlign w:val="superscript"/>
              </w:rPr>
              <w:t>(6)</w:t>
            </w:r>
          </w:p>
        </w:tc>
        <w:tc>
          <w:tcPr>
            <w:tcW w:w="2400" w:type="dxa"/>
            <w:vAlign w:val="bottom"/>
            <w:gridSpan w:val="2"/>
          </w:tcPr>
          <w:p>
            <w:pPr>
              <w:jc w:val="right"/>
              <w:ind w:right="236"/>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425,171</w:t>
            </w:r>
          </w:p>
        </w:tc>
        <w:tc>
          <w:tcPr>
            <w:tcW w:w="480" w:type="dxa"/>
            <w:vAlign w:val="bottom"/>
          </w:tcPr>
          <w:p>
            <w:pPr>
              <w:spacing w:after="0"/>
              <w:rPr>
                <w:sz w:val="20"/>
                <w:szCs w:val="20"/>
                <w:color w:val="auto"/>
              </w:rPr>
            </w:pP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388,393</w:t>
            </w:r>
          </w:p>
        </w:tc>
        <w:tc>
          <w:tcPr>
            <w:tcW w:w="360" w:type="dxa"/>
            <w:vAlign w:val="bottom"/>
          </w:tcPr>
          <w:p>
            <w:pPr>
              <w:spacing w:after="0"/>
              <w:rPr>
                <w:sz w:val="20"/>
                <w:szCs w:val="20"/>
                <w:color w:val="auto"/>
              </w:rPr>
            </w:pPr>
          </w:p>
        </w:tc>
      </w:tr>
      <w:tr>
        <w:trPr>
          <w:trHeight w:val="241"/>
        </w:trPr>
        <w:tc>
          <w:tcPr>
            <w:tcW w:w="494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Ratios to average net assets:</w:t>
            </w:r>
          </w:p>
        </w:tc>
        <w:tc>
          <w:tcPr>
            <w:tcW w:w="19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r>
      <w:tr>
        <w:trPr>
          <w:trHeight w:val="241"/>
        </w:trPr>
        <w:tc>
          <w:tcPr>
            <w:tcW w:w="4940" w:type="dxa"/>
            <w:vAlign w:val="bottom"/>
          </w:tcPr>
          <w:p>
            <w:pPr>
              <w:ind w:left="20"/>
              <w:spacing w:after="0" w:line="241" w:lineRule="exact"/>
              <w:rPr>
                <w:sz w:val="20"/>
                <w:szCs w:val="20"/>
                <w:color w:val="auto"/>
              </w:rPr>
            </w:pPr>
            <w:r>
              <w:rPr>
                <w:rFonts w:ascii="Arial" w:cs="Arial" w:eastAsia="Arial" w:hAnsi="Arial"/>
                <w:sz w:val="17"/>
                <w:szCs w:val="17"/>
                <w:color w:val="auto"/>
              </w:rPr>
              <w:t xml:space="preserve">Total expenses </w:t>
            </w:r>
            <w:r>
              <w:rPr>
                <w:rFonts w:ascii="Arial" w:cs="Arial" w:eastAsia="Arial" w:hAnsi="Arial"/>
                <w:sz w:val="22"/>
                <w:szCs w:val="22"/>
                <w:color w:val="auto"/>
                <w:vertAlign w:val="superscript"/>
              </w:rPr>
              <w:t>(2)(4)(11)</w:t>
            </w:r>
          </w:p>
        </w:tc>
        <w:tc>
          <w:tcPr>
            <w:tcW w:w="1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60" w:type="dxa"/>
            <w:vAlign w:val="bottom"/>
            <w:gridSpan w:val="2"/>
          </w:tcPr>
          <w:p>
            <w:pPr>
              <w:jc w:val="right"/>
              <w:ind w:right="320"/>
              <w:spacing w:after="0"/>
              <w:rPr>
                <w:sz w:val="20"/>
                <w:szCs w:val="20"/>
                <w:color w:val="auto"/>
              </w:rPr>
            </w:pPr>
            <w:r>
              <w:rPr>
                <w:rFonts w:ascii="Arial" w:cs="Arial" w:eastAsia="Arial" w:hAnsi="Arial"/>
                <w:sz w:val="17"/>
                <w:szCs w:val="17"/>
                <w:color w:val="auto"/>
              </w:rPr>
              <w:t>13.7 %</w:t>
            </w:r>
          </w:p>
        </w:tc>
        <w:tc>
          <w:tcPr>
            <w:tcW w:w="38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7"/>
                <w:szCs w:val="17"/>
                <w:color w:val="auto"/>
              </w:rPr>
              <w:t>9.9 %</w:t>
            </w:r>
          </w:p>
        </w:tc>
      </w:tr>
      <w:tr>
        <w:trPr>
          <w:trHeight w:val="241"/>
        </w:trPr>
        <w:tc>
          <w:tcPr>
            <w:tcW w:w="4940" w:type="dxa"/>
            <w:vAlign w:val="bottom"/>
            <w:shd w:val="clear" w:color="auto" w:fill="CFF0FC"/>
          </w:tcPr>
          <w:p>
            <w:pPr>
              <w:ind w:left="20"/>
              <w:spacing w:after="0" w:line="241" w:lineRule="exact"/>
              <w:rPr>
                <w:sz w:val="20"/>
                <w:szCs w:val="20"/>
                <w:color w:val="auto"/>
              </w:rPr>
            </w:pPr>
            <w:r>
              <w:rPr>
                <w:rFonts w:ascii="Arial" w:cs="Arial" w:eastAsia="Arial" w:hAnsi="Arial"/>
                <w:sz w:val="17"/>
                <w:szCs w:val="17"/>
                <w:color w:val="auto"/>
              </w:rPr>
              <w:t xml:space="preserve">Net investment income </w:t>
            </w:r>
            <w:r>
              <w:rPr>
                <w:rFonts w:ascii="Arial" w:cs="Arial" w:eastAsia="Arial" w:hAnsi="Arial"/>
                <w:sz w:val="22"/>
                <w:szCs w:val="22"/>
                <w:color w:val="auto"/>
                <w:vertAlign w:val="superscript"/>
              </w:rPr>
              <w:t>(2)(5)</w:t>
            </w:r>
          </w:p>
        </w:tc>
        <w:tc>
          <w:tcPr>
            <w:tcW w:w="19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86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7.1 %</w:t>
            </w:r>
          </w:p>
        </w:tc>
        <w:tc>
          <w:tcPr>
            <w:tcW w:w="38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11.5 %</w:t>
            </w:r>
          </w:p>
        </w:tc>
      </w:tr>
      <w:tr>
        <w:trPr>
          <w:trHeight w:val="241"/>
        </w:trPr>
        <w:tc>
          <w:tcPr>
            <w:tcW w:w="4940" w:type="dxa"/>
            <w:vAlign w:val="bottom"/>
          </w:tcPr>
          <w:p>
            <w:pPr>
              <w:ind w:left="20"/>
              <w:spacing w:after="0" w:line="241" w:lineRule="exact"/>
              <w:rPr>
                <w:sz w:val="20"/>
                <w:szCs w:val="20"/>
                <w:color w:val="auto"/>
              </w:rPr>
            </w:pPr>
            <w:r>
              <w:rPr>
                <w:rFonts w:ascii="Arial" w:cs="Arial" w:eastAsia="Arial" w:hAnsi="Arial"/>
                <w:sz w:val="17"/>
                <w:szCs w:val="17"/>
                <w:color w:val="auto"/>
              </w:rPr>
              <w:t xml:space="preserve">Total return based on market value </w:t>
            </w:r>
            <w:r>
              <w:rPr>
                <w:rFonts w:ascii="Arial" w:cs="Arial" w:eastAsia="Arial" w:hAnsi="Arial"/>
                <w:sz w:val="22"/>
                <w:szCs w:val="22"/>
                <w:color w:val="auto"/>
                <w:vertAlign w:val="superscript"/>
              </w:rPr>
              <w:t>(3)</w:t>
            </w:r>
          </w:p>
        </w:tc>
        <w:tc>
          <w:tcPr>
            <w:tcW w:w="1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60" w:type="dxa"/>
            <w:vAlign w:val="bottom"/>
            <w:gridSpan w:val="2"/>
          </w:tcPr>
          <w:p>
            <w:pPr>
              <w:jc w:val="right"/>
              <w:ind w:right="320"/>
              <w:spacing w:after="0"/>
              <w:rPr>
                <w:sz w:val="20"/>
                <w:szCs w:val="20"/>
                <w:color w:val="auto"/>
              </w:rPr>
            </w:pPr>
            <w:r>
              <w:rPr>
                <w:rFonts w:ascii="Arial" w:cs="Arial" w:eastAsia="Arial" w:hAnsi="Arial"/>
                <w:sz w:val="17"/>
                <w:szCs w:val="17"/>
                <w:color w:val="auto"/>
              </w:rPr>
              <w:t>46.1 %</w:t>
            </w:r>
          </w:p>
        </w:tc>
        <w:tc>
          <w:tcPr>
            <w:tcW w:w="380" w:type="dxa"/>
            <w:vAlign w:val="bottom"/>
          </w:tcPr>
          <w:p>
            <w:pPr>
              <w:spacing w:after="0"/>
              <w:rPr>
                <w:sz w:val="20"/>
                <w:szCs w:val="20"/>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7"/>
                <w:szCs w:val="17"/>
                <w:color w:val="auto"/>
              </w:rPr>
              <w:t>(25.8 %)</w:t>
            </w:r>
          </w:p>
        </w:tc>
      </w:tr>
      <w:tr>
        <w:trPr>
          <w:trHeight w:val="241"/>
        </w:trPr>
        <w:tc>
          <w:tcPr>
            <w:tcW w:w="4940" w:type="dxa"/>
            <w:vAlign w:val="bottom"/>
            <w:shd w:val="clear" w:color="auto" w:fill="CFF0FC"/>
          </w:tcPr>
          <w:p>
            <w:pPr>
              <w:ind w:left="20"/>
              <w:spacing w:after="0" w:line="241" w:lineRule="exact"/>
              <w:rPr>
                <w:sz w:val="20"/>
                <w:szCs w:val="20"/>
                <w:color w:val="auto"/>
              </w:rPr>
            </w:pPr>
            <w:r>
              <w:rPr>
                <w:rFonts w:ascii="Arial" w:cs="Arial" w:eastAsia="Arial" w:hAnsi="Arial"/>
                <w:sz w:val="17"/>
                <w:szCs w:val="17"/>
                <w:color w:val="auto"/>
              </w:rPr>
              <w:t xml:space="preserve">Total return based on net asset value </w:t>
            </w:r>
            <w:r>
              <w:rPr>
                <w:rFonts w:ascii="Arial" w:cs="Arial" w:eastAsia="Arial" w:hAnsi="Arial"/>
                <w:sz w:val="22"/>
                <w:szCs w:val="22"/>
                <w:color w:val="auto"/>
                <w:vertAlign w:val="superscript"/>
              </w:rPr>
              <w:t>(8)</w:t>
            </w:r>
          </w:p>
        </w:tc>
        <w:tc>
          <w:tcPr>
            <w:tcW w:w="19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86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16.0 %</w:t>
            </w:r>
          </w:p>
        </w:tc>
        <w:tc>
          <w:tcPr>
            <w:tcW w:w="38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0.4 %</w:t>
            </w:r>
          </w:p>
        </w:tc>
      </w:tr>
      <w:tr>
        <w:trPr>
          <w:trHeight w:val="241"/>
        </w:trPr>
        <w:tc>
          <w:tcPr>
            <w:tcW w:w="4940" w:type="dxa"/>
            <w:vAlign w:val="bottom"/>
          </w:tcPr>
          <w:p>
            <w:pPr>
              <w:ind w:left="20"/>
              <w:spacing w:after="0" w:line="241" w:lineRule="exact"/>
              <w:rPr>
                <w:sz w:val="20"/>
                <w:szCs w:val="20"/>
                <w:color w:val="auto"/>
              </w:rPr>
            </w:pPr>
            <w:r>
              <w:rPr>
                <w:rFonts w:ascii="Arial" w:cs="Arial" w:eastAsia="Arial" w:hAnsi="Arial"/>
                <w:sz w:val="17"/>
                <w:szCs w:val="17"/>
                <w:color w:val="auto"/>
              </w:rPr>
              <w:t xml:space="preserve">Portfolio turnover ratio </w:t>
            </w:r>
            <w:r>
              <w:rPr>
                <w:rFonts w:ascii="Arial" w:cs="Arial" w:eastAsia="Arial" w:hAnsi="Arial"/>
                <w:sz w:val="22"/>
                <w:szCs w:val="22"/>
                <w:color w:val="auto"/>
                <w:vertAlign w:val="superscript"/>
              </w:rPr>
              <w:t>(9)</w:t>
            </w:r>
          </w:p>
        </w:tc>
        <w:tc>
          <w:tcPr>
            <w:tcW w:w="1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60" w:type="dxa"/>
            <w:vAlign w:val="bottom"/>
            <w:gridSpan w:val="2"/>
          </w:tcPr>
          <w:p>
            <w:pPr>
              <w:jc w:val="right"/>
              <w:ind w:right="320"/>
              <w:spacing w:after="0"/>
              <w:rPr>
                <w:sz w:val="20"/>
                <w:szCs w:val="20"/>
                <w:color w:val="auto"/>
              </w:rPr>
            </w:pPr>
            <w:r>
              <w:rPr>
                <w:rFonts w:ascii="Arial" w:cs="Arial" w:eastAsia="Arial" w:hAnsi="Arial"/>
                <w:sz w:val="17"/>
                <w:szCs w:val="17"/>
                <w:color w:val="auto"/>
              </w:rPr>
              <w:t>44.9 %</w:t>
            </w:r>
          </w:p>
        </w:tc>
        <w:tc>
          <w:tcPr>
            <w:tcW w:w="38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7"/>
                <w:szCs w:val="17"/>
                <w:color w:val="auto"/>
              </w:rPr>
              <w:t>15.6 %</w:t>
            </w:r>
          </w:p>
        </w:tc>
      </w:tr>
      <w:tr>
        <w:trPr>
          <w:trHeight w:val="241"/>
        </w:trPr>
        <w:tc>
          <w:tcPr>
            <w:tcW w:w="494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Supplemental Data:</w:t>
            </w:r>
          </w:p>
        </w:tc>
        <w:tc>
          <w:tcPr>
            <w:tcW w:w="19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r>
      <w:tr>
        <w:trPr>
          <w:trHeight w:val="241"/>
        </w:trPr>
        <w:tc>
          <w:tcPr>
            <w:tcW w:w="4940" w:type="dxa"/>
            <w:vAlign w:val="bottom"/>
          </w:tcPr>
          <w:p>
            <w:pPr>
              <w:ind w:left="20"/>
              <w:spacing w:after="0" w:line="241" w:lineRule="exact"/>
              <w:rPr>
                <w:sz w:val="20"/>
                <w:szCs w:val="20"/>
                <w:color w:val="auto"/>
              </w:rPr>
            </w:pPr>
            <w:r>
              <w:rPr>
                <w:rFonts w:ascii="Arial" w:cs="Arial" w:eastAsia="Arial" w:hAnsi="Arial"/>
                <w:sz w:val="17"/>
                <w:szCs w:val="17"/>
                <w:color w:val="auto"/>
              </w:rPr>
              <w:t xml:space="preserve">Average debt outstanding </w:t>
            </w:r>
            <w:r>
              <w:rPr>
                <w:rFonts w:ascii="Arial" w:cs="Arial" w:eastAsia="Arial" w:hAnsi="Arial"/>
                <w:sz w:val="22"/>
                <w:szCs w:val="22"/>
                <w:color w:val="auto"/>
                <w:vertAlign w:val="superscript"/>
              </w:rPr>
              <w:t>(7)</w:t>
            </w:r>
          </w:p>
        </w:tc>
        <w:tc>
          <w:tcPr>
            <w:tcW w:w="2400" w:type="dxa"/>
            <w:vAlign w:val="bottom"/>
            <w:gridSpan w:val="2"/>
          </w:tcPr>
          <w:p>
            <w:pPr>
              <w:jc w:val="right"/>
              <w:ind w:right="236"/>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382,587</w:t>
            </w:r>
          </w:p>
        </w:tc>
        <w:tc>
          <w:tcPr>
            <w:tcW w:w="480" w:type="dxa"/>
            <w:vAlign w:val="bottom"/>
          </w:tcPr>
          <w:p>
            <w:pPr>
              <w:spacing w:after="0"/>
              <w:rPr>
                <w:sz w:val="20"/>
                <w:szCs w:val="20"/>
                <w:color w:val="auto"/>
              </w:rPr>
            </w:pP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368,125</w:t>
            </w:r>
          </w:p>
        </w:tc>
        <w:tc>
          <w:tcPr>
            <w:tcW w:w="360" w:type="dxa"/>
            <w:vAlign w:val="bottom"/>
          </w:tcPr>
          <w:p>
            <w:pPr>
              <w:spacing w:after="0"/>
              <w:rPr>
                <w:sz w:val="20"/>
                <w:szCs w:val="20"/>
                <w:color w:val="auto"/>
              </w:rPr>
            </w:pPr>
          </w:p>
        </w:tc>
      </w:tr>
      <w:tr>
        <w:trPr>
          <w:trHeight w:val="241"/>
        </w:trPr>
        <w:tc>
          <w:tcPr>
            <w:tcW w:w="4940" w:type="dxa"/>
            <w:vAlign w:val="bottom"/>
            <w:shd w:val="clear" w:color="auto" w:fill="CFF0FC"/>
          </w:tcPr>
          <w:p>
            <w:pPr>
              <w:ind w:left="20"/>
              <w:spacing w:after="0" w:line="241" w:lineRule="exact"/>
              <w:rPr>
                <w:sz w:val="20"/>
                <w:szCs w:val="20"/>
                <w:color w:val="auto"/>
              </w:rPr>
            </w:pPr>
            <w:r>
              <w:rPr>
                <w:rFonts w:ascii="Arial" w:cs="Arial" w:eastAsia="Arial" w:hAnsi="Arial"/>
                <w:sz w:val="17"/>
                <w:szCs w:val="17"/>
                <w:color w:val="auto"/>
              </w:rPr>
              <w:t xml:space="preserve">Average debt per share </w:t>
            </w:r>
            <w:r>
              <w:rPr>
                <w:rFonts w:ascii="Arial" w:cs="Arial" w:eastAsia="Arial" w:hAnsi="Arial"/>
                <w:sz w:val="22"/>
                <w:szCs w:val="22"/>
                <w:color w:val="auto"/>
                <w:vertAlign w:val="superscript"/>
              </w:rPr>
              <w:t>(1)</w:t>
            </w:r>
          </w:p>
        </w:tc>
        <w:tc>
          <w:tcPr>
            <w:tcW w:w="2400" w:type="dxa"/>
            <w:vAlign w:val="bottom"/>
            <w:gridSpan w:val="2"/>
            <w:shd w:val="clear" w:color="auto" w:fill="CFF0FC"/>
          </w:tcPr>
          <w:p>
            <w:pPr>
              <w:jc w:val="right"/>
              <w:ind w:right="236"/>
              <w:spacing w:after="0"/>
              <w:rPr>
                <w:sz w:val="20"/>
                <w:szCs w:val="20"/>
                <w:color w:val="auto"/>
              </w:rPr>
            </w:pPr>
            <w:r>
              <w:rPr>
                <w:rFonts w:ascii="Arial" w:cs="Arial" w:eastAsia="Arial" w:hAnsi="Arial"/>
                <w:sz w:val="17"/>
                <w:szCs w:val="17"/>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15.66</w:t>
            </w:r>
          </w:p>
        </w:tc>
        <w:tc>
          <w:tcPr>
            <w:tcW w:w="48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6"/>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15.06</w:t>
            </w:r>
          </w:p>
        </w:tc>
        <w:tc>
          <w:tcPr>
            <w:tcW w:w="360" w:type="dxa"/>
            <w:vAlign w:val="bottom"/>
            <w:shd w:val="clear" w:color="auto" w:fill="CFF0FC"/>
          </w:tcPr>
          <w:p>
            <w:pPr>
              <w:spacing w:after="0"/>
              <w:rPr>
                <w:sz w:val="20"/>
                <w:szCs w:val="20"/>
                <w:color w:val="auto"/>
              </w:rPr>
            </w:pPr>
          </w:p>
        </w:tc>
      </w:tr>
      <w:tr>
        <w:trPr>
          <w:trHeight w:val="430"/>
        </w:trPr>
        <w:tc>
          <w:tcPr>
            <w:tcW w:w="4940" w:type="dxa"/>
            <w:vAlign w:val="bottom"/>
          </w:tcPr>
          <w:p>
            <w:pPr>
              <w:spacing w:after="0"/>
              <w:rPr>
                <w:sz w:val="24"/>
                <w:szCs w:val="24"/>
                <w:color w:val="auto"/>
              </w:rPr>
            </w:pPr>
          </w:p>
        </w:tc>
        <w:tc>
          <w:tcPr>
            <w:tcW w:w="1980" w:type="dxa"/>
            <w:vAlign w:val="bottom"/>
          </w:tcPr>
          <w:p>
            <w:pPr>
              <w:jc w:val="right"/>
              <w:ind w:right="1136"/>
              <w:spacing w:after="0"/>
              <w:rPr>
                <w:sz w:val="20"/>
                <w:szCs w:val="20"/>
                <w:color w:val="auto"/>
              </w:rPr>
            </w:pPr>
            <w:r>
              <w:rPr>
                <w:rFonts w:ascii="Arial" w:cs="Arial" w:eastAsia="Arial" w:hAnsi="Arial"/>
                <w:sz w:val="17"/>
                <w:szCs w:val="17"/>
                <w:color w:val="auto"/>
              </w:rPr>
              <w:t>37</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07"/>
        </w:trPr>
        <w:tc>
          <w:tcPr>
            <w:tcW w:w="494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5539740</wp:posOffset>
            </wp:positionH>
            <wp:positionV relativeFrom="paragraph">
              <wp:posOffset>-2543175</wp:posOffset>
            </wp:positionV>
            <wp:extent cx="30607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06070" cy="8255"/>
                    </a:xfrm>
                    <a:prstGeom prst="rect">
                      <a:avLst/>
                    </a:prstGeom>
                    <a:noFill/>
                  </pic:spPr>
                </pic:pic>
              </a:graphicData>
            </a:graphic>
          </wp:anchor>
        </w:drawing>
        <w:drawing>
          <wp:anchor simplePos="0" relativeHeight="251657728" behindDoc="1" locked="0" layoutInCell="0" allowOverlap="1">
            <wp:simplePos x="0" y="0"/>
            <wp:positionH relativeFrom="column">
              <wp:posOffset>5539740</wp:posOffset>
            </wp:positionH>
            <wp:positionV relativeFrom="paragraph">
              <wp:posOffset>-2527300</wp:posOffset>
            </wp:positionV>
            <wp:extent cx="30607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06070" cy="8255"/>
                    </a:xfrm>
                    <a:prstGeom prst="rect">
                      <a:avLst/>
                    </a:prstGeom>
                    <a:noFill/>
                  </pic:spPr>
                </pic:pic>
              </a:graphicData>
            </a:graphic>
          </wp:anchor>
        </w:drawing>
        <w:drawing>
          <wp:anchor simplePos="0" relativeHeight="251657728" behindDoc="1" locked="0" layoutInCell="0" allowOverlap="1">
            <wp:simplePos x="0" y="0"/>
            <wp:positionH relativeFrom="column">
              <wp:posOffset>6908165</wp:posOffset>
            </wp:positionH>
            <wp:positionV relativeFrom="paragraph">
              <wp:posOffset>-2543175</wp:posOffset>
            </wp:positionV>
            <wp:extent cx="2336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33680" cy="8255"/>
                    </a:xfrm>
                    <a:prstGeom prst="rect">
                      <a:avLst/>
                    </a:prstGeom>
                    <a:noFill/>
                  </pic:spPr>
                </pic:pic>
              </a:graphicData>
            </a:graphic>
          </wp:anchor>
        </w:drawing>
        <w:drawing>
          <wp:anchor simplePos="0" relativeHeight="251657728" behindDoc="1" locked="0" layoutInCell="0" allowOverlap="1">
            <wp:simplePos x="0" y="0"/>
            <wp:positionH relativeFrom="column">
              <wp:posOffset>6908165</wp:posOffset>
            </wp:positionH>
            <wp:positionV relativeFrom="paragraph">
              <wp:posOffset>-2527300</wp:posOffset>
            </wp:positionV>
            <wp:extent cx="2336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33680" cy="8255"/>
                    </a:xfrm>
                    <a:prstGeom prst="rect">
                      <a:avLst/>
                    </a:prstGeom>
                    <a:noFill/>
                  </pic:spPr>
                </pic:pic>
              </a:graphicData>
            </a:graphic>
          </wp:anchor>
        </w:drawing>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7"/>
          <w:szCs w:val="17"/>
          <w:b w:val="1"/>
          <w:bCs w:val="1"/>
          <w:color w:val="auto"/>
        </w:rPr>
        <w:t>FIDUS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(unaudited)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shares and per share data)</w:t>
      </w:r>
    </w:p>
    <w:p>
      <w:pPr>
        <w:spacing w:after="0" w:line="28" w:lineRule="exact"/>
        <w:rPr>
          <w:sz w:val="20"/>
          <w:szCs w:val="20"/>
          <w:color w:val="auto"/>
        </w:rPr>
      </w:pPr>
    </w:p>
    <w:p>
      <w:pPr>
        <w:ind w:left="520" w:hanging="506"/>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Weighted average per share data.</w:t>
      </w:r>
    </w:p>
    <w:p>
      <w:pPr>
        <w:spacing w:after="0" w:line="29" w:lineRule="exact"/>
        <w:rPr>
          <w:rFonts w:ascii="Arial" w:cs="Arial" w:eastAsia="Arial" w:hAnsi="Arial"/>
          <w:sz w:val="14"/>
          <w:szCs w:val="14"/>
          <w:color w:val="auto"/>
        </w:rPr>
      </w:pPr>
    </w:p>
    <w:p>
      <w:pPr>
        <w:ind w:left="520" w:hanging="506"/>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Annualized with the exception of the income incentive fee waiver and income tax (provision) benefit from realized gains on investments.</w:t>
      </w:r>
    </w:p>
    <w:p>
      <w:pPr>
        <w:spacing w:after="0" w:line="29" w:lineRule="exact"/>
        <w:rPr>
          <w:rFonts w:ascii="Arial" w:cs="Arial" w:eastAsia="Arial" w:hAnsi="Arial"/>
          <w:sz w:val="14"/>
          <w:szCs w:val="14"/>
          <w:color w:val="auto"/>
        </w:rPr>
      </w:pPr>
    </w:p>
    <w:p>
      <w:pPr>
        <w:ind w:left="520" w:right="20" w:hanging="506"/>
        <w:spacing w:after="0" w:line="346" w:lineRule="auto"/>
        <w:tabs>
          <w:tab w:leader="none" w:pos="5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Total return based on market value equals the change in the market value of the Company’s common stock per share during the period divided by the market value per share at the beginning of the period, and assumes reinvestment of dividends at prices obtained by our dividend reinvestment plan during the period. The return does not reflect any sales load that may be paid by an investor.</w:t>
      </w:r>
    </w:p>
    <w:p>
      <w:pPr>
        <w:spacing w:after="0" w:line="58" w:lineRule="exact"/>
        <w:rPr>
          <w:rFonts w:ascii="Arial" w:cs="Arial" w:eastAsia="Arial" w:hAnsi="Arial"/>
          <w:sz w:val="12"/>
          <w:szCs w:val="12"/>
          <w:color w:val="auto"/>
        </w:rPr>
      </w:pPr>
    </w:p>
    <w:p>
      <w:pPr>
        <w:ind w:left="520" w:right="40" w:hanging="506"/>
        <w:spacing w:after="0" w:line="262" w:lineRule="auto"/>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total expenses to average net assets ratio is calculated using (i) the “total expenses, net of base management and income incentive fee waiver”, (ii) the “income tax provision (benefit)”, and (iii) the “income tax (provision) benefit from realized gains on investments” captions, as presented on the consolidated statements of operations.</w:t>
      </w:r>
    </w:p>
    <w:p>
      <w:pPr>
        <w:spacing w:after="0" w:line="3" w:lineRule="exact"/>
        <w:rPr>
          <w:rFonts w:ascii="Arial" w:cs="Arial" w:eastAsia="Arial" w:hAnsi="Arial"/>
          <w:sz w:val="14"/>
          <w:szCs w:val="14"/>
          <w:color w:val="auto"/>
        </w:rPr>
      </w:pPr>
    </w:p>
    <w:p>
      <w:pPr>
        <w:ind w:left="520" w:hanging="506"/>
        <w:spacing w:after="0"/>
        <w:tabs>
          <w:tab w:leader="none" w:pos="5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net investment income to average net assets ratio is calculated using the net investment income caption as presented on the consolidated statements of operations, which includes incentive fee.</w:t>
      </w:r>
    </w:p>
    <w:p>
      <w:pPr>
        <w:spacing w:after="0" w:line="128" w:lineRule="exact"/>
        <w:rPr>
          <w:rFonts w:ascii="Arial" w:cs="Arial" w:eastAsia="Arial" w:hAnsi="Arial"/>
          <w:sz w:val="12"/>
          <w:szCs w:val="12"/>
          <w:color w:val="auto"/>
        </w:rPr>
      </w:pPr>
    </w:p>
    <w:p>
      <w:pPr>
        <w:ind w:left="520" w:hanging="506"/>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Average net assets is calculated as the average of the net asset balances as of each quarter end during the fiscal year and the prior year end.</w:t>
      </w:r>
    </w:p>
    <w:p>
      <w:pPr>
        <w:spacing w:after="0" w:line="29" w:lineRule="exact"/>
        <w:rPr>
          <w:rFonts w:ascii="Arial" w:cs="Arial" w:eastAsia="Arial" w:hAnsi="Arial"/>
          <w:sz w:val="14"/>
          <w:szCs w:val="14"/>
          <w:color w:val="auto"/>
        </w:rPr>
      </w:pPr>
    </w:p>
    <w:p>
      <w:pPr>
        <w:ind w:left="520" w:hanging="506"/>
        <w:spacing w:after="0"/>
        <w:tabs>
          <w:tab w:leader="none" w:pos="5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Average debt outstanding is calculated as the average of the outstanding debt balances, including secured borrowings, as of each quarter end during the fiscal year and the prior year end.</w:t>
      </w:r>
    </w:p>
    <w:p>
      <w:pPr>
        <w:spacing w:after="0" w:line="128" w:lineRule="exact"/>
        <w:rPr>
          <w:rFonts w:ascii="Arial" w:cs="Arial" w:eastAsia="Arial" w:hAnsi="Arial"/>
          <w:sz w:val="12"/>
          <w:szCs w:val="12"/>
          <w:color w:val="auto"/>
        </w:rPr>
      </w:pPr>
    </w:p>
    <w:p>
      <w:pPr>
        <w:jc w:val="both"/>
        <w:ind w:left="520" w:right="20" w:hanging="506"/>
        <w:spacing w:after="0" w:line="254" w:lineRule="auto"/>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Total return based on net asset value per share equals the change in net asset value per share during the period, plus dividends paid per share during the period, less other non-operating changes during the period, and divided by beginning net asset value per share for the period. Non-operating changes include any items that affect net asset value per share other than increase from investment operations, such as the effects of share issuances and repurchases and other miscellaneous items.</w:t>
      </w:r>
    </w:p>
    <w:p>
      <w:pPr>
        <w:spacing w:after="0" w:line="110" w:lineRule="exact"/>
        <w:rPr>
          <w:rFonts w:ascii="Arial" w:cs="Arial" w:eastAsia="Arial" w:hAnsi="Arial"/>
          <w:sz w:val="14"/>
          <w:szCs w:val="14"/>
          <w:color w:val="auto"/>
        </w:rPr>
      </w:pPr>
    </w:p>
    <w:p>
      <w:pPr>
        <w:ind w:left="520" w:hanging="506"/>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Annualized.</w:t>
      </w:r>
    </w:p>
    <w:p>
      <w:pPr>
        <w:spacing w:after="0" w:line="29" w:lineRule="exact"/>
        <w:rPr>
          <w:rFonts w:ascii="Arial" w:cs="Arial" w:eastAsia="Arial" w:hAnsi="Arial"/>
          <w:sz w:val="14"/>
          <w:szCs w:val="14"/>
          <w:color w:val="auto"/>
        </w:rPr>
      </w:pPr>
    </w:p>
    <w:p>
      <w:pPr>
        <w:ind w:left="520" w:hanging="506"/>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ratio of waived incentive fees to average net assets was zero and (0.11)% for the nine months ended September 30, 2021 and 2020, respectively.</w:t>
      </w:r>
    </w:p>
    <w:p>
      <w:pPr>
        <w:spacing w:after="0" w:line="29" w:lineRule="exact"/>
        <w:rPr>
          <w:rFonts w:ascii="Arial" w:cs="Arial" w:eastAsia="Arial" w:hAnsi="Arial"/>
          <w:sz w:val="14"/>
          <w:szCs w:val="14"/>
          <w:color w:val="auto"/>
        </w:rPr>
      </w:pPr>
    </w:p>
    <w:p>
      <w:pPr>
        <w:ind w:left="520" w:hanging="506"/>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following is a schedule of supplemental expense ratios to average net assets: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80" w:type="dxa"/>
            <w:vAlign w:val="bottom"/>
            <w:gridSpan w:val="4"/>
          </w:tcPr>
          <w:p>
            <w:pPr>
              <w:ind w:left="700"/>
              <w:spacing w:after="0"/>
              <w:rPr>
                <w:sz w:val="20"/>
                <w:szCs w:val="20"/>
                <w:color w:val="auto"/>
              </w:rPr>
            </w:pPr>
            <w:r>
              <w:rPr>
                <w:rFonts w:ascii="Arial" w:cs="Arial" w:eastAsia="Arial" w:hAnsi="Arial"/>
                <w:sz w:val="17"/>
                <w:szCs w:val="17"/>
                <w:b w:val="1"/>
                <w:bCs w:val="1"/>
                <w:color w:val="auto"/>
              </w:rPr>
              <w:t>Nine Months Ended September 30,</w:t>
            </w:r>
          </w:p>
        </w:tc>
      </w:tr>
      <w:tr>
        <w:trPr>
          <w:trHeight w:val="259"/>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Ratio to average net assets:</w:t>
            </w:r>
          </w:p>
        </w:tc>
        <w:tc>
          <w:tcPr>
            <w:tcW w:w="220" w:type="dxa"/>
            <w:vAlign w:val="bottom"/>
          </w:tcPr>
          <w:p>
            <w:pPr>
              <w:spacing w:after="0"/>
              <w:rPr>
                <w:sz w:val="22"/>
                <w:szCs w:val="22"/>
                <w:color w:val="auto"/>
              </w:rPr>
            </w:pPr>
          </w:p>
        </w:tc>
        <w:tc>
          <w:tcPr>
            <w:tcW w:w="17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7"/>
                <w:szCs w:val="17"/>
                <w:b w:val="1"/>
                <w:bCs w:val="1"/>
                <w:color w:val="auto"/>
              </w:rPr>
              <w:t>2021</w:t>
            </w:r>
          </w:p>
        </w:tc>
        <w:tc>
          <w:tcPr>
            <w:tcW w:w="480" w:type="dxa"/>
            <w:vAlign w:val="bottom"/>
            <w:tcBorders>
              <w:top w:val="single" w:sz="8" w:color="auto"/>
            </w:tcBorders>
          </w:tcPr>
          <w:p>
            <w:pPr>
              <w:spacing w:after="0"/>
              <w:rPr>
                <w:sz w:val="22"/>
                <w:szCs w:val="22"/>
                <w:color w:val="auto"/>
              </w:rPr>
            </w:pPr>
          </w:p>
        </w:tc>
        <w:tc>
          <w:tcPr>
            <w:tcW w:w="166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7"/>
                <w:szCs w:val="17"/>
                <w:b w:val="1"/>
                <w:bCs w:val="1"/>
                <w:color w:val="auto"/>
              </w:rPr>
              <w:t>2020</w:t>
            </w:r>
          </w:p>
        </w:tc>
        <w:tc>
          <w:tcPr>
            <w:tcW w:w="360" w:type="dxa"/>
            <w:vAlign w:val="bottom"/>
          </w:tcPr>
          <w:p>
            <w:pPr>
              <w:spacing w:after="0"/>
              <w:rPr>
                <w:sz w:val="22"/>
                <w:szCs w:val="22"/>
                <w:color w:val="auto"/>
              </w:rPr>
            </w:pPr>
          </w:p>
        </w:tc>
      </w:tr>
      <w:tr>
        <w:trPr>
          <w:trHeight w:val="241"/>
        </w:trPr>
        <w:tc>
          <w:tcPr>
            <w:tcW w:w="6740" w:type="dxa"/>
            <w:vAlign w:val="bottom"/>
          </w:tcPr>
          <w:p>
            <w:pPr>
              <w:ind w:left="20"/>
              <w:spacing w:after="0" w:line="241" w:lineRule="exact"/>
              <w:rPr>
                <w:sz w:val="20"/>
                <w:szCs w:val="20"/>
                <w:color w:val="auto"/>
              </w:rPr>
            </w:pPr>
            <w:r>
              <w:rPr>
                <w:rFonts w:ascii="Arial" w:cs="Arial" w:eastAsia="Arial" w:hAnsi="Arial"/>
                <w:sz w:val="17"/>
                <w:szCs w:val="17"/>
                <w:color w:val="auto"/>
              </w:rPr>
              <w:t xml:space="preserve">Expenses other than incentive fee </w:t>
            </w:r>
            <w:r>
              <w:rPr>
                <w:rFonts w:ascii="Arial" w:cs="Arial" w:eastAsia="Arial" w:hAnsi="Arial"/>
                <w:sz w:val="22"/>
                <w:szCs w:val="22"/>
                <w:color w:val="auto"/>
                <w:vertAlign w:val="superscript"/>
              </w:rPr>
              <w:t>(2)</w:t>
            </w:r>
          </w:p>
        </w:tc>
        <w:tc>
          <w:tcPr>
            <w:tcW w:w="220" w:type="dxa"/>
            <w:vAlign w:val="bottom"/>
          </w:tcPr>
          <w:p>
            <w:pPr>
              <w:spacing w:after="0"/>
              <w:rPr>
                <w:sz w:val="20"/>
                <w:szCs w:val="20"/>
                <w:color w:val="auto"/>
              </w:rPr>
            </w:pPr>
          </w:p>
        </w:tc>
        <w:tc>
          <w:tcPr>
            <w:tcW w:w="2260" w:type="dxa"/>
            <w:vAlign w:val="bottom"/>
            <w:gridSpan w:val="2"/>
          </w:tcPr>
          <w:p>
            <w:pPr>
              <w:jc w:val="right"/>
              <w:ind w:right="340"/>
              <w:spacing w:after="0"/>
              <w:rPr>
                <w:sz w:val="20"/>
                <w:szCs w:val="20"/>
                <w:color w:val="auto"/>
              </w:rPr>
            </w:pPr>
            <w:r>
              <w:rPr>
                <w:rFonts w:ascii="Arial" w:cs="Arial" w:eastAsia="Arial" w:hAnsi="Arial"/>
                <w:sz w:val="17"/>
                <w:szCs w:val="17"/>
                <w:color w:val="auto"/>
              </w:rPr>
              <w:t>8.6 %</w:t>
            </w:r>
          </w:p>
        </w:tc>
        <w:tc>
          <w:tcPr>
            <w:tcW w:w="2020" w:type="dxa"/>
            <w:vAlign w:val="bottom"/>
            <w:gridSpan w:val="2"/>
          </w:tcPr>
          <w:p>
            <w:pPr>
              <w:jc w:val="right"/>
              <w:ind w:right="200"/>
              <w:spacing w:after="0"/>
              <w:rPr>
                <w:sz w:val="20"/>
                <w:szCs w:val="20"/>
                <w:color w:val="auto"/>
              </w:rPr>
            </w:pPr>
            <w:r>
              <w:rPr>
                <w:rFonts w:ascii="Arial" w:cs="Arial" w:eastAsia="Arial" w:hAnsi="Arial"/>
                <w:sz w:val="17"/>
                <w:szCs w:val="17"/>
                <w:color w:val="auto"/>
              </w:rPr>
              <w:t>10.0 %</w:t>
            </w:r>
          </w:p>
        </w:tc>
      </w:tr>
      <w:tr>
        <w:trPr>
          <w:trHeight w:val="241"/>
        </w:trPr>
        <w:tc>
          <w:tcPr>
            <w:tcW w:w="6960" w:type="dxa"/>
            <w:vAlign w:val="bottom"/>
            <w:gridSpan w:val="2"/>
            <w:shd w:val="clear" w:color="auto" w:fill="CCEEFF"/>
          </w:tcPr>
          <w:p>
            <w:pPr>
              <w:ind w:left="20"/>
              <w:spacing w:after="0" w:line="241" w:lineRule="exact"/>
              <w:rPr>
                <w:sz w:val="20"/>
                <w:szCs w:val="20"/>
                <w:color w:val="auto"/>
              </w:rPr>
            </w:pPr>
            <w:r>
              <w:rPr>
                <w:rFonts w:ascii="Arial" w:cs="Arial" w:eastAsia="Arial" w:hAnsi="Arial"/>
                <w:sz w:val="17"/>
                <w:szCs w:val="17"/>
                <w:color w:val="auto"/>
              </w:rPr>
              <w:t xml:space="preserve">Incentive fee, net of incentive fee waiver </w:t>
            </w:r>
            <w:r>
              <w:rPr>
                <w:rFonts w:ascii="Arial" w:cs="Arial" w:eastAsia="Arial" w:hAnsi="Arial"/>
                <w:sz w:val="22"/>
                <w:szCs w:val="22"/>
                <w:color w:val="auto"/>
                <w:vertAlign w:val="superscript"/>
              </w:rPr>
              <w:t>(2)(10)</w:t>
            </w:r>
          </w:p>
        </w:tc>
        <w:tc>
          <w:tcPr>
            <w:tcW w:w="2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5.1 %</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(0.1 %)</w:t>
            </w:r>
          </w:p>
        </w:tc>
      </w:tr>
      <w:tr>
        <w:trPr>
          <w:trHeight w:val="20"/>
        </w:trPr>
        <w:tc>
          <w:tcPr>
            <w:tcW w:w="67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r>
      <w:tr>
        <w:trPr>
          <w:trHeight w:val="234"/>
        </w:trPr>
        <w:tc>
          <w:tcPr>
            <w:tcW w:w="6960" w:type="dxa"/>
            <w:vAlign w:val="bottom"/>
            <w:gridSpan w:val="2"/>
          </w:tcPr>
          <w:p>
            <w:pPr>
              <w:ind w:left="20"/>
              <w:spacing w:after="0" w:line="233" w:lineRule="exact"/>
              <w:rPr>
                <w:sz w:val="20"/>
                <w:szCs w:val="20"/>
                <w:color w:val="auto"/>
              </w:rPr>
            </w:pPr>
            <w:r>
              <w:rPr>
                <w:rFonts w:ascii="Arial" w:cs="Arial" w:eastAsia="Arial" w:hAnsi="Arial"/>
                <w:sz w:val="17"/>
                <w:szCs w:val="17"/>
                <w:color w:val="auto"/>
              </w:rPr>
              <w:t xml:space="preserve">Total expenses </w:t>
            </w:r>
            <w:r>
              <w:rPr>
                <w:rFonts w:ascii="Arial" w:cs="Arial" w:eastAsia="Arial" w:hAnsi="Arial"/>
                <w:sz w:val="22"/>
                <w:szCs w:val="22"/>
                <w:color w:val="auto"/>
                <w:vertAlign w:val="superscript"/>
              </w:rPr>
              <w:t>(2)(4)</w:t>
            </w:r>
          </w:p>
        </w:tc>
        <w:tc>
          <w:tcPr>
            <w:tcW w:w="2260" w:type="dxa"/>
            <w:vAlign w:val="bottom"/>
            <w:gridSpan w:val="2"/>
          </w:tcPr>
          <w:p>
            <w:pPr>
              <w:jc w:val="right"/>
              <w:ind w:right="340"/>
              <w:spacing w:after="0"/>
              <w:rPr>
                <w:sz w:val="20"/>
                <w:szCs w:val="20"/>
                <w:color w:val="auto"/>
              </w:rPr>
            </w:pPr>
            <w:r>
              <w:rPr>
                <w:rFonts w:ascii="Arial" w:cs="Arial" w:eastAsia="Arial" w:hAnsi="Arial"/>
                <w:sz w:val="17"/>
                <w:szCs w:val="17"/>
                <w:color w:val="auto"/>
              </w:rPr>
              <w:t>13.7 %</w:t>
            </w:r>
          </w:p>
        </w:tc>
        <w:tc>
          <w:tcPr>
            <w:tcW w:w="2020" w:type="dxa"/>
            <w:vAlign w:val="bottom"/>
            <w:gridSpan w:val="2"/>
          </w:tcPr>
          <w:p>
            <w:pPr>
              <w:jc w:val="right"/>
              <w:ind w:right="200"/>
              <w:spacing w:after="0"/>
              <w:rPr>
                <w:sz w:val="20"/>
                <w:szCs w:val="20"/>
                <w:color w:val="auto"/>
              </w:rPr>
            </w:pPr>
            <w:r>
              <w:rPr>
                <w:rFonts w:ascii="Arial" w:cs="Arial" w:eastAsia="Arial" w:hAnsi="Arial"/>
                <w:sz w:val="17"/>
                <w:szCs w:val="17"/>
                <w:color w:val="auto"/>
              </w:rPr>
              <w:t>9.9 %</w:t>
            </w:r>
          </w:p>
        </w:tc>
      </w:tr>
      <w:tr>
        <w:trPr>
          <w:trHeight w:val="20"/>
        </w:trPr>
        <w:tc>
          <w:tcPr>
            <w:tcW w:w="6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5547360</wp:posOffset>
            </wp:positionH>
            <wp:positionV relativeFrom="paragraph">
              <wp:posOffset>-165735</wp:posOffset>
            </wp:positionV>
            <wp:extent cx="1593850" cy="16637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593850" cy="166370"/>
                    </a:xfrm>
                    <a:prstGeom prst="rect">
                      <a:avLst/>
                    </a:prstGeom>
                    <a:noFill/>
                  </pic:spPr>
                </pic:pic>
              </a:graphicData>
            </a:graphic>
          </wp:anchor>
        </w:drawing>
      </w:r>
    </w:p>
    <w:p>
      <w:pPr>
        <w:spacing w:after="0" w:line="190" w:lineRule="exact"/>
        <w:rPr>
          <w:sz w:val="20"/>
          <w:szCs w:val="20"/>
          <w:color w:val="auto"/>
        </w:rPr>
      </w:pPr>
    </w:p>
    <w:p>
      <w:pPr>
        <w:ind w:left="480" w:right="40" w:hanging="466"/>
        <w:spacing w:after="0" w:line="262" w:lineRule="auto"/>
        <w:tabs>
          <w:tab w:leader="none" w:pos="4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the impact of different share amounts used in calculating per share data as a result of calculating certain per share data based on weighted average shares outstanding during the period and certain per share data based on the shares outstanding as of a period end or transaction date, or other rounding.</w:t>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Subsequent Events</w:t>
      </w:r>
    </w:p>
    <w:p>
      <w:pPr>
        <w:spacing w:after="0" w:line="176" w:lineRule="exact"/>
        <w:rPr>
          <w:sz w:val="20"/>
          <w:szCs w:val="20"/>
          <w:color w:val="auto"/>
        </w:rPr>
      </w:pPr>
    </w:p>
    <w:p>
      <w:pPr>
        <w:jc w:val="both"/>
        <w:ind w:firstLine="469"/>
        <w:spacing w:after="0" w:line="288" w:lineRule="auto"/>
        <w:rPr>
          <w:sz w:val="20"/>
          <w:szCs w:val="20"/>
          <w:color w:val="auto"/>
        </w:rPr>
      </w:pPr>
      <w:r>
        <w:rPr>
          <w:rFonts w:ascii="Arial" w:cs="Arial" w:eastAsia="Arial" w:hAnsi="Arial"/>
          <w:sz w:val="17"/>
          <w:szCs w:val="17"/>
          <w:color w:val="auto"/>
        </w:rPr>
        <w:t>On October 1, 2021, the Company invested $8,500 in first lien debt, subordinated debt, and common equity of Auto CRM LLC (dba Dealer Holdings), a leading SaaS-based provider of customer communication software to the auto repair market.</w:t>
      </w:r>
    </w:p>
    <w:p>
      <w:pPr>
        <w:spacing w:after="0" w:line="114" w:lineRule="exact"/>
        <w:rPr>
          <w:sz w:val="20"/>
          <w:szCs w:val="20"/>
          <w:color w:val="auto"/>
        </w:rPr>
      </w:pPr>
    </w:p>
    <w:p>
      <w:pPr>
        <w:jc w:val="both"/>
        <w:ind w:firstLine="469"/>
        <w:spacing w:after="0" w:line="288" w:lineRule="auto"/>
        <w:rPr>
          <w:sz w:val="20"/>
          <w:szCs w:val="20"/>
          <w:color w:val="auto"/>
        </w:rPr>
      </w:pPr>
      <w:r>
        <w:rPr>
          <w:rFonts w:ascii="Arial" w:cs="Arial" w:eastAsia="Arial" w:hAnsi="Arial"/>
          <w:sz w:val="17"/>
          <w:szCs w:val="17"/>
          <w:color w:val="auto"/>
        </w:rPr>
        <w:t>On October 6, 2021, the Company invested $18,500 in first lien debt, common equity, and warrants of Acendre Midco, Inc., a market leading provider of cloud-based talent management software solutions.</w:t>
      </w:r>
    </w:p>
    <w:p>
      <w:pPr>
        <w:spacing w:after="0" w:line="114" w:lineRule="exact"/>
        <w:rPr>
          <w:sz w:val="20"/>
          <w:szCs w:val="20"/>
          <w:color w:val="auto"/>
        </w:rPr>
      </w:pPr>
    </w:p>
    <w:p>
      <w:pPr>
        <w:jc w:val="both"/>
        <w:ind w:firstLine="469"/>
        <w:spacing w:after="0" w:line="276" w:lineRule="auto"/>
        <w:rPr>
          <w:sz w:val="20"/>
          <w:szCs w:val="20"/>
          <w:color w:val="auto"/>
        </w:rPr>
      </w:pPr>
      <w:r>
        <w:rPr>
          <w:rFonts w:ascii="Arial" w:cs="Arial" w:eastAsia="Arial" w:hAnsi="Arial"/>
          <w:sz w:val="17"/>
          <w:szCs w:val="17"/>
          <w:color w:val="auto"/>
        </w:rPr>
        <w:t>On October 8, 2021, the Company closed the public offering of approximately $125,000 in aggregate principal amount of its 3.50% notes due 2026, or the “November 2026 Notes.” The total net proceeds to the Company from the November 2026 Notes, based on a public offering price of 99.996% of par, after deducting underwriting discounts of $2,500 and estimated offering expenses of $400, were approximately $122,095.</w:t>
      </w:r>
    </w:p>
    <w:p>
      <w:pPr>
        <w:spacing w:after="0" w:line="124" w:lineRule="exact"/>
        <w:rPr>
          <w:sz w:val="20"/>
          <w:szCs w:val="20"/>
          <w:color w:val="auto"/>
        </w:rPr>
      </w:pPr>
    </w:p>
    <w:p>
      <w:pPr>
        <w:jc w:val="both"/>
        <w:ind w:firstLine="469"/>
        <w:spacing w:after="0" w:line="268" w:lineRule="auto"/>
        <w:rPr>
          <w:sz w:val="20"/>
          <w:szCs w:val="20"/>
          <w:color w:val="auto"/>
        </w:rPr>
      </w:pPr>
      <w:r>
        <w:rPr>
          <w:rFonts w:ascii="Arial" w:cs="Arial" w:eastAsia="Arial" w:hAnsi="Arial"/>
          <w:sz w:val="17"/>
          <w:szCs w:val="17"/>
          <w:color w:val="auto"/>
        </w:rPr>
        <w:t>The November 2026 Notes will mature on November 15, 2026 and bear interest at a rate of 3.50% per year. The November 2026 Notes are unsecured obligations and rank pari passu with the Company’s existing and future unsecured indebtedness; and structurally subordinated to all existing and future indebtedness and other obligations of any of its subsidiaries, financing vehicles, or similar facilities the Company may form in the future, with respect to claims on the assets of any such subsidiaries, financing vehicles, or similar facilities. The November 2026 Notes may be redeemed in whole or in part at any time or from time to time at the Company’s option subject to a make whole provision if redeemed more than three months prior to maturity or at par thereafter. Interest on the November 2026 Notes is payable on May 15 and November 15 of each year, beginning May 15, 2022. The Company does not intend to list the November 2026 Notes on any securities exchange or automated dealer quotation system.</w:t>
      </w:r>
    </w:p>
    <w:p>
      <w:pPr>
        <w:spacing w:after="0" w:line="133" w:lineRule="exact"/>
        <w:rPr>
          <w:sz w:val="20"/>
          <w:szCs w:val="20"/>
          <w:color w:val="auto"/>
        </w:rPr>
      </w:pPr>
    </w:p>
    <w:p>
      <w:pPr>
        <w:jc w:val="both"/>
        <w:ind w:firstLine="469"/>
        <w:spacing w:after="0" w:line="288" w:lineRule="auto"/>
        <w:rPr>
          <w:sz w:val="20"/>
          <w:szCs w:val="20"/>
          <w:color w:val="auto"/>
        </w:rPr>
      </w:pPr>
      <w:r>
        <w:rPr>
          <w:rFonts w:ascii="Arial" w:cs="Arial" w:eastAsia="Arial" w:hAnsi="Arial"/>
          <w:sz w:val="17"/>
          <w:szCs w:val="17"/>
          <w:color w:val="auto"/>
        </w:rPr>
        <w:t>On October 26, 2021. the Company exited its debt investment in the Tranzonic Companies. The Company received payment in full of $7,066 on its subordinated debt, which includes a prepayment fee.</w:t>
      </w:r>
    </w:p>
    <w:p>
      <w:pPr>
        <w:spacing w:after="0" w:line="114" w:lineRule="exact"/>
        <w:rPr>
          <w:sz w:val="20"/>
          <w:szCs w:val="20"/>
          <w:color w:val="auto"/>
        </w:rPr>
      </w:pPr>
    </w:p>
    <w:p>
      <w:pPr>
        <w:jc w:val="both"/>
        <w:ind w:firstLine="469"/>
        <w:spacing w:after="0" w:line="288" w:lineRule="auto"/>
        <w:rPr>
          <w:sz w:val="20"/>
          <w:szCs w:val="20"/>
          <w:color w:val="auto"/>
        </w:rPr>
      </w:pPr>
      <w:r>
        <w:rPr>
          <w:rFonts w:ascii="Arial" w:cs="Arial" w:eastAsia="Arial" w:hAnsi="Arial"/>
          <w:sz w:val="17"/>
          <w:szCs w:val="17"/>
          <w:color w:val="auto"/>
        </w:rPr>
        <w:t>On October 29, 2021, the Company committed $16,000 in second lien debt in a leading marketing technology platform for digital customer acquisition across all consumer verticals, including financial services, home services, and insurance.</w:t>
      </w:r>
    </w:p>
    <w:p>
      <w:pPr>
        <w:spacing w:after="0" w:line="127" w:lineRule="exact"/>
        <w:rPr>
          <w:sz w:val="20"/>
          <w:szCs w:val="20"/>
          <w:color w:val="auto"/>
        </w:rPr>
      </w:pPr>
    </w:p>
    <w:p>
      <w:pPr>
        <w:jc w:val="both"/>
        <w:ind w:firstLine="469"/>
        <w:spacing w:after="0" w:line="288" w:lineRule="auto"/>
        <w:rPr>
          <w:sz w:val="20"/>
          <w:szCs w:val="20"/>
          <w:color w:val="auto"/>
        </w:rPr>
      </w:pPr>
      <w:r>
        <w:rPr>
          <w:rFonts w:ascii="Arial" w:cs="Arial" w:eastAsia="Arial" w:hAnsi="Arial"/>
          <w:sz w:val="17"/>
          <w:szCs w:val="17"/>
          <w:color w:val="auto"/>
        </w:rPr>
        <w:t>On November 1, 2021, the Board declared a regular quarterly dividend of $0.32 per share, a supplemental dividend of $0.04 per share, and a special dividend of $0.05 per share payable December 17, 2021, to stockholders of record as of December 3, 2021.</w:t>
      </w:r>
    </w:p>
    <w:p>
      <w:pPr>
        <w:spacing w:after="0" w:line="114" w:lineRule="exact"/>
        <w:rPr>
          <w:sz w:val="20"/>
          <w:szCs w:val="20"/>
          <w:color w:val="auto"/>
        </w:rPr>
      </w:pPr>
    </w:p>
    <w:p>
      <w:pPr>
        <w:jc w:val="both"/>
        <w:ind w:firstLine="469"/>
        <w:spacing w:after="0" w:line="288" w:lineRule="auto"/>
        <w:rPr>
          <w:sz w:val="20"/>
          <w:szCs w:val="20"/>
          <w:color w:val="auto"/>
        </w:rPr>
      </w:pPr>
      <w:r>
        <w:rPr>
          <w:rFonts w:ascii="Arial" w:cs="Arial" w:eastAsia="Arial" w:hAnsi="Arial"/>
          <w:sz w:val="17"/>
          <w:szCs w:val="17"/>
          <w:color w:val="auto"/>
        </w:rPr>
        <w:t>On November 2, 2021, the Company fully redeemed $19,000 and $63,250 of the issued and outstanding February 2024 Notes and November 2024 Notes, respectively, resulting in a realized loss on extinguishment of debt of approximately $1,623.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76" w:lineRule="exact"/>
        <w:rPr>
          <w:sz w:val="20"/>
          <w:szCs w:val="20"/>
          <w:color w:val="auto"/>
        </w:rPr>
      </w:pPr>
    </w:p>
    <w:p>
      <w:pPr>
        <w:jc w:val="both"/>
        <w:ind w:firstLine="300"/>
        <w:spacing w:after="0" w:line="272"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Fidus Investment Corporation’s consolidated financial statements and related notes appearing in our annual report on Form 10-K for the year ended December 31, 2020, filed with the SEC on February 25, 2021. The information contained in this section should also be read in conjunction with our unaudited consolidated financial statements and related notes thereto appearing elsewhere in this quarterly report on Form 10-Q.</w:t>
      </w:r>
    </w:p>
    <w:p>
      <w:pPr>
        <w:spacing w:after="0" w:line="191" w:lineRule="exact"/>
        <w:rPr>
          <w:sz w:val="20"/>
          <w:szCs w:val="20"/>
          <w:color w:val="auto"/>
        </w:rPr>
      </w:pPr>
    </w:p>
    <w:p>
      <w:pPr>
        <w:ind w:right="300" w:firstLine="282"/>
        <w:spacing w:after="0" w:line="451" w:lineRule="auto"/>
        <w:rPr>
          <w:sz w:val="20"/>
          <w:szCs w:val="20"/>
          <w:color w:val="auto"/>
        </w:rPr>
      </w:pPr>
      <w:r>
        <w:rPr>
          <w:rFonts w:ascii="Arial" w:cs="Arial" w:eastAsia="Arial" w:hAnsi="Arial"/>
          <w:sz w:val="17"/>
          <w:szCs w:val="17"/>
          <w:i w:val="1"/>
          <w:iCs w:val="1"/>
          <w:color w:val="auto"/>
        </w:rPr>
        <w:t xml:space="preserve">Except as otherwise specified, references to “we,” “us,” “our,” “Fidus” and “FIC” refer to Fidus Investment Corporation and its consolidated subsidiaries. </w:t>
      </w:r>
      <w:r>
        <w:rPr>
          <w:rFonts w:ascii="Arial" w:cs="Arial" w:eastAsia="Arial" w:hAnsi="Arial"/>
          <w:sz w:val="17"/>
          <w:szCs w:val="17"/>
          <w:b w:val="1"/>
          <w:bCs w:val="1"/>
          <w:color w:val="auto"/>
        </w:rPr>
        <w:t>Forward Looking Statements</w:t>
      </w:r>
    </w:p>
    <w:p>
      <w:pPr>
        <w:spacing w:after="0" w:line="1"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This Quarterly Report on Form 10-Q contains forward-looking statements that involve substantial risks and uncertainties. These forward-looking statements are not historical facts, but rather are based on current expectations, estimates and projections about Fidus Investment Corporation,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 forward-looking statements contained in this Quarterly Report on Form 10-Q involve risks and uncertainties, including statements as to:</w:t>
      </w:r>
    </w:p>
    <w:p>
      <w:pPr>
        <w:spacing w:after="0" w:line="131" w:lineRule="exact"/>
        <w:rPr>
          <w:sz w:val="20"/>
          <w:szCs w:val="20"/>
          <w:color w:val="auto"/>
        </w:rPr>
      </w:pPr>
    </w:p>
    <w:p>
      <w:pPr>
        <w:ind w:left="920" w:right="2680"/>
        <w:spacing w:after="0" w:line="264" w:lineRule="auto"/>
        <w:rPr>
          <w:sz w:val="20"/>
          <w:szCs w:val="20"/>
          <w:color w:val="auto"/>
        </w:rPr>
      </w:pPr>
      <w:r>
        <w:rPr>
          <w:rFonts w:ascii="Arial" w:cs="Arial" w:eastAsia="Arial" w:hAnsi="Arial"/>
          <w:sz w:val="17"/>
          <w:szCs w:val="17"/>
          <w:color w:val="auto"/>
        </w:rPr>
        <w:t>our future operating results and the uncertainties associated with the impact of the COVID-19 pandemic thereon; changes in the financial and lending markets;</w:t>
      </w:r>
    </w:p>
    <w:p>
      <w:pPr>
        <w:spacing w:after="0" w:line="1" w:lineRule="exact"/>
        <w:rPr>
          <w:sz w:val="20"/>
          <w:szCs w:val="20"/>
          <w:color w:val="auto"/>
        </w:rPr>
      </w:pPr>
    </w:p>
    <w:p>
      <w:pPr>
        <w:ind w:left="920" w:right="20"/>
        <w:spacing w:after="0" w:line="264" w:lineRule="auto"/>
        <w:rPr>
          <w:sz w:val="20"/>
          <w:szCs w:val="20"/>
          <w:color w:val="auto"/>
        </w:rPr>
      </w:pPr>
      <w:r>
        <w:rPr>
          <w:rFonts w:ascii="Arial" w:cs="Arial" w:eastAsia="Arial" w:hAnsi="Arial"/>
          <w:sz w:val="17"/>
          <w:szCs w:val="17"/>
          <w:color w:val="auto"/>
        </w:rPr>
        <w:t>our business prospects and the prospects of our portfolio companies, including our and their ability to achieve our respective objectives as a result of the current COVID-19 pandemic;</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impact of investments that we expect to make;</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our contractual arrangements and relationships with third parties;</w:t>
      </w:r>
    </w:p>
    <w:p>
      <w:pPr>
        <w:spacing w:after="0" w:line="20" w:lineRule="exact"/>
        <w:rPr>
          <w:sz w:val="20"/>
          <w:szCs w:val="20"/>
          <w:color w:val="auto"/>
        </w:rPr>
      </w:pPr>
    </w:p>
    <w:p>
      <w:pPr>
        <w:ind w:left="920" w:right="420"/>
        <w:spacing w:after="0" w:line="264" w:lineRule="auto"/>
        <w:rPr>
          <w:sz w:val="20"/>
          <w:szCs w:val="20"/>
          <w:color w:val="auto"/>
        </w:rPr>
      </w:pPr>
      <w:r>
        <w:rPr>
          <w:rFonts w:ascii="Arial" w:cs="Arial" w:eastAsia="Arial" w:hAnsi="Arial"/>
          <w:sz w:val="17"/>
          <w:szCs w:val="17"/>
          <w:color w:val="auto"/>
        </w:rPr>
        <w:t>the dependence of our future success on the general economy and its impact on the industries in which we invest and the impact of the COVID-19 pandemic thereon;</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ability of our portfolio companies to achieve their objectives;</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our expected financing and investments;</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adequacy of our cash resources and working capital;</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timing of cash flows, if any, from the operations of our portfolio companies and the impact of the COVID-19 pandemic thereon;</w:t>
      </w:r>
    </w:p>
    <w:p>
      <w:pPr>
        <w:spacing w:after="0" w:line="20" w:lineRule="exact"/>
        <w:rPr>
          <w:sz w:val="20"/>
          <w:szCs w:val="20"/>
          <w:color w:val="auto"/>
        </w:rPr>
      </w:pPr>
    </w:p>
    <w:p>
      <w:pPr>
        <w:ind w:left="920" w:right="620"/>
        <w:spacing w:after="0" w:line="264" w:lineRule="auto"/>
        <w:rPr>
          <w:sz w:val="20"/>
          <w:szCs w:val="20"/>
          <w:color w:val="auto"/>
        </w:rPr>
      </w:pPr>
      <w:r>
        <w:rPr>
          <w:rFonts w:ascii="Arial" w:cs="Arial" w:eastAsia="Arial" w:hAnsi="Arial"/>
          <w:sz w:val="17"/>
          <w:szCs w:val="17"/>
          <w:color w:val="auto"/>
        </w:rPr>
        <w:t>the ability of the Investment Advisor to locate suitable investments for us and to monitor and administer our investments and the impacts of the COVID-19 pandemic thereon;</w:t>
      </w:r>
    </w:p>
    <w:p>
      <w:pPr>
        <w:spacing w:after="0" w:line="1" w:lineRule="exact"/>
        <w:rPr>
          <w:sz w:val="20"/>
          <w:szCs w:val="20"/>
          <w:color w:val="auto"/>
        </w:rPr>
      </w:pPr>
    </w:p>
    <w:p>
      <w:pPr>
        <w:ind w:left="920" w:right="4480"/>
        <w:spacing w:after="0" w:line="264" w:lineRule="auto"/>
        <w:rPr>
          <w:sz w:val="20"/>
          <w:szCs w:val="20"/>
          <w:color w:val="auto"/>
        </w:rPr>
      </w:pPr>
      <w:r>
        <w:rPr>
          <w:rFonts w:ascii="Arial" w:cs="Arial" w:eastAsia="Arial" w:hAnsi="Arial"/>
          <w:sz w:val="17"/>
          <w:szCs w:val="17"/>
          <w:color w:val="auto"/>
        </w:rPr>
        <w:t>the ability of our investment advisor to attract and retain highly talented professionals; our regulatory structure and tax status;</w:t>
      </w:r>
    </w:p>
    <w:p>
      <w:pPr>
        <w:spacing w:after="0" w:line="1" w:lineRule="exact"/>
        <w:rPr>
          <w:sz w:val="20"/>
          <w:szCs w:val="20"/>
          <w:color w:val="auto"/>
        </w:rPr>
      </w:pPr>
    </w:p>
    <w:p>
      <w:pPr>
        <w:ind w:left="920" w:right="4400"/>
        <w:spacing w:after="0" w:line="264" w:lineRule="auto"/>
        <w:rPr>
          <w:sz w:val="20"/>
          <w:szCs w:val="20"/>
          <w:color w:val="auto"/>
        </w:rPr>
      </w:pPr>
      <w:r>
        <w:rPr>
          <w:rFonts w:ascii="Arial" w:cs="Arial" w:eastAsia="Arial" w:hAnsi="Arial"/>
          <w:sz w:val="17"/>
          <w:szCs w:val="17"/>
          <w:color w:val="auto"/>
        </w:rPr>
        <w:t>our ability to operate as a BDC and a RIC and each of the Funds to operate as an SBIC; the timing, form and amount of any dividend distributions; the impact of fluctuations in interest rates on our business;</w:t>
      </w:r>
    </w:p>
    <w:p>
      <w:pPr>
        <w:spacing w:after="0" w:line="2" w:lineRule="exact"/>
        <w:rPr>
          <w:sz w:val="20"/>
          <w:szCs w:val="20"/>
          <w:color w:val="auto"/>
        </w:rPr>
      </w:pPr>
    </w:p>
    <w:p>
      <w:pPr>
        <w:ind w:left="920" w:right="2760"/>
        <w:spacing w:after="0" w:line="288" w:lineRule="auto"/>
        <w:rPr>
          <w:sz w:val="20"/>
          <w:szCs w:val="20"/>
          <w:color w:val="auto"/>
        </w:rPr>
      </w:pPr>
      <w:r>
        <w:rPr>
          <w:rFonts w:ascii="Arial" w:cs="Arial" w:eastAsia="Arial" w:hAnsi="Arial"/>
          <w:sz w:val="17"/>
          <w:szCs w:val="17"/>
          <w:color w:val="auto"/>
        </w:rPr>
        <w:t>the valuation of any investments in portfolio companies, particularly those having no liquid trading market; and our ability to recover unrealized losses.</w:t>
      </w:r>
    </w:p>
    <w:p>
      <w:pPr>
        <w:spacing w:after="0" w:line="114" w:lineRule="exact"/>
        <w:rPr>
          <w:sz w:val="20"/>
          <w:szCs w:val="20"/>
          <w:color w:val="auto"/>
        </w:rPr>
      </w:pPr>
    </w:p>
    <w:p>
      <w:pPr>
        <w:jc w:val="both"/>
        <w:ind w:firstLine="510"/>
        <w:spacing w:after="0" w:line="276" w:lineRule="auto"/>
        <w:rPr>
          <w:sz w:val="20"/>
          <w:szCs w:val="20"/>
          <w:color w:val="auto"/>
        </w:rPr>
      </w:pPr>
      <w:r>
        <w:rPr>
          <w:rFonts w:ascii="Arial" w:cs="Arial" w:eastAsia="Arial" w:hAnsi="Arial"/>
          <w:sz w:val="17"/>
          <w:szCs w:val="17"/>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62" w:lineRule="exact"/>
        <w:rPr>
          <w:sz w:val="20"/>
          <w:szCs w:val="20"/>
          <w:color w:val="auto"/>
        </w:rPr>
      </w:pPr>
    </w:p>
    <w:p>
      <w:pPr>
        <w:ind w:left="920" w:right="180"/>
        <w:spacing w:after="0" w:line="264" w:lineRule="auto"/>
        <w:rPr>
          <w:sz w:val="20"/>
          <w:szCs w:val="20"/>
          <w:color w:val="auto"/>
        </w:rPr>
      </w:pPr>
      <w:r>
        <w:rPr>
          <w:rFonts w:ascii="Arial" w:cs="Arial" w:eastAsia="Arial" w:hAnsi="Arial"/>
          <w:sz w:val="17"/>
          <w:szCs w:val="17"/>
          <w:color w:val="auto"/>
        </w:rPr>
        <w:t>an economic downturn, including as a result of the current COVID-19 pandemic, could impair our portfolio companies’ ability to continue to operate, which could lead to the loss of some or all of our investments in such portfolio companies;</w:t>
      </w:r>
    </w:p>
    <w:p>
      <w:pPr>
        <w:spacing w:after="0" w:line="1" w:lineRule="exact"/>
        <w:rPr>
          <w:sz w:val="20"/>
          <w:szCs w:val="20"/>
          <w:color w:val="auto"/>
        </w:rPr>
      </w:pPr>
    </w:p>
    <w:p>
      <w:pPr>
        <w:ind w:left="920" w:right="380"/>
        <w:spacing w:after="0" w:line="264" w:lineRule="auto"/>
        <w:rPr>
          <w:sz w:val="20"/>
          <w:szCs w:val="20"/>
          <w:color w:val="auto"/>
        </w:rPr>
      </w:pPr>
      <w:r>
        <w:rPr>
          <w:rFonts w:ascii="Arial" w:cs="Arial" w:eastAsia="Arial" w:hAnsi="Arial"/>
          <w:sz w:val="17"/>
          <w:szCs w:val="17"/>
          <w:color w:val="auto"/>
        </w:rPr>
        <w:t>a contraction of available credit and/or an inability to access the equity markets, including as a result of the COVID-19 pandemic, could impair our lending and investment activities;</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interest rate volatility could adversely affect our results, particularly because we use leverage as part of our investment strategy; and</w:t>
      </w:r>
    </w:p>
    <w:p>
      <w:pPr>
        <w:spacing w:after="0" w:line="20" w:lineRule="exact"/>
        <w:rPr>
          <w:sz w:val="20"/>
          <w:szCs w:val="20"/>
          <w:color w:val="auto"/>
        </w:rPr>
      </w:pPr>
    </w:p>
    <w:p>
      <w:pPr>
        <w:ind w:left="920" w:right="520"/>
        <w:spacing w:after="0" w:line="264" w:lineRule="auto"/>
        <w:rPr>
          <w:sz w:val="20"/>
          <w:szCs w:val="20"/>
          <w:color w:val="auto"/>
        </w:rPr>
      </w:pPr>
      <w:r>
        <w:rPr>
          <w:rFonts w:ascii="Arial" w:cs="Arial" w:eastAsia="Arial" w:hAnsi="Arial"/>
          <w:sz w:val="17"/>
          <w:szCs w:val="17"/>
          <w:color w:val="auto"/>
        </w:rPr>
        <w:t>the risks, uncertainties and other factors we identify in Item 1A. – Risk Factors contained in our Annual Report on Form 10-K for the year ended December 31, 2020, elsewhere in this Quarterly Report on Form 10-Q and in our other filings with the SEC.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9" w:name="page40"/>
    <w:bookmarkEnd w:id="39"/>
    <w:p>
      <w:pPr>
        <w:jc w:val="both"/>
        <w:ind w:firstLine="807"/>
        <w:spacing w:after="0" w:line="287" w:lineRule="auto"/>
        <w:rPr>
          <w:sz w:val="20"/>
          <w:szCs w:val="20"/>
          <w:color w:val="auto"/>
        </w:rPr>
      </w:pPr>
      <w:r>
        <w:rPr>
          <w:rFonts w:ascii="Arial" w:cs="Arial" w:eastAsia="Arial" w:hAnsi="Arial"/>
          <w:sz w:val="16"/>
          <w:szCs w:val="16"/>
          <w:color w:val="auto"/>
        </w:rPr>
        <w:t xml:space="preserve">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debt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w:t>
      </w:r>
      <w:r>
        <w:rPr>
          <w:rFonts w:ascii="Arial" w:cs="Arial" w:eastAsia="Arial" w:hAnsi="Arial"/>
          <w:sz w:val="16"/>
          <w:szCs w:val="16"/>
          <w:i w:val="1"/>
          <w:iCs w:val="1"/>
          <w:color w:val="auto"/>
        </w:rPr>
        <w:t>Item 1.A – Risk Factors</w:t>
      </w:r>
      <w:r>
        <w:rPr>
          <w:rFonts w:ascii="Arial" w:cs="Arial" w:eastAsia="Arial" w:hAnsi="Arial"/>
          <w:sz w:val="16"/>
          <w:szCs w:val="16"/>
          <w:color w:val="auto"/>
        </w:rPr>
        <w:t xml:space="preserve"> contained in our Annual Report on Form 10-K for the year ended December 31, 2020, filed with the SEC on February 25, 2021. You should not place undue reliance on these forward-looking statements, which apply only as of the date of this Quarterly Report on Form 10-Q.</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07"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Overview</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General and Corporate Structure</w:t>
      </w:r>
    </w:p>
    <w:p>
      <w:pPr>
        <w:spacing w:after="0" w:line="172" w:lineRule="exact"/>
        <w:rPr>
          <w:sz w:val="20"/>
          <w:szCs w:val="20"/>
          <w:color w:val="auto"/>
        </w:rPr>
      </w:pPr>
    </w:p>
    <w:p>
      <w:pPr>
        <w:jc w:val="both"/>
        <w:ind w:firstLine="478"/>
        <w:spacing w:after="0" w:line="287" w:lineRule="auto"/>
        <w:rPr>
          <w:sz w:val="20"/>
          <w:szCs w:val="20"/>
          <w:color w:val="auto"/>
        </w:rPr>
      </w:pPr>
      <w:r>
        <w:rPr>
          <w:rFonts w:ascii="Arial" w:cs="Arial" w:eastAsia="Arial" w:hAnsi="Arial"/>
          <w:sz w:val="16"/>
          <w:szCs w:val="16"/>
          <w:color w:val="auto"/>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Although we are classified as a non-diversified investment company within the meaning of the 1940 Act, we maintain the flexibility to operate as a diversified investment company and have done so for an extended period of time. We seek to maintain a diversified portfolio of investments in order to help mitigate the potential effects of adverse economic events related to particular companies, regions or industries.</w:t>
      </w:r>
    </w:p>
    <w:p>
      <w:pPr>
        <w:spacing w:after="0" w:line="121" w:lineRule="exact"/>
        <w:rPr>
          <w:sz w:val="20"/>
          <w:szCs w:val="20"/>
          <w:color w:val="auto"/>
        </w:rPr>
      </w:pPr>
    </w:p>
    <w:p>
      <w:pPr>
        <w:jc w:val="both"/>
        <w:ind w:firstLine="478"/>
        <w:spacing w:after="0" w:line="319" w:lineRule="auto"/>
        <w:rPr>
          <w:sz w:val="20"/>
          <w:szCs w:val="20"/>
          <w:color w:val="auto"/>
        </w:rPr>
      </w:pPr>
      <w:r>
        <w:rPr>
          <w:rFonts w:ascii="Arial" w:cs="Arial" w:eastAsia="Arial" w:hAnsi="Arial"/>
          <w:sz w:val="15"/>
          <w:szCs w:val="15"/>
          <w:color w:val="auto"/>
        </w:rPr>
        <w:t>FIC was formed as a Maryland corporation on February 14, 2011. We completed our initial public offering, or IPO, in June 2011. FIC has elected to be treated as business development company, or BDC, under the 1940 Act and our investment activities are managed by Fidus Investment Advisors, our investment advisor, and supervised by the Board, a majority of whom are independent of us. On March 29, 2013, we commenced operations of a wholly-owned subsidiary, Fund II. On April 18, 2018, we commenced operations of another wholly-owned subsidiary, Fund III. Fund II and Fund III are collectively referred to as the “Funds.”</w:t>
      </w:r>
    </w:p>
    <w:p>
      <w:pPr>
        <w:spacing w:after="0" w:line="97" w:lineRule="exact"/>
        <w:rPr>
          <w:sz w:val="20"/>
          <w:szCs w:val="20"/>
          <w:color w:val="auto"/>
        </w:rPr>
      </w:pPr>
    </w:p>
    <w:p>
      <w:pPr>
        <w:jc w:val="both"/>
        <w:ind w:firstLine="478"/>
        <w:spacing w:after="0" w:line="272" w:lineRule="auto"/>
        <w:rPr>
          <w:sz w:val="20"/>
          <w:szCs w:val="20"/>
          <w:color w:val="auto"/>
        </w:rPr>
      </w:pPr>
      <w:r>
        <w:rPr>
          <w:rFonts w:ascii="Arial" w:cs="Arial" w:eastAsia="Arial" w:hAnsi="Arial"/>
          <w:sz w:val="17"/>
          <w:szCs w:val="17"/>
          <w:color w:val="auto"/>
        </w:rPr>
        <w:t>Fund II and Fund III received their SBIC licenses on May 28, 2013, and March 21, 2019, respectively. We plan to continue to operate the Funds as SBICs, subject to SBA approval, and to utilize the proceeds of the sale of SBA-guaranteed debentures to enhance returns to our stockholders. We have also made, and continue to make, investments directly through FIC. We believe that utilizing FIC and the Funds as investment vehicles provides us with access to a broader array of investment opportunities.</w:t>
      </w:r>
    </w:p>
    <w:p>
      <w:pPr>
        <w:spacing w:after="0" w:line="128" w:lineRule="exact"/>
        <w:rPr>
          <w:sz w:val="20"/>
          <w:szCs w:val="20"/>
          <w:color w:val="auto"/>
        </w:rPr>
      </w:pPr>
    </w:p>
    <w:p>
      <w:pPr>
        <w:jc w:val="both"/>
        <w:ind w:firstLine="478"/>
        <w:spacing w:after="0" w:line="309" w:lineRule="auto"/>
        <w:rPr>
          <w:sz w:val="20"/>
          <w:szCs w:val="20"/>
          <w:color w:val="auto"/>
        </w:rPr>
      </w:pPr>
      <w:r>
        <w:rPr>
          <w:rFonts w:ascii="Arial" w:cs="Arial" w:eastAsia="Arial" w:hAnsi="Arial"/>
          <w:sz w:val="15"/>
          <w:szCs w:val="15"/>
          <w:color w:val="auto"/>
        </w:rPr>
        <w:t>We have certain wholly-owned taxable subsidiaries (the “Taxable Subsidiaries”), each of which generally holds one or more of our portfolio investments listed on the consolidated schedules of investments. The Taxable Subsidiaries are consolidated for financial reporting purposes, such that our consolidated financial statements reflect our investment in the portfolio company investments owned by the Taxable Subsidiaries. The purpose of the Taxable Subsidiaries is to permit us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us for U.S. federal corporate income tax purposes, and each Taxable Subsidiary will be subject to U.S. federal corporate income tax on its taxable income. Any such income or expense is reflected in the consolidated statements of operations.</w:t>
      </w:r>
    </w:p>
    <w:p>
      <w:pPr>
        <w:spacing w:after="0" w:line="258"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COVID-19 Update</w:t>
      </w:r>
    </w:p>
    <w:p>
      <w:pPr>
        <w:spacing w:after="0" w:line="121" w:lineRule="exact"/>
        <w:rPr>
          <w:sz w:val="20"/>
          <w:szCs w:val="20"/>
          <w:color w:val="auto"/>
        </w:rPr>
      </w:pPr>
    </w:p>
    <w:p>
      <w:pPr>
        <w:jc w:val="both"/>
        <w:ind w:firstLine="510"/>
        <w:spacing w:after="0" w:line="305" w:lineRule="auto"/>
        <w:rPr>
          <w:sz w:val="20"/>
          <w:szCs w:val="20"/>
          <w:color w:val="auto"/>
        </w:rPr>
      </w:pPr>
      <w:r>
        <w:rPr>
          <w:rFonts w:ascii="Arial" w:cs="Arial" w:eastAsia="Arial" w:hAnsi="Arial"/>
          <w:sz w:val="15"/>
          <w:szCs w:val="15"/>
          <w:color w:val="auto"/>
        </w:rPr>
        <w:t>On March 11, 2020, the World Health Organization declared the novel coronavirus, or COVID-19, as a pandemic, and on March 13, 2020 the United States declared a national emergency with respect to COVID-19. The outbreak of COVID-19 has severely impacted global economic activity and caused significant volatility and negative pressure in financial markets. We have been closely monitoring, and will continue to monitor, the impact of the COVID-19 pandemic and its impact on all aspects of our business, including how it will impact our portfolio companies, employees, due diligence and underwriting processes, and financial markets. Given the fluidity of the pandemic, we cannot estimate the long-term impact of COVID-19 on our business, future results of operations, financial position or cash flows at this time. Further, the operational and financial performance of the portfolio companies in which we make investments may be significantly impacted by COVID-19, which may in turn impact the valuation of our investments. We believe our portfolio companies have taken, and continue to take, immediate actions to effectively and efficiently respond to the challenges posed by COVID-19 and related orders imposed by state and local governments, including developing liquidity plans supported by internal cash reserves, and shareholder support. The COVID-19 pandemic and preventative measures taken to contain or mitigate its spread have caused, and are continuing to cause, business shutdowns and cancellations of events and travel. In addition, while consumer demand for goods and services has begun to rebound, we continue to see reductions in business activity and financial transactions, supply chain interruptions and overall economic and financial market instability both in the United States and globally. Such effects will likely continue for the duration of the pandemic, which is uncertain, and for some period thereafter.</w:t>
      </w:r>
    </w:p>
    <w:p>
      <w:pPr>
        <w:spacing w:after="0" w:line="108"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Investments</w:t>
      </w:r>
    </w:p>
    <w:p>
      <w:pPr>
        <w:spacing w:after="0" w:line="223" w:lineRule="exact"/>
        <w:rPr>
          <w:sz w:val="20"/>
          <w:szCs w:val="20"/>
          <w:color w:val="auto"/>
        </w:rPr>
      </w:pPr>
    </w:p>
    <w:p>
      <w:pPr>
        <w:jc w:val="both"/>
        <w:ind w:firstLine="657"/>
        <w:spacing w:after="0" w:line="272" w:lineRule="auto"/>
        <w:rPr>
          <w:sz w:val="20"/>
          <w:szCs w:val="20"/>
          <w:color w:val="auto"/>
        </w:rPr>
      </w:pPr>
      <w:r>
        <w:rPr>
          <w:rFonts w:ascii="Arial" w:cs="Arial" w:eastAsia="Arial" w:hAnsi="Arial"/>
          <w:sz w:val="17"/>
          <w:szCs w:val="17"/>
          <w:color w:val="auto"/>
        </w:rPr>
        <w:t>We seek to create a diversified investment portfolio that primarily includes debt investments and, to a lesser extent, equity securities. Our investments typically range between $5.0 million to $35.0 million per portfolio company, although this investment size may vary proportionately with the size of our capital base. Our investment objective is to provide attractive risk-adjusted returns by generating both current income from our debt investments and capital appreciation from our equity related investments. We may</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1" w:name="page42"/>
    <w:bookmarkEnd w:id="41"/>
    <w:p>
      <w:pPr>
        <w:jc w:val="both"/>
        <w:spacing w:after="0" w:line="288" w:lineRule="auto"/>
        <w:rPr>
          <w:sz w:val="20"/>
          <w:szCs w:val="20"/>
          <w:color w:val="auto"/>
        </w:rPr>
      </w:pPr>
      <w:r>
        <w:rPr>
          <w:rFonts w:ascii="Arial" w:cs="Arial" w:eastAsia="Arial" w:hAnsi="Arial"/>
          <w:sz w:val="17"/>
          <w:szCs w:val="17"/>
          <w:color w:val="auto"/>
        </w:rPr>
        <w:t>invest in the equity securities of our portfolio companies, such as preferred stock, common stock, warrants and other equity interests, either directly or in conjunction with our debt investments.</w:t>
      </w:r>
    </w:p>
    <w:p>
      <w:pPr>
        <w:spacing w:after="0" w:line="114" w:lineRule="exact"/>
        <w:rPr>
          <w:sz w:val="20"/>
          <w:szCs w:val="20"/>
          <w:color w:val="auto"/>
        </w:rPr>
      </w:pPr>
    </w:p>
    <w:p>
      <w:pPr>
        <w:jc w:val="both"/>
        <w:ind w:firstLine="657"/>
        <w:spacing w:after="0" w:line="284" w:lineRule="auto"/>
        <w:rPr>
          <w:sz w:val="20"/>
          <w:szCs w:val="20"/>
          <w:color w:val="auto"/>
        </w:rPr>
      </w:pPr>
      <w:r>
        <w:rPr>
          <w:rFonts w:ascii="Arial" w:cs="Arial" w:eastAsia="Arial" w:hAnsi="Arial"/>
          <w:sz w:val="16"/>
          <w:szCs w:val="16"/>
          <w:i w:val="1"/>
          <w:iCs w:val="1"/>
          <w:color w:val="auto"/>
        </w:rPr>
        <w:t>First Lien Debt</w:t>
      </w:r>
      <w:r>
        <w:rPr>
          <w:rFonts w:ascii="Arial" w:cs="Arial" w:eastAsia="Arial" w:hAnsi="Arial"/>
          <w:sz w:val="16"/>
          <w:szCs w:val="16"/>
          <w:color w:val="auto"/>
        </w:rPr>
        <w:t>. We structure some of our investments as senior secured or first lien debt investments. First lien debt investments are secured by a first</w:t>
      </w:r>
      <w:r>
        <w:rPr>
          <w:rFonts w:ascii="Arial" w:cs="Arial" w:eastAsia="Arial" w:hAnsi="Arial"/>
          <w:sz w:val="16"/>
          <w:szCs w:val="16"/>
          <w:i w:val="1"/>
          <w:iCs w:val="1"/>
          <w:color w:val="auto"/>
        </w:rPr>
        <w:t xml:space="preserve"> </w:t>
      </w:r>
      <w:r>
        <w:rPr>
          <w:rFonts w:ascii="Arial" w:cs="Arial" w:eastAsia="Arial" w:hAnsi="Arial"/>
          <w:sz w:val="16"/>
          <w:szCs w:val="16"/>
          <w:color w:val="auto"/>
        </w:rPr>
        <w:t>priority lien on existing and future assets of the borrower and may take the form of term loans or revolving lines of credit. First lien debt is typically senior on a lien basis to other liabilities in the issuer’s capital structure and has the benefit of a first-priority security interest in assets of the issuer. The security interest ranks above the security interest of any second lien lenders in those assets. Our first lien debt may include stand-alone first lien loans, “last out” first lien loans, or “unitranche” loans. Stand-alone first lien loans are traditional first lien loans. All lenders in the facility have equal rights to the collateral that is subject to the first-priority security interest. “Last out” first lien loans have a secondary priority behind super-senior “first out” first lien loans in the collateral securing the loans in certain circumstances. The arrangements for a “last out” first 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 lien loans. Agreements among lenders also typically provide greater voting rights to the “last out” lenders than the intercreditor agreements to which second lien lenders often are subject.</w:t>
      </w:r>
    </w:p>
    <w:p>
      <w:pPr>
        <w:spacing w:after="0" w:line="189" w:lineRule="exact"/>
        <w:rPr>
          <w:sz w:val="20"/>
          <w:szCs w:val="20"/>
          <w:color w:val="auto"/>
        </w:rPr>
      </w:pPr>
    </w:p>
    <w:p>
      <w:pPr>
        <w:jc w:val="both"/>
        <w:ind w:firstLine="657"/>
        <w:spacing w:after="0" w:line="276" w:lineRule="auto"/>
        <w:rPr>
          <w:sz w:val="20"/>
          <w:szCs w:val="20"/>
          <w:color w:val="auto"/>
        </w:rPr>
      </w:pPr>
      <w:r>
        <w:rPr>
          <w:rFonts w:ascii="Arial" w:cs="Arial" w:eastAsia="Arial" w:hAnsi="Arial"/>
          <w:sz w:val="17"/>
          <w:szCs w:val="17"/>
          <w:color w:val="auto"/>
        </w:rPr>
        <w:t>Many of our debt investments also include excess cash flow sweep features, whereby principal repayment may be required before maturity if the portfolio company achieves certain defined operating targets. Additionally, our debt investments typically have principal prepayment penalties in the early years of the debt investment. The majority of our debt investments provide for a variable interest rate, generally with a LIBOR floor.</w:t>
      </w:r>
    </w:p>
    <w:p>
      <w:pPr>
        <w:spacing w:after="0" w:line="124" w:lineRule="exact"/>
        <w:rPr>
          <w:sz w:val="20"/>
          <w:szCs w:val="20"/>
          <w:color w:val="auto"/>
        </w:rPr>
      </w:pPr>
    </w:p>
    <w:p>
      <w:pPr>
        <w:jc w:val="both"/>
        <w:ind w:firstLine="657"/>
        <w:spacing w:after="0" w:line="287" w:lineRule="auto"/>
        <w:rPr>
          <w:sz w:val="20"/>
          <w:szCs w:val="20"/>
          <w:color w:val="auto"/>
        </w:rPr>
      </w:pPr>
      <w:r>
        <w:rPr>
          <w:rFonts w:ascii="Arial" w:cs="Arial" w:eastAsia="Arial" w:hAnsi="Arial"/>
          <w:sz w:val="16"/>
          <w:szCs w:val="16"/>
          <w:i w:val="1"/>
          <w:iCs w:val="1"/>
          <w:color w:val="auto"/>
        </w:rPr>
        <w:t xml:space="preserve">Second Lien Debt. </w:t>
      </w:r>
      <w:r>
        <w:rPr>
          <w:rFonts w:ascii="Arial" w:cs="Arial" w:eastAsia="Arial" w:hAnsi="Arial"/>
          <w:sz w:val="16"/>
          <w:szCs w:val="16"/>
          <w:color w:val="auto"/>
        </w:rPr>
        <w:t>Some of our debt investments take the form of second lien debt, which includes senior subordinated notes. Second lien debt investments</w:t>
      </w:r>
      <w:r>
        <w:rPr>
          <w:rFonts w:ascii="Arial" w:cs="Arial" w:eastAsia="Arial" w:hAnsi="Arial"/>
          <w:sz w:val="16"/>
          <w:szCs w:val="16"/>
          <w:i w:val="1"/>
          <w:iCs w:val="1"/>
          <w:color w:val="auto"/>
        </w:rPr>
        <w:t xml:space="preserve"> </w:t>
      </w:r>
      <w:r>
        <w:rPr>
          <w:rFonts w:ascii="Arial" w:cs="Arial" w:eastAsia="Arial" w:hAnsi="Arial"/>
          <w:sz w:val="16"/>
          <w:szCs w:val="16"/>
          <w:color w:val="auto"/>
        </w:rPr>
        <w:t>obtain security interests in the assets of the portfolio company as collateral in support of the repayment of such loans. Second lien debt typically is senior on a lien basis to other liabilities in the issuer’s capital structure and has the benefit of a security interest over assets of the issuer, though ranking junior to first lien debt secured by those assets. First lien lenders and second lien lenders typically have separate liens on the collateral, and an intercreditor agreement provides the first lien lenders with priority over the second lien lenders’ liens on the collateral. These loans typically provide for no contractual loan amortization, with all amortization deferred until loan maturity, and may include payment-in-kind (“PIK”) interest, which increases the principal balance over the term and, coupled with the deferred principal payment provision, increases credit risk exposure over the life of the loan.</w:t>
      </w:r>
    </w:p>
    <w:p>
      <w:pPr>
        <w:spacing w:after="0" w:line="121" w:lineRule="exact"/>
        <w:rPr>
          <w:sz w:val="20"/>
          <w:szCs w:val="20"/>
          <w:color w:val="auto"/>
        </w:rPr>
      </w:pPr>
    </w:p>
    <w:p>
      <w:pPr>
        <w:jc w:val="both"/>
        <w:ind w:firstLine="657"/>
        <w:spacing w:after="0" w:line="286" w:lineRule="auto"/>
        <w:rPr>
          <w:sz w:val="20"/>
          <w:szCs w:val="20"/>
          <w:color w:val="auto"/>
        </w:rPr>
      </w:pPr>
      <w:r>
        <w:rPr>
          <w:rFonts w:ascii="Arial" w:cs="Arial" w:eastAsia="Arial" w:hAnsi="Arial"/>
          <w:sz w:val="16"/>
          <w:szCs w:val="16"/>
          <w:i w:val="1"/>
          <w:iCs w:val="1"/>
          <w:color w:val="auto"/>
        </w:rPr>
        <w:t xml:space="preserve">Subordinated Debt. </w:t>
      </w:r>
      <w:r>
        <w:rPr>
          <w:rFonts w:ascii="Arial" w:cs="Arial" w:eastAsia="Arial" w:hAnsi="Arial"/>
          <w:sz w:val="16"/>
          <w:szCs w:val="16"/>
          <w:color w:val="auto"/>
        </w:rPr>
        <w:t>These investments are typically structured as unsecured, subordinated notes. Structurally, subordinated debt usually ranks subordinate in</w:t>
      </w:r>
      <w:r>
        <w:rPr>
          <w:rFonts w:ascii="Arial" w:cs="Arial" w:eastAsia="Arial" w:hAnsi="Arial"/>
          <w:sz w:val="16"/>
          <w:szCs w:val="16"/>
          <w:i w:val="1"/>
          <w:iCs w:val="1"/>
          <w:color w:val="auto"/>
        </w:rPr>
        <w:t xml:space="preserve"> </w:t>
      </w:r>
      <w:r>
        <w:rPr>
          <w:rFonts w:ascii="Arial" w:cs="Arial" w:eastAsia="Arial" w:hAnsi="Arial"/>
          <w:sz w:val="16"/>
          <w:szCs w:val="16"/>
          <w:color w:val="auto"/>
        </w:rPr>
        <w:t>priority of payment to first lien and second lien debt and may not have the benefit of financial covenants common in first lien and second lien debt. Subordinated debt may rank junior as it relates to proceeds in certain liquidations where it does not have the benefit of a lien in specific collateral held by creditors (typically first lien and/or second lien) who have a perfected security interest in such collateral. However, subordinated debt ranks senior to common and preferred equity in an issuer’s capital structure. These loans typically have relatively higher fixed interest rates (often representing a combination of cash pay and PIK interest) and amortization of principal deferred to maturity. The PIK feature (meaning a feature allowing for the payment of interest in the form of additional principal amount of the loan instead of in cash), which effectively operates as negative amortization of loan principal, coupled with the deferred principal payment provision, increases credit risk exposure over the life of the loan.</w:t>
      </w:r>
    </w:p>
    <w:p>
      <w:pPr>
        <w:spacing w:after="0" w:line="173" w:lineRule="exact"/>
        <w:rPr>
          <w:sz w:val="20"/>
          <w:szCs w:val="20"/>
          <w:color w:val="auto"/>
        </w:rPr>
      </w:pPr>
    </w:p>
    <w:p>
      <w:pPr>
        <w:jc w:val="both"/>
        <w:ind w:firstLine="657"/>
        <w:spacing w:after="0" w:line="308" w:lineRule="auto"/>
        <w:rPr>
          <w:sz w:val="20"/>
          <w:szCs w:val="20"/>
          <w:color w:val="auto"/>
        </w:rPr>
      </w:pPr>
      <w:r>
        <w:rPr>
          <w:rFonts w:ascii="Arial" w:cs="Arial" w:eastAsia="Arial" w:hAnsi="Arial"/>
          <w:sz w:val="15"/>
          <w:szCs w:val="15"/>
          <w:i w:val="1"/>
          <w:iCs w:val="1"/>
          <w:color w:val="auto"/>
        </w:rPr>
        <w:t>Equity Securities</w:t>
      </w:r>
      <w:r>
        <w:rPr>
          <w:rFonts w:ascii="Arial" w:cs="Arial" w:eastAsia="Arial" w:hAnsi="Arial"/>
          <w:sz w:val="15"/>
          <w:szCs w:val="15"/>
          <w:color w:val="auto"/>
        </w:rPr>
        <w:t>. Our equity securities typically consist of either a direct minority equity investment in common or preferred stock or</w:t>
      </w:r>
      <w:r>
        <w:rPr>
          <w:rFonts w:ascii="Arial" w:cs="Arial" w:eastAsia="Arial" w:hAnsi="Arial"/>
          <w:sz w:val="15"/>
          <w:szCs w:val="15"/>
          <w:i w:val="1"/>
          <w:iCs w:val="1"/>
          <w:color w:val="auto"/>
        </w:rPr>
        <w:t xml:space="preserve"> </w:t>
      </w:r>
      <w:r>
        <w:rPr>
          <w:rFonts w:ascii="Arial" w:cs="Arial" w:eastAsia="Arial" w:hAnsi="Arial"/>
          <w:sz w:val="15"/>
          <w:szCs w:val="15"/>
          <w:color w:val="auto"/>
        </w:rPr>
        <w:t>membership/partnership interests of a portfolio company, or we may receive warrants to buy a minority equity interest in a portfolio company in connection with a debt investment. Warrants we receive with our debt investments typically require only a nominal cost to exercise, and thus, as a portfolio company appreciates in value, we may achieve additional investment return from this equity interest. Our equity investments are typically not control-oriented investments, and in many cases, we acquire equity securities as part of a group of private equity investors in which we are not the lead investor. We may structure such equity investments to include provisions protecting our rights as a minority-interest holder, as well as a “put,” or right to sell such securities back to the issuer, upon the occurrence of specified events. In many cases, we may also seek to obtain registration rights in connection with these equity interests, which may include demand and “piggyback” registration rights. Our equity investments typically are made in connection with debt investments to the same portfolio companies.</w:t>
      </w:r>
    </w:p>
    <w:p>
      <w:pPr>
        <w:spacing w:after="0" w:line="105" w:lineRule="exact"/>
        <w:rPr>
          <w:sz w:val="20"/>
          <w:szCs w:val="20"/>
          <w:color w:val="auto"/>
        </w:rPr>
      </w:pPr>
    </w:p>
    <w:p>
      <w:pPr>
        <w:jc w:val="both"/>
        <w:ind w:firstLine="478"/>
        <w:spacing w:after="0" w:line="281" w:lineRule="auto"/>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We generate revenue in the form of interest and fee income on debt investments and dividends, if any, on equity investments. Our debt investments,</w:t>
      </w:r>
      <w:r>
        <w:rPr>
          <w:rFonts w:ascii="Arial" w:cs="Arial" w:eastAsia="Arial" w:hAnsi="Arial"/>
          <w:sz w:val="16"/>
          <w:szCs w:val="16"/>
          <w:i w:val="1"/>
          <w:iCs w:val="1"/>
          <w:color w:val="auto"/>
        </w:rPr>
        <w:t xml:space="preserve"> </w:t>
      </w:r>
      <w:r>
        <w:rPr>
          <w:rFonts w:ascii="Arial" w:cs="Arial" w:eastAsia="Arial" w:hAnsi="Arial"/>
          <w:sz w:val="16"/>
          <w:szCs w:val="16"/>
          <w:color w:val="auto"/>
        </w:rPr>
        <w:t>whether in the form of second lien, subordinated or first lien loans, typically have terms of five to seven years and most bear interest at fixed rates or variable rates. In some instances, we receive payments on our debt investments based on scheduled amortization of the outstanding balances. In addition, we may receive repayments of some of our debt investments prior to their scheduled maturity dates, which may include prepayment penalties. The frequency or volume of these repayments fluctuates significantly from period to period. Our portfolio activity may reflect the proceeds of sales of securities. In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42" w:name="page43"/>
    <w:bookmarkEnd w:id="42"/>
    <w:p>
      <w:pPr>
        <w:jc w:val="both"/>
        <w:spacing w:after="0" w:line="284" w:lineRule="auto"/>
        <w:rPr>
          <w:sz w:val="20"/>
          <w:szCs w:val="20"/>
          <w:color w:val="auto"/>
        </w:rPr>
      </w:pPr>
      <w:r>
        <w:rPr>
          <w:rFonts w:ascii="Arial" w:cs="Arial" w:eastAsia="Arial" w:hAnsi="Arial"/>
          <w:sz w:val="16"/>
          <w:szCs w:val="16"/>
          <w:color w:val="auto"/>
        </w:rPr>
        <w:t>some cases, our investments provide for deferred interest payments or PIK interest. The principal amount of debt investments and any accrued but unpaid interest generally become due at the maturity date. In addition, we may generate revenue in the form of commitment, origination, amendment, or structuring fees and fees for providing managerial assistance. Debt investment origination fees, OID and market discount or premium, if any, are capitalized, and we accrete or amortize such amounts into interest income. We record prepayment penalties on debt investments as fee income when earned. Interest and dividend income is recorded on the accrual basis to the extent that we expect to collect such amounts. Interest is accrued daily based on the outstanding principal amount and the contractual terms of the debt investment. Dividend income is recorded as dividends are declared or at the point an obligation exists for the portfolio company to make a distribution, and is generally recognized when received. Distributions of earnings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 Debt investments or preferred equity investments (for which we are accruing PIK dividends) are placed on non-accrual status when principal, interest or dividend payments become materially past due, or when there is reasonable doubt that principal, interest or dividends will be collected.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 See “Critical Accounting Policies and Use of Estimates – Revenue Recognition.”</w:t>
      </w:r>
    </w:p>
    <w:p>
      <w:pPr>
        <w:spacing w:after="0" w:line="121" w:lineRule="exact"/>
        <w:rPr>
          <w:sz w:val="20"/>
          <w:szCs w:val="20"/>
          <w:color w:val="auto"/>
        </w:rPr>
      </w:pPr>
    </w:p>
    <w:p>
      <w:pPr>
        <w:jc w:val="both"/>
        <w:ind w:firstLine="478"/>
        <w:spacing w:after="0" w:line="329" w:lineRule="auto"/>
        <w:rPr>
          <w:sz w:val="20"/>
          <w:szCs w:val="20"/>
          <w:color w:val="auto"/>
        </w:rPr>
      </w:pPr>
      <w:r>
        <w:rPr>
          <w:rFonts w:ascii="Arial" w:cs="Arial" w:eastAsia="Arial" w:hAnsi="Arial"/>
          <w:sz w:val="15"/>
          <w:szCs w:val="15"/>
          <w:color w:val="auto"/>
        </w:rPr>
        <w:t>We recognize realized gains or losses on investments based on the difference between the net proceeds from the disposition and the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89" w:lineRule="exact"/>
        <w:rPr>
          <w:sz w:val="20"/>
          <w:szCs w:val="20"/>
          <w:color w:val="auto"/>
        </w:rPr>
      </w:pPr>
    </w:p>
    <w:p>
      <w:pPr>
        <w:jc w:val="both"/>
        <w:ind w:firstLine="478"/>
        <w:spacing w:after="0" w:line="282" w:lineRule="auto"/>
        <w:rPr>
          <w:sz w:val="20"/>
          <w:szCs w:val="20"/>
          <w:color w:val="auto"/>
        </w:rPr>
      </w:pPr>
      <w:r>
        <w:rPr>
          <w:rFonts w:ascii="Arial" w:cs="Arial" w:eastAsia="Arial" w:hAnsi="Arial"/>
          <w:sz w:val="17"/>
          <w:szCs w:val="17"/>
          <w:i w:val="1"/>
          <w:iCs w:val="1"/>
          <w:color w:val="auto"/>
        </w:rPr>
        <w:t>Expenses</w:t>
      </w:r>
      <w:r>
        <w:rPr>
          <w:rFonts w:ascii="Arial" w:cs="Arial" w:eastAsia="Arial" w:hAnsi="Arial"/>
          <w:sz w:val="17"/>
          <w:szCs w:val="17"/>
          <w:color w:val="auto"/>
        </w:rPr>
        <w:t>: All investment professionals of the Investment Advisor and/or its affiliates, when and to the extent engaged in providing investment advisory and</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services to us, and the compensation and routine overhead expenses allocable to personnel who provide these services to us, are provided and paid for by the Investment Advisor and not by us. We bear all other out-of-pocket costs and expenses of our operations and transactions, including, without limitation, those relating to:</w:t>
      </w:r>
    </w:p>
    <w:p>
      <w:pPr>
        <w:spacing w:after="0" w:line="19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organization;</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calculating our net asset value (including the cost and expenses of any independent valuation firm);</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fees and expenses incurred by the Investment Advisor under the Investment Advisory Agreement or payable to third parties, including agents,</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consultants or other advisors, in monitoring financial and legal affairs for us and in monitoring our investments and performing due diligence on our</w:t>
      </w:r>
    </w:p>
    <w:p>
      <w:pPr>
        <w:spacing w:after="0" w:line="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prospective portfolio companies or otherwise relating to, or associated with, evaluating and making investments, including “dead deal” costs;</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interest payable on debt, if any, incurred to finance our investments;</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offerings of our common stock and other securities;</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investment advisory fees and management fees;</w:t>
      </w:r>
    </w:p>
    <w:p>
      <w:pPr>
        <w:spacing w:after="0" w:line="20" w:lineRule="exact"/>
        <w:rPr>
          <w:sz w:val="20"/>
          <w:szCs w:val="20"/>
          <w:color w:val="auto"/>
        </w:rPr>
      </w:pPr>
    </w:p>
    <w:p>
      <w:pPr>
        <w:ind w:left="920"/>
        <w:spacing w:after="0" w:line="264" w:lineRule="auto"/>
        <w:rPr>
          <w:sz w:val="20"/>
          <w:szCs w:val="20"/>
          <w:color w:val="auto"/>
        </w:rPr>
      </w:pPr>
      <w:r>
        <w:rPr>
          <w:rFonts w:ascii="Arial" w:cs="Arial" w:eastAsia="Arial" w:hAnsi="Arial"/>
          <w:sz w:val="17"/>
          <w:szCs w:val="17"/>
          <w:color w:val="auto"/>
        </w:rPr>
        <w:t>administration fees and expenses, if any, payable under the Administration Agreement (including payments under the Administration Agreement between us and the Investment Advisor based upon our allocable portion of the Investment Advisor’s overhead in performing its obligations under the Administration Agreement, including rent and the allocable portion of the cost of our officers, including our chief compliance officer, our chief financial officer, and their respective staffs);</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transfer agent, dividend agent and custodial fees and expenses;</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federal and state registration fees;</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all costs of registration and listing our shares on any securities exchange;</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U.S. federal, state and local taxes;</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Independent Directors’ fees and expenses;</w:t>
      </w:r>
    </w:p>
    <w:p>
      <w:pPr>
        <w:spacing w:after="0" w:line="20" w:lineRule="exact"/>
        <w:rPr>
          <w:sz w:val="20"/>
          <w:szCs w:val="20"/>
          <w:color w:val="auto"/>
        </w:rPr>
      </w:pPr>
    </w:p>
    <w:p>
      <w:pPr>
        <w:ind w:left="920" w:right="2160"/>
        <w:spacing w:after="0" w:line="281" w:lineRule="auto"/>
        <w:rPr>
          <w:sz w:val="20"/>
          <w:szCs w:val="20"/>
          <w:color w:val="auto"/>
        </w:rPr>
      </w:pPr>
      <w:r>
        <w:rPr>
          <w:rFonts w:ascii="Arial" w:cs="Arial" w:eastAsia="Arial" w:hAnsi="Arial"/>
          <w:sz w:val="16"/>
          <w:szCs w:val="16"/>
          <w:color w:val="auto"/>
        </w:rPr>
        <w:t>costs of preparing and filing reports or other documents required by the SEC or other regulators including printing costs; costs of any reports, proxy statements or other notices to stockholders, including printing and mailing costs;</w:t>
      </w:r>
    </w:p>
    <w:p>
      <w:pPr>
        <w:ind w:left="920"/>
        <w:spacing w:after="0"/>
        <w:rPr>
          <w:sz w:val="20"/>
          <w:szCs w:val="20"/>
          <w:color w:val="auto"/>
        </w:rPr>
      </w:pPr>
      <w:r>
        <w:rPr>
          <w:rFonts w:ascii="Arial" w:cs="Arial" w:eastAsia="Arial" w:hAnsi="Arial"/>
          <w:sz w:val="16"/>
          <w:szCs w:val="16"/>
          <w:color w:val="auto"/>
        </w:rPr>
        <w:t>our allocable portion of any fidelity bond, directors and officers/errors and omissions liability insurance, and any other insurance premiums;</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direct costs and expenses of administration, including printing, mailing, long distance telephone, copying, secretarial and other staff, independent</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auditors and outside legal costs;</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proxy voting expenses; and</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all other expenses reasonably incurred by us or the Investment Advisor in connection with administering our business.</w:t>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07"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auto"/>
        </w:rPr>
        <w:t>Portfolio Composition, Investment Activity and Yield</w:t>
      </w:r>
    </w:p>
    <w:p>
      <w:pPr>
        <w:spacing w:after="0" w:line="176" w:lineRule="exact"/>
        <w:rPr>
          <w:sz w:val="20"/>
          <w:szCs w:val="20"/>
          <w:color w:val="auto"/>
        </w:rPr>
      </w:pPr>
    </w:p>
    <w:p>
      <w:pPr>
        <w:jc w:val="both"/>
        <w:ind w:firstLine="480"/>
        <w:spacing w:after="0" w:line="265" w:lineRule="auto"/>
        <w:rPr>
          <w:sz w:val="20"/>
          <w:szCs w:val="20"/>
          <w:color w:val="auto"/>
        </w:rPr>
      </w:pPr>
      <w:r>
        <w:rPr>
          <w:rFonts w:ascii="Arial" w:cs="Arial" w:eastAsia="Arial" w:hAnsi="Arial"/>
          <w:sz w:val="17"/>
          <w:szCs w:val="17"/>
          <w:color w:val="auto"/>
        </w:rPr>
        <w:t>During the nine months ended September 30, 2021 and 2020, we invested $245.5 million and $86.1 million, respectively, in debt and equity investments including twelve and five new portfolio companies, respectively. During the nine months ended September 30, 2021 and 2020, we received proceeds from sales or repayments, including principal, return of capital dividends and net realized gains (losses), of $319.0 million and $110.1 million, respectively, including exits of six and three portfolio companies, respectively. The following table summarizes investment purchases and sales and repayments of investments by type for the nine months ended September 30, 2021 and 2020 (dollars in millions).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7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rPr>
              <w:t>Purchases of Investments</w:t>
            </w: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4"/>
                <w:szCs w:val="14"/>
                <w:b w:val="1"/>
                <w:bCs w:val="1"/>
                <w:color w:val="auto"/>
              </w:rPr>
              <w:t>Sales and Repayments of Investments</w:t>
            </w:r>
          </w:p>
        </w:tc>
        <w:tc>
          <w:tcPr>
            <w:tcW w:w="5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r>
      <w:tr>
        <w:trPr>
          <w:trHeight w:val="183"/>
        </w:trPr>
        <w:tc>
          <w:tcPr>
            <w:tcW w:w="17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4"/>
                <w:szCs w:val="14"/>
                <w:b w:val="1"/>
                <w:bCs w:val="1"/>
                <w:color w:val="auto"/>
                <w:w w:val="87"/>
              </w:rPr>
              <w:t>Nine Months Ended June 30,</w:t>
            </w:r>
          </w:p>
        </w:tc>
        <w:tc>
          <w:tcPr>
            <w:tcW w:w="5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r>
      <w:tr>
        <w:trPr>
          <w:trHeight w:val="183"/>
        </w:trPr>
        <w:tc>
          <w:tcPr>
            <w:tcW w:w="17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r>
      <w:tr>
        <w:trPr>
          <w:trHeight w:val="188"/>
        </w:trPr>
        <w:tc>
          <w:tcPr>
            <w:tcW w:w="17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First Lien Debt</w:t>
            </w:r>
            <w:r>
              <w:rPr>
                <w:rFonts w:ascii="Arial" w:cs="Arial" w:eastAsia="Arial" w:hAnsi="Arial"/>
                <w:sz w:val="18"/>
                <w:szCs w:val="18"/>
                <w:color w:val="auto"/>
                <w:vertAlign w:val="superscript"/>
              </w:rPr>
              <w:t>(1)</w:t>
            </w: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172.5</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w:t>
            </w:r>
          </w:p>
        </w:tc>
        <w:tc>
          <w:tcPr>
            <w:tcW w:w="52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32"/>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57.2</w:t>
            </w:r>
          </w:p>
        </w:tc>
        <w:tc>
          <w:tcPr>
            <w:tcW w:w="50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w:t>
            </w: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4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r>
      <w:tr>
        <w:trPr>
          <w:trHeight w:val="185"/>
        </w:trPr>
        <w:tc>
          <w:tcPr>
            <w:tcW w:w="1760" w:type="dxa"/>
            <w:vAlign w:val="bottom"/>
          </w:tcPr>
          <w:p>
            <w:pPr>
              <w:ind w:left="20"/>
              <w:spacing w:after="0"/>
              <w:rPr>
                <w:sz w:val="20"/>
                <w:szCs w:val="20"/>
                <w:color w:val="auto"/>
              </w:rPr>
            </w:pPr>
            <w:r>
              <w:rPr>
                <w:rFonts w:ascii="Arial" w:cs="Arial" w:eastAsia="Arial" w:hAnsi="Arial"/>
                <w:sz w:val="14"/>
                <w:szCs w:val="14"/>
                <w:color w:val="auto"/>
              </w:rPr>
              <w:t>Second Lien Debt</w:t>
            </w:r>
          </w:p>
        </w:tc>
        <w:tc>
          <w:tcPr>
            <w:tcW w:w="3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43.9</w:t>
            </w: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17.8</w:t>
            </w: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22.0</w:t>
            </w:r>
          </w:p>
        </w:tc>
        <w:tc>
          <w:tcPr>
            <w:tcW w:w="1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25.5</w:t>
            </w: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177.8</w:t>
            </w:r>
          </w:p>
        </w:tc>
        <w:tc>
          <w:tcPr>
            <w:tcW w:w="2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55.8</w:t>
            </w: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25.2</w:t>
            </w:r>
          </w:p>
        </w:tc>
        <w:tc>
          <w:tcPr>
            <w:tcW w:w="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22.9</w:t>
            </w:r>
          </w:p>
        </w:tc>
        <w:tc>
          <w:tcPr>
            <w:tcW w:w="320" w:type="dxa"/>
            <w:vAlign w:val="bottom"/>
          </w:tcPr>
          <w:p>
            <w:pPr>
              <w:spacing w:after="0"/>
              <w:rPr>
                <w:sz w:val="16"/>
                <w:szCs w:val="16"/>
                <w:color w:val="auto"/>
              </w:rPr>
            </w:pPr>
          </w:p>
        </w:tc>
      </w:tr>
      <w:tr>
        <w:trPr>
          <w:trHeight w:val="196"/>
        </w:trPr>
        <w:tc>
          <w:tcPr>
            <w:tcW w:w="1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Subordinated Debt</w:t>
            </w: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320" w:type="dxa"/>
            <w:vAlign w:val="bottom"/>
            <w:shd w:val="clear" w:color="auto" w:fill="CCEEFF"/>
          </w:tcPr>
          <w:p>
            <w:pPr>
              <w:spacing w:after="0"/>
              <w:rPr>
                <w:sz w:val="17"/>
                <w:szCs w:val="17"/>
                <w:color w:val="auto"/>
              </w:rPr>
            </w:pPr>
          </w:p>
        </w:tc>
      </w:tr>
      <w:tr>
        <w:trPr>
          <w:trHeight w:val="185"/>
        </w:trPr>
        <w:tc>
          <w:tcPr>
            <w:tcW w:w="1760" w:type="dxa"/>
            <w:vAlign w:val="bottom"/>
          </w:tcPr>
          <w:p>
            <w:pPr>
              <w:ind w:left="20"/>
              <w:spacing w:after="0"/>
              <w:rPr>
                <w:sz w:val="20"/>
                <w:szCs w:val="20"/>
                <w:color w:val="auto"/>
              </w:rPr>
            </w:pPr>
            <w:r>
              <w:rPr>
                <w:rFonts w:ascii="Arial" w:cs="Arial" w:eastAsia="Arial" w:hAnsi="Arial"/>
                <w:sz w:val="14"/>
                <w:szCs w:val="14"/>
                <w:color w:val="auto"/>
              </w:rPr>
              <w:t>Equity</w:t>
            </w:r>
          </w:p>
        </w:tc>
        <w:tc>
          <w:tcPr>
            <w:tcW w:w="3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10.7</w:t>
            </w: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w:t>
            </w: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1.4</w:t>
            </w:r>
          </w:p>
        </w:tc>
        <w:tc>
          <w:tcPr>
            <w:tcW w:w="1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23.4</w:t>
            </w:r>
          </w:p>
        </w:tc>
        <w:tc>
          <w:tcPr>
            <w:tcW w:w="2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7.3</w:t>
            </w: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43.6</w:t>
            </w:r>
          </w:p>
        </w:tc>
        <w:tc>
          <w:tcPr>
            <w:tcW w:w="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39.6</w:t>
            </w:r>
          </w:p>
        </w:tc>
        <w:tc>
          <w:tcPr>
            <w:tcW w:w="320" w:type="dxa"/>
            <w:vAlign w:val="bottom"/>
          </w:tcPr>
          <w:p>
            <w:pPr>
              <w:spacing w:after="0"/>
              <w:rPr>
                <w:sz w:val="16"/>
                <w:szCs w:val="16"/>
                <w:color w:val="auto"/>
              </w:rPr>
            </w:pPr>
          </w:p>
        </w:tc>
      </w:tr>
      <w:tr>
        <w:trPr>
          <w:trHeight w:val="196"/>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Warrants</w:t>
            </w:r>
          </w:p>
        </w:tc>
        <w:tc>
          <w:tcPr>
            <w:tcW w:w="3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2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320" w:type="dxa"/>
            <w:vAlign w:val="bottom"/>
            <w:tcBorders>
              <w:bottom w:val="single" w:sz="8" w:color="CCEEFF"/>
            </w:tcBorders>
            <w:shd w:val="clear" w:color="auto" w:fill="CCEEFF"/>
          </w:tcPr>
          <w:p>
            <w:pPr>
              <w:spacing w:after="0"/>
              <w:rPr>
                <w:sz w:val="17"/>
                <w:szCs w:val="17"/>
                <w:color w:val="auto"/>
              </w:rPr>
            </w:pPr>
          </w:p>
        </w:tc>
      </w:tr>
      <w:tr>
        <w:trPr>
          <w:trHeight w:val="183"/>
        </w:trPr>
        <w:tc>
          <w:tcPr>
            <w:tcW w:w="1760" w:type="dxa"/>
            <w:vAlign w:val="bottom"/>
          </w:tcPr>
          <w:p>
            <w:pPr>
              <w:ind w:left="20"/>
              <w:spacing w:after="0"/>
              <w:rPr>
                <w:sz w:val="20"/>
                <w:szCs w:val="20"/>
                <w:color w:val="auto"/>
              </w:rPr>
            </w:pPr>
            <w:r>
              <w:rPr>
                <w:rFonts w:ascii="Arial" w:cs="Arial" w:eastAsia="Arial" w:hAnsi="Arial"/>
                <w:sz w:val="14"/>
                <w:szCs w:val="14"/>
                <w:color w:val="auto"/>
              </w:rPr>
              <w:t>Total</w:t>
            </w:r>
          </w:p>
        </w:tc>
        <w:tc>
          <w:tcPr>
            <w:tcW w:w="380" w:type="dxa"/>
            <w:vAlign w:val="bottom"/>
          </w:tcPr>
          <w:p>
            <w:pPr>
              <w:jc w:val="right"/>
              <w:ind w:right="232"/>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245.5</w:t>
            </w: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100.0</w:t>
            </w:r>
          </w:p>
        </w:tc>
        <w:tc>
          <w:tcPr>
            <w:tcW w:w="52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32"/>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86.1</w:t>
            </w:r>
          </w:p>
        </w:tc>
        <w:tc>
          <w:tcPr>
            <w:tcW w:w="16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100.0</w:t>
            </w:r>
          </w:p>
        </w:tc>
        <w:tc>
          <w:tcPr>
            <w:tcW w:w="50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32"/>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319.0</w:t>
            </w: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100.0</w:t>
            </w:r>
          </w:p>
        </w:tc>
        <w:tc>
          <w:tcPr>
            <w:tcW w:w="48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32"/>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110.1</w:t>
            </w: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100.0</w:t>
            </w:r>
          </w:p>
        </w:tc>
        <w:tc>
          <w:tcPr>
            <w:tcW w:w="32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20"/>
        </w:trPr>
        <w:tc>
          <w:tcPr>
            <w:tcW w:w="17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1755775</wp:posOffset>
            </wp:positionH>
            <wp:positionV relativeFrom="paragraph">
              <wp:posOffset>-149860</wp:posOffset>
            </wp:positionV>
            <wp:extent cx="5385435" cy="15049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385435" cy="150495"/>
                    </a:xfrm>
                    <a:prstGeom prst="rect">
                      <a:avLst/>
                    </a:prstGeom>
                    <a:noFill/>
                  </pic:spPr>
                </pic:pic>
              </a:graphicData>
            </a:graphic>
          </wp:anchor>
        </w:drawing>
      </w:r>
    </w:p>
    <w:p>
      <w:pPr>
        <w:ind w:firstLine="1"/>
        <w:spacing w:after="0" w:line="254" w:lineRule="auto"/>
        <w:tabs>
          <w:tab w:leader="none" w:pos="198" w:val="left"/>
        </w:tabs>
        <w:numPr>
          <w:ilvl w:val="0"/>
          <w:numId w:val="26"/>
        </w:numPr>
        <w:rPr>
          <w:rFonts w:ascii="Arial" w:cs="Arial" w:eastAsia="Arial" w:hAnsi="Arial"/>
          <w:sz w:val="14"/>
          <w:szCs w:val="14"/>
          <w:color w:val="auto"/>
        </w:rPr>
      </w:pPr>
      <w:r>
        <w:rPr>
          <w:rFonts w:ascii="Arial" w:cs="Arial" w:eastAsia="Arial" w:hAnsi="Arial"/>
          <w:sz w:val="14"/>
          <w:szCs w:val="14"/>
          <w:color w:val="auto"/>
        </w:rPr>
        <w:t>For the nine months ended September 30, 2021 and 2020, includes unitranche securities, which account for 66.4% and 42.9% of purchases, respectively. For the nine months ended September 30, 2021 and 2020, includes unitranche securities, which account for 12.7% and 3.4% of repayments, respectively.</w:t>
      </w:r>
    </w:p>
    <w:p>
      <w:pPr>
        <w:spacing w:after="0" w:line="141" w:lineRule="exact"/>
        <w:rPr>
          <w:sz w:val="20"/>
          <w:szCs w:val="20"/>
          <w:color w:val="auto"/>
        </w:rPr>
      </w:pPr>
    </w:p>
    <w:p>
      <w:pPr>
        <w:jc w:val="both"/>
        <w:ind w:firstLine="478"/>
        <w:spacing w:after="0" w:line="269" w:lineRule="auto"/>
        <w:rPr>
          <w:sz w:val="20"/>
          <w:szCs w:val="20"/>
          <w:color w:val="auto"/>
        </w:rPr>
      </w:pPr>
      <w:r>
        <w:rPr>
          <w:rFonts w:ascii="Arial" w:cs="Arial" w:eastAsia="Arial" w:hAnsi="Arial"/>
          <w:sz w:val="17"/>
          <w:szCs w:val="17"/>
          <w:color w:val="auto"/>
        </w:rPr>
        <w:t>As of September 30, 2021, the fair value of our investment portfolio totaled $719.1 million and consisted of 70 active portfolio companies and six portfolio companies that have sold their underlying operations. As of September 30, 2021, 28 portfolio companies’ debt investments bore interest at a variable rate, which represented $317.2 million, or 55.9%, of our debt investment portfolio on a fair value basis, and the remainder of our debt investment portfolio was comprised of fixed rate investments. Overall, the portfolio had net unrealized appreciation of $87.9 million as of September 30, 2021. As of September 30, 2021, our average active portfolio company investment at amortized cost was $9.0 million, which excludes investments in the six portfolio companies that have sold their underlying operations.</w:t>
      </w:r>
    </w:p>
    <w:p>
      <w:pPr>
        <w:spacing w:after="0" w:line="131" w:lineRule="exact"/>
        <w:rPr>
          <w:sz w:val="20"/>
          <w:szCs w:val="20"/>
          <w:color w:val="auto"/>
        </w:rPr>
      </w:pPr>
    </w:p>
    <w:p>
      <w:pPr>
        <w:jc w:val="both"/>
        <w:ind w:firstLine="478"/>
        <w:spacing w:after="0" w:line="269" w:lineRule="auto"/>
        <w:rPr>
          <w:sz w:val="20"/>
          <w:szCs w:val="20"/>
          <w:color w:val="auto"/>
        </w:rPr>
      </w:pPr>
      <w:r>
        <w:rPr>
          <w:rFonts w:ascii="Arial" w:cs="Arial" w:eastAsia="Arial" w:hAnsi="Arial"/>
          <w:sz w:val="17"/>
          <w:szCs w:val="17"/>
          <w:color w:val="auto"/>
        </w:rPr>
        <w:t>As of December 31, 2020, the fair value of our investment portfolio totaled $742.9 million and consisted of 66 active portfolio companies and three portfolio companies that have sold their underlying operations. As of December 31, 2020, 22 portfolio companies’ debt investments bore interest at a variable rate, which represented $230.9 million, or 36.8%, of our debt investment portfolio on a fair value basis, and the remainder of our debt investment portfolio was comprised of fixed rate investments. Overall, the portfolio had net unrealized appreciation of $55.8 million as of December 31, 2020. As of December 31, 2020, our average active portfolio company investment at amortized cost was $10.4 million, which excludes investments in the three portfolio companies that have sold their underlying operations.</w:t>
      </w:r>
    </w:p>
    <w:p>
      <w:pPr>
        <w:spacing w:after="0" w:line="131" w:lineRule="exact"/>
        <w:rPr>
          <w:sz w:val="20"/>
          <w:szCs w:val="20"/>
          <w:color w:val="auto"/>
        </w:rPr>
      </w:pPr>
    </w:p>
    <w:p>
      <w:pPr>
        <w:jc w:val="both"/>
        <w:ind w:firstLine="521"/>
        <w:spacing w:after="0" w:line="270" w:lineRule="auto"/>
        <w:rPr>
          <w:sz w:val="20"/>
          <w:szCs w:val="20"/>
          <w:color w:val="auto"/>
        </w:rPr>
      </w:pPr>
      <w:r>
        <w:rPr>
          <w:rFonts w:ascii="Arial" w:cs="Arial" w:eastAsia="Arial" w:hAnsi="Arial"/>
          <w:sz w:val="17"/>
          <w:szCs w:val="17"/>
          <w:color w:val="auto"/>
        </w:rPr>
        <w:t>The weighted average yield on debt investments as of September 30, 2021 and December 31, 2020 was 12.3% and 12.2%, respectively. The weighted average yield of our debt investments is not the same as a return on investment for our stockholders but, rather, relates to a portion of our investment portfolio and is calculated before the payment of all of our and our subsidiaries’ fees and expenses. The weighted average yields were computed using the effective interest rates for debt investments at cost including the accretion of OID and debt investment origination fees, but excluding investments on non-accrual status and investments recorded as a secured borrowing, if any.</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following table shows the portfolio composition by investment type at fair value and cost and as a percentage of total investments (dollars in millions):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7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89"/>
              </w:rPr>
              <w:t>Fair Value</w:t>
            </w: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Cost</w:t>
            </w: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r>
      <w:tr>
        <w:trPr>
          <w:trHeight w:val="177"/>
        </w:trPr>
        <w:tc>
          <w:tcPr>
            <w:tcW w:w="1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3"/>
          </w:tcPr>
          <w:p>
            <w:pPr>
              <w:jc w:val="center"/>
              <w:ind w:left="52"/>
              <w:spacing w:after="0"/>
              <w:rPr>
                <w:sz w:val="20"/>
                <w:szCs w:val="20"/>
                <w:color w:val="auto"/>
              </w:rPr>
            </w:pPr>
            <w:r>
              <w:rPr>
                <w:rFonts w:ascii="Arial" w:cs="Arial" w:eastAsia="Arial" w:hAnsi="Arial"/>
                <w:sz w:val="14"/>
                <w:szCs w:val="14"/>
                <w:b w:val="1"/>
                <w:bCs w:val="1"/>
                <w:color w:val="auto"/>
                <w:w w:val="85"/>
              </w:rPr>
              <w:t>September 30,</w:t>
            </w: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3"/>
          </w:tcPr>
          <w:p>
            <w:pPr>
              <w:jc w:val="center"/>
              <w:ind w:left="72"/>
              <w:spacing w:after="0"/>
              <w:rPr>
                <w:sz w:val="20"/>
                <w:szCs w:val="20"/>
                <w:color w:val="auto"/>
              </w:rPr>
            </w:pPr>
            <w:r>
              <w:rPr>
                <w:rFonts w:ascii="Arial" w:cs="Arial" w:eastAsia="Arial" w:hAnsi="Arial"/>
                <w:sz w:val="14"/>
                <w:szCs w:val="14"/>
                <w:b w:val="1"/>
                <w:bCs w:val="1"/>
                <w:color w:val="auto"/>
                <w:w w:val="85"/>
              </w:rPr>
              <w:t>December 31,</w:t>
            </w: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3"/>
          </w:tcPr>
          <w:p>
            <w:pPr>
              <w:jc w:val="center"/>
              <w:ind w:left="52"/>
              <w:spacing w:after="0"/>
              <w:rPr>
                <w:sz w:val="20"/>
                <w:szCs w:val="20"/>
                <w:color w:val="auto"/>
              </w:rPr>
            </w:pPr>
            <w:r>
              <w:rPr>
                <w:rFonts w:ascii="Arial" w:cs="Arial" w:eastAsia="Arial" w:hAnsi="Arial"/>
                <w:sz w:val="14"/>
                <w:szCs w:val="14"/>
                <w:b w:val="1"/>
                <w:bCs w:val="1"/>
                <w:color w:val="auto"/>
                <w:w w:val="85"/>
              </w:rPr>
              <w:t>September 30,</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3"/>
          </w:tcPr>
          <w:p>
            <w:pPr>
              <w:jc w:val="center"/>
              <w:ind w:left="52"/>
              <w:spacing w:after="0"/>
              <w:rPr>
                <w:sz w:val="20"/>
                <w:szCs w:val="20"/>
                <w:color w:val="auto"/>
              </w:rPr>
            </w:pPr>
            <w:r>
              <w:rPr>
                <w:rFonts w:ascii="Arial" w:cs="Arial" w:eastAsia="Arial" w:hAnsi="Arial"/>
                <w:sz w:val="14"/>
                <w:szCs w:val="14"/>
                <w:b w:val="1"/>
                <w:bCs w:val="1"/>
                <w:color w:val="auto"/>
                <w:w w:val="87"/>
              </w:rPr>
              <w:t>December 31,</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6"/>
        </w:trPr>
        <w:tc>
          <w:tcPr>
            <w:tcW w:w="17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188"/>
        </w:trPr>
        <w:tc>
          <w:tcPr>
            <w:tcW w:w="1760" w:type="dxa"/>
            <w:vAlign w:val="bottom"/>
            <w:shd w:val="clear" w:color="auto" w:fill="CFF0FC"/>
          </w:tcPr>
          <w:p>
            <w:pPr>
              <w:ind w:left="20"/>
              <w:spacing w:after="0" w:line="189" w:lineRule="exact"/>
              <w:rPr>
                <w:sz w:val="20"/>
                <w:szCs w:val="20"/>
                <w:color w:val="auto"/>
              </w:rPr>
            </w:pPr>
            <w:r>
              <w:rPr>
                <w:rFonts w:ascii="Arial" w:cs="Arial" w:eastAsia="Arial" w:hAnsi="Arial"/>
                <w:sz w:val="14"/>
                <w:szCs w:val="14"/>
                <w:color w:val="auto"/>
              </w:rPr>
              <w:t>First Lien Debt</w:t>
            </w:r>
            <w:r>
              <w:rPr>
                <w:rFonts w:ascii="Arial" w:cs="Arial" w:eastAsia="Arial" w:hAnsi="Arial"/>
                <w:sz w:val="18"/>
                <w:szCs w:val="18"/>
                <w:color w:val="auto"/>
                <w:vertAlign w:val="superscript"/>
              </w:rPr>
              <w:t>(1)</w:t>
            </w:r>
          </w:p>
        </w:tc>
        <w:tc>
          <w:tcPr>
            <w:tcW w:w="360" w:type="dxa"/>
            <w:vAlign w:val="bottom"/>
            <w:shd w:val="clear" w:color="auto" w:fill="CFF0FC"/>
          </w:tcPr>
          <w:p>
            <w:pPr>
              <w:jc w:val="right"/>
              <w:ind w:right="212"/>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297.0</w:t>
            </w:r>
          </w:p>
        </w:tc>
        <w:tc>
          <w:tcPr>
            <w:tcW w:w="2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41.2</w:t>
            </w:r>
          </w:p>
        </w:tc>
        <w:tc>
          <w:tcPr>
            <w:tcW w:w="520" w:type="dxa"/>
            <w:vAlign w:val="bottom"/>
            <w:shd w:val="clear" w:color="auto" w:fill="CFF0FC"/>
          </w:tcPr>
          <w:p>
            <w:pPr>
              <w:jc w:val="right"/>
              <w:ind w:right="232"/>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187.4</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w:t>
            </w:r>
          </w:p>
        </w:tc>
        <w:tc>
          <w:tcPr>
            <w:tcW w:w="500" w:type="dxa"/>
            <w:vAlign w:val="bottom"/>
            <w:shd w:val="clear" w:color="auto" w:fill="CFF0FC"/>
          </w:tcPr>
          <w:p>
            <w:pPr>
              <w:jc w:val="right"/>
              <w:ind w:right="232"/>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jc w:val="right"/>
              <w:ind w:right="132"/>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295.4</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46.8</w:t>
            </w:r>
          </w:p>
        </w:tc>
        <w:tc>
          <w:tcPr>
            <w:tcW w:w="480" w:type="dxa"/>
            <w:vAlign w:val="bottom"/>
            <w:shd w:val="clear" w:color="auto" w:fill="CFF0FC"/>
          </w:tcPr>
          <w:p>
            <w:pPr>
              <w:jc w:val="right"/>
              <w:ind w:right="212"/>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ind w:right="152"/>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184.6</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26.9</w:t>
            </w:r>
          </w:p>
        </w:tc>
        <w:tc>
          <w:tcPr>
            <w:tcW w:w="32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w:t>
            </w:r>
          </w:p>
        </w:tc>
      </w:tr>
      <w:tr>
        <w:trPr>
          <w:trHeight w:val="185"/>
        </w:trPr>
        <w:tc>
          <w:tcPr>
            <w:tcW w:w="1760" w:type="dxa"/>
            <w:vAlign w:val="bottom"/>
          </w:tcPr>
          <w:p>
            <w:pPr>
              <w:ind w:left="20"/>
              <w:spacing w:after="0"/>
              <w:rPr>
                <w:sz w:val="20"/>
                <w:szCs w:val="20"/>
                <w:color w:val="auto"/>
              </w:rPr>
            </w:pPr>
            <w:r>
              <w:rPr>
                <w:rFonts w:ascii="Arial" w:cs="Arial" w:eastAsia="Arial" w:hAnsi="Arial"/>
                <w:sz w:val="14"/>
                <w:szCs w:val="14"/>
                <w:color w:val="auto"/>
              </w:rPr>
              <w:t>Second Lien Debt</w:t>
            </w: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201.3</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28.0</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332.2</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44.7</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212.3</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33.6</w:t>
            </w: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341.9</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49.7</w:t>
            </w:r>
          </w:p>
        </w:tc>
        <w:tc>
          <w:tcPr>
            <w:tcW w:w="320" w:type="dxa"/>
            <w:vAlign w:val="bottom"/>
          </w:tcPr>
          <w:p>
            <w:pPr>
              <w:spacing w:after="0"/>
              <w:rPr>
                <w:sz w:val="16"/>
                <w:szCs w:val="16"/>
                <w:color w:val="auto"/>
              </w:rPr>
            </w:pPr>
          </w:p>
        </w:tc>
      </w:tr>
      <w:tr>
        <w:trPr>
          <w:trHeight w:val="196"/>
        </w:trPr>
        <w:tc>
          <w:tcPr>
            <w:tcW w:w="1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Subordinated Debt</w:t>
            </w:r>
          </w:p>
        </w:tc>
        <w:tc>
          <w:tcPr>
            <w:tcW w:w="3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69.5</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w:t>
            </w:r>
          </w:p>
        </w:tc>
        <w:tc>
          <w:tcPr>
            <w:tcW w:w="5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107.9</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w:t>
            </w: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69.2</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w:t>
            </w:r>
          </w:p>
        </w:tc>
        <w:tc>
          <w:tcPr>
            <w:tcW w:w="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107.3</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w:t>
            </w:r>
          </w:p>
        </w:tc>
        <w:tc>
          <w:tcPr>
            <w:tcW w:w="320" w:type="dxa"/>
            <w:vAlign w:val="bottom"/>
            <w:shd w:val="clear" w:color="auto" w:fill="CFF0FC"/>
          </w:tcPr>
          <w:p>
            <w:pPr>
              <w:spacing w:after="0"/>
              <w:rPr>
                <w:sz w:val="17"/>
                <w:szCs w:val="17"/>
                <w:color w:val="auto"/>
              </w:rPr>
            </w:pPr>
          </w:p>
        </w:tc>
      </w:tr>
      <w:tr>
        <w:trPr>
          <w:trHeight w:val="185"/>
        </w:trPr>
        <w:tc>
          <w:tcPr>
            <w:tcW w:w="1760" w:type="dxa"/>
            <w:vAlign w:val="bottom"/>
          </w:tcPr>
          <w:p>
            <w:pPr>
              <w:ind w:left="20"/>
              <w:spacing w:after="0"/>
              <w:rPr>
                <w:sz w:val="20"/>
                <w:szCs w:val="20"/>
                <w:color w:val="auto"/>
              </w:rPr>
            </w:pPr>
            <w:r>
              <w:rPr>
                <w:rFonts w:ascii="Arial" w:cs="Arial" w:eastAsia="Arial" w:hAnsi="Arial"/>
                <w:sz w:val="14"/>
                <w:szCs w:val="14"/>
                <w:color w:val="auto"/>
              </w:rPr>
              <w:t>Equity</w:t>
            </w: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148.0</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20.6</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112.8</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15.2</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51.2</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8.1</w:t>
            </w: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50.0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7.3</w:t>
            </w:r>
          </w:p>
        </w:tc>
        <w:tc>
          <w:tcPr>
            <w:tcW w:w="320" w:type="dxa"/>
            <w:vAlign w:val="bottom"/>
          </w:tcPr>
          <w:p>
            <w:pPr>
              <w:spacing w:after="0"/>
              <w:rPr>
                <w:sz w:val="16"/>
                <w:szCs w:val="16"/>
                <w:color w:val="auto"/>
              </w:rPr>
            </w:pPr>
          </w:p>
        </w:tc>
      </w:tr>
      <w:tr>
        <w:trPr>
          <w:trHeight w:val="196"/>
        </w:trPr>
        <w:tc>
          <w:tcPr>
            <w:tcW w:w="1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Warrants</w:t>
            </w:r>
          </w:p>
        </w:tc>
        <w:tc>
          <w:tcPr>
            <w:tcW w:w="36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2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0.5</w:t>
            </w:r>
          </w:p>
        </w:tc>
        <w:tc>
          <w:tcPr>
            <w:tcW w:w="5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0.4</w:t>
            </w:r>
          </w:p>
        </w:tc>
        <w:tc>
          <w:tcPr>
            <w:tcW w:w="5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0.5</w:t>
            </w:r>
          </w:p>
        </w:tc>
        <w:tc>
          <w:tcPr>
            <w:tcW w:w="4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0.5</w:t>
            </w:r>
          </w:p>
        </w:tc>
        <w:tc>
          <w:tcPr>
            <w:tcW w:w="320" w:type="dxa"/>
            <w:vAlign w:val="bottom"/>
            <w:tcBorders>
              <w:bottom w:val="single" w:sz="8" w:color="CFF0FC"/>
            </w:tcBorders>
            <w:shd w:val="clear" w:color="auto" w:fill="CFF0FC"/>
          </w:tcPr>
          <w:p>
            <w:pPr>
              <w:spacing w:after="0"/>
              <w:rPr>
                <w:sz w:val="17"/>
                <w:szCs w:val="17"/>
                <w:color w:val="auto"/>
              </w:rPr>
            </w:pPr>
          </w:p>
        </w:tc>
      </w:tr>
      <w:tr>
        <w:trPr>
          <w:trHeight w:val="183"/>
        </w:trPr>
        <w:tc>
          <w:tcPr>
            <w:tcW w:w="1760" w:type="dxa"/>
            <w:vAlign w:val="bottom"/>
          </w:tcPr>
          <w:p>
            <w:pPr>
              <w:ind w:left="20"/>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719.1</w:t>
            </w:r>
          </w:p>
        </w:tc>
        <w:tc>
          <w:tcPr>
            <w:tcW w:w="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52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742.9</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50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631.3</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48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687.0</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32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20"/>
        </w:trPr>
        <w:tc>
          <w:tcPr>
            <w:tcW w:w="1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1755775</wp:posOffset>
            </wp:positionH>
            <wp:positionV relativeFrom="paragraph">
              <wp:posOffset>-149860</wp:posOffset>
            </wp:positionV>
            <wp:extent cx="168910" cy="508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68910" cy="5080"/>
                    </a:xfrm>
                    <a:prstGeom prst="rect">
                      <a:avLst/>
                    </a:prstGeom>
                    <a:noFill/>
                  </pic:spPr>
                </pic:pic>
              </a:graphicData>
            </a:graphic>
          </wp:anchor>
        </w:drawing>
        <w:drawing>
          <wp:anchor simplePos="0" relativeHeight="251657728" behindDoc="1" locked="0" layoutInCell="0" allowOverlap="1">
            <wp:simplePos x="0" y="0"/>
            <wp:positionH relativeFrom="column">
              <wp:posOffset>2440305</wp:posOffset>
            </wp:positionH>
            <wp:positionV relativeFrom="paragraph">
              <wp:posOffset>-149860</wp:posOffset>
            </wp:positionV>
            <wp:extent cx="225425" cy="508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25425" cy="5080"/>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-149860</wp:posOffset>
            </wp:positionV>
            <wp:extent cx="153035" cy="508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53035" cy="508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-149860</wp:posOffset>
            </wp:positionV>
            <wp:extent cx="209550" cy="508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09550" cy="5080"/>
                    </a:xfrm>
                    <a:prstGeom prst="rect">
                      <a:avLst/>
                    </a:prstGeom>
                    <a:noFill/>
                  </pic:spPr>
                </pic:pic>
              </a:graphicData>
            </a:graphic>
          </wp:anchor>
        </w:drawing>
        <w:drawing>
          <wp:anchor simplePos="0" relativeHeight="251657728" behindDoc="1" locked="0" layoutInCell="0" allowOverlap="1">
            <wp:simplePos x="0" y="0"/>
            <wp:positionH relativeFrom="column">
              <wp:posOffset>4975860</wp:posOffset>
            </wp:positionH>
            <wp:positionV relativeFrom="paragraph">
              <wp:posOffset>-149860</wp:posOffset>
            </wp:positionV>
            <wp:extent cx="153035" cy="508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53035" cy="508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-149860</wp:posOffset>
            </wp:positionV>
            <wp:extent cx="209550" cy="508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09550" cy="508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-149860</wp:posOffset>
            </wp:positionV>
            <wp:extent cx="153035" cy="508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53035" cy="5080"/>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-149860</wp:posOffset>
            </wp:positionV>
            <wp:extent cx="209550" cy="508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09550" cy="508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firstLine="1"/>
        <w:spacing w:after="0" w:line="262" w:lineRule="auto"/>
        <w:tabs>
          <w:tab w:leader="none" w:pos="192"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unitranche investments, which account for 34.7% and 39.3% of our portfolio on a fair value and cost basis as of September 30, 2021, respectively. Includes unitranche investments, which account for 17.3% and 18.4% of our portfolio on a fair value and cost basis as of December 31, 2020, respectively.</w:t>
      </w:r>
    </w:p>
    <w:p>
      <w:pPr>
        <w:spacing w:after="0" w:line="136" w:lineRule="exact"/>
        <w:rPr>
          <w:sz w:val="20"/>
          <w:szCs w:val="20"/>
          <w:color w:val="auto"/>
        </w:rPr>
      </w:pPr>
    </w:p>
    <w:p>
      <w:pPr>
        <w:jc w:val="both"/>
        <w:ind w:firstLine="478"/>
        <w:spacing w:after="0" w:line="272" w:lineRule="auto"/>
        <w:rPr>
          <w:sz w:val="20"/>
          <w:szCs w:val="20"/>
          <w:color w:val="auto"/>
        </w:rPr>
      </w:pPr>
      <w:r>
        <w:rPr>
          <w:rFonts w:ascii="Arial" w:cs="Arial" w:eastAsia="Arial" w:hAnsi="Arial"/>
          <w:sz w:val="17"/>
          <w:szCs w:val="17"/>
          <w:color w:val="auto"/>
        </w:rPr>
        <w:t>All investments made by us as of September 30, 2021 and December 31, 2020 were made in portfolio companies headquartered in the U.S. The following table shows portfolio composition by geographic region at fair value and cost and as a percentage of total investments (dollars in millions). The geographic composition is determined by the location of the corporate headquarters of the portfolio company, which may not be indicative of the primary source of the portfolio company’s business.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80"/>
        </w:trPr>
        <w:tc>
          <w:tcPr>
            <w:tcW w:w="17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Fair Value</w:t>
            </w:r>
          </w:p>
        </w:tc>
        <w:tc>
          <w:tcPr>
            <w:tcW w:w="3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Cost</w:t>
            </w:r>
          </w:p>
        </w:tc>
        <w:tc>
          <w:tcPr>
            <w:tcW w:w="5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r>
      <w:tr>
        <w:trPr>
          <w:trHeight w:val="177"/>
        </w:trPr>
        <w:tc>
          <w:tcPr>
            <w:tcW w:w="1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gridSpan w:val="3"/>
          </w:tcPr>
          <w:p>
            <w:pPr>
              <w:jc w:val="center"/>
              <w:ind w:left="52"/>
              <w:spacing w:after="0"/>
              <w:rPr>
                <w:sz w:val="20"/>
                <w:szCs w:val="20"/>
                <w:color w:val="auto"/>
              </w:rPr>
            </w:pPr>
            <w:r>
              <w:rPr>
                <w:rFonts w:ascii="Arial" w:cs="Arial" w:eastAsia="Arial" w:hAnsi="Arial"/>
                <w:sz w:val="14"/>
                <w:szCs w:val="14"/>
                <w:b w:val="1"/>
                <w:bCs w:val="1"/>
                <w:color w:val="auto"/>
                <w:w w:val="85"/>
              </w:rPr>
              <w:t>September 30,</w:t>
            </w: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3"/>
          </w:tcPr>
          <w:p>
            <w:pPr>
              <w:jc w:val="center"/>
              <w:ind w:left="72"/>
              <w:spacing w:after="0"/>
              <w:rPr>
                <w:sz w:val="20"/>
                <w:szCs w:val="20"/>
                <w:color w:val="auto"/>
              </w:rPr>
            </w:pPr>
            <w:r>
              <w:rPr>
                <w:rFonts w:ascii="Arial" w:cs="Arial" w:eastAsia="Arial" w:hAnsi="Arial"/>
                <w:sz w:val="14"/>
                <w:szCs w:val="14"/>
                <w:b w:val="1"/>
                <w:bCs w:val="1"/>
                <w:color w:val="auto"/>
                <w:w w:val="85"/>
              </w:rPr>
              <w:t>December 31,</w:t>
            </w: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3"/>
          </w:tcPr>
          <w:p>
            <w:pPr>
              <w:jc w:val="center"/>
              <w:ind w:left="52"/>
              <w:spacing w:after="0"/>
              <w:rPr>
                <w:sz w:val="20"/>
                <w:szCs w:val="20"/>
                <w:color w:val="auto"/>
              </w:rPr>
            </w:pPr>
            <w:r>
              <w:rPr>
                <w:rFonts w:ascii="Arial" w:cs="Arial" w:eastAsia="Arial" w:hAnsi="Arial"/>
                <w:sz w:val="14"/>
                <w:szCs w:val="14"/>
                <w:b w:val="1"/>
                <w:bCs w:val="1"/>
                <w:color w:val="auto"/>
                <w:w w:val="85"/>
              </w:rPr>
              <w:t>September 30,</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December 31,</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6"/>
        </w:trPr>
        <w:tc>
          <w:tcPr>
            <w:tcW w:w="17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188"/>
        </w:trPr>
        <w:tc>
          <w:tcPr>
            <w:tcW w:w="1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Midwest</w:t>
            </w:r>
          </w:p>
        </w:tc>
        <w:tc>
          <w:tcPr>
            <w:tcW w:w="340" w:type="dxa"/>
            <w:vAlign w:val="bottom"/>
            <w:shd w:val="clear" w:color="auto" w:fill="CFF0FC"/>
          </w:tcPr>
          <w:p>
            <w:pPr>
              <w:jc w:val="right"/>
              <w:ind w:right="192"/>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133.8</w:t>
            </w:r>
          </w:p>
        </w:tc>
        <w:tc>
          <w:tcPr>
            <w:tcW w:w="2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18.6</w:t>
            </w:r>
          </w:p>
        </w:tc>
        <w:tc>
          <w:tcPr>
            <w:tcW w:w="520" w:type="dxa"/>
            <w:vAlign w:val="bottom"/>
            <w:shd w:val="clear" w:color="auto" w:fill="CFF0FC"/>
          </w:tcPr>
          <w:p>
            <w:pPr>
              <w:jc w:val="right"/>
              <w:ind w:right="252"/>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jc w:val="right"/>
              <w:ind w:right="192"/>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225.7</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30.4</w:t>
            </w:r>
          </w:p>
        </w:tc>
        <w:tc>
          <w:tcPr>
            <w:tcW w:w="500" w:type="dxa"/>
            <w:vAlign w:val="bottom"/>
            <w:shd w:val="clear" w:color="auto" w:fill="CFF0FC"/>
          </w:tcPr>
          <w:p>
            <w:pPr>
              <w:jc w:val="right"/>
              <w:ind w:right="232"/>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jc w:val="right"/>
              <w:ind w:right="132"/>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79.0</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w:t>
            </w:r>
          </w:p>
        </w:tc>
        <w:tc>
          <w:tcPr>
            <w:tcW w:w="480" w:type="dxa"/>
            <w:vAlign w:val="bottom"/>
            <w:shd w:val="clear" w:color="auto" w:fill="CFF0FC"/>
          </w:tcPr>
          <w:p>
            <w:pPr>
              <w:jc w:val="right"/>
              <w:ind w:right="212"/>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jc w:val="right"/>
              <w:ind w:right="352"/>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189.6</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w:t>
            </w:r>
          </w:p>
        </w:tc>
        <w:tc>
          <w:tcPr>
            <w:tcW w:w="32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w:t>
            </w:r>
          </w:p>
        </w:tc>
      </w:tr>
      <w:tr>
        <w:trPr>
          <w:trHeight w:val="185"/>
        </w:trPr>
        <w:tc>
          <w:tcPr>
            <w:tcW w:w="1760" w:type="dxa"/>
            <w:vAlign w:val="bottom"/>
          </w:tcPr>
          <w:p>
            <w:pPr>
              <w:ind w:left="20"/>
              <w:spacing w:after="0"/>
              <w:rPr>
                <w:sz w:val="20"/>
                <w:szCs w:val="20"/>
                <w:color w:val="auto"/>
              </w:rPr>
            </w:pPr>
            <w:r>
              <w:rPr>
                <w:rFonts w:ascii="Arial" w:cs="Arial" w:eastAsia="Arial" w:hAnsi="Arial"/>
                <w:sz w:val="14"/>
                <w:szCs w:val="14"/>
                <w:color w:val="auto"/>
              </w:rPr>
              <w:t>Southeast</w:t>
            </w: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193.7</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26.9</w:t>
            </w: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153.3</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20.6</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167.5</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26.5</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130.0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18.9</w:t>
            </w:r>
          </w:p>
        </w:tc>
        <w:tc>
          <w:tcPr>
            <w:tcW w:w="320" w:type="dxa"/>
            <w:vAlign w:val="bottom"/>
          </w:tcPr>
          <w:p>
            <w:pPr>
              <w:spacing w:after="0"/>
              <w:rPr>
                <w:sz w:val="16"/>
                <w:szCs w:val="16"/>
                <w:color w:val="auto"/>
              </w:rPr>
            </w:pPr>
          </w:p>
        </w:tc>
      </w:tr>
      <w:tr>
        <w:trPr>
          <w:trHeight w:val="196"/>
        </w:trPr>
        <w:tc>
          <w:tcPr>
            <w:tcW w:w="1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Northeast</w:t>
            </w:r>
          </w:p>
        </w:tc>
        <w:tc>
          <w:tcPr>
            <w:tcW w:w="3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149.2</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w:t>
            </w:r>
          </w:p>
        </w:tc>
        <w:tc>
          <w:tcPr>
            <w:tcW w:w="5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123.3</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w:t>
            </w: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148.0</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23.4</w:t>
            </w:r>
          </w:p>
        </w:tc>
        <w:tc>
          <w:tcPr>
            <w:tcW w:w="4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127.8</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18.6</w:t>
            </w:r>
          </w:p>
        </w:tc>
        <w:tc>
          <w:tcPr>
            <w:tcW w:w="320" w:type="dxa"/>
            <w:vAlign w:val="bottom"/>
            <w:shd w:val="clear" w:color="auto" w:fill="CFF0FC"/>
          </w:tcPr>
          <w:p>
            <w:pPr>
              <w:spacing w:after="0"/>
              <w:rPr>
                <w:sz w:val="17"/>
                <w:szCs w:val="17"/>
                <w:color w:val="auto"/>
              </w:rPr>
            </w:pPr>
          </w:p>
        </w:tc>
      </w:tr>
      <w:tr>
        <w:trPr>
          <w:trHeight w:val="185"/>
        </w:trPr>
        <w:tc>
          <w:tcPr>
            <w:tcW w:w="1760" w:type="dxa"/>
            <w:vAlign w:val="bottom"/>
          </w:tcPr>
          <w:p>
            <w:pPr>
              <w:ind w:left="20"/>
              <w:spacing w:after="0"/>
              <w:rPr>
                <w:sz w:val="20"/>
                <w:szCs w:val="20"/>
                <w:color w:val="auto"/>
              </w:rPr>
            </w:pPr>
            <w:r>
              <w:rPr>
                <w:rFonts w:ascii="Arial" w:cs="Arial" w:eastAsia="Arial" w:hAnsi="Arial"/>
                <w:sz w:val="14"/>
                <w:szCs w:val="14"/>
                <w:color w:val="auto"/>
              </w:rPr>
              <w:t>West</w:t>
            </w: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86.5</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12.0</w:t>
            </w: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108.7</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14.6</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80.4</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12.7</w:t>
            </w: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109.2</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15.9</w:t>
            </w:r>
          </w:p>
        </w:tc>
        <w:tc>
          <w:tcPr>
            <w:tcW w:w="320" w:type="dxa"/>
            <w:vAlign w:val="bottom"/>
          </w:tcPr>
          <w:p>
            <w:pPr>
              <w:spacing w:after="0"/>
              <w:rPr>
                <w:sz w:val="16"/>
                <w:szCs w:val="16"/>
                <w:color w:val="auto"/>
              </w:rPr>
            </w:pPr>
          </w:p>
        </w:tc>
      </w:tr>
      <w:tr>
        <w:trPr>
          <w:trHeight w:val="196"/>
        </w:trPr>
        <w:tc>
          <w:tcPr>
            <w:tcW w:w="1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Southwest</w:t>
            </w:r>
          </w:p>
        </w:tc>
        <w:tc>
          <w:tcPr>
            <w:tcW w:w="34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155.9</w:t>
            </w:r>
          </w:p>
        </w:tc>
        <w:tc>
          <w:tcPr>
            <w:tcW w:w="2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21.7</w:t>
            </w:r>
          </w:p>
        </w:tc>
        <w:tc>
          <w:tcPr>
            <w:tcW w:w="5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131.9</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17.8</w:t>
            </w:r>
          </w:p>
        </w:tc>
        <w:tc>
          <w:tcPr>
            <w:tcW w:w="5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156.4</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24.8</w:t>
            </w:r>
          </w:p>
        </w:tc>
        <w:tc>
          <w:tcPr>
            <w:tcW w:w="48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130.4</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19.0</w:t>
            </w:r>
          </w:p>
        </w:tc>
        <w:tc>
          <w:tcPr>
            <w:tcW w:w="320" w:type="dxa"/>
            <w:vAlign w:val="bottom"/>
            <w:tcBorders>
              <w:bottom w:val="single" w:sz="8" w:color="CFF0FC"/>
            </w:tcBorders>
            <w:shd w:val="clear" w:color="auto" w:fill="CFF0FC"/>
          </w:tcPr>
          <w:p>
            <w:pPr>
              <w:spacing w:after="0"/>
              <w:rPr>
                <w:sz w:val="17"/>
                <w:szCs w:val="17"/>
                <w:color w:val="auto"/>
              </w:rPr>
            </w:pPr>
          </w:p>
        </w:tc>
      </w:tr>
      <w:tr>
        <w:trPr>
          <w:trHeight w:val="183"/>
        </w:trPr>
        <w:tc>
          <w:tcPr>
            <w:tcW w:w="1760" w:type="dxa"/>
            <w:vAlign w:val="bottom"/>
          </w:tcPr>
          <w:p>
            <w:pPr>
              <w:ind w:left="2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719.1</w:t>
            </w: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52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742.9</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50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631.3</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48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687.0</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32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20"/>
        </w:trPr>
        <w:tc>
          <w:tcPr>
            <w:tcW w:w="17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45"/>
        </w:trPr>
        <w:tc>
          <w:tcPr>
            <w:tcW w:w="9620" w:type="dxa"/>
            <w:vAlign w:val="bottom"/>
            <w:gridSpan w:val="20"/>
          </w:tcPr>
          <w:p>
            <w:pPr>
              <w:ind w:left="480"/>
              <w:spacing w:after="0"/>
              <w:rPr>
                <w:sz w:val="20"/>
                <w:szCs w:val="20"/>
                <w:color w:val="auto"/>
              </w:rPr>
            </w:pPr>
            <w:r>
              <w:rPr>
                <w:rFonts w:ascii="Arial" w:cs="Arial" w:eastAsia="Arial" w:hAnsi="Arial"/>
                <w:sz w:val="17"/>
                <w:szCs w:val="17"/>
                <w:color w:val="auto"/>
                <w:w w:val="90"/>
              </w:rPr>
              <w:t>The following table shows the detailed industry composition of our portfolio at fair value and cost as a percentage of total investments:</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1747520</wp:posOffset>
            </wp:positionH>
            <wp:positionV relativeFrom="paragraph">
              <wp:posOffset>-382270</wp:posOffset>
            </wp:positionV>
            <wp:extent cx="168910" cy="508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68910" cy="5080"/>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-382270</wp:posOffset>
            </wp:positionV>
            <wp:extent cx="225425" cy="508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25425" cy="5080"/>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-382270</wp:posOffset>
            </wp:positionV>
            <wp:extent cx="153035" cy="508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53035" cy="508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-382270</wp:posOffset>
            </wp:positionV>
            <wp:extent cx="209550" cy="508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09550" cy="5080"/>
                    </a:xfrm>
                    <a:prstGeom prst="rect">
                      <a:avLst/>
                    </a:prstGeom>
                    <a:noFill/>
                  </pic:spPr>
                </pic:pic>
              </a:graphicData>
            </a:graphic>
          </wp:anchor>
        </w:drawing>
        <w:drawing>
          <wp:anchor simplePos="0" relativeHeight="251657728" behindDoc="1" locked="0" layoutInCell="0" allowOverlap="1">
            <wp:simplePos x="0" y="0"/>
            <wp:positionH relativeFrom="column">
              <wp:posOffset>4975860</wp:posOffset>
            </wp:positionH>
            <wp:positionV relativeFrom="paragraph">
              <wp:posOffset>-382270</wp:posOffset>
            </wp:positionV>
            <wp:extent cx="153035" cy="508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53035" cy="508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-382270</wp:posOffset>
            </wp:positionV>
            <wp:extent cx="209550" cy="508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09550" cy="508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-382270</wp:posOffset>
            </wp:positionV>
            <wp:extent cx="153035" cy="508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53035" cy="5080"/>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-382270</wp:posOffset>
            </wp:positionV>
            <wp:extent cx="209550" cy="508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09550" cy="5080"/>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100" w:type="dxa"/>
            <w:vAlign w:val="bottom"/>
            <w:tcBorders>
              <w:bottom w:val="single" w:sz="8" w:color="auto"/>
            </w:tcBorders>
            <w:gridSpan w:val="3"/>
          </w:tcPr>
          <w:p>
            <w:pPr>
              <w:ind w:left="1380"/>
              <w:spacing w:after="0"/>
              <w:rPr>
                <w:sz w:val="20"/>
                <w:szCs w:val="20"/>
                <w:color w:val="auto"/>
              </w:rPr>
            </w:pPr>
            <w:r>
              <w:rPr>
                <w:rFonts w:ascii="Arial" w:cs="Arial" w:eastAsia="Arial" w:hAnsi="Arial"/>
                <w:sz w:val="14"/>
                <w:szCs w:val="14"/>
                <w:b w:val="1"/>
                <w:bCs w:val="1"/>
                <w:color w:val="auto"/>
              </w:rPr>
              <w:t>Fair Value</w:t>
            </w:r>
          </w:p>
        </w:tc>
        <w:tc>
          <w:tcPr>
            <w:tcW w:w="126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89"/>
              </w:rPr>
              <w:t>Cost</w:t>
            </w:r>
          </w:p>
        </w:tc>
        <w:tc>
          <w:tcPr>
            <w:tcW w:w="148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480" w:type="dxa"/>
            <w:vAlign w:val="bottom"/>
          </w:tcPr>
          <w:p>
            <w:pPr>
              <w:jc w:val="right"/>
              <w:ind w:right="252"/>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272"/>
              <w:spacing w:after="0"/>
              <w:rPr>
                <w:sz w:val="20"/>
                <w:szCs w:val="20"/>
                <w:color w:val="auto"/>
              </w:rPr>
            </w:pPr>
            <w:r>
              <w:rPr>
                <w:rFonts w:ascii="Arial" w:cs="Arial" w:eastAsia="Arial" w:hAnsi="Arial"/>
                <w:sz w:val="14"/>
                <w:szCs w:val="14"/>
                <w:b w:val="1"/>
                <w:bCs w:val="1"/>
                <w:color w:val="auto"/>
                <w:w w:val="98"/>
              </w:rPr>
              <w:t>December 31,</w:t>
            </w:r>
          </w:p>
        </w:tc>
        <w:tc>
          <w:tcPr>
            <w:tcW w:w="380" w:type="dxa"/>
            <w:vAlign w:val="bottom"/>
          </w:tcPr>
          <w:p>
            <w:pPr>
              <w:spacing w:after="0"/>
              <w:rPr>
                <w:sz w:val="15"/>
                <w:szCs w:val="15"/>
                <w:color w:val="auto"/>
              </w:rPr>
            </w:pPr>
          </w:p>
        </w:tc>
        <w:tc>
          <w:tcPr>
            <w:tcW w:w="1460" w:type="dxa"/>
            <w:vAlign w:val="bottom"/>
          </w:tcPr>
          <w:p>
            <w:pPr>
              <w:jc w:val="right"/>
              <w:ind w:right="252"/>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5"/>
                <w:szCs w:val="15"/>
                <w:color w:val="auto"/>
              </w:rPr>
            </w:pPr>
          </w:p>
        </w:tc>
        <w:tc>
          <w:tcPr>
            <w:tcW w:w="1480" w:type="dxa"/>
            <w:vAlign w:val="bottom"/>
          </w:tcPr>
          <w:p>
            <w:pPr>
              <w:jc w:val="right"/>
              <w:ind w:right="272"/>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4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7"/>
                <w:szCs w:val="17"/>
                <w:color w:val="auto"/>
              </w:rPr>
            </w:pPr>
          </w:p>
        </w:tc>
        <w:tc>
          <w:tcPr>
            <w:tcW w:w="14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7"/>
                <w:szCs w:val="17"/>
                <w:color w:val="auto"/>
              </w:rPr>
            </w:pPr>
          </w:p>
        </w:tc>
        <w:tc>
          <w:tcPr>
            <w:tcW w:w="14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7"/>
                <w:szCs w:val="17"/>
                <w:color w:val="auto"/>
              </w:rPr>
            </w:pPr>
          </w:p>
        </w:tc>
      </w:tr>
      <w:tr>
        <w:trPr>
          <w:trHeight w:val="188"/>
        </w:trPr>
        <w:tc>
          <w:tcPr>
            <w:tcW w:w="20" w:type="dxa"/>
            <w:vAlign w:val="bottom"/>
          </w:tcPr>
          <w:p>
            <w:pPr>
              <w:spacing w:after="0"/>
              <w:rPr>
                <w:sz w:val="16"/>
                <w:szCs w:val="16"/>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Information Technology Services</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4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3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r>
      <w:tr>
        <w:trPr>
          <w:trHeight w:val="185"/>
        </w:trPr>
        <w:tc>
          <w:tcPr>
            <w:tcW w:w="20" w:type="dxa"/>
            <w:vAlign w:val="bottom"/>
          </w:tcPr>
          <w:p>
            <w:pPr>
              <w:spacing w:after="0"/>
              <w:rPr>
                <w:sz w:val="16"/>
                <w:szCs w:val="16"/>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Business Services</w:t>
            </w:r>
          </w:p>
        </w:tc>
        <w:tc>
          <w:tcPr>
            <w:tcW w:w="1480" w:type="dxa"/>
            <w:vAlign w:val="bottom"/>
          </w:tcPr>
          <w:p>
            <w:pPr>
              <w:jc w:val="right"/>
              <w:spacing w:after="0"/>
              <w:rPr>
                <w:sz w:val="20"/>
                <w:szCs w:val="20"/>
                <w:color w:val="auto"/>
              </w:rPr>
            </w:pPr>
            <w:r>
              <w:rPr>
                <w:rFonts w:ascii="Arial" w:cs="Arial" w:eastAsia="Arial" w:hAnsi="Arial"/>
                <w:sz w:val="14"/>
                <w:szCs w:val="14"/>
                <w:color w:val="auto"/>
              </w:rPr>
              <w:t>15.5</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12.3</w:t>
            </w:r>
          </w:p>
        </w:tc>
        <w:tc>
          <w:tcPr>
            <w:tcW w:w="3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17.3</w:t>
            </w:r>
          </w:p>
        </w:tc>
        <w:tc>
          <w:tcPr>
            <w:tcW w:w="3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13.0</w:t>
            </w:r>
          </w:p>
        </w:tc>
        <w:tc>
          <w:tcPr>
            <w:tcW w:w="36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Specialty Distribution</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3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3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360" w:type="dxa"/>
            <w:vAlign w:val="bottom"/>
            <w:shd w:val="clear" w:color="auto" w:fill="CCEEFF"/>
          </w:tcPr>
          <w:p>
            <w:pPr>
              <w:spacing w:after="0"/>
              <w:rPr>
                <w:sz w:val="17"/>
                <w:szCs w:val="17"/>
                <w:color w:val="auto"/>
              </w:rPr>
            </w:pPr>
          </w:p>
        </w:tc>
      </w:tr>
      <w:tr>
        <w:trPr>
          <w:trHeight w:val="185"/>
        </w:trPr>
        <w:tc>
          <w:tcPr>
            <w:tcW w:w="20" w:type="dxa"/>
            <w:vAlign w:val="bottom"/>
          </w:tcPr>
          <w:p>
            <w:pPr>
              <w:spacing w:after="0"/>
              <w:rPr>
                <w:sz w:val="16"/>
                <w:szCs w:val="16"/>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Healthcare Products</w:t>
            </w:r>
          </w:p>
        </w:tc>
        <w:tc>
          <w:tcPr>
            <w:tcW w:w="1480" w:type="dxa"/>
            <w:vAlign w:val="bottom"/>
          </w:tcPr>
          <w:p>
            <w:pPr>
              <w:jc w:val="right"/>
              <w:spacing w:after="0"/>
              <w:rPr>
                <w:sz w:val="20"/>
                <w:szCs w:val="20"/>
                <w:color w:val="auto"/>
              </w:rPr>
            </w:pPr>
            <w:r>
              <w:rPr>
                <w:rFonts w:ascii="Arial" w:cs="Arial" w:eastAsia="Arial" w:hAnsi="Arial"/>
                <w:sz w:val="14"/>
                <w:szCs w:val="14"/>
                <w:color w:val="auto"/>
              </w:rPr>
              <w:t>10.1</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9.0</w:t>
            </w:r>
          </w:p>
        </w:tc>
        <w:tc>
          <w:tcPr>
            <w:tcW w:w="3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3.6</w:t>
            </w:r>
          </w:p>
        </w:tc>
        <w:tc>
          <w:tcPr>
            <w:tcW w:w="3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4.8</w:t>
            </w:r>
          </w:p>
        </w:tc>
        <w:tc>
          <w:tcPr>
            <w:tcW w:w="36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Aerospace &amp; Defense Manufacturing</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3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3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360" w:type="dxa"/>
            <w:vAlign w:val="bottom"/>
            <w:shd w:val="clear" w:color="auto" w:fill="CCEEFF"/>
          </w:tcPr>
          <w:p>
            <w:pPr>
              <w:spacing w:after="0"/>
              <w:rPr>
                <w:sz w:val="17"/>
                <w:szCs w:val="17"/>
                <w:color w:val="auto"/>
              </w:rPr>
            </w:pPr>
          </w:p>
        </w:tc>
      </w:tr>
      <w:tr>
        <w:trPr>
          <w:trHeight w:val="185"/>
        </w:trPr>
        <w:tc>
          <w:tcPr>
            <w:tcW w:w="20" w:type="dxa"/>
            <w:vAlign w:val="bottom"/>
          </w:tcPr>
          <w:p>
            <w:pPr>
              <w:spacing w:after="0"/>
              <w:rPr>
                <w:sz w:val="16"/>
                <w:szCs w:val="16"/>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Component Manufacturing</w:t>
            </w:r>
          </w:p>
        </w:tc>
        <w:tc>
          <w:tcPr>
            <w:tcW w:w="1480" w:type="dxa"/>
            <w:vAlign w:val="bottom"/>
          </w:tcPr>
          <w:p>
            <w:pPr>
              <w:jc w:val="right"/>
              <w:spacing w:after="0"/>
              <w:rPr>
                <w:sz w:val="20"/>
                <w:szCs w:val="20"/>
                <w:color w:val="auto"/>
              </w:rPr>
            </w:pPr>
            <w:r>
              <w:rPr>
                <w:rFonts w:ascii="Arial" w:cs="Arial" w:eastAsia="Arial" w:hAnsi="Arial"/>
                <w:sz w:val="14"/>
                <w:szCs w:val="14"/>
                <w:color w:val="auto"/>
              </w:rPr>
              <w:t>5.9</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7.4</w:t>
            </w:r>
          </w:p>
        </w:tc>
        <w:tc>
          <w:tcPr>
            <w:tcW w:w="3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5.7</w:t>
            </w:r>
          </w:p>
        </w:tc>
        <w:tc>
          <w:tcPr>
            <w:tcW w:w="3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6.9</w:t>
            </w:r>
          </w:p>
        </w:tc>
        <w:tc>
          <w:tcPr>
            <w:tcW w:w="36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Utilities: Services</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3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3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360" w:type="dxa"/>
            <w:vAlign w:val="bottom"/>
            <w:shd w:val="clear" w:color="auto" w:fill="CCEEFF"/>
          </w:tcPr>
          <w:p>
            <w:pPr>
              <w:spacing w:after="0"/>
              <w:rPr>
                <w:sz w:val="17"/>
                <w:szCs w:val="17"/>
                <w:color w:val="auto"/>
              </w:rPr>
            </w:pPr>
          </w:p>
        </w:tc>
      </w:tr>
      <w:tr>
        <w:trPr>
          <w:trHeight w:val="185"/>
        </w:trPr>
        <w:tc>
          <w:tcPr>
            <w:tcW w:w="20" w:type="dxa"/>
            <w:vAlign w:val="bottom"/>
          </w:tcPr>
          <w:p>
            <w:pPr>
              <w:spacing w:after="0"/>
              <w:rPr>
                <w:sz w:val="16"/>
                <w:szCs w:val="16"/>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Healthcare Services</w:t>
            </w:r>
          </w:p>
        </w:tc>
        <w:tc>
          <w:tcPr>
            <w:tcW w:w="1480" w:type="dxa"/>
            <w:vAlign w:val="bottom"/>
          </w:tcPr>
          <w:p>
            <w:pPr>
              <w:jc w:val="right"/>
              <w:spacing w:after="0"/>
              <w:rPr>
                <w:sz w:val="20"/>
                <w:szCs w:val="20"/>
                <w:color w:val="auto"/>
              </w:rPr>
            </w:pPr>
            <w:r>
              <w:rPr>
                <w:rFonts w:ascii="Arial" w:cs="Arial" w:eastAsia="Arial" w:hAnsi="Arial"/>
                <w:sz w:val="14"/>
                <w:szCs w:val="14"/>
                <w:color w:val="auto"/>
              </w:rPr>
              <w:t>3.8</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5.4</w:t>
            </w:r>
          </w:p>
        </w:tc>
        <w:tc>
          <w:tcPr>
            <w:tcW w:w="3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4.3</w:t>
            </w:r>
          </w:p>
        </w:tc>
        <w:tc>
          <w:tcPr>
            <w:tcW w:w="3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6.0</w:t>
            </w:r>
          </w:p>
        </w:tc>
        <w:tc>
          <w:tcPr>
            <w:tcW w:w="36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Building Products Manufacturing</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3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3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360" w:type="dxa"/>
            <w:vAlign w:val="bottom"/>
            <w:shd w:val="clear" w:color="auto" w:fill="CCEEFF"/>
          </w:tcPr>
          <w:p>
            <w:pPr>
              <w:spacing w:after="0"/>
              <w:rPr>
                <w:sz w:val="17"/>
                <w:szCs w:val="17"/>
                <w:color w:val="auto"/>
              </w:rPr>
            </w:pPr>
          </w:p>
        </w:tc>
      </w:tr>
      <w:tr>
        <w:trPr>
          <w:trHeight w:val="185"/>
        </w:trPr>
        <w:tc>
          <w:tcPr>
            <w:tcW w:w="20" w:type="dxa"/>
            <w:vAlign w:val="bottom"/>
          </w:tcPr>
          <w:p>
            <w:pPr>
              <w:spacing w:after="0"/>
              <w:rPr>
                <w:sz w:val="16"/>
                <w:szCs w:val="16"/>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Promotional Products</w:t>
            </w:r>
          </w:p>
        </w:tc>
        <w:tc>
          <w:tcPr>
            <w:tcW w:w="1480" w:type="dxa"/>
            <w:vAlign w:val="bottom"/>
          </w:tcPr>
          <w:p>
            <w:pPr>
              <w:jc w:val="right"/>
              <w:spacing w:after="0"/>
              <w:rPr>
                <w:sz w:val="20"/>
                <w:szCs w:val="20"/>
                <w:color w:val="auto"/>
              </w:rPr>
            </w:pPr>
            <w:r>
              <w:rPr>
                <w:rFonts w:ascii="Arial" w:cs="Arial" w:eastAsia="Arial" w:hAnsi="Arial"/>
                <w:sz w:val="14"/>
                <w:szCs w:val="14"/>
                <w:color w:val="auto"/>
              </w:rPr>
              <w:t>3.1</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3.3</w:t>
            </w:r>
          </w:p>
        </w:tc>
        <w:tc>
          <w:tcPr>
            <w:tcW w:w="3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4.0</w:t>
            </w:r>
          </w:p>
        </w:tc>
        <w:tc>
          <w:tcPr>
            <w:tcW w:w="3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3.7</w:t>
            </w:r>
          </w:p>
        </w:tc>
        <w:tc>
          <w:tcPr>
            <w:tcW w:w="36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Oil &amp; Gas Services</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3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3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360" w:type="dxa"/>
            <w:vAlign w:val="bottom"/>
            <w:shd w:val="clear" w:color="auto" w:fill="CCEEFF"/>
          </w:tcPr>
          <w:p>
            <w:pPr>
              <w:spacing w:after="0"/>
              <w:rPr>
                <w:sz w:val="17"/>
                <w:szCs w:val="17"/>
                <w:color w:val="auto"/>
              </w:rPr>
            </w:pPr>
          </w:p>
        </w:tc>
      </w:tr>
      <w:tr>
        <w:trPr>
          <w:trHeight w:val="185"/>
        </w:trPr>
        <w:tc>
          <w:tcPr>
            <w:tcW w:w="20" w:type="dxa"/>
            <w:vAlign w:val="bottom"/>
          </w:tcPr>
          <w:p>
            <w:pPr>
              <w:spacing w:after="0"/>
              <w:rPr>
                <w:sz w:val="16"/>
                <w:szCs w:val="16"/>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Transportation Services</w:t>
            </w:r>
          </w:p>
        </w:tc>
        <w:tc>
          <w:tcPr>
            <w:tcW w:w="1480" w:type="dxa"/>
            <w:vAlign w:val="bottom"/>
          </w:tcPr>
          <w:p>
            <w:pPr>
              <w:jc w:val="right"/>
              <w:spacing w:after="0"/>
              <w:rPr>
                <w:sz w:val="20"/>
                <w:szCs w:val="20"/>
                <w:color w:val="auto"/>
              </w:rPr>
            </w:pPr>
            <w:r>
              <w:rPr>
                <w:rFonts w:ascii="Arial" w:cs="Arial" w:eastAsia="Arial" w:hAnsi="Arial"/>
                <w:sz w:val="14"/>
                <w:szCs w:val="14"/>
                <w:color w:val="auto"/>
              </w:rPr>
              <w:t>2.8</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w:t>
            </w:r>
          </w:p>
        </w:tc>
        <w:tc>
          <w:tcPr>
            <w:tcW w:w="3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3.3</w:t>
            </w:r>
          </w:p>
        </w:tc>
        <w:tc>
          <w:tcPr>
            <w:tcW w:w="3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3.1</w:t>
            </w:r>
          </w:p>
        </w:tc>
        <w:tc>
          <w:tcPr>
            <w:tcW w:w="36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Environmental Industries</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3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3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360" w:type="dxa"/>
            <w:vAlign w:val="bottom"/>
            <w:shd w:val="clear" w:color="auto" w:fill="CCEEFF"/>
          </w:tcPr>
          <w:p>
            <w:pPr>
              <w:spacing w:after="0"/>
              <w:rPr>
                <w:sz w:val="17"/>
                <w:szCs w:val="17"/>
                <w:color w:val="auto"/>
              </w:rPr>
            </w:pPr>
          </w:p>
        </w:tc>
      </w:tr>
      <w:tr>
        <w:trPr>
          <w:trHeight w:val="185"/>
        </w:trPr>
        <w:tc>
          <w:tcPr>
            <w:tcW w:w="20" w:type="dxa"/>
            <w:vAlign w:val="bottom"/>
          </w:tcPr>
          <w:p>
            <w:pPr>
              <w:spacing w:after="0"/>
              <w:rPr>
                <w:sz w:val="16"/>
                <w:szCs w:val="16"/>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Consumer Products</w:t>
            </w:r>
          </w:p>
        </w:tc>
        <w:tc>
          <w:tcPr>
            <w:tcW w:w="1480" w:type="dxa"/>
            <w:vAlign w:val="bottom"/>
          </w:tcPr>
          <w:p>
            <w:pPr>
              <w:jc w:val="right"/>
              <w:spacing w:after="0"/>
              <w:rPr>
                <w:sz w:val="20"/>
                <w:szCs w:val="20"/>
                <w:color w:val="auto"/>
              </w:rPr>
            </w:pPr>
            <w:r>
              <w:rPr>
                <w:rFonts w:ascii="Arial" w:cs="Arial" w:eastAsia="Arial" w:hAnsi="Arial"/>
                <w:sz w:val="14"/>
                <w:szCs w:val="14"/>
                <w:color w:val="auto"/>
              </w:rPr>
              <w:t>2.7</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5.1</w:t>
            </w:r>
          </w:p>
        </w:tc>
        <w:tc>
          <w:tcPr>
            <w:tcW w:w="3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2.9</w:t>
            </w:r>
          </w:p>
        </w:tc>
        <w:tc>
          <w:tcPr>
            <w:tcW w:w="3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5.5</w:t>
            </w:r>
          </w:p>
        </w:tc>
        <w:tc>
          <w:tcPr>
            <w:tcW w:w="36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Retail</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3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3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360" w:type="dxa"/>
            <w:vAlign w:val="bottom"/>
            <w:shd w:val="clear" w:color="auto" w:fill="CCEEFF"/>
          </w:tcPr>
          <w:p>
            <w:pPr>
              <w:spacing w:after="0"/>
              <w:rPr>
                <w:sz w:val="17"/>
                <w:szCs w:val="17"/>
                <w:color w:val="auto"/>
              </w:rPr>
            </w:pPr>
          </w:p>
        </w:tc>
      </w:tr>
      <w:tr>
        <w:trPr>
          <w:trHeight w:val="185"/>
        </w:trPr>
        <w:tc>
          <w:tcPr>
            <w:tcW w:w="20" w:type="dxa"/>
            <w:vAlign w:val="bottom"/>
          </w:tcPr>
          <w:p>
            <w:pPr>
              <w:spacing w:after="0"/>
              <w:rPr>
                <w:sz w:val="16"/>
                <w:szCs w:val="16"/>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Industrial Cleaning &amp; Coatings</w:t>
            </w:r>
          </w:p>
        </w:tc>
        <w:tc>
          <w:tcPr>
            <w:tcW w:w="1480" w:type="dxa"/>
            <w:vAlign w:val="bottom"/>
          </w:tcPr>
          <w:p>
            <w:pPr>
              <w:jc w:val="right"/>
              <w:spacing w:after="0"/>
              <w:rPr>
                <w:sz w:val="20"/>
                <w:szCs w:val="20"/>
                <w:color w:val="auto"/>
              </w:rPr>
            </w:pPr>
            <w:r>
              <w:rPr>
                <w:rFonts w:ascii="Arial" w:cs="Arial" w:eastAsia="Arial" w:hAnsi="Arial"/>
                <w:sz w:val="14"/>
                <w:szCs w:val="14"/>
                <w:color w:val="auto"/>
              </w:rPr>
              <w:t>1.5</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w:t>
            </w:r>
          </w:p>
        </w:tc>
        <w:tc>
          <w:tcPr>
            <w:tcW w:w="3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2.1</w:t>
            </w:r>
          </w:p>
        </w:tc>
        <w:tc>
          <w:tcPr>
            <w:tcW w:w="3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1.9</w:t>
            </w:r>
          </w:p>
        </w:tc>
        <w:tc>
          <w:tcPr>
            <w:tcW w:w="36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Utility Equipment Manufacturing</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3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3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360" w:type="dxa"/>
            <w:vAlign w:val="bottom"/>
            <w:shd w:val="clear" w:color="auto" w:fill="CCEEFF"/>
          </w:tcPr>
          <w:p>
            <w:pPr>
              <w:spacing w:after="0"/>
              <w:rPr>
                <w:sz w:val="17"/>
                <w:szCs w:val="17"/>
                <w:color w:val="auto"/>
              </w:rPr>
            </w:pPr>
          </w:p>
        </w:tc>
      </w:tr>
      <w:tr>
        <w:trPr>
          <w:trHeight w:val="185"/>
        </w:trPr>
        <w:tc>
          <w:tcPr>
            <w:tcW w:w="20" w:type="dxa"/>
            <w:vAlign w:val="bottom"/>
          </w:tcPr>
          <w:p>
            <w:pPr>
              <w:spacing w:after="0"/>
              <w:rPr>
                <w:sz w:val="16"/>
                <w:szCs w:val="16"/>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Vending Equipment Manufacturing</w:t>
            </w:r>
          </w:p>
        </w:tc>
        <w:tc>
          <w:tcPr>
            <w:tcW w:w="1480" w:type="dxa"/>
            <w:vAlign w:val="bottom"/>
          </w:tcPr>
          <w:p>
            <w:pPr>
              <w:jc w:val="right"/>
              <w:spacing w:after="0"/>
              <w:rPr>
                <w:sz w:val="20"/>
                <w:szCs w:val="20"/>
                <w:color w:val="auto"/>
              </w:rPr>
            </w:pPr>
            <w:r>
              <w:rPr>
                <w:rFonts w:ascii="Arial" w:cs="Arial" w:eastAsia="Arial" w:hAnsi="Arial"/>
                <w:sz w:val="14"/>
                <w:szCs w:val="14"/>
                <w:color w:val="auto"/>
              </w:rPr>
              <w:t>0.3</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0.3</w:t>
            </w:r>
          </w:p>
        </w:tc>
        <w:tc>
          <w:tcPr>
            <w:tcW w:w="3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0.3</w:t>
            </w:r>
          </w:p>
        </w:tc>
        <w:tc>
          <w:tcPr>
            <w:tcW w:w="3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0.3</w:t>
            </w:r>
          </w:p>
        </w:tc>
        <w:tc>
          <w:tcPr>
            <w:tcW w:w="36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Oil &amp; Gas Distribution</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400" w:type="dxa"/>
            <w:vAlign w:val="bottom"/>
            <w:shd w:val="clear" w:color="auto" w:fill="CCEEFF"/>
          </w:tcPr>
          <w:p>
            <w:pPr>
              <w:ind w:left="100"/>
              <w:spacing w:after="0"/>
              <w:rPr>
                <w:sz w:val="20"/>
                <w:szCs w:val="20"/>
                <w:color w:val="auto"/>
              </w:rPr>
            </w:pPr>
            <w:r>
              <w:rPr>
                <w:rFonts w:ascii="Arial" w:cs="Arial" w:eastAsia="Arial" w:hAnsi="Arial"/>
                <w:sz w:val="9"/>
                <w:szCs w:val="9"/>
                <w:color w:val="auto"/>
              </w:rPr>
              <w:t>(1)</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3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360" w:type="dxa"/>
            <w:vAlign w:val="bottom"/>
            <w:shd w:val="clear" w:color="auto" w:fill="CCEEFF"/>
          </w:tcPr>
          <w:p>
            <w:pPr>
              <w:ind w:left="80"/>
              <w:spacing w:after="0"/>
              <w:rPr>
                <w:sz w:val="20"/>
                <w:szCs w:val="20"/>
                <w:color w:val="auto"/>
              </w:rPr>
            </w:pPr>
            <w:r>
              <w:rPr>
                <w:rFonts w:ascii="Arial" w:cs="Arial" w:eastAsia="Arial" w:hAnsi="Arial"/>
                <w:sz w:val="9"/>
                <w:szCs w:val="9"/>
                <w:color w:val="auto"/>
              </w:rPr>
              <w:t>(1)</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360" w:type="dxa"/>
            <w:vAlign w:val="bottom"/>
            <w:shd w:val="clear" w:color="auto" w:fill="CCEEFF"/>
          </w:tcPr>
          <w:p>
            <w:pPr>
              <w:spacing w:after="0"/>
              <w:rPr>
                <w:sz w:val="17"/>
                <w:szCs w:val="17"/>
                <w:color w:val="auto"/>
              </w:rPr>
            </w:pPr>
          </w:p>
        </w:tc>
      </w:tr>
      <w:tr>
        <w:trPr>
          <w:trHeight w:val="185"/>
        </w:trPr>
        <w:tc>
          <w:tcPr>
            <w:tcW w:w="20" w:type="dxa"/>
            <w:vAlign w:val="bottom"/>
          </w:tcPr>
          <w:p>
            <w:pPr>
              <w:spacing w:after="0"/>
              <w:rPr>
                <w:sz w:val="16"/>
                <w:szCs w:val="16"/>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Restaurants</w:t>
            </w:r>
          </w:p>
        </w:tc>
        <w:tc>
          <w:tcPr>
            <w:tcW w:w="1480" w:type="dxa"/>
            <w:vAlign w:val="bottom"/>
          </w:tcPr>
          <w:p>
            <w:pPr>
              <w:jc w:val="right"/>
              <w:spacing w:after="0"/>
              <w:rPr>
                <w:sz w:val="20"/>
                <w:szCs w:val="20"/>
                <w:color w:val="auto"/>
              </w:rPr>
            </w:pPr>
            <w:r>
              <w:rPr>
                <w:rFonts w:ascii="Arial" w:cs="Arial" w:eastAsia="Arial" w:hAnsi="Arial"/>
                <w:sz w:val="14"/>
                <w:szCs w:val="14"/>
                <w:color w:val="auto"/>
              </w:rPr>
              <w:t>0.0</w:t>
            </w:r>
          </w:p>
        </w:tc>
        <w:tc>
          <w:tcPr>
            <w:tcW w:w="400" w:type="dxa"/>
            <w:vAlign w:val="bottom"/>
          </w:tcPr>
          <w:p>
            <w:pPr>
              <w:ind w:left="100"/>
              <w:spacing w:after="0"/>
              <w:rPr>
                <w:sz w:val="20"/>
                <w:szCs w:val="20"/>
                <w:color w:val="auto"/>
              </w:rPr>
            </w:pPr>
            <w:r>
              <w:rPr>
                <w:rFonts w:ascii="Arial" w:cs="Arial" w:eastAsia="Arial" w:hAnsi="Arial"/>
                <w:sz w:val="9"/>
                <w:szCs w:val="9"/>
                <w:color w:val="auto"/>
              </w:rPr>
              <w:t>(1)</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0.0</w:t>
            </w:r>
          </w:p>
        </w:tc>
        <w:tc>
          <w:tcPr>
            <w:tcW w:w="380" w:type="dxa"/>
            <w:vAlign w:val="bottom"/>
          </w:tcPr>
          <w:p>
            <w:pPr>
              <w:ind w:left="100"/>
              <w:spacing w:after="0"/>
              <w:rPr>
                <w:sz w:val="20"/>
                <w:szCs w:val="20"/>
                <w:color w:val="auto"/>
              </w:rPr>
            </w:pPr>
            <w:r>
              <w:rPr>
                <w:rFonts w:ascii="Arial" w:cs="Arial" w:eastAsia="Arial" w:hAnsi="Arial"/>
                <w:sz w:val="9"/>
                <w:szCs w:val="9"/>
                <w:color w:val="auto"/>
              </w:rPr>
              <w:t>(1)</w:t>
            </w:r>
          </w:p>
        </w:tc>
        <w:tc>
          <w:tcPr>
            <w:tcW w:w="1460" w:type="dxa"/>
            <w:vAlign w:val="bottom"/>
          </w:tcPr>
          <w:p>
            <w:pPr>
              <w:jc w:val="right"/>
              <w:spacing w:after="0"/>
              <w:rPr>
                <w:sz w:val="20"/>
                <w:szCs w:val="20"/>
                <w:color w:val="auto"/>
              </w:rPr>
            </w:pPr>
            <w:r>
              <w:rPr>
                <w:rFonts w:ascii="Arial" w:cs="Arial" w:eastAsia="Arial" w:hAnsi="Arial"/>
                <w:sz w:val="14"/>
                <w:szCs w:val="14"/>
                <w:color w:val="auto"/>
              </w:rPr>
              <w:t>0.1</w:t>
            </w:r>
          </w:p>
        </w:tc>
        <w:tc>
          <w:tcPr>
            <w:tcW w:w="360" w:type="dxa"/>
            <w:vAlign w:val="bottom"/>
          </w:tcPr>
          <w:p>
            <w:pPr>
              <w:ind w:left="80"/>
              <w:spacing w:after="0"/>
              <w:rPr>
                <w:sz w:val="20"/>
                <w:szCs w:val="20"/>
                <w:color w:val="auto"/>
              </w:rPr>
            </w:pPr>
            <w:r>
              <w:rPr>
                <w:rFonts w:ascii="Arial" w:cs="Arial" w:eastAsia="Arial" w:hAnsi="Arial"/>
                <w:sz w:val="9"/>
                <w:szCs w:val="9"/>
                <w:color w:val="auto"/>
              </w:rPr>
              <w:t>(1)</w:t>
            </w:r>
          </w:p>
        </w:tc>
        <w:tc>
          <w:tcPr>
            <w:tcW w:w="1480" w:type="dxa"/>
            <w:vAlign w:val="bottom"/>
          </w:tcPr>
          <w:p>
            <w:pPr>
              <w:jc w:val="right"/>
              <w:spacing w:after="0"/>
              <w:rPr>
                <w:sz w:val="20"/>
                <w:szCs w:val="20"/>
                <w:color w:val="auto"/>
              </w:rPr>
            </w:pPr>
            <w:r>
              <w:rPr>
                <w:rFonts w:ascii="Arial" w:cs="Arial" w:eastAsia="Arial" w:hAnsi="Arial"/>
                <w:sz w:val="14"/>
                <w:szCs w:val="14"/>
                <w:color w:val="auto"/>
              </w:rPr>
              <w:t>0.1</w:t>
            </w:r>
          </w:p>
        </w:tc>
        <w:tc>
          <w:tcPr>
            <w:tcW w:w="36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Specialty Chemicals</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400" w:type="dxa"/>
            <w:vAlign w:val="bottom"/>
            <w:shd w:val="clear" w:color="auto" w:fill="CCEEFF"/>
          </w:tcPr>
          <w:p>
            <w:pPr>
              <w:ind w:left="100"/>
              <w:spacing w:after="0"/>
              <w:rPr>
                <w:sz w:val="20"/>
                <w:szCs w:val="20"/>
                <w:color w:val="auto"/>
              </w:rPr>
            </w:pPr>
            <w:r>
              <w:rPr>
                <w:rFonts w:ascii="Arial" w:cs="Arial" w:eastAsia="Arial" w:hAnsi="Arial"/>
                <w:sz w:val="9"/>
                <w:szCs w:val="9"/>
                <w:color w:val="auto"/>
              </w:rPr>
              <w:t>(1)</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380" w:type="dxa"/>
            <w:vAlign w:val="bottom"/>
            <w:shd w:val="clear" w:color="auto" w:fill="CCEEFF"/>
          </w:tcPr>
          <w:p>
            <w:pPr>
              <w:ind w:left="100"/>
              <w:spacing w:after="0"/>
              <w:rPr>
                <w:sz w:val="20"/>
                <w:szCs w:val="20"/>
                <w:color w:val="auto"/>
              </w:rPr>
            </w:pPr>
            <w:r>
              <w:rPr>
                <w:rFonts w:ascii="Arial" w:cs="Arial" w:eastAsia="Arial" w:hAnsi="Arial"/>
                <w:sz w:val="9"/>
                <w:szCs w:val="9"/>
                <w:color w:val="auto"/>
              </w:rPr>
              <w:t>(1)</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360" w:type="dxa"/>
            <w:vAlign w:val="bottom"/>
            <w:shd w:val="clear" w:color="auto" w:fill="CCEEFF"/>
          </w:tcPr>
          <w:p>
            <w:pPr>
              <w:ind w:left="80"/>
              <w:spacing w:after="0"/>
              <w:rPr>
                <w:sz w:val="20"/>
                <w:szCs w:val="20"/>
                <w:color w:val="auto"/>
              </w:rPr>
            </w:pPr>
            <w:r>
              <w:rPr>
                <w:rFonts w:ascii="Arial" w:cs="Arial" w:eastAsia="Arial" w:hAnsi="Arial"/>
                <w:sz w:val="9"/>
                <w:szCs w:val="9"/>
                <w:color w:val="auto"/>
              </w:rPr>
              <w:t>(1)</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360" w:type="dxa"/>
            <w:vAlign w:val="bottom"/>
            <w:shd w:val="clear" w:color="auto" w:fill="CCEEFF"/>
          </w:tcPr>
          <w:p>
            <w:pPr>
              <w:ind w:left="80"/>
              <w:spacing w:after="0"/>
              <w:rPr>
                <w:sz w:val="20"/>
                <w:szCs w:val="20"/>
                <w:color w:val="auto"/>
              </w:rPr>
            </w:pPr>
            <w:r>
              <w:rPr>
                <w:rFonts w:ascii="Arial" w:cs="Arial" w:eastAsia="Arial" w:hAnsi="Arial"/>
                <w:sz w:val="9"/>
                <w:szCs w:val="9"/>
                <w:color w:val="auto"/>
              </w:rPr>
              <w:t>(1)</w:t>
            </w:r>
          </w:p>
        </w:tc>
      </w:tr>
      <w:tr>
        <w:trPr>
          <w:trHeight w:val="190"/>
        </w:trPr>
        <w:tc>
          <w:tcPr>
            <w:tcW w:w="20" w:type="dxa"/>
            <w:vAlign w:val="bottom"/>
          </w:tcPr>
          <w:p>
            <w:pPr>
              <w:spacing w:after="0"/>
              <w:rPr>
                <w:sz w:val="16"/>
                <w:szCs w:val="16"/>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Packaging</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380" w:type="dxa"/>
            <w:vAlign w:val="bottom"/>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360" w:type="dxa"/>
            <w:vAlign w:val="bottom"/>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w:t>
            </w:r>
          </w:p>
        </w:tc>
      </w:tr>
      <w:tr>
        <w:trPr>
          <w:trHeight w:val="150"/>
        </w:trPr>
        <w:tc>
          <w:tcPr>
            <w:tcW w:w="20" w:type="dxa"/>
            <w:vAlign w:val="bottom"/>
          </w:tcPr>
          <w:p>
            <w:pPr>
              <w:spacing w:after="0"/>
              <w:rPr>
                <w:sz w:val="13"/>
                <w:szCs w:val="13"/>
                <w:color w:val="auto"/>
              </w:rPr>
            </w:pPr>
          </w:p>
        </w:tc>
        <w:tc>
          <w:tcPr>
            <w:tcW w:w="3820" w:type="dxa"/>
            <w:vAlign w:val="bottom"/>
          </w:tcPr>
          <w:p>
            <w:pPr>
              <w:spacing w:after="0" w:line="151" w:lineRule="exact"/>
              <w:rPr>
                <w:sz w:val="20"/>
                <w:szCs w:val="20"/>
                <w:color w:val="auto"/>
              </w:rPr>
            </w:pPr>
            <w:r>
              <w:rPr>
                <w:rFonts w:ascii="Arial" w:cs="Arial" w:eastAsia="Arial" w:hAnsi="Arial"/>
                <w:sz w:val="14"/>
                <w:szCs w:val="14"/>
                <w:color w:val="auto"/>
              </w:rPr>
              <w:t>(1) Percentage is less than 0.1% of respective total.</w:t>
            </w:r>
          </w:p>
        </w:tc>
        <w:tc>
          <w:tcPr>
            <w:tcW w:w="1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6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3382010</wp:posOffset>
            </wp:positionH>
            <wp:positionV relativeFrom="paragraph">
              <wp:posOffset>-132715</wp:posOffset>
            </wp:positionV>
            <wp:extent cx="2495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49555" cy="825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-116840</wp:posOffset>
            </wp:positionV>
            <wp:extent cx="2495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49555" cy="8255"/>
                    </a:xfrm>
                    <a:prstGeom prst="rect">
                      <a:avLst/>
                    </a:prstGeom>
                    <a:noFill/>
                  </pic:spPr>
                </pic:pic>
              </a:graphicData>
            </a:graphic>
          </wp:anchor>
        </w:drawing>
        <w:drawing>
          <wp:anchor simplePos="0" relativeHeight="251657728" behindDoc="1" locked="0" layoutInCell="0" allowOverlap="1">
            <wp:simplePos x="0" y="0"/>
            <wp:positionH relativeFrom="column">
              <wp:posOffset>4573270</wp:posOffset>
            </wp:positionH>
            <wp:positionV relativeFrom="paragraph">
              <wp:posOffset>-132715</wp:posOffset>
            </wp:positionV>
            <wp:extent cx="2336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33680" cy="8255"/>
                    </a:xfrm>
                    <a:prstGeom prst="rect">
                      <a:avLst/>
                    </a:prstGeom>
                    <a:noFill/>
                  </pic:spPr>
                </pic:pic>
              </a:graphicData>
            </a:graphic>
          </wp:anchor>
        </w:drawing>
        <w:drawing>
          <wp:anchor simplePos="0" relativeHeight="251657728" behindDoc="1" locked="0" layoutInCell="0" allowOverlap="1">
            <wp:simplePos x="0" y="0"/>
            <wp:positionH relativeFrom="column">
              <wp:posOffset>4573270</wp:posOffset>
            </wp:positionH>
            <wp:positionV relativeFrom="paragraph">
              <wp:posOffset>-116840</wp:posOffset>
            </wp:positionV>
            <wp:extent cx="2336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33680" cy="8255"/>
                    </a:xfrm>
                    <a:prstGeom prst="rect">
                      <a:avLst/>
                    </a:prstGeom>
                    <a:noFill/>
                  </pic:spPr>
                </pic:pic>
              </a:graphicData>
            </a:graphic>
          </wp:anchor>
        </w:drawing>
        <w:drawing>
          <wp:anchor simplePos="0" relativeHeight="251657728" behindDoc="1" locked="0" layoutInCell="0" allowOverlap="1">
            <wp:simplePos x="0" y="0"/>
            <wp:positionH relativeFrom="column">
              <wp:posOffset>5741035</wp:posOffset>
            </wp:positionH>
            <wp:positionV relativeFrom="paragraph">
              <wp:posOffset>-132715</wp:posOffset>
            </wp:positionV>
            <wp:extent cx="2336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33680" cy="8255"/>
                    </a:xfrm>
                    <a:prstGeom prst="rect">
                      <a:avLst/>
                    </a:prstGeom>
                    <a:noFill/>
                  </pic:spPr>
                </pic:pic>
              </a:graphicData>
            </a:graphic>
          </wp:anchor>
        </w:drawing>
        <w:drawing>
          <wp:anchor simplePos="0" relativeHeight="251657728" behindDoc="1" locked="0" layoutInCell="0" allowOverlap="1">
            <wp:simplePos x="0" y="0"/>
            <wp:positionH relativeFrom="column">
              <wp:posOffset>5741035</wp:posOffset>
            </wp:positionH>
            <wp:positionV relativeFrom="paragraph">
              <wp:posOffset>-116840</wp:posOffset>
            </wp:positionV>
            <wp:extent cx="2336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33680" cy="8255"/>
                    </a:xfrm>
                    <a:prstGeom prst="rect">
                      <a:avLst/>
                    </a:prstGeom>
                    <a:noFill/>
                  </pic:spPr>
                </pic:pic>
              </a:graphicData>
            </a:graphic>
          </wp:anchor>
        </w:drawing>
        <w:drawing>
          <wp:anchor simplePos="0" relativeHeight="251657728" behindDoc="1" locked="0" layoutInCell="0" allowOverlap="1">
            <wp:simplePos x="0" y="0"/>
            <wp:positionH relativeFrom="column">
              <wp:posOffset>6908165</wp:posOffset>
            </wp:positionH>
            <wp:positionV relativeFrom="paragraph">
              <wp:posOffset>-132715</wp:posOffset>
            </wp:positionV>
            <wp:extent cx="2336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33680" cy="8255"/>
                    </a:xfrm>
                    <a:prstGeom prst="rect">
                      <a:avLst/>
                    </a:prstGeom>
                    <a:noFill/>
                  </pic:spPr>
                </pic:pic>
              </a:graphicData>
            </a:graphic>
          </wp:anchor>
        </w:drawing>
        <w:drawing>
          <wp:anchor simplePos="0" relativeHeight="251657728" behindDoc="1" locked="0" layoutInCell="0" allowOverlap="1">
            <wp:simplePos x="0" y="0"/>
            <wp:positionH relativeFrom="column">
              <wp:posOffset>6908165</wp:posOffset>
            </wp:positionH>
            <wp:positionV relativeFrom="paragraph">
              <wp:posOffset>-116840</wp:posOffset>
            </wp:positionV>
            <wp:extent cx="2336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33680" cy="8255"/>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Portfolio Asset Quality</w:t>
      </w:r>
    </w:p>
    <w:p>
      <w:pPr>
        <w:spacing w:after="0" w:line="176" w:lineRule="exact"/>
        <w:rPr>
          <w:sz w:val="20"/>
          <w:szCs w:val="20"/>
          <w:color w:val="auto"/>
        </w:rPr>
      </w:pPr>
    </w:p>
    <w:p>
      <w:pPr>
        <w:jc w:val="both"/>
        <w:ind w:firstLine="375"/>
        <w:spacing w:after="0" w:line="276" w:lineRule="auto"/>
        <w:rPr>
          <w:sz w:val="20"/>
          <w:szCs w:val="20"/>
          <w:color w:val="auto"/>
        </w:rPr>
      </w:pPr>
      <w:r>
        <w:rPr>
          <w:rFonts w:ascii="Arial" w:cs="Arial" w:eastAsia="Arial" w:hAnsi="Arial"/>
          <w:sz w:val="17"/>
          <w:szCs w:val="17"/>
          <w:color w:val="auto"/>
        </w:rPr>
        <w:t>In addition to various risk management and monitoring tools, the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w:t>
      </w:r>
    </w:p>
    <w:p>
      <w:pPr>
        <w:spacing w:after="0" w:line="124" w:lineRule="exact"/>
        <w:rPr>
          <w:sz w:val="20"/>
          <w:szCs w:val="20"/>
          <w:color w:val="auto"/>
        </w:rPr>
      </w:pPr>
    </w:p>
    <w:p>
      <w:pPr>
        <w:ind w:left="920" w:right="400"/>
        <w:spacing w:after="0" w:line="264" w:lineRule="auto"/>
        <w:rPr>
          <w:sz w:val="20"/>
          <w:szCs w:val="20"/>
          <w:color w:val="auto"/>
        </w:rPr>
      </w:pPr>
      <w:r>
        <w:rPr>
          <w:rFonts w:ascii="Arial" w:cs="Arial" w:eastAsia="Arial" w:hAnsi="Arial"/>
          <w:sz w:val="17"/>
          <w:szCs w:val="17"/>
          <w:color w:val="auto"/>
        </w:rPr>
        <w:t>Investment Rating 1 is used for investments that involve the least amount of risk in our portfolio. The portfolio company is performing above expectations, the debt investment is expected to be paid in the near term and the trends and risk factors are favorable, and may include an expected capital gain on the equity investment.</w:t>
      </w:r>
    </w:p>
    <w:p>
      <w:pPr>
        <w:spacing w:after="0" w:line="2" w:lineRule="exact"/>
        <w:rPr>
          <w:sz w:val="20"/>
          <w:szCs w:val="20"/>
          <w:color w:val="auto"/>
        </w:rPr>
      </w:pPr>
    </w:p>
    <w:p>
      <w:pPr>
        <w:ind w:left="920" w:right="220"/>
        <w:spacing w:after="0" w:line="264" w:lineRule="auto"/>
        <w:rPr>
          <w:sz w:val="20"/>
          <w:szCs w:val="20"/>
          <w:color w:val="auto"/>
        </w:rPr>
      </w:pPr>
      <w:r>
        <w:rPr>
          <w:rFonts w:ascii="Arial" w:cs="Arial" w:eastAsia="Arial" w:hAnsi="Arial"/>
          <w:sz w:val="17"/>
          <w:szCs w:val="17"/>
          <w:color w:val="auto"/>
        </w:rPr>
        <w:t>Investment Rating 2 is used for investments that involve a level of risk similar to the risk at the time of origination. The portfolio company is performing substantially within our expectations and the risk factors are neutral or favorable. Each new portfolio investment enters our portfolio with Investment Rating 2.</w:t>
      </w:r>
    </w:p>
    <w:p>
      <w:pPr>
        <w:spacing w:after="0" w:line="2" w:lineRule="exact"/>
        <w:rPr>
          <w:sz w:val="20"/>
          <w:szCs w:val="20"/>
          <w:color w:val="auto"/>
        </w:rPr>
      </w:pPr>
    </w:p>
    <w:p>
      <w:pPr>
        <w:ind w:left="920" w:right="280"/>
        <w:spacing w:after="0" w:line="281" w:lineRule="auto"/>
        <w:rPr>
          <w:sz w:val="20"/>
          <w:szCs w:val="20"/>
          <w:color w:val="auto"/>
        </w:rPr>
      </w:pPr>
      <w:r>
        <w:rPr>
          <w:rFonts w:ascii="Arial" w:cs="Arial" w:eastAsia="Arial" w:hAnsi="Arial"/>
          <w:sz w:val="16"/>
          <w:szCs w:val="16"/>
          <w:color w:val="auto"/>
        </w:rPr>
        <w:t>Investment Rating 3 is used for investments performing below expectations and indicates the investment’s risk has increased somewhat since origination. The portfolio company requires closer monitoring, but we expect a full return of principal and collection of all interest and/or dividends. Investment Rating 4 is used for investments performing materially below expectations and the risk has increased materially since origination. The investment has the potential for some loss of investment return, but we expect no loss of principal.</w:t>
      </w:r>
    </w:p>
    <w:p>
      <w:pPr>
        <w:ind w:left="920" w:right="820"/>
        <w:spacing w:after="0" w:line="288" w:lineRule="auto"/>
        <w:rPr>
          <w:sz w:val="20"/>
          <w:szCs w:val="20"/>
          <w:color w:val="auto"/>
        </w:rPr>
      </w:pPr>
      <w:r>
        <w:rPr>
          <w:rFonts w:ascii="Arial" w:cs="Arial" w:eastAsia="Arial" w:hAnsi="Arial"/>
          <w:sz w:val="17"/>
          <w:szCs w:val="17"/>
          <w:color w:val="auto"/>
        </w:rPr>
        <w:t>Investment Rating 5 is used for investments performing substantially below our expectations and the risks have increased substantially since origination. We expect some loss of principal.</w:t>
      </w:r>
    </w:p>
    <w:p>
      <w:pPr>
        <w:spacing w:after="0" w:line="114" w:lineRule="exact"/>
        <w:rPr>
          <w:sz w:val="20"/>
          <w:szCs w:val="20"/>
          <w:color w:val="auto"/>
        </w:rPr>
      </w:pPr>
    </w:p>
    <w:p>
      <w:pPr>
        <w:jc w:val="both"/>
        <w:ind w:firstLine="480"/>
        <w:spacing w:after="0" w:line="276" w:lineRule="auto"/>
        <w:rPr>
          <w:sz w:val="20"/>
          <w:szCs w:val="20"/>
          <w:color w:val="auto"/>
        </w:rPr>
      </w:pPr>
      <w:r>
        <w:rPr>
          <w:rFonts w:ascii="Arial" w:cs="Arial" w:eastAsia="Arial" w:hAnsi="Arial"/>
          <w:sz w:val="17"/>
          <w:szCs w:val="17"/>
          <w:color w:val="auto"/>
        </w:rPr>
        <w:t>As the COVID-19 pandemic continues to evolve, we are maintaining close communications with our portfolio companies to proactively assess and manage risks across our investment portfolio. We have also increased oversight and analysis of credits in vulnerable industries in an attempt to improve performance and reduce credit risk.</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 shows the distribution of our investments on the 1 to 5 investment rating scale at fair value and cost as of September 30, 2021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2020 (dollars in millions):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80"/>
        </w:trPr>
        <w:tc>
          <w:tcPr>
            <w:tcW w:w="1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Fair Value</w:t>
            </w:r>
          </w:p>
        </w:tc>
        <w:tc>
          <w:tcPr>
            <w:tcW w:w="3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Cost</w:t>
            </w: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r>
      <w:tr>
        <w:trPr>
          <w:trHeight w:val="177"/>
        </w:trPr>
        <w:tc>
          <w:tcPr>
            <w:tcW w:w="1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3"/>
          </w:tcPr>
          <w:p>
            <w:pPr>
              <w:jc w:val="center"/>
              <w:ind w:left="52"/>
              <w:spacing w:after="0"/>
              <w:rPr>
                <w:sz w:val="20"/>
                <w:szCs w:val="20"/>
                <w:color w:val="auto"/>
              </w:rPr>
            </w:pPr>
            <w:r>
              <w:rPr>
                <w:rFonts w:ascii="Arial" w:cs="Arial" w:eastAsia="Arial" w:hAnsi="Arial"/>
                <w:sz w:val="14"/>
                <w:szCs w:val="14"/>
                <w:b w:val="1"/>
                <w:bCs w:val="1"/>
                <w:color w:val="auto"/>
                <w:w w:val="85"/>
              </w:rPr>
              <w:t>September 30,</w:t>
            </w: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3"/>
          </w:tcPr>
          <w:p>
            <w:pPr>
              <w:jc w:val="center"/>
              <w:ind w:left="52"/>
              <w:spacing w:after="0"/>
              <w:rPr>
                <w:sz w:val="20"/>
                <w:szCs w:val="20"/>
                <w:color w:val="auto"/>
              </w:rPr>
            </w:pPr>
            <w:r>
              <w:rPr>
                <w:rFonts w:ascii="Arial" w:cs="Arial" w:eastAsia="Arial" w:hAnsi="Arial"/>
                <w:sz w:val="14"/>
                <w:szCs w:val="14"/>
                <w:b w:val="1"/>
                <w:bCs w:val="1"/>
                <w:color w:val="auto"/>
                <w:w w:val="87"/>
              </w:rPr>
              <w:t>December 31,</w:t>
            </w: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3"/>
          </w:tcPr>
          <w:p>
            <w:pPr>
              <w:jc w:val="center"/>
              <w:ind w:left="52"/>
              <w:spacing w:after="0"/>
              <w:rPr>
                <w:sz w:val="20"/>
                <w:szCs w:val="20"/>
                <w:color w:val="auto"/>
              </w:rPr>
            </w:pPr>
            <w:r>
              <w:rPr>
                <w:rFonts w:ascii="Arial" w:cs="Arial" w:eastAsia="Arial" w:hAnsi="Arial"/>
                <w:sz w:val="14"/>
                <w:szCs w:val="14"/>
                <w:b w:val="1"/>
                <w:bCs w:val="1"/>
                <w:color w:val="auto"/>
                <w:w w:val="85"/>
              </w:rPr>
              <w:t>September 30,</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3"/>
          </w:tcPr>
          <w:p>
            <w:pPr>
              <w:jc w:val="center"/>
              <w:ind w:left="52"/>
              <w:spacing w:after="0"/>
              <w:rPr>
                <w:sz w:val="20"/>
                <w:szCs w:val="20"/>
                <w:color w:val="auto"/>
              </w:rPr>
            </w:pPr>
            <w:r>
              <w:rPr>
                <w:rFonts w:ascii="Arial" w:cs="Arial" w:eastAsia="Arial" w:hAnsi="Arial"/>
                <w:sz w:val="14"/>
                <w:szCs w:val="14"/>
                <w:b w:val="1"/>
                <w:bCs w:val="1"/>
                <w:color w:val="auto"/>
                <w:w w:val="87"/>
              </w:rPr>
              <w:t>December 31,</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6"/>
        </w:trPr>
        <w:tc>
          <w:tcPr>
            <w:tcW w:w="176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Investment Rating</w:t>
            </w:r>
          </w:p>
        </w:tc>
        <w:tc>
          <w:tcPr>
            <w:tcW w:w="36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188"/>
        </w:trPr>
        <w:tc>
          <w:tcPr>
            <w:tcW w:w="15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1</w:t>
            </w:r>
          </w:p>
        </w:tc>
        <w:tc>
          <w:tcPr>
            <w:tcW w:w="180" w:type="dxa"/>
            <w:vAlign w:val="bottom"/>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jc w:val="right"/>
              <w:ind w:right="212"/>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111.0</w:t>
            </w:r>
          </w:p>
        </w:tc>
        <w:tc>
          <w:tcPr>
            <w:tcW w:w="280" w:type="dxa"/>
            <w:vAlign w:val="bottom"/>
            <w:tcBorders>
              <w:top w:val="single" w:sz="8" w:color="auto"/>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15.4</w:t>
            </w:r>
          </w:p>
        </w:tc>
        <w:tc>
          <w:tcPr>
            <w:tcW w:w="540" w:type="dxa"/>
            <w:vAlign w:val="bottom"/>
            <w:shd w:val="clear" w:color="auto" w:fill="CFF0FC"/>
          </w:tcPr>
          <w:p>
            <w:pPr>
              <w:jc w:val="right"/>
              <w:ind w:right="252"/>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CFF0FC"/>
          </w:tcPr>
          <w:p>
            <w:pPr>
              <w:jc w:val="right"/>
              <w:ind w:right="192"/>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109.3</w:t>
            </w:r>
          </w:p>
        </w:tc>
        <w:tc>
          <w:tcPr>
            <w:tcW w:w="240" w:type="dxa"/>
            <w:vAlign w:val="bottom"/>
            <w:tcBorders>
              <w:top w:val="single" w:sz="8" w:color="auto"/>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14.7</w:t>
            </w:r>
          </w:p>
        </w:tc>
        <w:tc>
          <w:tcPr>
            <w:tcW w:w="500" w:type="dxa"/>
            <w:vAlign w:val="bottom"/>
            <w:shd w:val="clear" w:color="auto" w:fill="CFF0FC"/>
          </w:tcPr>
          <w:p>
            <w:pPr>
              <w:jc w:val="right"/>
              <w:ind w:right="232"/>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FF0FC"/>
          </w:tcPr>
          <w:p>
            <w:pPr>
              <w:jc w:val="right"/>
              <w:ind w:right="112"/>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13.6</w:t>
            </w:r>
          </w:p>
        </w:tc>
        <w:tc>
          <w:tcPr>
            <w:tcW w:w="26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w:t>
            </w:r>
          </w:p>
        </w:tc>
        <w:tc>
          <w:tcPr>
            <w:tcW w:w="480" w:type="dxa"/>
            <w:vAlign w:val="bottom"/>
            <w:shd w:val="clear" w:color="auto" w:fill="CFF0FC"/>
          </w:tcPr>
          <w:p>
            <w:pPr>
              <w:jc w:val="right"/>
              <w:ind w:right="212"/>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FF0FC"/>
          </w:tcPr>
          <w:p>
            <w:pPr>
              <w:jc w:val="right"/>
              <w:ind w:right="152"/>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38.7</w:t>
            </w:r>
          </w:p>
        </w:tc>
        <w:tc>
          <w:tcPr>
            <w:tcW w:w="2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w:t>
            </w:r>
          </w:p>
        </w:tc>
        <w:tc>
          <w:tcPr>
            <w:tcW w:w="32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w:t>
            </w:r>
          </w:p>
        </w:tc>
      </w:tr>
      <w:tr>
        <w:trPr>
          <w:trHeight w:val="185"/>
        </w:trPr>
        <w:tc>
          <w:tcPr>
            <w:tcW w:w="1580" w:type="dxa"/>
            <w:vAlign w:val="bottom"/>
          </w:tcPr>
          <w:p>
            <w:pPr>
              <w:ind w:left="20"/>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541.8</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75.4</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544.4</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73.3</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535.1</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84.7</w:t>
            </w: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537.6</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78.3</w:t>
            </w:r>
          </w:p>
        </w:tc>
        <w:tc>
          <w:tcPr>
            <w:tcW w:w="320" w:type="dxa"/>
            <w:vAlign w:val="bottom"/>
          </w:tcPr>
          <w:p>
            <w:pPr>
              <w:spacing w:after="0"/>
              <w:rPr>
                <w:sz w:val="16"/>
                <w:szCs w:val="16"/>
                <w:color w:val="auto"/>
              </w:rPr>
            </w:pPr>
          </w:p>
        </w:tc>
      </w:tr>
      <w:tr>
        <w:trPr>
          <w:trHeight w:val="196"/>
        </w:trPr>
        <w:tc>
          <w:tcPr>
            <w:tcW w:w="1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3</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46.2</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5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80.1</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w:t>
            </w:r>
          </w:p>
        </w:tc>
        <w:tc>
          <w:tcPr>
            <w:tcW w:w="5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51.1</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w:t>
            </w:r>
          </w:p>
        </w:tc>
        <w:tc>
          <w:tcPr>
            <w:tcW w:w="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87.5</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w:t>
            </w:r>
          </w:p>
        </w:tc>
        <w:tc>
          <w:tcPr>
            <w:tcW w:w="320" w:type="dxa"/>
            <w:vAlign w:val="bottom"/>
            <w:shd w:val="clear" w:color="auto" w:fill="CFF0FC"/>
          </w:tcPr>
          <w:p>
            <w:pPr>
              <w:spacing w:after="0"/>
              <w:rPr>
                <w:sz w:val="17"/>
                <w:szCs w:val="17"/>
                <w:color w:val="auto"/>
              </w:rPr>
            </w:pPr>
          </w:p>
        </w:tc>
      </w:tr>
      <w:tr>
        <w:trPr>
          <w:trHeight w:val="185"/>
        </w:trPr>
        <w:tc>
          <w:tcPr>
            <w:tcW w:w="1580" w:type="dxa"/>
            <w:vAlign w:val="bottom"/>
          </w:tcPr>
          <w:p>
            <w:pPr>
              <w:ind w:left="20"/>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20.1</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2.8</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9.0</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1.2</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26.1</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4.1</w:t>
            </w: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13.7</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w:t>
            </w:r>
          </w:p>
        </w:tc>
        <w:tc>
          <w:tcPr>
            <w:tcW w:w="320" w:type="dxa"/>
            <w:vAlign w:val="bottom"/>
          </w:tcPr>
          <w:p>
            <w:pPr>
              <w:spacing w:after="0"/>
              <w:rPr>
                <w:sz w:val="16"/>
                <w:szCs w:val="16"/>
                <w:color w:val="auto"/>
              </w:rPr>
            </w:pPr>
          </w:p>
        </w:tc>
      </w:tr>
      <w:tr>
        <w:trPr>
          <w:trHeight w:val="196"/>
        </w:trPr>
        <w:tc>
          <w:tcPr>
            <w:tcW w:w="1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5</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gridSpan w:val="3"/>
            <w:shd w:val="clear" w:color="auto" w:fill="CFF0FC"/>
          </w:tcPr>
          <w:p>
            <w:pPr>
              <w:jc w:val="right"/>
              <w:ind w:right="6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0.9</w:t>
            </w:r>
          </w:p>
        </w:tc>
        <w:tc>
          <w:tcPr>
            <w:tcW w:w="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320" w:type="dxa"/>
            <w:vAlign w:val="bottom"/>
            <w:shd w:val="clear" w:color="auto" w:fill="CFF0FC"/>
          </w:tcPr>
          <w:p>
            <w:pPr>
              <w:spacing w:after="0"/>
              <w:rPr>
                <w:sz w:val="17"/>
                <w:szCs w:val="17"/>
                <w:color w:val="auto"/>
              </w:rPr>
            </w:pPr>
          </w:p>
        </w:tc>
      </w:tr>
      <w:tr>
        <w:trPr>
          <w:trHeight w:val="183"/>
        </w:trPr>
        <w:tc>
          <w:tcPr>
            <w:tcW w:w="1760" w:type="dxa"/>
            <w:vAlign w:val="bottom"/>
            <w:tcBorders>
              <w:top w:val="single" w:sz="8" w:color="CFF0FC"/>
            </w:tcBorders>
            <w:gridSpan w:val="2"/>
          </w:tcPr>
          <w:p>
            <w:pPr>
              <w:ind w:left="20"/>
              <w:spacing w:after="0"/>
              <w:rPr>
                <w:sz w:val="20"/>
                <w:szCs w:val="20"/>
                <w:color w:val="auto"/>
              </w:rPr>
            </w:pPr>
            <w:r>
              <w:rPr>
                <w:rFonts w:ascii="Arial" w:cs="Arial" w:eastAsia="Arial" w:hAnsi="Arial"/>
                <w:sz w:val="14"/>
                <w:szCs w:val="14"/>
                <w:color w:val="auto"/>
              </w:rPr>
              <w:t>Total</w:t>
            </w:r>
          </w:p>
        </w:tc>
        <w:tc>
          <w:tcPr>
            <w:tcW w:w="36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719.1</w:t>
            </w:r>
          </w:p>
        </w:tc>
        <w:tc>
          <w:tcPr>
            <w:tcW w:w="280" w:type="dxa"/>
            <w:vAlign w:val="bottom"/>
            <w:tcBorders>
              <w:top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540" w:type="dxa"/>
            <w:vAlign w:val="bottom"/>
            <w:tcBorders>
              <w:top w:val="single" w:sz="8" w:color="CFF0FC"/>
            </w:tcBorders>
          </w:tcPr>
          <w:p>
            <w:pPr>
              <w:jc w:val="right"/>
              <w:ind w:right="252"/>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742.9</w:t>
            </w:r>
          </w:p>
        </w:tc>
        <w:tc>
          <w:tcPr>
            <w:tcW w:w="240" w:type="dxa"/>
            <w:vAlign w:val="bottom"/>
            <w:tcBorders>
              <w:top w:val="single" w:sz="8" w:color="CFF0FC"/>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500" w:type="dxa"/>
            <w:vAlign w:val="bottom"/>
            <w:tcBorders>
              <w:top w:val="single" w:sz="8" w:color="CFF0FC"/>
            </w:tcBorders>
          </w:tcPr>
          <w:p>
            <w:pPr>
              <w:jc w:val="right"/>
              <w:ind w:right="232"/>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631.3</w:t>
            </w:r>
          </w:p>
        </w:tc>
        <w:tc>
          <w:tcPr>
            <w:tcW w:w="260" w:type="dxa"/>
            <w:vAlign w:val="bottom"/>
            <w:tcBorders>
              <w:top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480" w:type="dxa"/>
            <w:vAlign w:val="bottom"/>
            <w:tcBorders>
              <w:top w:val="single" w:sz="8" w:color="CFF0FC"/>
            </w:tcBorders>
          </w:tcPr>
          <w:p>
            <w:pPr>
              <w:jc w:val="right"/>
              <w:ind w:right="212"/>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687.0</w:t>
            </w:r>
          </w:p>
        </w:tc>
        <w:tc>
          <w:tcPr>
            <w:tcW w:w="240" w:type="dxa"/>
            <w:vAlign w:val="bottom"/>
            <w:tcBorders>
              <w:top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320" w:type="dxa"/>
            <w:vAlign w:val="bottom"/>
            <w:tcBorders>
              <w:top w:val="single" w:sz="8" w:color="CFF0FC"/>
            </w:tcBorders>
          </w:tcPr>
          <w:p>
            <w:pPr>
              <w:jc w:val="right"/>
              <w:ind w:right="52"/>
              <w:spacing w:after="0"/>
              <w:rPr>
                <w:sz w:val="20"/>
                <w:szCs w:val="20"/>
                <w:color w:val="auto"/>
              </w:rPr>
            </w:pPr>
            <w:r>
              <w:rPr>
                <w:rFonts w:ascii="Arial" w:cs="Arial" w:eastAsia="Arial" w:hAnsi="Arial"/>
                <w:sz w:val="14"/>
                <w:szCs w:val="14"/>
                <w:color w:val="auto"/>
              </w:rPr>
              <w:t>%</w:t>
            </w:r>
          </w:p>
        </w:tc>
      </w:tr>
      <w:tr>
        <w:trPr>
          <w:trHeight w:val="20"/>
        </w:trPr>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1755775</wp:posOffset>
            </wp:positionH>
            <wp:positionV relativeFrom="paragraph">
              <wp:posOffset>-149860</wp:posOffset>
            </wp:positionV>
            <wp:extent cx="168910" cy="508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68910" cy="5080"/>
                    </a:xfrm>
                    <a:prstGeom prst="rect">
                      <a:avLst/>
                    </a:prstGeom>
                    <a:noFill/>
                  </pic:spPr>
                </pic:pic>
              </a:graphicData>
            </a:graphic>
          </wp:anchor>
        </w:drawing>
        <w:drawing>
          <wp:anchor simplePos="0" relativeHeight="251657728" behindDoc="1" locked="0" layoutInCell="0" allowOverlap="1">
            <wp:simplePos x="0" y="0"/>
            <wp:positionH relativeFrom="column">
              <wp:posOffset>2440305</wp:posOffset>
            </wp:positionH>
            <wp:positionV relativeFrom="paragraph">
              <wp:posOffset>-149860</wp:posOffset>
            </wp:positionV>
            <wp:extent cx="225425" cy="508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25425" cy="508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-149860</wp:posOffset>
            </wp:positionV>
            <wp:extent cx="153035" cy="508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53035" cy="5080"/>
                    </a:xfrm>
                    <a:prstGeom prst="rect">
                      <a:avLst/>
                    </a:prstGeom>
                    <a:noFill/>
                  </pic:spPr>
                </pic:pic>
              </a:graphicData>
            </a:graphic>
          </wp:anchor>
        </w:drawing>
        <w:drawing>
          <wp:anchor simplePos="0" relativeHeight="251657728" behindDoc="1" locked="0" layoutInCell="0" allowOverlap="1">
            <wp:simplePos x="0" y="0"/>
            <wp:positionH relativeFrom="column">
              <wp:posOffset>4050030</wp:posOffset>
            </wp:positionH>
            <wp:positionV relativeFrom="paragraph">
              <wp:posOffset>-149860</wp:posOffset>
            </wp:positionV>
            <wp:extent cx="209550" cy="508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09550" cy="508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-149860</wp:posOffset>
            </wp:positionV>
            <wp:extent cx="161290" cy="508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61290" cy="508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-149860</wp:posOffset>
            </wp:positionV>
            <wp:extent cx="209550" cy="508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09550" cy="508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-149860</wp:posOffset>
            </wp:positionV>
            <wp:extent cx="153035" cy="508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53035" cy="5080"/>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-149860</wp:posOffset>
            </wp:positionV>
            <wp:extent cx="209550" cy="508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09550" cy="508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both"/>
        <w:ind w:firstLine="478"/>
        <w:spacing w:after="0" w:line="288" w:lineRule="auto"/>
        <w:rPr>
          <w:sz w:val="20"/>
          <w:szCs w:val="20"/>
          <w:color w:val="auto"/>
        </w:rPr>
      </w:pPr>
      <w:r>
        <w:rPr>
          <w:rFonts w:ascii="Arial" w:cs="Arial" w:eastAsia="Arial" w:hAnsi="Arial"/>
          <w:sz w:val="17"/>
          <w:szCs w:val="17"/>
          <w:color w:val="auto"/>
        </w:rPr>
        <w:t>Based on our investment rating system, the weighted average rating of our portfolio as of September 30, 2021 and December 31, 2020 was 2.0 and 2.0, respectively, on a fair value basis and 2.2 and 2.2, respectively, on a cost basis.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Non-Accrual</w:t>
      </w:r>
    </w:p>
    <w:p>
      <w:pPr>
        <w:spacing w:after="0" w:line="172" w:lineRule="exact"/>
        <w:rPr>
          <w:sz w:val="20"/>
          <w:szCs w:val="20"/>
          <w:color w:val="auto"/>
        </w:rPr>
      </w:pPr>
    </w:p>
    <w:p>
      <w:pPr>
        <w:jc w:val="both"/>
        <w:ind w:firstLine="510"/>
        <w:spacing w:after="0" w:line="267" w:lineRule="auto"/>
        <w:rPr>
          <w:sz w:val="20"/>
          <w:szCs w:val="20"/>
          <w:color w:val="auto"/>
        </w:rPr>
      </w:pPr>
      <w:r>
        <w:rPr>
          <w:rFonts w:ascii="Arial" w:cs="Arial" w:eastAsia="Arial" w:hAnsi="Arial"/>
          <w:sz w:val="17"/>
          <w:szCs w:val="17"/>
          <w:color w:val="auto"/>
        </w:rPr>
        <w:t>As of September 30, 2021, we had no debt investments on non-accrual status. As of December 31, 2020, we had a debt investment in one portfolio company on non-accrual status (dollars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85"/>
              </w:rPr>
              <w:t>September 30, 2021</w:t>
            </w:r>
          </w:p>
        </w:tc>
        <w:tc>
          <w:tcPr>
            <w:tcW w:w="6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6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r>
      <w:tr>
        <w:trPr>
          <w:trHeight w:val="177"/>
        </w:trPr>
        <w:tc>
          <w:tcPr>
            <w:tcW w:w="5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center"/>
              <w:ind w:right="535"/>
              <w:spacing w:after="0"/>
              <w:rPr>
                <w:sz w:val="20"/>
                <w:szCs w:val="20"/>
                <w:color w:val="auto"/>
              </w:rPr>
            </w:pPr>
            <w:r>
              <w:rPr>
                <w:rFonts w:ascii="Arial" w:cs="Arial" w:eastAsia="Arial" w:hAnsi="Arial"/>
                <w:sz w:val="14"/>
                <w:szCs w:val="14"/>
                <w:b w:val="1"/>
                <w:bCs w:val="1"/>
                <w:color w:val="auto"/>
                <w:w w:val="93"/>
              </w:rPr>
              <w:t>Fair</w:t>
            </w: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352"/>
              <w:spacing w:after="0"/>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96"/>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5"/>
              </w:rPr>
              <w:t>Value</w:t>
            </w:r>
          </w:p>
        </w:tc>
        <w:tc>
          <w:tcPr>
            <w:tcW w:w="3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Cost</w:t>
            </w:r>
          </w:p>
        </w:tc>
        <w:tc>
          <w:tcPr>
            <w:tcW w:w="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3"/>
              </w:rPr>
              <w:t>Cost</w:t>
            </w:r>
          </w:p>
        </w:tc>
        <w:tc>
          <w:tcPr>
            <w:tcW w:w="340" w:type="dxa"/>
            <w:vAlign w:val="bottom"/>
          </w:tcPr>
          <w:p>
            <w:pPr>
              <w:spacing w:after="0"/>
              <w:rPr>
                <w:sz w:val="17"/>
                <w:szCs w:val="17"/>
                <w:color w:val="auto"/>
              </w:rPr>
            </w:pPr>
          </w:p>
        </w:tc>
      </w:tr>
      <w:tr>
        <w:trPr>
          <w:trHeight w:val="188"/>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EBL, LLC (EbLens)</w:t>
            </w:r>
          </w:p>
        </w:tc>
        <w:tc>
          <w:tcPr>
            <w:tcW w:w="2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w w:val="85"/>
              </w:rPr>
              <w:t>—</w:t>
            </w:r>
          </w:p>
        </w:tc>
        <w:tc>
          <w:tcPr>
            <w:tcW w:w="3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9"/>
                <w:szCs w:val="9"/>
                <w:color w:val="auto"/>
              </w:rPr>
              <w:t>(1)</w:t>
            </w:r>
          </w:p>
        </w:tc>
        <w:tc>
          <w:tcPr>
            <w:tcW w:w="40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w w:val="85"/>
              </w:rPr>
              <w:t>—</w:t>
            </w:r>
          </w:p>
        </w:tc>
        <w:tc>
          <w:tcPr>
            <w:tcW w:w="3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9"/>
                <w:szCs w:val="9"/>
                <w:color w:val="auto"/>
              </w:rPr>
              <w:t>(1)</w:t>
            </w:r>
          </w:p>
        </w:tc>
        <w:tc>
          <w:tcPr>
            <w:tcW w:w="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3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9"/>
                <w:szCs w:val="9"/>
                <w:color w:val="auto"/>
              </w:rPr>
              <w:t>(2)</w:t>
            </w:r>
          </w:p>
        </w:tc>
        <w:tc>
          <w:tcPr>
            <w:tcW w:w="3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3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9"/>
                <w:szCs w:val="9"/>
                <w:color w:val="auto"/>
              </w:rPr>
              <w:t>(2)</w:t>
            </w:r>
          </w:p>
        </w:tc>
      </w:tr>
      <w:tr>
        <w:trPr>
          <w:trHeight w:val="183"/>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Pr>
          <w:p>
            <w:pPr>
              <w:jc w:val="right"/>
              <w:ind w:right="92"/>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252"/>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5.5</w:t>
            </w:r>
          </w:p>
        </w:tc>
        <w:tc>
          <w:tcPr>
            <w:tcW w:w="340" w:type="dxa"/>
            <w:vAlign w:val="bottom"/>
          </w:tcPr>
          <w:p>
            <w:pPr>
              <w:spacing w:after="0"/>
              <w:rPr>
                <w:sz w:val="15"/>
                <w:szCs w:val="15"/>
                <w:color w:val="auto"/>
              </w:rPr>
            </w:pPr>
          </w:p>
        </w:tc>
        <w:tc>
          <w:tcPr>
            <w:tcW w:w="380" w:type="dxa"/>
            <w:vAlign w:val="bottom"/>
          </w:tcPr>
          <w:p>
            <w:pPr>
              <w:jc w:val="right"/>
              <w:ind w:right="232"/>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9.2</w:t>
            </w:r>
          </w:p>
        </w:tc>
        <w:tc>
          <w:tcPr>
            <w:tcW w:w="340" w:type="dxa"/>
            <w:vAlign w:val="bottom"/>
          </w:tcPr>
          <w:p>
            <w:pPr>
              <w:spacing w:after="0"/>
              <w:rPr>
                <w:sz w:val="15"/>
                <w:szCs w:val="15"/>
                <w:color w:val="auto"/>
              </w:rPr>
            </w:pPr>
          </w:p>
        </w:tc>
      </w:tr>
      <w:tr>
        <w:trPr>
          <w:trHeight w:val="20"/>
        </w:trPr>
        <w:tc>
          <w:tcPr>
            <w:tcW w:w="5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4243705</wp:posOffset>
            </wp:positionH>
            <wp:positionV relativeFrom="paragraph">
              <wp:posOffset>-149860</wp:posOffset>
            </wp:positionV>
            <wp:extent cx="2898140" cy="15049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898140" cy="15049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200" w:hanging="199"/>
        <w:spacing w:after="0"/>
        <w:tabs>
          <w:tab w:leader="none" w:pos="2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Portfolio company debt investment was not on non-accrual status at September 30, 2021.</w:t>
      </w:r>
    </w:p>
    <w:p>
      <w:pPr>
        <w:spacing w:after="0" w:line="11" w:lineRule="exact"/>
        <w:rPr>
          <w:rFonts w:ascii="Arial" w:cs="Arial" w:eastAsia="Arial" w:hAnsi="Arial"/>
          <w:sz w:val="14"/>
          <w:szCs w:val="14"/>
          <w:color w:val="auto"/>
        </w:rPr>
      </w:pPr>
    </w:p>
    <w:p>
      <w:pPr>
        <w:ind w:left="200" w:hanging="199"/>
        <w:spacing w:after="0"/>
        <w:tabs>
          <w:tab w:leader="none" w:pos="2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Portfolio company was on PIK-only non-accrual status at December 31, 2020, meaning we ceased recognizing PIK interest income on the investment.</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Discussion and Analysis of Results of Operations</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Comparison of three and nine months ended September 30, 2021 and 2020</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Investment Income</w:t>
      </w:r>
    </w:p>
    <w:p>
      <w:pPr>
        <w:spacing w:after="0" w:line="172" w:lineRule="exact"/>
        <w:rPr>
          <w:sz w:val="20"/>
          <w:szCs w:val="20"/>
          <w:color w:val="auto"/>
        </w:rPr>
      </w:pPr>
    </w:p>
    <w:p>
      <w:pPr>
        <w:ind w:firstLine="375"/>
        <w:spacing w:after="0" w:line="267" w:lineRule="auto"/>
        <w:rPr>
          <w:sz w:val="20"/>
          <w:szCs w:val="20"/>
          <w:color w:val="auto"/>
        </w:rPr>
      </w:pPr>
      <w:r>
        <w:rPr>
          <w:rFonts w:ascii="Arial" w:cs="Arial" w:eastAsia="Arial" w:hAnsi="Arial"/>
          <w:sz w:val="17"/>
          <w:szCs w:val="17"/>
          <w:color w:val="auto"/>
        </w:rPr>
        <w:t>Below is a summary of the changes in total investment income for the three months ended September 30, 2021 as compared to the same period in 2020 (dollars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00" w:type="dxa"/>
            <w:vAlign w:val="bottom"/>
          </w:tcPr>
          <w:p>
            <w:pPr>
              <w:spacing w:after="0"/>
              <w:rPr>
                <w:sz w:val="15"/>
                <w:szCs w:val="15"/>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9"/>
              </w:rPr>
              <w:t>Three Months Ended September 30,</w:t>
            </w:r>
          </w:p>
        </w:tc>
        <w:tc>
          <w:tcPr>
            <w:tcW w:w="2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0"/>
        </w:trPr>
        <w:tc>
          <w:tcPr>
            <w:tcW w:w="5200" w:type="dxa"/>
            <w:vAlign w:val="bottom"/>
          </w:tcPr>
          <w:p>
            <w:pPr>
              <w:spacing w:after="0"/>
              <w:rPr>
                <w:sz w:val="16"/>
                <w:szCs w:val="16"/>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6"/>
                <w:szCs w:val="16"/>
                <w:color w:val="auto"/>
              </w:rPr>
            </w:pPr>
          </w:p>
        </w:tc>
        <w:tc>
          <w:tcPr>
            <w:tcW w:w="1380" w:type="dxa"/>
            <w:vAlign w:val="bottom"/>
            <w:tcBorders>
              <w:bottom w:val="single" w:sz="8" w:color="auto"/>
            </w:tcBorders>
          </w:tcPr>
          <w:p>
            <w:pPr>
              <w:jc w:val="right"/>
              <w:ind w:right="192"/>
              <w:spacing w:after="0" w:line="190" w:lineRule="exact"/>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18"/>
                <w:szCs w:val="18"/>
                <w:b w:val="1"/>
                <w:bCs w:val="1"/>
                <w:color w:val="auto"/>
                <w:vertAlign w:val="superscript"/>
              </w:rPr>
              <w:t>(1)(2)</w:t>
            </w:r>
          </w:p>
        </w:tc>
        <w:tc>
          <w:tcPr>
            <w:tcW w:w="320" w:type="dxa"/>
            <w:vAlign w:val="bottom"/>
          </w:tcPr>
          <w:p>
            <w:pPr>
              <w:spacing w:after="0"/>
              <w:rPr>
                <w:sz w:val="16"/>
                <w:szCs w:val="16"/>
                <w:color w:val="auto"/>
              </w:rPr>
            </w:pPr>
          </w:p>
        </w:tc>
      </w:tr>
      <w:tr>
        <w:trPr>
          <w:trHeight w:val="183"/>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880" w:type="dxa"/>
            <w:vAlign w:val="bottom"/>
            <w:shd w:val="clear" w:color="auto" w:fill="CCEEFF"/>
          </w:tcPr>
          <w:p>
            <w:pPr>
              <w:jc w:val="right"/>
              <w:ind w:right="732"/>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180" w:type="dxa"/>
            <w:vAlign w:val="bottom"/>
            <w:gridSpan w:val="2"/>
            <w:shd w:val="clear" w:color="auto" w:fill="CCEEFF"/>
          </w:tcPr>
          <w:p>
            <w:pPr>
              <w:jc w:val="right"/>
              <w:ind w:right="792"/>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7"/>
              </w:rPr>
              <w:t>18.8</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(0.9 )</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(4.8 %)</w:t>
            </w:r>
          </w:p>
        </w:tc>
      </w:tr>
      <w:tr>
        <w:trPr>
          <w:trHeight w:val="185"/>
        </w:trPr>
        <w:tc>
          <w:tcPr>
            <w:tcW w:w="5200" w:type="dxa"/>
            <w:vAlign w:val="bottom"/>
          </w:tcPr>
          <w:p>
            <w:pPr>
              <w:ind w:left="20"/>
              <w:spacing w:after="0"/>
              <w:rPr>
                <w:sz w:val="20"/>
                <w:szCs w:val="20"/>
                <w:color w:val="auto"/>
              </w:rPr>
            </w:pPr>
            <w:r>
              <w:rPr>
                <w:rFonts w:ascii="Arial" w:cs="Arial" w:eastAsia="Arial" w:hAnsi="Arial"/>
                <w:sz w:val="14"/>
                <w:szCs w:val="14"/>
                <w:color w:val="auto"/>
              </w:rPr>
              <w:t>Payment-in-kind interest income</w:t>
            </w:r>
          </w:p>
        </w:tc>
        <w:tc>
          <w:tcPr>
            <w:tcW w:w="8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1.2</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320"/>
              <w:spacing w:after="0"/>
              <w:rPr>
                <w:sz w:val="20"/>
                <w:szCs w:val="20"/>
                <w:color w:val="auto"/>
              </w:rPr>
            </w:pPr>
            <w:r>
              <w:rPr>
                <w:rFonts w:ascii="Arial" w:cs="Arial" w:eastAsia="Arial" w:hAnsi="Arial"/>
                <w:sz w:val="14"/>
                <w:szCs w:val="14"/>
                <w:color w:val="auto"/>
              </w:rPr>
              <w:t>NM</w:t>
            </w:r>
          </w:p>
        </w:tc>
      </w:tr>
      <w:tr>
        <w:trPr>
          <w:trHeight w:val="196"/>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 income</w:t>
            </w: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NM</w:t>
            </w:r>
          </w:p>
        </w:tc>
      </w:tr>
      <w:tr>
        <w:trPr>
          <w:trHeight w:val="185"/>
        </w:trPr>
        <w:tc>
          <w:tcPr>
            <w:tcW w:w="5200" w:type="dxa"/>
            <w:vAlign w:val="bottom"/>
          </w:tcPr>
          <w:p>
            <w:pPr>
              <w:ind w:left="20"/>
              <w:spacing w:after="0"/>
              <w:rPr>
                <w:sz w:val="20"/>
                <w:szCs w:val="20"/>
                <w:color w:val="auto"/>
              </w:rPr>
            </w:pPr>
            <w:r>
              <w:rPr>
                <w:rFonts w:ascii="Arial" w:cs="Arial" w:eastAsia="Arial" w:hAnsi="Arial"/>
                <w:sz w:val="14"/>
                <w:szCs w:val="14"/>
                <w:color w:val="auto"/>
              </w:rPr>
              <w:t>Fee income</w:t>
            </w:r>
          </w:p>
        </w:tc>
        <w:tc>
          <w:tcPr>
            <w:tcW w:w="8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0.6</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6"/>
                <w:szCs w:val="16"/>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4"/>
                <w:szCs w:val="14"/>
                <w:color w:val="auto"/>
              </w:rPr>
              <w:t>177.7 %</w:t>
            </w:r>
          </w:p>
        </w:tc>
      </w:tr>
      <w:tr>
        <w:trPr>
          <w:trHeight w:val="19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on idle funds and other income</w:t>
            </w:r>
          </w:p>
        </w:tc>
        <w:tc>
          <w:tcPr>
            <w:tcW w:w="88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320" w:type="dxa"/>
            <w:vAlign w:val="bottom"/>
            <w:tcBorders>
              <w:bottom w:val="single" w:sz="8" w:color="CCEEFF"/>
            </w:tcBorders>
            <w:shd w:val="clear" w:color="auto" w:fill="CCEEFF"/>
          </w:tcPr>
          <w:p>
            <w:pPr>
              <w:spacing w:after="0"/>
              <w:rPr>
                <w:sz w:val="16"/>
                <w:szCs w:val="16"/>
                <w:color w:val="auto"/>
              </w:rPr>
            </w:pPr>
          </w:p>
        </w:tc>
      </w:tr>
      <w:tr>
        <w:trPr>
          <w:trHeight w:val="188"/>
        </w:trPr>
        <w:tc>
          <w:tcPr>
            <w:tcW w:w="5200" w:type="dxa"/>
            <w:vAlign w:val="bottom"/>
          </w:tcPr>
          <w:p>
            <w:pPr>
              <w:ind w:left="20"/>
              <w:spacing w:after="0"/>
              <w:rPr>
                <w:sz w:val="20"/>
                <w:szCs w:val="20"/>
                <w:color w:val="auto"/>
              </w:rPr>
            </w:pPr>
            <w:r>
              <w:rPr>
                <w:rFonts w:ascii="Arial" w:cs="Arial" w:eastAsia="Arial" w:hAnsi="Arial"/>
                <w:sz w:val="14"/>
                <w:szCs w:val="14"/>
                <w:color w:val="auto"/>
              </w:rPr>
              <w:t>Total investment income</w:t>
            </w:r>
          </w:p>
        </w:tc>
        <w:tc>
          <w:tcPr>
            <w:tcW w:w="880" w:type="dxa"/>
            <w:vAlign w:val="bottom"/>
          </w:tcPr>
          <w:p>
            <w:pPr>
              <w:jc w:val="right"/>
              <w:ind w:right="732"/>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21.2</w:t>
            </w:r>
          </w:p>
        </w:tc>
        <w:tc>
          <w:tcPr>
            <w:tcW w:w="1180" w:type="dxa"/>
            <w:vAlign w:val="bottom"/>
            <w:gridSpan w:val="2"/>
          </w:tcPr>
          <w:p>
            <w:pPr>
              <w:jc w:val="right"/>
              <w:ind w:right="792"/>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w w:val="87"/>
              </w:rPr>
              <w:t>21.1</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0.1</w:t>
            </w:r>
          </w:p>
        </w:tc>
        <w:tc>
          <w:tcPr>
            <w:tcW w:w="240" w:type="dxa"/>
            <w:vAlign w:val="bottom"/>
          </w:tcPr>
          <w:p>
            <w:pPr>
              <w:spacing w:after="0"/>
              <w:rPr>
                <w:sz w:val="16"/>
                <w:szCs w:val="16"/>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4"/>
                <w:szCs w:val="14"/>
                <w:color w:val="auto"/>
              </w:rPr>
              <w:t>0.7 %</w:t>
            </w:r>
          </w:p>
        </w:tc>
      </w:tr>
      <w:tr>
        <w:trPr>
          <w:trHeight w:val="20"/>
        </w:trPr>
        <w:tc>
          <w:tcPr>
            <w:tcW w:w="5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4090670</wp:posOffset>
            </wp:positionH>
            <wp:positionV relativeFrom="paragraph">
              <wp:posOffset>-149860</wp:posOffset>
            </wp:positionV>
            <wp:extent cx="3051175" cy="15049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051175" cy="150495"/>
                    </a:xfrm>
                    <a:prstGeom prst="rect">
                      <a:avLst/>
                    </a:prstGeom>
                    <a:noFill/>
                  </pic:spPr>
                </pic:pic>
              </a:graphicData>
            </a:graphic>
          </wp:anchor>
        </w:drawing>
      </w:r>
    </w:p>
    <w:p>
      <w:pPr>
        <w:spacing w:after="0" w:line="190" w:lineRule="exact"/>
        <w:rPr>
          <w:sz w:val="20"/>
          <w:szCs w:val="20"/>
          <w:color w:val="auto"/>
        </w:rPr>
      </w:pPr>
    </w:p>
    <w:p>
      <w:pPr>
        <w:ind w:left="200" w:hanging="199"/>
        <w:spacing w:after="0"/>
        <w:tabs>
          <w:tab w:leader="none" w:pos="2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41" w:lineRule="exact"/>
        <w:rPr>
          <w:rFonts w:ascii="Arial" w:cs="Arial" w:eastAsia="Arial" w:hAnsi="Arial"/>
          <w:sz w:val="14"/>
          <w:szCs w:val="14"/>
          <w:color w:val="auto"/>
        </w:rPr>
      </w:pPr>
    </w:p>
    <w:p>
      <w:pPr>
        <w:ind w:left="200" w:hanging="199"/>
        <w:spacing w:after="0"/>
        <w:tabs>
          <w:tab w:leader="none" w:pos="2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Percent change calculated based on underlying dollar amounts in thousands as presented on the consolidated statements of operations.</w:t>
      </w:r>
    </w:p>
    <w:p>
      <w:pPr>
        <w:spacing w:after="0" w:line="175" w:lineRule="exact"/>
        <w:rPr>
          <w:sz w:val="20"/>
          <w:szCs w:val="20"/>
          <w:color w:val="auto"/>
        </w:rPr>
      </w:pPr>
    </w:p>
    <w:p>
      <w:pPr>
        <w:ind w:firstLine="375"/>
        <w:spacing w:after="0" w:line="321" w:lineRule="auto"/>
        <w:rPr>
          <w:sz w:val="20"/>
          <w:szCs w:val="20"/>
          <w:color w:val="auto"/>
        </w:rPr>
      </w:pPr>
      <w:r>
        <w:rPr>
          <w:rFonts w:ascii="Arial" w:cs="Arial" w:eastAsia="Arial" w:hAnsi="Arial"/>
          <w:sz w:val="16"/>
          <w:szCs w:val="16"/>
          <w:color w:val="auto"/>
        </w:rPr>
        <w:t>For the three months ended September 30, 2021, total investment income was $21.2 million, an increase of $0.1 million or 0.7%, from the $21.1 million of total investment income for the three months ended September 30, 2020. As reflected in the table above, the increase is primarily attributable to the following:</w:t>
      </w:r>
    </w:p>
    <w:p>
      <w:pPr>
        <w:spacing w:after="0" w:line="91" w:lineRule="exact"/>
        <w:rPr>
          <w:sz w:val="20"/>
          <w:szCs w:val="20"/>
          <w:color w:val="auto"/>
        </w:rPr>
      </w:pPr>
    </w:p>
    <w:p>
      <w:pPr>
        <w:ind w:left="1060"/>
        <w:spacing w:after="0" w:line="288" w:lineRule="auto"/>
        <w:rPr>
          <w:sz w:val="20"/>
          <w:szCs w:val="20"/>
          <w:color w:val="auto"/>
        </w:rPr>
      </w:pPr>
      <w:r>
        <w:rPr>
          <w:rFonts w:ascii="Arial" w:cs="Arial" w:eastAsia="Arial" w:hAnsi="Arial"/>
          <w:sz w:val="17"/>
          <w:szCs w:val="17"/>
          <w:color w:val="auto"/>
        </w:rPr>
        <w:t>$1.0 million increase in fee income resulting from an increase in origination and prepayment fees, partially offset by a decrease in amendment fees during 2021 as compared to 2020.</w:t>
      </w:r>
    </w:p>
    <w:p>
      <w:pPr>
        <w:spacing w:after="0" w:line="114" w:lineRule="exact"/>
        <w:rPr>
          <w:sz w:val="20"/>
          <w:szCs w:val="20"/>
          <w:color w:val="auto"/>
        </w:rPr>
      </w:pPr>
    </w:p>
    <w:p>
      <w:pPr>
        <w:ind w:left="1060"/>
        <w:spacing w:after="0" w:line="358" w:lineRule="auto"/>
        <w:rPr>
          <w:sz w:val="20"/>
          <w:szCs w:val="20"/>
          <w:color w:val="auto"/>
        </w:rPr>
      </w:pPr>
      <w:r>
        <w:rPr>
          <w:rFonts w:ascii="Arial" w:cs="Arial" w:eastAsia="Arial" w:hAnsi="Arial"/>
          <w:sz w:val="15"/>
          <w:szCs w:val="15"/>
          <w:color w:val="auto"/>
        </w:rPr>
        <w:t>$0.9 million decrease in total interest income (which includes payment-in-kind interest income) resulting from a decrease in average debt investment balances, partially offset by a higher weighted average yield on debt investment balances outstanding, during 2021 as compared to 2020.</w:t>
      </w:r>
    </w:p>
    <w:p>
      <w:pPr>
        <w:spacing w:after="0" w:line="69" w:lineRule="exact"/>
        <w:rPr>
          <w:sz w:val="20"/>
          <w:szCs w:val="20"/>
          <w:color w:val="auto"/>
        </w:rPr>
      </w:pPr>
    </w:p>
    <w:p>
      <w:pPr>
        <w:ind w:firstLine="375"/>
        <w:spacing w:after="0" w:line="264" w:lineRule="auto"/>
        <w:rPr>
          <w:sz w:val="20"/>
          <w:szCs w:val="20"/>
          <w:color w:val="auto"/>
        </w:rPr>
      </w:pPr>
      <w:r>
        <w:rPr>
          <w:rFonts w:ascii="Arial" w:cs="Arial" w:eastAsia="Arial" w:hAnsi="Arial"/>
          <w:sz w:val="17"/>
          <w:szCs w:val="17"/>
          <w:color w:val="auto"/>
        </w:rPr>
        <w:t>Below is a summary of the changes in total investment income for the nine months ended September 30, 2021 as compared to the same period in 2020 (dollars in millions):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78"/>
        </w:trPr>
        <w:tc>
          <w:tcPr>
            <w:tcW w:w="5200" w:type="dxa"/>
            <w:vAlign w:val="bottom"/>
          </w:tcPr>
          <w:p>
            <w:pPr>
              <w:spacing w:after="0"/>
              <w:rPr>
                <w:sz w:val="15"/>
                <w:szCs w:val="15"/>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0"/>
        </w:trPr>
        <w:tc>
          <w:tcPr>
            <w:tcW w:w="5200" w:type="dxa"/>
            <w:vAlign w:val="bottom"/>
          </w:tcPr>
          <w:p>
            <w:pPr>
              <w:spacing w:after="0"/>
              <w:rPr>
                <w:sz w:val="16"/>
                <w:szCs w:val="16"/>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6"/>
                <w:szCs w:val="16"/>
                <w:color w:val="auto"/>
              </w:rPr>
            </w:pPr>
          </w:p>
        </w:tc>
        <w:tc>
          <w:tcPr>
            <w:tcW w:w="1380" w:type="dxa"/>
            <w:vAlign w:val="bottom"/>
            <w:tcBorders>
              <w:bottom w:val="single" w:sz="8" w:color="auto"/>
            </w:tcBorders>
          </w:tcPr>
          <w:p>
            <w:pPr>
              <w:ind w:left="260"/>
              <w:spacing w:after="0" w:line="190" w:lineRule="exact"/>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18"/>
                <w:szCs w:val="18"/>
                <w:b w:val="1"/>
                <w:bCs w:val="1"/>
                <w:color w:val="auto"/>
                <w:vertAlign w:val="superscript"/>
              </w:rPr>
              <w:t>(1)(2)</w:t>
            </w:r>
          </w:p>
        </w:tc>
        <w:tc>
          <w:tcPr>
            <w:tcW w:w="320" w:type="dxa"/>
            <w:vAlign w:val="bottom"/>
          </w:tcPr>
          <w:p>
            <w:pPr>
              <w:spacing w:after="0"/>
              <w:rPr>
                <w:sz w:val="16"/>
                <w:szCs w:val="16"/>
                <w:color w:val="auto"/>
              </w:rPr>
            </w:pPr>
          </w:p>
        </w:tc>
      </w:tr>
      <w:tr>
        <w:trPr>
          <w:trHeight w:val="183"/>
        </w:trPr>
        <w:tc>
          <w:tcPr>
            <w:tcW w:w="5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income</w:t>
            </w:r>
          </w:p>
        </w:tc>
        <w:tc>
          <w:tcPr>
            <w:tcW w:w="880" w:type="dxa"/>
            <w:vAlign w:val="bottom"/>
            <w:shd w:val="clear" w:color="auto" w:fill="CFF0FC"/>
          </w:tcPr>
          <w:p>
            <w:pPr>
              <w:jc w:val="right"/>
              <w:ind w:right="732"/>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54.8</w:t>
            </w:r>
          </w:p>
        </w:tc>
        <w:tc>
          <w:tcPr>
            <w:tcW w:w="1160" w:type="dxa"/>
            <w:vAlign w:val="bottom"/>
            <w:gridSpan w:val="2"/>
            <w:shd w:val="clear" w:color="auto" w:fill="CFF0FC"/>
          </w:tcPr>
          <w:p>
            <w:pPr>
              <w:jc w:val="right"/>
              <w:ind w:right="772"/>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5"/>
              </w:rPr>
              <w:t>55.1</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(0.3 )</w:t>
            </w:r>
          </w:p>
        </w:tc>
        <w:tc>
          <w:tcPr>
            <w:tcW w:w="17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(0.5 %)</w:t>
            </w:r>
          </w:p>
        </w:tc>
      </w:tr>
      <w:tr>
        <w:trPr>
          <w:trHeight w:val="185"/>
        </w:trPr>
        <w:tc>
          <w:tcPr>
            <w:tcW w:w="5200" w:type="dxa"/>
            <w:vAlign w:val="bottom"/>
          </w:tcPr>
          <w:p>
            <w:pPr>
              <w:ind w:left="20"/>
              <w:spacing w:after="0"/>
              <w:rPr>
                <w:sz w:val="20"/>
                <w:szCs w:val="20"/>
                <w:color w:val="auto"/>
              </w:rPr>
            </w:pPr>
            <w:r>
              <w:rPr>
                <w:rFonts w:ascii="Arial" w:cs="Arial" w:eastAsia="Arial" w:hAnsi="Arial"/>
                <w:sz w:val="14"/>
                <w:szCs w:val="14"/>
                <w:color w:val="auto"/>
              </w:rPr>
              <w:t>Payment-in-kind interest income</w:t>
            </w:r>
          </w:p>
        </w:tc>
        <w:tc>
          <w:tcPr>
            <w:tcW w:w="8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3.3</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3.5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(0.2 )</w:t>
            </w:r>
          </w:p>
        </w:tc>
        <w:tc>
          <w:tcPr>
            <w:tcW w:w="1700" w:type="dxa"/>
            <w:vAlign w:val="bottom"/>
            <w:gridSpan w:val="2"/>
          </w:tcPr>
          <w:p>
            <w:pPr>
              <w:jc w:val="right"/>
              <w:ind w:right="140"/>
              <w:spacing w:after="0"/>
              <w:rPr>
                <w:sz w:val="20"/>
                <w:szCs w:val="20"/>
                <w:color w:val="auto"/>
              </w:rPr>
            </w:pPr>
            <w:r>
              <w:rPr>
                <w:rFonts w:ascii="Arial" w:cs="Arial" w:eastAsia="Arial" w:hAnsi="Arial"/>
                <w:sz w:val="14"/>
                <w:szCs w:val="14"/>
                <w:color w:val="auto"/>
              </w:rPr>
              <w:t>(5.1 %)</w:t>
            </w:r>
          </w:p>
        </w:tc>
      </w:tr>
      <w:tr>
        <w:trPr>
          <w:trHeight w:val="196"/>
        </w:trPr>
        <w:tc>
          <w:tcPr>
            <w:tcW w:w="5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Dividend income</w:t>
            </w:r>
          </w:p>
        </w:tc>
        <w:tc>
          <w:tcPr>
            <w:tcW w:w="88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0.6</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w:t>
            </w:r>
          </w:p>
        </w:tc>
        <w:tc>
          <w:tcPr>
            <w:tcW w:w="24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120.3 %</w:t>
            </w:r>
          </w:p>
        </w:tc>
      </w:tr>
      <w:tr>
        <w:trPr>
          <w:trHeight w:val="185"/>
        </w:trPr>
        <w:tc>
          <w:tcPr>
            <w:tcW w:w="5200" w:type="dxa"/>
            <w:vAlign w:val="bottom"/>
          </w:tcPr>
          <w:p>
            <w:pPr>
              <w:ind w:left="20"/>
              <w:spacing w:after="0"/>
              <w:rPr>
                <w:sz w:val="20"/>
                <w:szCs w:val="20"/>
                <w:color w:val="auto"/>
              </w:rPr>
            </w:pPr>
            <w:r>
              <w:rPr>
                <w:rFonts w:ascii="Arial" w:cs="Arial" w:eastAsia="Arial" w:hAnsi="Arial"/>
                <w:sz w:val="14"/>
                <w:szCs w:val="14"/>
                <w:color w:val="auto"/>
              </w:rPr>
              <w:t>Fee income</w:t>
            </w:r>
          </w:p>
        </w:tc>
        <w:tc>
          <w:tcPr>
            <w:tcW w:w="8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6.8</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2.3</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w:t>
            </w:r>
          </w:p>
        </w:tc>
        <w:tc>
          <w:tcPr>
            <w:tcW w:w="240" w:type="dxa"/>
            <w:vAlign w:val="bottom"/>
          </w:tcPr>
          <w:p>
            <w:pPr>
              <w:spacing w:after="0"/>
              <w:rPr>
                <w:sz w:val="16"/>
                <w:szCs w:val="16"/>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4"/>
                <w:szCs w:val="14"/>
                <w:color w:val="auto"/>
              </w:rPr>
              <w:t>200.4 %</w:t>
            </w:r>
          </w:p>
        </w:tc>
      </w:tr>
      <w:tr>
        <w:trPr>
          <w:trHeight w:val="190"/>
        </w:trPr>
        <w:tc>
          <w:tcPr>
            <w:tcW w:w="5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Interest on idle funds and other income</w:t>
            </w:r>
          </w:p>
        </w:tc>
        <w:tc>
          <w:tcPr>
            <w:tcW w:w="880" w:type="dxa"/>
            <w:vAlign w:val="bottom"/>
            <w:tcBorders>
              <w:bottom w:val="single" w:sz="8" w:color="auto"/>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ind w:left="1160"/>
              <w:spacing w:after="0"/>
              <w:rPr>
                <w:sz w:val="20"/>
                <w:szCs w:val="20"/>
                <w:color w:val="auto"/>
              </w:rPr>
            </w:pPr>
            <w:r>
              <w:rPr>
                <w:rFonts w:ascii="Arial" w:cs="Arial" w:eastAsia="Arial" w:hAnsi="Arial"/>
                <w:sz w:val="14"/>
                <w:szCs w:val="14"/>
                <w:color w:val="auto"/>
                <w:w w:val="91"/>
              </w:rPr>
              <w:t>NM</w:t>
            </w:r>
          </w:p>
        </w:tc>
        <w:tc>
          <w:tcPr>
            <w:tcW w:w="320" w:type="dxa"/>
            <w:vAlign w:val="bottom"/>
            <w:tcBorders>
              <w:bottom w:val="single" w:sz="8" w:color="CFF0FC"/>
            </w:tcBorders>
            <w:shd w:val="clear" w:color="auto" w:fill="CFF0FC"/>
          </w:tcPr>
          <w:p>
            <w:pPr>
              <w:spacing w:after="0"/>
              <w:rPr>
                <w:sz w:val="16"/>
                <w:szCs w:val="16"/>
                <w:color w:val="auto"/>
              </w:rPr>
            </w:pPr>
          </w:p>
        </w:tc>
      </w:tr>
      <w:tr>
        <w:trPr>
          <w:trHeight w:val="188"/>
        </w:trPr>
        <w:tc>
          <w:tcPr>
            <w:tcW w:w="5200" w:type="dxa"/>
            <w:vAlign w:val="bottom"/>
          </w:tcPr>
          <w:p>
            <w:pPr>
              <w:ind w:left="20"/>
              <w:spacing w:after="0"/>
              <w:rPr>
                <w:sz w:val="20"/>
                <w:szCs w:val="20"/>
                <w:color w:val="auto"/>
              </w:rPr>
            </w:pPr>
            <w:r>
              <w:rPr>
                <w:rFonts w:ascii="Arial" w:cs="Arial" w:eastAsia="Arial" w:hAnsi="Arial"/>
                <w:sz w:val="14"/>
                <w:szCs w:val="14"/>
                <w:color w:val="auto"/>
              </w:rPr>
              <w:t>Total investment income</w:t>
            </w:r>
          </w:p>
        </w:tc>
        <w:tc>
          <w:tcPr>
            <w:tcW w:w="880" w:type="dxa"/>
            <w:vAlign w:val="bottom"/>
          </w:tcPr>
          <w:p>
            <w:pPr>
              <w:jc w:val="right"/>
              <w:ind w:right="732"/>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66.3</w:t>
            </w:r>
          </w:p>
        </w:tc>
        <w:tc>
          <w:tcPr>
            <w:tcW w:w="1160" w:type="dxa"/>
            <w:vAlign w:val="bottom"/>
            <w:gridSpan w:val="2"/>
          </w:tcPr>
          <w:p>
            <w:pPr>
              <w:jc w:val="right"/>
              <w:ind w:right="772"/>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w w:val="95"/>
              </w:rPr>
              <w:t>61.5</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4.8</w:t>
            </w:r>
          </w:p>
        </w:tc>
        <w:tc>
          <w:tcPr>
            <w:tcW w:w="240" w:type="dxa"/>
            <w:vAlign w:val="bottom"/>
          </w:tcPr>
          <w:p>
            <w:pPr>
              <w:spacing w:after="0"/>
              <w:rPr>
                <w:sz w:val="16"/>
                <w:szCs w:val="16"/>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4"/>
                <w:szCs w:val="14"/>
                <w:color w:val="auto"/>
              </w:rPr>
              <w:t>7.9 %</w:t>
            </w:r>
          </w:p>
        </w:tc>
      </w:tr>
      <w:tr>
        <w:trPr>
          <w:trHeight w:val="20"/>
        </w:trPr>
        <w:tc>
          <w:tcPr>
            <w:tcW w:w="5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4090670</wp:posOffset>
            </wp:positionH>
            <wp:positionV relativeFrom="paragraph">
              <wp:posOffset>-149860</wp:posOffset>
            </wp:positionV>
            <wp:extent cx="144780" cy="508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44780" cy="5080"/>
                    </a:xfrm>
                    <a:prstGeom prst="rect">
                      <a:avLst/>
                    </a:prstGeom>
                    <a:noFill/>
                  </pic:spPr>
                </pic:pic>
              </a:graphicData>
            </a:graphic>
          </wp:anchor>
        </w:drawing>
        <w:drawing>
          <wp:anchor simplePos="0" relativeHeight="251657728" behindDoc="1" locked="0" layoutInCell="0" allowOverlap="1">
            <wp:simplePos x="0" y="0"/>
            <wp:positionH relativeFrom="column">
              <wp:posOffset>5008245</wp:posOffset>
            </wp:positionH>
            <wp:positionV relativeFrom="paragraph">
              <wp:posOffset>-149860</wp:posOffset>
            </wp:positionV>
            <wp:extent cx="137160" cy="508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37160" cy="508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-149860</wp:posOffset>
            </wp:positionV>
            <wp:extent cx="144780" cy="508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44780" cy="5080"/>
                    </a:xfrm>
                    <a:prstGeom prst="rect">
                      <a:avLst/>
                    </a:prstGeom>
                    <a:noFill/>
                  </pic:spPr>
                </pic:pic>
              </a:graphicData>
            </a:graphic>
          </wp:anchor>
        </w:drawing>
        <w:drawing>
          <wp:anchor simplePos="0" relativeHeight="251657728" behindDoc="1" locked="0" layoutInCell="0" allowOverlap="1">
            <wp:simplePos x="0" y="0"/>
            <wp:positionH relativeFrom="column">
              <wp:posOffset>6940550</wp:posOffset>
            </wp:positionH>
            <wp:positionV relativeFrom="paragraph">
              <wp:posOffset>-149860</wp:posOffset>
            </wp:positionV>
            <wp:extent cx="201295" cy="508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01295" cy="5080"/>
                    </a:xfrm>
                    <a:prstGeom prst="rect">
                      <a:avLst/>
                    </a:prstGeom>
                    <a:noFill/>
                  </pic:spPr>
                </pic:pic>
              </a:graphicData>
            </a:graphic>
          </wp:anchor>
        </w:drawing>
      </w:r>
    </w:p>
    <w:p>
      <w:pPr>
        <w:ind w:left="200" w:hanging="199"/>
        <w:spacing w:after="0"/>
        <w:tabs>
          <w:tab w:leader="none" w:pos="2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36" w:lineRule="exact"/>
        <w:rPr>
          <w:rFonts w:ascii="Arial" w:cs="Arial" w:eastAsia="Arial" w:hAnsi="Arial"/>
          <w:sz w:val="14"/>
          <w:szCs w:val="14"/>
          <w:color w:val="auto"/>
        </w:rPr>
      </w:pPr>
    </w:p>
    <w:p>
      <w:pPr>
        <w:ind w:left="200" w:hanging="199"/>
        <w:spacing w:after="0"/>
        <w:tabs>
          <w:tab w:leader="none" w:pos="2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Percent change calculated based on underlying dollar amounts in thousands as presented on the consolidated statements of operations.</w:t>
      </w:r>
    </w:p>
    <w:p>
      <w:pPr>
        <w:spacing w:after="0" w:line="175" w:lineRule="exact"/>
        <w:rPr>
          <w:sz w:val="20"/>
          <w:szCs w:val="20"/>
          <w:color w:val="auto"/>
        </w:rPr>
      </w:pPr>
    </w:p>
    <w:p>
      <w:pPr>
        <w:ind w:firstLine="375"/>
        <w:spacing w:after="0" w:line="321" w:lineRule="auto"/>
        <w:rPr>
          <w:sz w:val="20"/>
          <w:szCs w:val="20"/>
          <w:color w:val="auto"/>
        </w:rPr>
      </w:pPr>
      <w:r>
        <w:rPr>
          <w:rFonts w:ascii="Arial" w:cs="Arial" w:eastAsia="Arial" w:hAnsi="Arial"/>
          <w:sz w:val="16"/>
          <w:szCs w:val="16"/>
          <w:color w:val="auto"/>
        </w:rPr>
        <w:t>For the nine months ended September 30, 2021, total investment income was $66.3 million, an increase of $4.8 million or 7.9%, from the $61.5 million of total investment income for the nine months ended September 30, 2020. As reflected in the table above, the increase is primarily attributable to the following:</w:t>
      </w:r>
    </w:p>
    <w:p>
      <w:pPr>
        <w:spacing w:after="0" w:line="91" w:lineRule="exact"/>
        <w:rPr>
          <w:sz w:val="20"/>
          <w:szCs w:val="20"/>
          <w:color w:val="auto"/>
        </w:rPr>
      </w:pPr>
    </w:p>
    <w:p>
      <w:pPr>
        <w:jc w:val="both"/>
        <w:ind w:left="1060"/>
        <w:spacing w:after="0" w:line="288" w:lineRule="auto"/>
        <w:rPr>
          <w:sz w:val="20"/>
          <w:szCs w:val="20"/>
          <w:color w:val="auto"/>
        </w:rPr>
      </w:pPr>
      <w:r>
        <w:rPr>
          <w:rFonts w:ascii="Arial" w:cs="Arial" w:eastAsia="Arial" w:hAnsi="Arial"/>
          <w:sz w:val="17"/>
          <w:szCs w:val="17"/>
          <w:color w:val="auto"/>
        </w:rPr>
        <w:t>$4.5 million increase in fee income resulting from an increase in origination and prepayment fees, partially offset by a decrease in amendment fees during 2021 as compared to 2020.</w:t>
      </w:r>
    </w:p>
    <w:p>
      <w:pPr>
        <w:spacing w:after="0" w:line="114"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$0.8 million increase in dividend income due to an increase in distributions received from equity investments.</w:t>
      </w:r>
    </w:p>
    <w:p>
      <w:pPr>
        <w:spacing w:after="0" w:line="172" w:lineRule="exact"/>
        <w:rPr>
          <w:sz w:val="20"/>
          <w:szCs w:val="20"/>
          <w:color w:val="auto"/>
        </w:rPr>
      </w:pPr>
    </w:p>
    <w:p>
      <w:pPr>
        <w:jc w:val="both"/>
        <w:ind w:left="1060"/>
        <w:spacing w:after="0" w:line="276" w:lineRule="auto"/>
        <w:rPr>
          <w:sz w:val="20"/>
          <w:szCs w:val="20"/>
          <w:color w:val="auto"/>
        </w:rPr>
      </w:pPr>
      <w:r>
        <w:rPr>
          <w:rFonts w:ascii="Arial" w:cs="Arial" w:eastAsia="Arial" w:hAnsi="Arial"/>
          <w:sz w:val="17"/>
          <w:szCs w:val="17"/>
          <w:color w:val="auto"/>
        </w:rPr>
        <w:t>$0.5 million decrease in total interest income (which includes a $0.2 million decrease in payment-in-kind interest income) resulting from a decrease in average debt investment balances outstanding, partially offset by a higher weighted average yield on debt investment balances outstanding, during 2021 as compared to 2020.</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Expenses</w:t>
      </w:r>
    </w:p>
    <w:p>
      <w:pPr>
        <w:spacing w:after="0" w:line="172" w:lineRule="exact"/>
        <w:rPr>
          <w:sz w:val="20"/>
          <w:szCs w:val="20"/>
          <w:color w:val="auto"/>
        </w:rPr>
      </w:pPr>
    </w:p>
    <w:p>
      <w:pPr>
        <w:ind w:firstLine="478"/>
        <w:spacing w:after="0" w:line="267" w:lineRule="auto"/>
        <w:rPr>
          <w:sz w:val="20"/>
          <w:szCs w:val="20"/>
          <w:color w:val="auto"/>
        </w:rPr>
      </w:pPr>
      <w:r>
        <w:rPr>
          <w:rFonts w:ascii="Arial" w:cs="Arial" w:eastAsia="Arial" w:hAnsi="Arial"/>
          <w:sz w:val="17"/>
          <w:szCs w:val="17"/>
          <w:color w:val="auto"/>
        </w:rPr>
        <w:t>Below is a summary of the changes in total expenses, including income tax provision, for the three months ended September 30, 2021 as compared to the same period in 2020 (dollars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80" w:type="dxa"/>
            <w:vAlign w:val="bottom"/>
          </w:tcPr>
          <w:p>
            <w:pPr>
              <w:spacing w:after="0"/>
              <w:rPr>
                <w:sz w:val="15"/>
                <w:szCs w:val="15"/>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9"/>
              </w:rPr>
              <w:t>Three Months Ended September 30,</w:t>
            </w:r>
          </w:p>
        </w:tc>
        <w:tc>
          <w:tcPr>
            <w:tcW w:w="2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0"/>
        </w:trPr>
        <w:tc>
          <w:tcPr>
            <w:tcW w:w="5180" w:type="dxa"/>
            <w:vAlign w:val="bottom"/>
          </w:tcPr>
          <w:p>
            <w:pPr>
              <w:spacing w:after="0"/>
              <w:rPr>
                <w:sz w:val="16"/>
                <w:szCs w:val="16"/>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85"/>
              </w:rPr>
              <w:t>Change</w:t>
            </w:r>
          </w:p>
        </w:tc>
        <w:tc>
          <w:tcPr>
            <w:tcW w:w="240" w:type="dxa"/>
            <w:vAlign w:val="bottom"/>
          </w:tcPr>
          <w:p>
            <w:pPr>
              <w:spacing w:after="0"/>
              <w:rPr>
                <w:sz w:val="16"/>
                <w:szCs w:val="16"/>
                <w:color w:val="auto"/>
              </w:rPr>
            </w:pPr>
          </w:p>
        </w:tc>
        <w:tc>
          <w:tcPr>
            <w:tcW w:w="1380" w:type="dxa"/>
            <w:vAlign w:val="bottom"/>
            <w:tcBorders>
              <w:bottom w:val="single" w:sz="8" w:color="auto"/>
            </w:tcBorders>
          </w:tcPr>
          <w:p>
            <w:pPr>
              <w:jc w:val="right"/>
              <w:ind w:right="192"/>
              <w:spacing w:after="0" w:line="190" w:lineRule="exact"/>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18"/>
                <w:szCs w:val="18"/>
                <w:b w:val="1"/>
                <w:bCs w:val="1"/>
                <w:color w:val="auto"/>
                <w:vertAlign w:val="superscript"/>
              </w:rPr>
              <w:t>(1)(2)</w:t>
            </w:r>
          </w:p>
        </w:tc>
        <w:tc>
          <w:tcPr>
            <w:tcW w:w="320" w:type="dxa"/>
            <w:vAlign w:val="bottom"/>
          </w:tcPr>
          <w:p>
            <w:pPr>
              <w:spacing w:after="0"/>
              <w:rPr>
                <w:sz w:val="16"/>
                <w:szCs w:val="16"/>
                <w:color w:val="auto"/>
              </w:rPr>
            </w:pPr>
          </w:p>
        </w:tc>
      </w:tr>
      <w:tr>
        <w:trPr>
          <w:trHeight w:val="183"/>
        </w:trPr>
        <w:tc>
          <w:tcPr>
            <w:tcW w:w="5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financing expenses</w:t>
            </w:r>
          </w:p>
        </w:tc>
        <w:tc>
          <w:tcPr>
            <w:tcW w:w="880" w:type="dxa"/>
            <w:vAlign w:val="bottom"/>
            <w:shd w:val="clear" w:color="auto" w:fill="CCEEFF"/>
          </w:tcPr>
          <w:p>
            <w:pPr>
              <w:jc w:val="right"/>
              <w:ind w:right="732"/>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72"/>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640" w:type="dxa"/>
            <w:vAlign w:val="bottom"/>
            <w:gridSpan w:val="2"/>
            <w:shd w:val="clear" w:color="auto" w:fill="CCEEFF"/>
          </w:tcPr>
          <w:p>
            <w:pPr>
              <w:jc w:val="right"/>
              <w:ind w:right="272"/>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(0.2 )</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(4.4 %)</w:t>
            </w:r>
          </w:p>
        </w:tc>
      </w:tr>
      <w:tr>
        <w:trPr>
          <w:trHeight w:val="185"/>
        </w:trPr>
        <w:tc>
          <w:tcPr>
            <w:tcW w:w="5180" w:type="dxa"/>
            <w:vAlign w:val="bottom"/>
          </w:tcPr>
          <w:p>
            <w:pPr>
              <w:ind w:left="20"/>
              <w:spacing w:after="0"/>
              <w:rPr>
                <w:sz w:val="20"/>
                <w:szCs w:val="20"/>
                <w:color w:val="auto"/>
              </w:rPr>
            </w:pPr>
            <w:r>
              <w:rPr>
                <w:rFonts w:ascii="Arial" w:cs="Arial" w:eastAsia="Arial" w:hAnsi="Arial"/>
                <w:sz w:val="14"/>
                <w:szCs w:val="14"/>
                <w:color w:val="auto"/>
              </w:rPr>
              <w:t>Base management fee</w:t>
            </w:r>
          </w:p>
        </w:tc>
        <w:tc>
          <w:tcPr>
            <w:tcW w:w="8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3.3</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3.2</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0.1</w:t>
            </w:r>
          </w:p>
        </w:tc>
        <w:tc>
          <w:tcPr>
            <w:tcW w:w="240" w:type="dxa"/>
            <w:vAlign w:val="bottom"/>
          </w:tcPr>
          <w:p>
            <w:pPr>
              <w:spacing w:after="0"/>
              <w:rPr>
                <w:sz w:val="16"/>
                <w:szCs w:val="16"/>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4"/>
                <w:szCs w:val="14"/>
                <w:color w:val="auto"/>
              </w:rPr>
              <w:t>1.5 %</w:t>
            </w:r>
          </w:p>
        </w:tc>
      </w:tr>
      <w:tr>
        <w:trPr>
          <w:trHeight w:val="196"/>
        </w:trPr>
        <w:tc>
          <w:tcPr>
            <w:tcW w:w="5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Incentive fee - income</w:t>
            </w: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NM</w:t>
            </w:r>
          </w:p>
        </w:tc>
      </w:tr>
      <w:tr>
        <w:trPr>
          <w:trHeight w:val="185"/>
        </w:trPr>
        <w:tc>
          <w:tcPr>
            <w:tcW w:w="5180" w:type="dxa"/>
            <w:vAlign w:val="bottom"/>
          </w:tcPr>
          <w:p>
            <w:pPr>
              <w:ind w:left="20"/>
              <w:spacing w:after="0"/>
              <w:rPr>
                <w:sz w:val="20"/>
                <w:szCs w:val="20"/>
                <w:color w:val="auto"/>
              </w:rPr>
            </w:pPr>
            <w:r>
              <w:rPr>
                <w:rFonts w:ascii="Arial" w:cs="Arial" w:eastAsia="Arial" w:hAnsi="Arial"/>
                <w:sz w:val="14"/>
                <w:szCs w:val="14"/>
                <w:color w:val="auto"/>
              </w:rPr>
              <w:t>Incentive fee (reversal) - capital gains</w:t>
            </w:r>
          </w:p>
        </w:tc>
        <w:tc>
          <w:tcPr>
            <w:tcW w:w="8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4.7</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2.8</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w:t>
            </w:r>
          </w:p>
        </w:tc>
        <w:tc>
          <w:tcPr>
            <w:tcW w:w="240" w:type="dxa"/>
            <w:vAlign w:val="bottom"/>
          </w:tcPr>
          <w:p>
            <w:pPr>
              <w:spacing w:after="0"/>
              <w:rPr>
                <w:sz w:val="16"/>
                <w:szCs w:val="16"/>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4"/>
                <w:szCs w:val="14"/>
                <w:color w:val="auto"/>
              </w:rPr>
              <w:t>68.9 %</w:t>
            </w:r>
          </w:p>
        </w:tc>
      </w:tr>
      <w:tr>
        <w:trPr>
          <w:trHeight w:val="196"/>
        </w:trPr>
        <w:tc>
          <w:tcPr>
            <w:tcW w:w="5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Administrative service expenses</w:t>
            </w: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NM</w:t>
            </w:r>
          </w:p>
        </w:tc>
      </w:tr>
      <w:tr>
        <w:trPr>
          <w:trHeight w:val="185"/>
        </w:trPr>
        <w:tc>
          <w:tcPr>
            <w:tcW w:w="518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8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0.3</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0.3</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320"/>
              <w:spacing w:after="0"/>
              <w:rPr>
                <w:sz w:val="20"/>
                <w:szCs w:val="20"/>
                <w:color w:val="auto"/>
              </w:rPr>
            </w:pPr>
            <w:r>
              <w:rPr>
                <w:rFonts w:ascii="Arial" w:cs="Arial" w:eastAsia="Arial" w:hAnsi="Arial"/>
                <w:sz w:val="14"/>
                <w:szCs w:val="14"/>
                <w:color w:val="auto"/>
              </w:rPr>
              <w:t>NM</w:t>
            </w:r>
          </w:p>
        </w:tc>
      </w:tr>
      <w:tr>
        <w:trPr>
          <w:trHeight w:val="190"/>
        </w:trPr>
        <w:tc>
          <w:tcPr>
            <w:tcW w:w="5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general and administrative expenses</w:t>
            </w:r>
          </w:p>
        </w:tc>
        <w:tc>
          <w:tcPr>
            <w:tcW w:w="8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4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67.0 %</w:t>
            </w:r>
          </w:p>
        </w:tc>
      </w:tr>
      <w:tr>
        <w:trPr>
          <w:trHeight w:val="20"/>
        </w:trPr>
        <w:tc>
          <w:tcPr>
            <w:tcW w:w="51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r>
        <w:trPr>
          <w:trHeight w:val="183"/>
        </w:trPr>
        <w:tc>
          <w:tcPr>
            <w:tcW w:w="5180" w:type="dxa"/>
            <w:vAlign w:val="bottom"/>
          </w:tcPr>
          <w:p>
            <w:pPr>
              <w:ind w:left="20"/>
              <w:spacing w:after="0"/>
              <w:rPr>
                <w:sz w:val="20"/>
                <w:szCs w:val="20"/>
                <w:color w:val="auto"/>
              </w:rPr>
            </w:pPr>
            <w:r>
              <w:rPr>
                <w:rFonts w:ascii="Arial" w:cs="Arial" w:eastAsia="Arial" w:hAnsi="Arial"/>
                <w:sz w:val="14"/>
                <w:szCs w:val="14"/>
                <w:color w:val="auto"/>
              </w:rPr>
              <w:t>Total expenses, before base management and income incentive fee waivers</w:t>
            </w:r>
          </w:p>
        </w:tc>
        <w:tc>
          <w:tcPr>
            <w:tcW w:w="8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16.2</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95"/>
              </w:rPr>
              <w:t>14.2</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15"/>
                <w:szCs w:val="15"/>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4"/>
                <w:szCs w:val="14"/>
                <w:color w:val="auto"/>
              </w:rPr>
              <w:t>14.2 %</w:t>
            </w:r>
          </w:p>
        </w:tc>
      </w:tr>
      <w:tr>
        <w:trPr>
          <w:trHeight w:val="190"/>
        </w:trPr>
        <w:tc>
          <w:tcPr>
            <w:tcW w:w="5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Base management and income incentive fee waivers</w:t>
            </w:r>
          </w:p>
        </w:tc>
        <w:tc>
          <w:tcPr>
            <w:tcW w:w="8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(0.1 )</w:t>
            </w:r>
          </w:p>
        </w:tc>
        <w:tc>
          <w:tcPr>
            <w:tcW w:w="94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(0.1 )</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NM</w:t>
            </w:r>
          </w:p>
        </w:tc>
      </w:tr>
      <w:tr>
        <w:trPr>
          <w:trHeight w:val="20"/>
        </w:trPr>
        <w:tc>
          <w:tcPr>
            <w:tcW w:w="51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r>
        <w:trPr>
          <w:trHeight w:val="183"/>
        </w:trPr>
        <w:tc>
          <w:tcPr>
            <w:tcW w:w="5180" w:type="dxa"/>
            <w:vAlign w:val="bottom"/>
          </w:tcPr>
          <w:p>
            <w:pPr>
              <w:ind w:left="20"/>
              <w:spacing w:after="0"/>
              <w:rPr>
                <w:sz w:val="20"/>
                <w:szCs w:val="20"/>
                <w:color w:val="auto"/>
              </w:rPr>
            </w:pPr>
            <w:r>
              <w:rPr>
                <w:rFonts w:ascii="Arial" w:cs="Arial" w:eastAsia="Arial" w:hAnsi="Arial"/>
                <w:sz w:val="14"/>
                <w:szCs w:val="14"/>
                <w:color w:val="auto"/>
              </w:rPr>
              <w:t>Total expenses, before income tax provision</w:t>
            </w:r>
          </w:p>
        </w:tc>
        <w:tc>
          <w:tcPr>
            <w:tcW w:w="8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16.1</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95"/>
              </w:rPr>
              <w:t>14.2</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w:t>
            </w:r>
          </w:p>
        </w:tc>
        <w:tc>
          <w:tcPr>
            <w:tcW w:w="240" w:type="dxa"/>
            <w:vAlign w:val="bottom"/>
          </w:tcPr>
          <w:p>
            <w:pPr>
              <w:spacing w:after="0"/>
              <w:rPr>
                <w:sz w:val="15"/>
                <w:szCs w:val="15"/>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4"/>
                <w:szCs w:val="14"/>
                <w:color w:val="auto"/>
              </w:rPr>
              <w:t>13.7 %</w:t>
            </w:r>
          </w:p>
        </w:tc>
      </w:tr>
      <w:tr>
        <w:trPr>
          <w:trHeight w:val="196"/>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provision (benefit)</w:t>
            </w:r>
          </w:p>
        </w:tc>
        <w:tc>
          <w:tcPr>
            <w:tcW w:w="8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320" w:type="dxa"/>
            <w:vAlign w:val="bottom"/>
            <w:tcBorders>
              <w:bottom w:val="single" w:sz="8" w:color="CCEEFF"/>
            </w:tcBorders>
            <w:shd w:val="clear" w:color="auto" w:fill="CCEEFF"/>
          </w:tcPr>
          <w:p>
            <w:pPr>
              <w:spacing w:after="0"/>
              <w:rPr>
                <w:sz w:val="17"/>
                <w:szCs w:val="17"/>
                <w:color w:val="auto"/>
              </w:rPr>
            </w:pPr>
          </w:p>
        </w:tc>
      </w:tr>
      <w:tr>
        <w:trPr>
          <w:trHeight w:val="183"/>
        </w:trPr>
        <w:tc>
          <w:tcPr>
            <w:tcW w:w="5180" w:type="dxa"/>
            <w:vAlign w:val="bottom"/>
          </w:tcPr>
          <w:p>
            <w:pPr>
              <w:ind w:left="20"/>
              <w:spacing w:after="0"/>
              <w:rPr>
                <w:sz w:val="20"/>
                <w:szCs w:val="20"/>
                <w:color w:val="auto"/>
              </w:rPr>
            </w:pPr>
            <w:r>
              <w:rPr>
                <w:rFonts w:ascii="Arial" w:cs="Arial" w:eastAsia="Arial" w:hAnsi="Arial"/>
                <w:sz w:val="14"/>
                <w:szCs w:val="14"/>
                <w:color w:val="auto"/>
              </w:rPr>
              <w:t>Total expenses, including income tax provision</w:t>
            </w:r>
          </w:p>
        </w:tc>
        <w:tc>
          <w:tcPr>
            <w:tcW w:w="880" w:type="dxa"/>
            <w:vAlign w:val="bottom"/>
          </w:tcPr>
          <w:p>
            <w:pPr>
              <w:jc w:val="right"/>
              <w:ind w:right="732"/>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16.1</w:t>
            </w:r>
          </w:p>
        </w:tc>
        <w:tc>
          <w:tcPr>
            <w:tcW w:w="240" w:type="dxa"/>
            <w:vAlign w:val="bottom"/>
          </w:tcPr>
          <w:p>
            <w:pPr>
              <w:spacing w:after="0"/>
              <w:rPr>
                <w:sz w:val="15"/>
                <w:szCs w:val="15"/>
                <w:color w:val="auto"/>
              </w:rPr>
            </w:pPr>
          </w:p>
        </w:tc>
        <w:tc>
          <w:tcPr>
            <w:tcW w:w="940" w:type="dxa"/>
            <w:vAlign w:val="bottom"/>
          </w:tcPr>
          <w:p>
            <w:pPr>
              <w:jc w:val="right"/>
              <w:ind w:right="772"/>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w w:val="95"/>
              </w:rPr>
              <w:t>14.2</w:t>
            </w:r>
          </w:p>
        </w:tc>
        <w:tc>
          <w:tcPr>
            <w:tcW w:w="640" w:type="dxa"/>
            <w:vAlign w:val="bottom"/>
            <w:gridSpan w:val="2"/>
          </w:tcPr>
          <w:p>
            <w:pPr>
              <w:jc w:val="right"/>
              <w:ind w:right="272"/>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1.9</w:t>
            </w:r>
          </w:p>
        </w:tc>
        <w:tc>
          <w:tcPr>
            <w:tcW w:w="240" w:type="dxa"/>
            <w:vAlign w:val="bottom"/>
          </w:tcPr>
          <w:p>
            <w:pPr>
              <w:spacing w:after="0"/>
              <w:rPr>
                <w:sz w:val="15"/>
                <w:szCs w:val="15"/>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4"/>
                <w:szCs w:val="14"/>
                <w:color w:val="auto"/>
              </w:rPr>
              <w:t>13.7 %</w:t>
            </w:r>
          </w:p>
        </w:tc>
      </w:tr>
      <w:tr>
        <w:trPr>
          <w:trHeight w:val="20"/>
        </w:trPr>
        <w:tc>
          <w:tcPr>
            <w:tcW w:w="5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4082415</wp:posOffset>
            </wp:positionH>
            <wp:positionV relativeFrom="paragraph">
              <wp:posOffset>-648970</wp:posOffset>
            </wp:positionV>
            <wp:extent cx="3059430" cy="12573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059430" cy="125730"/>
                    </a:xfrm>
                    <a:prstGeom prst="rect">
                      <a:avLst/>
                    </a:prstGeom>
                    <a:noFill/>
                  </pic:spPr>
                </pic:pic>
              </a:graphicData>
            </a:graphic>
          </wp:anchor>
        </w:drawing>
        <w:drawing>
          <wp:anchor simplePos="0" relativeHeight="251657728" behindDoc="1" locked="0" layoutInCell="0" allowOverlap="1">
            <wp:simplePos x="0" y="0"/>
            <wp:positionH relativeFrom="column">
              <wp:posOffset>4082415</wp:posOffset>
            </wp:positionH>
            <wp:positionV relativeFrom="paragraph">
              <wp:posOffset>-399415</wp:posOffset>
            </wp:positionV>
            <wp:extent cx="3059430" cy="12573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059430" cy="125730"/>
                    </a:xfrm>
                    <a:prstGeom prst="rect">
                      <a:avLst/>
                    </a:prstGeom>
                    <a:noFill/>
                  </pic:spPr>
                </pic:pic>
              </a:graphicData>
            </a:graphic>
          </wp:anchor>
        </w:drawing>
        <w:drawing>
          <wp:anchor simplePos="0" relativeHeight="251657728" behindDoc="1" locked="0" layoutInCell="0" allowOverlap="1">
            <wp:simplePos x="0" y="0"/>
            <wp:positionH relativeFrom="column">
              <wp:posOffset>4082415</wp:posOffset>
            </wp:positionH>
            <wp:positionV relativeFrom="paragraph">
              <wp:posOffset>-149860</wp:posOffset>
            </wp:positionV>
            <wp:extent cx="3059430" cy="15049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059430" cy="150495"/>
                    </a:xfrm>
                    <a:prstGeom prst="rect">
                      <a:avLst/>
                    </a:prstGeom>
                    <a:noFill/>
                  </pic:spPr>
                </pic:pic>
              </a:graphicData>
            </a:graphic>
          </wp:anchor>
        </w:drawing>
      </w:r>
    </w:p>
    <w:p>
      <w:pPr>
        <w:ind w:left="200" w:hanging="199"/>
        <w:spacing w:after="0"/>
        <w:tabs>
          <w:tab w:leader="none" w:pos="2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36" w:lineRule="exact"/>
        <w:rPr>
          <w:rFonts w:ascii="Arial" w:cs="Arial" w:eastAsia="Arial" w:hAnsi="Arial"/>
          <w:sz w:val="14"/>
          <w:szCs w:val="14"/>
          <w:color w:val="auto"/>
        </w:rPr>
      </w:pPr>
    </w:p>
    <w:p>
      <w:pPr>
        <w:ind w:left="200" w:hanging="199"/>
        <w:spacing w:after="0"/>
        <w:tabs>
          <w:tab w:leader="none" w:pos="2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Percent change calculated based on underlying dollar amounts in thousands as presented on the consolidated statements of operations.</w:t>
      </w:r>
    </w:p>
    <w:p>
      <w:pPr>
        <w:spacing w:after="0" w:line="175" w:lineRule="exact"/>
        <w:rPr>
          <w:sz w:val="20"/>
          <w:szCs w:val="20"/>
          <w:color w:val="auto"/>
        </w:rPr>
      </w:pPr>
    </w:p>
    <w:p>
      <w:pPr>
        <w:jc w:val="both"/>
        <w:ind w:firstLine="478"/>
        <w:spacing w:after="0" w:line="276" w:lineRule="auto"/>
        <w:rPr>
          <w:sz w:val="20"/>
          <w:szCs w:val="20"/>
          <w:color w:val="auto"/>
        </w:rPr>
      </w:pPr>
      <w:r>
        <w:rPr>
          <w:rFonts w:ascii="Arial" w:cs="Arial" w:eastAsia="Arial" w:hAnsi="Arial"/>
          <w:sz w:val="17"/>
          <w:szCs w:val="17"/>
          <w:color w:val="auto"/>
        </w:rPr>
        <w:t>For the three months ended September 30, 2021, total expenses, including income tax provision, were $16.1 million, an increase of $1.9 million or 13.7%, from the $14.2 million of total expenses for the three months ended September 30, 2020. As reflected in the table above, changes across periods were primarily attributable to the following:</w:t>
      </w:r>
    </w:p>
    <w:p>
      <w:pPr>
        <w:spacing w:after="0" w:line="124" w:lineRule="exact"/>
        <w:rPr>
          <w:sz w:val="20"/>
          <w:szCs w:val="20"/>
          <w:color w:val="auto"/>
        </w:rPr>
      </w:pPr>
    </w:p>
    <w:p>
      <w:pPr>
        <w:jc w:val="both"/>
        <w:ind w:left="1140"/>
        <w:spacing w:after="0" w:line="276" w:lineRule="auto"/>
        <w:rPr>
          <w:sz w:val="20"/>
          <w:szCs w:val="20"/>
          <w:color w:val="auto"/>
        </w:rPr>
      </w:pPr>
      <w:r>
        <w:rPr>
          <w:rFonts w:ascii="Arial" w:cs="Arial" w:eastAsia="Arial" w:hAnsi="Arial"/>
          <w:sz w:val="17"/>
          <w:szCs w:val="17"/>
          <w:color w:val="auto"/>
        </w:rPr>
        <w:t>$1.9 million increase in the accrued capital gains incentive fee due to a $9.8 million increase in net gain on investments (net realized gains (losses), plus net change in unrealized appreciation (depreciation) on investments), plus realized losses on extinguishment of debt during 2021 as compared to the same period in 2020.</w:t>
      </w:r>
    </w:p>
    <w:p>
      <w:pPr>
        <w:spacing w:after="0" w:line="124" w:lineRule="exact"/>
        <w:rPr>
          <w:sz w:val="20"/>
          <w:szCs w:val="20"/>
          <w:color w:val="auto"/>
        </w:rPr>
      </w:pPr>
    </w:p>
    <w:p>
      <w:pPr>
        <w:jc w:val="both"/>
        <w:ind w:left="1140"/>
        <w:spacing w:after="0" w:line="288" w:lineRule="auto"/>
        <w:rPr>
          <w:sz w:val="20"/>
          <w:szCs w:val="20"/>
          <w:color w:val="auto"/>
        </w:rPr>
      </w:pPr>
      <w:r>
        <w:rPr>
          <w:rFonts w:ascii="Arial" w:cs="Arial" w:eastAsia="Arial" w:hAnsi="Arial"/>
          <w:sz w:val="17"/>
          <w:szCs w:val="17"/>
          <w:color w:val="auto"/>
        </w:rPr>
        <w:t>$0.2 million decrease in interest and financing expenses due to a decrease in average borrowings outstanding and the weighted average interest rate during 2021 as compared to 2020.</w:t>
      </w:r>
    </w:p>
    <w:p>
      <w:pPr>
        <w:spacing w:after="0" w:line="114" w:lineRule="exact"/>
        <w:rPr>
          <w:sz w:val="20"/>
          <w:szCs w:val="20"/>
          <w:color w:val="auto"/>
        </w:rPr>
      </w:pPr>
    </w:p>
    <w:p>
      <w:pPr>
        <w:jc w:val="both"/>
        <w:ind w:left="1140"/>
        <w:spacing w:after="0" w:line="288" w:lineRule="auto"/>
        <w:rPr>
          <w:sz w:val="20"/>
          <w:szCs w:val="20"/>
          <w:color w:val="auto"/>
        </w:rPr>
      </w:pPr>
      <w:r>
        <w:rPr>
          <w:rFonts w:ascii="Arial" w:cs="Arial" w:eastAsia="Arial" w:hAnsi="Arial"/>
          <w:sz w:val="17"/>
          <w:szCs w:val="17"/>
          <w:color w:val="auto"/>
        </w:rPr>
        <w:t>$0.2 million increase in general and administrative fees during 2021 as compared to 2020 primarily related to the proxy solicitation costs associated with the 2021 Annual Meeting of Stockholders.</w:t>
      </w:r>
    </w:p>
    <w:p>
      <w:pPr>
        <w:spacing w:after="0" w:line="114" w:lineRule="exact"/>
        <w:rPr>
          <w:sz w:val="20"/>
          <w:szCs w:val="20"/>
          <w:color w:val="auto"/>
        </w:rPr>
      </w:pPr>
    </w:p>
    <w:p>
      <w:pPr>
        <w:ind w:firstLine="478"/>
        <w:spacing w:after="0" w:line="264" w:lineRule="auto"/>
        <w:rPr>
          <w:sz w:val="20"/>
          <w:szCs w:val="20"/>
          <w:color w:val="auto"/>
        </w:rPr>
      </w:pPr>
      <w:r>
        <w:rPr>
          <w:rFonts w:ascii="Arial" w:cs="Arial" w:eastAsia="Arial" w:hAnsi="Arial"/>
          <w:sz w:val="17"/>
          <w:szCs w:val="17"/>
          <w:color w:val="auto"/>
        </w:rPr>
        <w:t>Below is a summary of the changes in total expenses, including income tax provision, for the nine months ended September 30, 2021 as compared to the same period in 2020 (dollars in millions):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78"/>
        </w:trPr>
        <w:tc>
          <w:tcPr>
            <w:tcW w:w="5200" w:type="dxa"/>
            <w:vAlign w:val="bottom"/>
          </w:tcPr>
          <w:p>
            <w:pPr>
              <w:spacing w:after="0"/>
              <w:rPr>
                <w:sz w:val="15"/>
                <w:szCs w:val="15"/>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0"/>
        </w:trPr>
        <w:tc>
          <w:tcPr>
            <w:tcW w:w="5200" w:type="dxa"/>
            <w:vAlign w:val="bottom"/>
          </w:tcPr>
          <w:p>
            <w:pPr>
              <w:spacing w:after="0"/>
              <w:rPr>
                <w:sz w:val="16"/>
                <w:szCs w:val="16"/>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85"/>
              </w:rPr>
              <w:t>Change</w:t>
            </w:r>
          </w:p>
        </w:tc>
        <w:tc>
          <w:tcPr>
            <w:tcW w:w="240" w:type="dxa"/>
            <w:vAlign w:val="bottom"/>
          </w:tcPr>
          <w:p>
            <w:pPr>
              <w:spacing w:after="0"/>
              <w:rPr>
                <w:sz w:val="16"/>
                <w:szCs w:val="16"/>
                <w:color w:val="auto"/>
              </w:rPr>
            </w:pPr>
          </w:p>
        </w:tc>
        <w:tc>
          <w:tcPr>
            <w:tcW w:w="1380" w:type="dxa"/>
            <w:vAlign w:val="bottom"/>
            <w:tcBorders>
              <w:bottom w:val="single" w:sz="8" w:color="auto"/>
            </w:tcBorders>
          </w:tcPr>
          <w:p>
            <w:pPr>
              <w:jc w:val="right"/>
              <w:ind w:right="192"/>
              <w:spacing w:after="0" w:line="190" w:lineRule="exact"/>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18"/>
                <w:szCs w:val="18"/>
                <w:b w:val="1"/>
                <w:bCs w:val="1"/>
                <w:color w:val="auto"/>
                <w:vertAlign w:val="superscript"/>
              </w:rPr>
              <w:t>(1)(2)</w:t>
            </w:r>
          </w:p>
        </w:tc>
        <w:tc>
          <w:tcPr>
            <w:tcW w:w="320" w:type="dxa"/>
            <w:vAlign w:val="bottom"/>
          </w:tcPr>
          <w:p>
            <w:pPr>
              <w:spacing w:after="0"/>
              <w:rPr>
                <w:sz w:val="16"/>
                <w:szCs w:val="16"/>
                <w:color w:val="auto"/>
              </w:rPr>
            </w:pPr>
          </w:p>
        </w:tc>
      </w:tr>
      <w:tr>
        <w:trPr>
          <w:trHeight w:val="183"/>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financing expenses</w:t>
            </w:r>
          </w:p>
        </w:tc>
        <w:tc>
          <w:tcPr>
            <w:tcW w:w="860" w:type="dxa"/>
            <w:vAlign w:val="bottom"/>
            <w:shd w:val="clear" w:color="auto" w:fill="CCEEFF"/>
          </w:tcPr>
          <w:p>
            <w:pPr>
              <w:jc w:val="right"/>
              <w:ind w:right="712"/>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52"/>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14.7</w:t>
            </w: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(0.3 )</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(1.9 %)</w:t>
            </w:r>
          </w:p>
        </w:tc>
      </w:tr>
      <w:tr>
        <w:trPr>
          <w:trHeight w:val="185"/>
        </w:trPr>
        <w:tc>
          <w:tcPr>
            <w:tcW w:w="5200" w:type="dxa"/>
            <w:vAlign w:val="bottom"/>
          </w:tcPr>
          <w:p>
            <w:pPr>
              <w:ind w:left="20"/>
              <w:spacing w:after="0"/>
              <w:rPr>
                <w:sz w:val="20"/>
                <w:szCs w:val="20"/>
                <w:color w:val="auto"/>
              </w:rPr>
            </w:pPr>
            <w:r>
              <w:rPr>
                <w:rFonts w:ascii="Arial" w:cs="Arial" w:eastAsia="Arial" w:hAnsi="Arial"/>
                <w:sz w:val="14"/>
                <w:szCs w:val="14"/>
                <w:color w:val="auto"/>
              </w:rPr>
              <w:t>Base management fee</w:t>
            </w:r>
          </w:p>
        </w:tc>
        <w:tc>
          <w:tcPr>
            <w:tcW w:w="8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9.7</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9.7</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320"/>
              <w:spacing w:after="0"/>
              <w:rPr>
                <w:sz w:val="20"/>
                <w:szCs w:val="20"/>
                <w:color w:val="auto"/>
              </w:rPr>
            </w:pPr>
            <w:r>
              <w:rPr>
                <w:rFonts w:ascii="Arial" w:cs="Arial" w:eastAsia="Arial" w:hAnsi="Arial"/>
                <w:sz w:val="14"/>
                <w:szCs w:val="14"/>
                <w:color w:val="auto"/>
              </w:rPr>
              <w:t>NM</w:t>
            </w:r>
          </w:p>
        </w:tc>
      </w:tr>
      <w:tr>
        <w:trPr>
          <w:trHeight w:val="196"/>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Incentive fee - income</w:t>
            </w: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20.5 %</w:t>
            </w:r>
          </w:p>
        </w:tc>
      </w:tr>
      <w:tr>
        <w:trPr>
          <w:trHeight w:val="185"/>
        </w:trPr>
        <w:tc>
          <w:tcPr>
            <w:tcW w:w="5200" w:type="dxa"/>
            <w:vAlign w:val="bottom"/>
          </w:tcPr>
          <w:p>
            <w:pPr>
              <w:ind w:left="20"/>
              <w:spacing w:after="0"/>
              <w:rPr>
                <w:sz w:val="20"/>
                <w:szCs w:val="20"/>
                <w:color w:val="auto"/>
              </w:rPr>
            </w:pPr>
            <w:r>
              <w:rPr>
                <w:rFonts w:ascii="Arial" w:cs="Arial" w:eastAsia="Arial" w:hAnsi="Arial"/>
                <w:sz w:val="14"/>
                <w:szCs w:val="14"/>
                <w:color w:val="auto"/>
              </w:rPr>
              <w:t>Incentive fee - capital gains</w:t>
            </w:r>
          </w:p>
        </w:tc>
        <w:tc>
          <w:tcPr>
            <w:tcW w:w="8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8.6</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(6.4 )</w:t>
            </w: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15.0</w:t>
            </w:r>
          </w:p>
        </w:tc>
        <w:tc>
          <w:tcPr>
            <w:tcW w:w="240" w:type="dxa"/>
            <w:vAlign w:val="bottom"/>
          </w:tcPr>
          <w:p>
            <w:pPr>
              <w:spacing w:after="0"/>
              <w:rPr>
                <w:sz w:val="16"/>
                <w:szCs w:val="16"/>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4"/>
                <w:szCs w:val="14"/>
                <w:color w:val="auto"/>
              </w:rPr>
              <w:t>(235.4 %)</w:t>
            </w:r>
          </w:p>
        </w:tc>
      </w:tr>
      <w:tr>
        <w:trPr>
          <w:trHeight w:val="196"/>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Administrative service expenses</w:t>
            </w: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3.1 %</w:t>
            </w:r>
          </w:p>
        </w:tc>
      </w:tr>
      <w:tr>
        <w:trPr>
          <w:trHeight w:val="185"/>
        </w:trPr>
        <w:tc>
          <w:tcPr>
            <w:tcW w:w="520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8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1.5</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(0.5 )</w:t>
            </w:r>
          </w:p>
        </w:tc>
        <w:tc>
          <w:tcPr>
            <w:tcW w:w="1700" w:type="dxa"/>
            <w:vAlign w:val="bottom"/>
            <w:gridSpan w:val="2"/>
          </w:tcPr>
          <w:p>
            <w:pPr>
              <w:jc w:val="right"/>
              <w:ind w:right="140"/>
              <w:spacing w:after="0"/>
              <w:rPr>
                <w:sz w:val="20"/>
                <w:szCs w:val="20"/>
                <w:color w:val="auto"/>
              </w:rPr>
            </w:pPr>
            <w:r>
              <w:rPr>
                <w:rFonts w:ascii="Arial" w:cs="Arial" w:eastAsia="Arial" w:hAnsi="Arial"/>
                <w:sz w:val="14"/>
                <w:szCs w:val="14"/>
                <w:color w:val="auto"/>
              </w:rPr>
              <w:t>(34.9 %)</w:t>
            </w:r>
          </w:p>
        </w:tc>
      </w:tr>
      <w:tr>
        <w:trPr>
          <w:trHeight w:val="190"/>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general and administrative expenses</w:t>
            </w:r>
          </w:p>
        </w:tc>
        <w:tc>
          <w:tcPr>
            <w:tcW w:w="86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(0.1 )</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5.3 %</w:t>
            </w:r>
          </w:p>
        </w:tc>
      </w:tr>
      <w:tr>
        <w:trPr>
          <w:trHeight w:val="20"/>
        </w:trPr>
        <w:tc>
          <w:tcPr>
            <w:tcW w:w="52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r>
        <w:trPr>
          <w:trHeight w:val="183"/>
        </w:trPr>
        <w:tc>
          <w:tcPr>
            <w:tcW w:w="5200" w:type="dxa"/>
            <w:vAlign w:val="bottom"/>
          </w:tcPr>
          <w:p>
            <w:pPr>
              <w:ind w:left="20"/>
              <w:spacing w:after="0"/>
              <w:rPr>
                <w:sz w:val="20"/>
                <w:szCs w:val="20"/>
                <w:color w:val="auto"/>
              </w:rPr>
            </w:pPr>
            <w:r>
              <w:rPr>
                <w:rFonts w:ascii="Arial" w:cs="Arial" w:eastAsia="Arial" w:hAnsi="Arial"/>
                <w:sz w:val="14"/>
                <w:szCs w:val="14"/>
                <w:color w:val="auto"/>
              </w:rPr>
              <w:t>Total expenses, before base management and income incentive fee waivers</w:t>
            </w:r>
          </w:p>
        </w:tc>
        <w:tc>
          <w:tcPr>
            <w:tcW w:w="8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43.7</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95"/>
              </w:rPr>
              <w:t>28.2</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15.5</w:t>
            </w:r>
          </w:p>
        </w:tc>
        <w:tc>
          <w:tcPr>
            <w:tcW w:w="240" w:type="dxa"/>
            <w:vAlign w:val="bottom"/>
          </w:tcPr>
          <w:p>
            <w:pPr>
              <w:spacing w:after="0"/>
              <w:rPr>
                <w:sz w:val="15"/>
                <w:szCs w:val="15"/>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4"/>
                <w:szCs w:val="14"/>
                <w:color w:val="auto"/>
              </w:rPr>
              <w:t>55.3 %</w:t>
            </w:r>
          </w:p>
        </w:tc>
      </w:tr>
      <w:tr>
        <w:trPr>
          <w:trHeight w:val="190"/>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Base management and income incentive fee waivers</w:t>
            </w:r>
          </w:p>
        </w:tc>
        <w:tc>
          <w:tcPr>
            <w:tcW w:w="8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(0.1 )</w:t>
            </w:r>
          </w:p>
        </w:tc>
        <w:tc>
          <w:tcPr>
            <w:tcW w:w="9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(0.4 )</w:t>
            </w: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24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(76.8 %)</w:t>
            </w:r>
          </w:p>
        </w:tc>
      </w:tr>
      <w:tr>
        <w:trPr>
          <w:trHeight w:val="20"/>
        </w:trPr>
        <w:tc>
          <w:tcPr>
            <w:tcW w:w="52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r>
        <w:trPr>
          <w:trHeight w:val="183"/>
        </w:trPr>
        <w:tc>
          <w:tcPr>
            <w:tcW w:w="5200" w:type="dxa"/>
            <w:vAlign w:val="bottom"/>
          </w:tcPr>
          <w:p>
            <w:pPr>
              <w:ind w:left="20"/>
              <w:spacing w:after="0"/>
              <w:rPr>
                <w:sz w:val="20"/>
                <w:szCs w:val="20"/>
                <w:color w:val="auto"/>
              </w:rPr>
            </w:pPr>
            <w:r>
              <w:rPr>
                <w:rFonts w:ascii="Arial" w:cs="Arial" w:eastAsia="Arial" w:hAnsi="Arial"/>
                <w:sz w:val="14"/>
                <w:szCs w:val="14"/>
                <w:color w:val="auto"/>
              </w:rPr>
              <w:t>Total expenses, before income tax provision</w:t>
            </w:r>
          </w:p>
        </w:tc>
        <w:tc>
          <w:tcPr>
            <w:tcW w:w="8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43.6</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95"/>
              </w:rPr>
              <w:t>27.8</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15.8</w:t>
            </w:r>
          </w:p>
        </w:tc>
        <w:tc>
          <w:tcPr>
            <w:tcW w:w="240" w:type="dxa"/>
            <w:vAlign w:val="bottom"/>
          </w:tcPr>
          <w:p>
            <w:pPr>
              <w:spacing w:after="0"/>
              <w:rPr>
                <w:sz w:val="15"/>
                <w:szCs w:val="15"/>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4"/>
                <w:szCs w:val="14"/>
                <w:color w:val="auto"/>
              </w:rPr>
              <w:t>57.3 %</w:t>
            </w:r>
          </w:p>
        </w:tc>
      </w:tr>
      <w:tr>
        <w:trPr>
          <w:trHeight w:val="196"/>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provision (benefit)</w:t>
            </w: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(0.1 )</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(78.1 %)</w:t>
            </w:r>
          </w:p>
        </w:tc>
      </w:tr>
      <w:tr>
        <w:trPr>
          <w:trHeight w:val="20"/>
        </w:trPr>
        <w:tc>
          <w:tcPr>
            <w:tcW w:w="52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r>
        <w:trPr>
          <w:trHeight w:val="183"/>
        </w:trPr>
        <w:tc>
          <w:tcPr>
            <w:tcW w:w="5200" w:type="dxa"/>
            <w:vAlign w:val="bottom"/>
          </w:tcPr>
          <w:p>
            <w:pPr>
              <w:ind w:left="20"/>
              <w:spacing w:after="0"/>
              <w:rPr>
                <w:sz w:val="20"/>
                <w:szCs w:val="20"/>
                <w:color w:val="auto"/>
              </w:rPr>
            </w:pPr>
            <w:r>
              <w:rPr>
                <w:rFonts w:ascii="Arial" w:cs="Arial" w:eastAsia="Arial" w:hAnsi="Arial"/>
                <w:sz w:val="14"/>
                <w:szCs w:val="14"/>
                <w:color w:val="auto"/>
              </w:rPr>
              <w:t>Total expenses, including income tax provision</w:t>
            </w:r>
          </w:p>
        </w:tc>
        <w:tc>
          <w:tcPr>
            <w:tcW w:w="860" w:type="dxa"/>
            <w:vAlign w:val="bottom"/>
          </w:tcPr>
          <w:p>
            <w:pPr>
              <w:jc w:val="right"/>
              <w:ind w:right="712"/>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43.7</w:t>
            </w:r>
          </w:p>
        </w:tc>
        <w:tc>
          <w:tcPr>
            <w:tcW w:w="240" w:type="dxa"/>
            <w:vAlign w:val="bottom"/>
          </w:tcPr>
          <w:p>
            <w:pPr>
              <w:spacing w:after="0"/>
              <w:rPr>
                <w:sz w:val="15"/>
                <w:szCs w:val="15"/>
                <w:color w:val="auto"/>
              </w:rPr>
            </w:pPr>
          </w:p>
        </w:tc>
        <w:tc>
          <w:tcPr>
            <w:tcW w:w="920" w:type="dxa"/>
            <w:vAlign w:val="bottom"/>
          </w:tcPr>
          <w:p>
            <w:pPr>
              <w:jc w:val="right"/>
              <w:ind w:right="752"/>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w w:val="95"/>
              </w:rPr>
              <w:t>28.0</w:t>
            </w:r>
          </w:p>
        </w:tc>
        <w:tc>
          <w:tcPr>
            <w:tcW w:w="220" w:type="dxa"/>
            <w:vAlign w:val="bottom"/>
          </w:tcPr>
          <w:p>
            <w:pPr>
              <w:spacing w:after="0"/>
              <w:rPr>
                <w:sz w:val="15"/>
                <w:szCs w:val="15"/>
                <w:color w:val="auto"/>
              </w:rPr>
            </w:pPr>
          </w:p>
        </w:tc>
        <w:tc>
          <w:tcPr>
            <w:tcW w:w="420" w:type="dxa"/>
            <w:vAlign w:val="bottom"/>
          </w:tcPr>
          <w:p>
            <w:pPr>
              <w:jc w:val="right"/>
              <w:ind w:right="272"/>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15.7</w:t>
            </w:r>
          </w:p>
        </w:tc>
        <w:tc>
          <w:tcPr>
            <w:tcW w:w="240" w:type="dxa"/>
            <w:vAlign w:val="bottom"/>
          </w:tcPr>
          <w:p>
            <w:pPr>
              <w:spacing w:after="0"/>
              <w:rPr>
                <w:sz w:val="15"/>
                <w:szCs w:val="15"/>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4"/>
                <w:szCs w:val="14"/>
                <w:color w:val="auto"/>
              </w:rPr>
              <w:t>56.6 %</w:t>
            </w:r>
          </w:p>
        </w:tc>
      </w:tr>
      <w:tr>
        <w:trPr>
          <w:trHeight w:val="20"/>
        </w:trPr>
        <w:tc>
          <w:tcPr>
            <w:tcW w:w="5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4082415</wp:posOffset>
            </wp:positionH>
            <wp:positionV relativeFrom="paragraph">
              <wp:posOffset>-648970</wp:posOffset>
            </wp:positionV>
            <wp:extent cx="3059430" cy="12573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059430" cy="125730"/>
                    </a:xfrm>
                    <a:prstGeom prst="rect">
                      <a:avLst/>
                    </a:prstGeom>
                    <a:noFill/>
                  </pic:spPr>
                </pic:pic>
              </a:graphicData>
            </a:graphic>
          </wp:anchor>
        </w:drawing>
        <w:drawing>
          <wp:anchor simplePos="0" relativeHeight="251657728" behindDoc="1" locked="0" layoutInCell="0" allowOverlap="1">
            <wp:simplePos x="0" y="0"/>
            <wp:positionH relativeFrom="column">
              <wp:posOffset>4082415</wp:posOffset>
            </wp:positionH>
            <wp:positionV relativeFrom="paragraph">
              <wp:posOffset>-399415</wp:posOffset>
            </wp:positionV>
            <wp:extent cx="3059430" cy="12573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059430" cy="125730"/>
                    </a:xfrm>
                    <a:prstGeom prst="rect">
                      <a:avLst/>
                    </a:prstGeom>
                    <a:noFill/>
                  </pic:spPr>
                </pic:pic>
              </a:graphicData>
            </a:graphic>
          </wp:anchor>
        </w:drawing>
        <w:drawing>
          <wp:anchor simplePos="0" relativeHeight="251657728" behindDoc="1" locked="0" layoutInCell="0" allowOverlap="1">
            <wp:simplePos x="0" y="0"/>
            <wp:positionH relativeFrom="column">
              <wp:posOffset>4082415</wp:posOffset>
            </wp:positionH>
            <wp:positionV relativeFrom="paragraph">
              <wp:posOffset>-149860</wp:posOffset>
            </wp:positionV>
            <wp:extent cx="3059430" cy="15049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059430" cy="150495"/>
                    </a:xfrm>
                    <a:prstGeom prst="rect">
                      <a:avLst/>
                    </a:prstGeom>
                    <a:noFill/>
                  </pic:spPr>
                </pic:pic>
              </a:graphicData>
            </a:graphic>
          </wp:anchor>
        </w:drawing>
      </w:r>
    </w:p>
    <w:p>
      <w:pPr>
        <w:ind w:left="200" w:hanging="199"/>
        <w:spacing w:after="0"/>
        <w:tabs>
          <w:tab w:leader="none" w:pos="2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36" w:lineRule="exact"/>
        <w:rPr>
          <w:rFonts w:ascii="Arial" w:cs="Arial" w:eastAsia="Arial" w:hAnsi="Arial"/>
          <w:sz w:val="14"/>
          <w:szCs w:val="14"/>
          <w:color w:val="auto"/>
        </w:rPr>
      </w:pPr>
    </w:p>
    <w:p>
      <w:pPr>
        <w:ind w:left="200" w:hanging="199"/>
        <w:spacing w:after="0"/>
        <w:tabs>
          <w:tab w:leader="none" w:pos="2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Percent change calculated based on underlying dollar amounts in thousands as presented on the consolidated statements of operations.</w:t>
      </w:r>
    </w:p>
    <w:p>
      <w:pPr>
        <w:spacing w:after="0" w:line="174" w:lineRule="exact"/>
        <w:rPr>
          <w:sz w:val="20"/>
          <w:szCs w:val="20"/>
          <w:color w:val="auto"/>
        </w:rPr>
      </w:pPr>
    </w:p>
    <w:p>
      <w:pPr>
        <w:jc w:val="both"/>
        <w:ind w:firstLine="478"/>
        <w:spacing w:after="0" w:line="276" w:lineRule="auto"/>
        <w:rPr>
          <w:sz w:val="20"/>
          <w:szCs w:val="20"/>
          <w:color w:val="auto"/>
        </w:rPr>
      </w:pPr>
      <w:r>
        <w:rPr>
          <w:rFonts w:ascii="Arial" w:cs="Arial" w:eastAsia="Arial" w:hAnsi="Arial"/>
          <w:sz w:val="17"/>
          <w:szCs w:val="17"/>
          <w:color w:val="auto"/>
        </w:rPr>
        <w:t>For the nine months ended September 30, 2021, total expenses, including income tax provision, were $43.7 million, an increase of $15.7 million or 56.6%, from the $28.0 million of total expenses for the nine months ended September 30, 2020. As reflected in the table above, changes across periods were primarily attributable to the following:</w:t>
      </w:r>
    </w:p>
    <w:p>
      <w:pPr>
        <w:spacing w:after="0" w:line="124" w:lineRule="exact"/>
        <w:rPr>
          <w:sz w:val="20"/>
          <w:szCs w:val="20"/>
          <w:color w:val="auto"/>
        </w:rPr>
      </w:pPr>
    </w:p>
    <w:p>
      <w:pPr>
        <w:jc w:val="both"/>
        <w:ind w:left="1140"/>
        <w:spacing w:after="0" w:line="294" w:lineRule="auto"/>
        <w:rPr>
          <w:sz w:val="20"/>
          <w:szCs w:val="20"/>
          <w:color w:val="auto"/>
        </w:rPr>
      </w:pPr>
      <w:r>
        <w:rPr>
          <w:rFonts w:ascii="Arial" w:cs="Arial" w:eastAsia="Arial" w:hAnsi="Arial"/>
          <w:sz w:val="16"/>
          <w:szCs w:val="16"/>
          <w:color w:val="auto"/>
        </w:rPr>
        <w:t>$15.0 million increase in the accrued capital gains incentive fee due to a $77.4 million increase in net gain on investments (net realized gains (losses), plus net change in unrealized appreciation (depreciation) on investments), plus realized losses on extinguishment of debt during 2021 as compared to the same period in 2020. The reversal in the capital gains incentive fee accrued for the nine months ended September 30, 2020 was primarily driven by COVID related write-downs across the portfolio due to fair value calibration to public company multiples.</w:t>
      </w:r>
    </w:p>
    <w:p>
      <w:pPr>
        <w:spacing w:after="0" w:line="113" w:lineRule="exact"/>
        <w:rPr>
          <w:sz w:val="20"/>
          <w:szCs w:val="20"/>
          <w:color w:val="auto"/>
        </w:rPr>
      </w:pPr>
    </w:p>
    <w:p>
      <w:pPr>
        <w:ind w:left="1220"/>
        <w:spacing w:after="0" w:line="288" w:lineRule="auto"/>
        <w:rPr>
          <w:sz w:val="20"/>
          <w:szCs w:val="20"/>
          <w:color w:val="auto"/>
        </w:rPr>
      </w:pPr>
      <w:r>
        <w:rPr>
          <w:rFonts w:ascii="Arial" w:cs="Arial" w:eastAsia="Arial" w:hAnsi="Arial"/>
          <w:sz w:val="17"/>
          <w:szCs w:val="17"/>
          <w:color w:val="auto"/>
        </w:rPr>
        <w:t>$1.6 million net increase in the income incentive fee due to a $5.4 million increase in pre-incentive fee net investment income during 2021 and a one-time $0.4 income incentive fee waiver in 2020, as compared to the same period in 2020.</w:t>
      </w:r>
    </w:p>
    <w:p>
      <w:pPr>
        <w:spacing w:after="0" w:line="114"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$0.3 million decrease in interest and financing expenses due to a decrease in weighted average interest rate during 2021 as compared to 2020.</w:t>
      </w:r>
    </w:p>
    <w:p>
      <w:pPr>
        <w:spacing w:after="0" w:line="195"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$0.5 million decrease in professional fees due to decreased legal, audit and tax compliance costs during 2021 as compared to 2020.</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Net Investment Income</w:t>
      </w:r>
    </w:p>
    <w:p>
      <w:pPr>
        <w:spacing w:after="0" w:line="172" w:lineRule="exact"/>
        <w:rPr>
          <w:sz w:val="20"/>
          <w:szCs w:val="20"/>
          <w:color w:val="auto"/>
        </w:rPr>
      </w:pPr>
    </w:p>
    <w:p>
      <w:pPr>
        <w:jc w:val="both"/>
        <w:ind w:firstLine="478"/>
        <w:spacing w:after="0" w:line="276" w:lineRule="auto"/>
        <w:rPr>
          <w:sz w:val="20"/>
          <w:szCs w:val="20"/>
          <w:color w:val="auto"/>
        </w:rPr>
      </w:pPr>
      <w:r>
        <w:rPr>
          <w:rFonts w:ascii="Arial" w:cs="Arial" w:eastAsia="Arial" w:hAnsi="Arial"/>
          <w:sz w:val="17"/>
          <w:szCs w:val="17"/>
          <w:color w:val="auto"/>
        </w:rPr>
        <w:t>Net investment income decreased by $(1.8) million, or (25.8%), to $5.1 million during the three months ended September 30, 2021 as compared to the same period in 2020, as a result of the $1.9 million increase in total expenses, including base management and incentive fee waivers and income tax provision, partially offset by the $0.1 increase in total investment income.</w:t>
      </w:r>
    </w:p>
    <w:p>
      <w:pPr>
        <w:spacing w:after="0" w:line="124" w:lineRule="exact"/>
        <w:rPr>
          <w:sz w:val="20"/>
          <w:szCs w:val="20"/>
          <w:color w:val="auto"/>
        </w:rPr>
      </w:pPr>
    </w:p>
    <w:p>
      <w:pPr>
        <w:jc w:val="both"/>
        <w:ind w:firstLine="478"/>
        <w:spacing w:after="0" w:line="276" w:lineRule="auto"/>
        <w:rPr>
          <w:sz w:val="20"/>
          <w:szCs w:val="20"/>
          <w:color w:val="auto"/>
        </w:rPr>
      </w:pPr>
      <w:r>
        <w:rPr>
          <w:rFonts w:ascii="Arial" w:cs="Arial" w:eastAsia="Arial" w:hAnsi="Arial"/>
          <w:sz w:val="17"/>
          <w:szCs w:val="17"/>
          <w:color w:val="auto"/>
        </w:rPr>
        <w:t>Net investment income decreased by $(10.9) million, or (32.5%), to $22.6 million during the nine months ended September 30, 2021 as compared to the same period in 2020, as a result of the $15.7 million increase in total expenses, including base management and incentive fee waivers and income tax provision, partially offset by the $4.8 increase in total investment income.</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Net Gain (Loss) on Investments</w:t>
      </w:r>
    </w:p>
    <w:p>
      <w:pPr>
        <w:spacing w:after="0" w:line="172" w:lineRule="exact"/>
        <w:rPr>
          <w:sz w:val="20"/>
          <w:szCs w:val="20"/>
          <w:color w:val="auto"/>
        </w:rPr>
      </w:pPr>
    </w:p>
    <w:p>
      <w:pPr>
        <w:jc w:val="both"/>
        <w:ind w:firstLine="375"/>
        <w:spacing w:after="0" w:line="272" w:lineRule="auto"/>
        <w:rPr>
          <w:sz w:val="20"/>
          <w:szCs w:val="20"/>
          <w:color w:val="auto"/>
        </w:rPr>
      </w:pPr>
      <w:r>
        <w:rPr>
          <w:rFonts w:ascii="Arial" w:cs="Arial" w:eastAsia="Arial" w:hAnsi="Arial"/>
          <w:sz w:val="17"/>
          <w:szCs w:val="17"/>
          <w:color w:val="auto"/>
        </w:rPr>
        <w:t>For the three and nine months ended September 30, 2021, the total net realized gain/(loss) on investments, before income tax (provision)/benefit, was $8.3 million and $13.7 million, respectively. Income tax (provision) benefit from realized gains on investments was $0.1 million and $0.1 million for the three and nine months ended September 30, 2021, respectively. Realized gains (losses) for the three and nine months ended September 30, 2021 are summarized below (dollars in millions):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80"/>
        </w:trPr>
        <w:tc>
          <w:tcPr>
            <w:tcW w:w="5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4"/>
                <w:szCs w:val="14"/>
                <w:b w:val="1"/>
                <w:bCs w:val="1"/>
                <w:color w:val="auto"/>
              </w:rPr>
              <w:t>Period Ended September 30, 2021</w:t>
            </w:r>
          </w:p>
        </w:tc>
        <w:tc>
          <w:tcPr>
            <w:tcW w:w="2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 xml:space="preserve">Realization Event </w:t>
            </w:r>
            <w:r>
              <w:rPr>
                <w:rFonts w:ascii="Arial" w:cs="Arial" w:eastAsia="Arial" w:hAnsi="Arial"/>
                <w:sz w:val="18"/>
                <w:szCs w:val="18"/>
                <w:b w:val="1"/>
                <w:bCs w:val="1"/>
                <w:color w:val="auto"/>
                <w:vertAlign w:val="superscript"/>
              </w:rPr>
              <w:t>(1)</w:t>
            </w:r>
          </w:p>
        </w:tc>
        <w:tc>
          <w:tcPr>
            <w:tcW w:w="240" w:type="dxa"/>
            <w:vAlign w:val="bottom"/>
            <w:vMerge w:val="restart"/>
          </w:tcPr>
          <w:p>
            <w:pPr>
              <w:spacing w:after="0"/>
              <w:rPr>
                <w:sz w:val="15"/>
                <w:szCs w:val="15"/>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b w:val="1"/>
                <w:bCs w:val="1"/>
                <w:color w:val="auto"/>
              </w:rPr>
              <w:t>Three</w:t>
            </w: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b w:val="1"/>
                <w:bCs w:val="1"/>
                <w:color w:val="auto"/>
              </w:rPr>
              <w:t>Nine</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tcPr>
          <w:p>
            <w:pPr>
              <w:spacing w:after="0"/>
              <w:rPr>
                <w:sz w:val="17"/>
                <w:szCs w:val="17"/>
                <w:color w:val="auto"/>
              </w:rPr>
            </w:pPr>
          </w:p>
        </w:tc>
        <w:tc>
          <w:tcPr>
            <w:tcW w:w="2320" w:type="dxa"/>
            <w:vAlign w:val="bottom"/>
            <w:tcBorders>
              <w:bottom w:val="single" w:sz="8" w:color="auto"/>
            </w:tcBorders>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Months</w:t>
            </w:r>
          </w:p>
        </w:tc>
        <w:tc>
          <w:tcPr>
            <w:tcW w:w="300" w:type="dxa"/>
            <w:vAlign w:val="bottom"/>
            <w:tcBorders>
              <w:bottom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Months</w:t>
            </w:r>
          </w:p>
        </w:tc>
        <w:tc>
          <w:tcPr>
            <w:tcW w:w="2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Spectra A&amp;D Acquisition, Inc. (fka FDS Avionics Corp.)</w:t>
            </w:r>
          </w:p>
        </w:tc>
        <w:tc>
          <w:tcPr>
            <w:tcW w:w="120" w:type="dxa"/>
            <w:vAlign w:val="bottom"/>
            <w:shd w:val="clear" w:color="auto" w:fill="CFF0FC"/>
          </w:tcPr>
          <w:p>
            <w:pPr>
              <w:spacing w:after="0"/>
              <w:rPr>
                <w:sz w:val="15"/>
                <w:szCs w:val="15"/>
                <w:color w:val="auto"/>
              </w:rPr>
            </w:pPr>
          </w:p>
        </w:tc>
        <w:tc>
          <w:tcPr>
            <w:tcW w:w="2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Sale of portfolio company</w:t>
            </w:r>
          </w:p>
        </w:tc>
        <w:tc>
          <w:tcPr>
            <w:tcW w:w="840" w:type="dxa"/>
            <w:vAlign w:val="bottom"/>
            <w:shd w:val="clear" w:color="auto" w:fill="CFF0FC"/>
          </w:tcPr>
          <w:p>
            <w:pPr>
              <w:jc w:val="right"/>
              <w:ind w:right="692"/>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FF0FC"/>
          </w:tcPr>
          <w:p>
            <w:pPr>
              <w:jc w:val="right"/>
              <w:ind w:right="8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612"/>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520" w:type="dxa"/>
            <w:vAlign w:val="bottom"/>
          </w:tcPr>
          <w:p>
            <w:pPr>
              <w:ind w:left="20"/>
              <w:spacing w:after="0"/>
              <w:rPr>
                <w:sz w:val="20"/>
                <w:szCs w:val="20"/>
                <w:color w:val="auto"/>
              </w:rPr>
            </w:pPr>
            <w:r>
              <w:rPr>
                <w:rFonts w:ascii="Arial" w:cs="Arial" w:eastAsia="Arial" w:hAnsi="Arial"/>
                <w:sz w:val="14"/>
                <w:szCs w:val="14"/>
                <w:color w:val="auto"/>
              </w:rPr>
              <w:t>Software Technology, LLC</w:t>
            </w:r>
          </w:p>
        </w:tc>
        <w:tc>
          <w:tcPr>
            <w:tcW w:w="120" w:type="dxa"/>
            <w:vAlign w:val="bottom"/>
          </w:tcPr>
          <w:p>
            <w:pPr>
              <w:spacing w:after="0"/>
              <w:rPr>
                <w:sz w:val="16"/>
                <w:szCs w:val="16"/>
                <w:color w:val="auto"/>
              </w:rPr>
            </w:pPr>
          </w:p>
        </w:tc>
        <w:tc>
          <w:tcPr>
            <w:tcW w:w="2560" w:type="dxa"/>
            <w:vAlign w:val="bottom"/>
            <w:gridSpan w:val="2"/>
          </w:tcPr>
          <w:p>
            <w:pPr>
              <w:spacing w:after="0"/>
              <w:rPr>
                <w:sz w:val="20"/>
                <w:szCs w:val="20"/>
                <w:color w:val="auto"/>
              </w:rPr>
            </w:pPr>
            <w:r>
              <w:rPr>
                <w:rFonts w:ascii="Arial" w:cs="Arial" w:eastAsia="Arial" w:hAnsi="Arial"/>
                <w:sz w:val="14"/>
                <w:szCs w:val="14"/>
                <w:color w:val="auto"/>
              </w:rPr>
              <w:t>Exit of portfolio company</w:t>
            </w:r>
          </w:p>
        </w:tc>
        <w:tc>
          <w:tcPr>
            <w:tcW w:w="840" w:type="dxa"/>
            <w:vAlign w:val="bottom"/>
          </w:tcPr>
          <w:p>
            <w:pPr>
              <w:spacing w:after="0"/>
              <w:rPr>
                <w:sz w:val="16"/>
                <w:szCs w:val="16"/>
                <w:color w:val="auto"/>
              </w:rPr>
            </w:pPr>
          </w:p>
        </w:tc>
        <w:tc>
          <w:tcPr>
            <w:tcW w:w="1080" w:type="dxa"/>
            <w:vAlign w:val="bottom"/>
            <w:gridSpan w:val="2"/>
          </w:tcPr>
          <w:p>
            <w:pPr>
              <w:jc w:val="right"/>
              <w:ind w:right="80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Rohrer Corporation</w:t>
            </w:r>
          </w:p>
        </w:tc>
        <w:tc>
          <w:tcPr>
            <w:tcW w:w="120" w:type="dxa"/>
            <w:vAlign w:val="bottom"/>
            <w:shd w:val="clear" w:color="auto" w:fill="CFF0FC"/>
          </w:tcPr>
          <w:p>
            <w:pPr>
              <w:spacing w:after="0"/>
              <w:rPr>
                <w:sz w:val="17"/>
                <w:szCs w:val="17"/>
                <w:color w:val="auto"/>
              </w:rPr>
            </w:pPr>
          </w:p>
        </w:tc>
        <w:tc>
          <w:tcPr>
            <w:tcW w:w="2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Exit of portfolio company</w:t>
            </w:r>
          </w:p>
        </w:tc>
        <w:tc>
          <w:tcPr>
            <w:tcW w:w="8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8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520" w:type="dxa"/>
            <w:vAlign w:val="bottom"/>
          </w:tcPr>
          <w:p>
            <w:pPr>
              <w:ind w:left="20"/>
              <w:spacing w:after="0"/>
              <w:rPr>
                <w:sz w:val="20"/>
                <w:szCs w:val="20"/>
                <w:color w:val="auto"/>
              </w:rPr>
            </w:pPr>
            <w:r>
              <w:rPr>
                <w:rFonts w:ascii="Arial" w:cs="Arial" w:eastAsia="Arial" w:hAnsi="Arial"/>
                <w:sz w:val="14"/>
                <w:szCs w:val="14"/>
                <w:color w:val="auto"/>
              </w:rPr>
              <w:t>Wheel Pros, Inc.</w:t>
            </w:r>
          </w:p>
        </w:tc>
        <w:tc>
          <w:tcPr>
            <w:tcW w:w="120" w:type="dxa"/>
            <w:vAlign w:val="bottom"/>
          </w:tcPr>
          <w:p>
            <w:pPr>
              <w:spacing w:after="0"/>
              <w:rPr>
                <w:sz w:val="16"/>
                <w:szCs w:val="16"/>
                <w:color w:val="auto"/>
              </w:rPr>
            </w:pPr>
          </w:p>
        </w:tc>
        <w:tc>
          <w:tcPr>
            <w:tcW w:w="2560" w:type="dxa"/>
            <w:vAlign w:val="bottom"/>
            <w:gridSpan w:val="2"/>
          </w:tcPr>
          <w:p>
            <w:pPr>
              <w:spacing w:after="0"/>
              <w:rPr>
                <w:sz w:val="20"/>
                <w:szCs w:val="20"/>
                <w:color w:val="auto"/>
              </w:rPr>
            </w:pPr>
            <w:r>
              <w:rPr>
                <w:rFonts w:ascii="Arial" w:cs="Arial" w:eastAsia="Arial" w:hAnsi="Arial"/>
                <w:sz w:val="14"/>
                <w:szCs w:val="14"/>
                <w:color w:val="auto"/>
              </w:rPr>
              <w:t>Exit of portfolio company</w:t>
            </w:r>
          </w:p>
        </w:tc>
        <w:tc>
          <w:tcPr>
            <w:tcW w:w="840" w:type="dxa"/>
            <w:vAlign w:val="bottom"/>
          </w:tcPr>
          <w:p>
            <w:pPr>
              <w:spacing w:after="0"/>
              <w:rPr>
                <w:sz w:val="16"/>
                <w:szCs w:val="16"/>
                <w:color w:val="auto"/>
              </w:rPr>
            </w:pPr>
          </w:p>
        </w:tc>
        <w:tc>
          <w:tcPr>
            <w:tcW w:w="1080" w:type="dxa"/>
            <w:vAlign w:val="bottom"/>
            <w:gridSpan w:val="2"/>
          </w:tcPr>
          <w:p>
            <w:pPr>
              <w:jc w:val="right"/>
              <w:ind w:right="720"/>
              <w:spacing w:after="0"/>
              <w:rPr>
                <w:sz w:val="20"/>
                <w:szCs w:val="20"/>
                <w:color w:val="auto"/>
              </w:rPr>
            </w:pPr>
            <w:r>
              <w:rPr>
                <w:rFonts w:ascii="Arial" w:cs="Arial" w:eastAsia="Arial" w:hAnsi="Arial"/>
                <w:sz w:val="14"/>
                <w:szCs w:val="14"/>
                <w:color w:val="auto"/>
              </w:rPr>
              <w:t>(0.1 )</w:t>
            </w:r>
          </w:p>
        </w:tc>
        <w:tc>
          <w:tcPr>
            <w:tcW w:w="7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Hilco Plastics Holdings, LLC (dba Hilco Technologies)</w:t>
            </w:r>
          </w:p>
        </w:tc>
        <w:tc>
          <w:tcPr>
            <w:tcW w:w="120" w:type="dxa"/>
            <w:vAlign w:val="bottom"/>
            <w:shd w:val="clear" w:color="auto" w:fill="CFF0FC"/>
          </w:tcPr>
          <w:p>
            <w:pPr>
              <w:spacing w:after="0"/>
              <w:rPr>
                <w:sz w:val="17"/>
                <w:szCs w:val="17"/>
                <w:color w:val="auto"/>
              </w:rPr>
            </w:pPr>
          </w:p>
        </w:tc>
        <w:tc>
          <w:tcPr>
            <w:tcW w:w="2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Sale of portfolio company</w:t>
            </w:r>
          </w:p>
        </w:tc>
        <w:tc>
          <w:tcPr>
            <w:tcW w:w="8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720"/>
              <w:spacing w:after="0"/>
              <w:rPr>
                <w:sz w:val="20"/>
                <w:szCs w:val="20"/>
                <w:color w:val="auto"/>
              </w:rPr>
            </w:pPr>
            <w:r>
              <w:rPr>
                <w:rFonts w:ascii="Arial" w:cs="Arial" w:eastAsia="Arial" w:hAnsi="Arial"/>
                <w:sz w:val="14"/>
                <w:szCs w:val="14"/>
                <w:color w:val="auto"/>
              </w:rPr>
              <w:t>(1.0 )</w:t>
            </w:r>
          </w:p>
        </w:tc>
        <w:tc>
          <w:tcPr>
            <w:tcW w:w="76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w w:val="97"/>
              </w:rPr>
              <w:t>(1.0 )</w:t>
            </w:r>
          </w:p>
        </w:tc>
        <w:tc>
          <w:tcPr>
            <w:tcW w:w="0" w:type="dxa"/>
            <w:vAlign w:val="bottom"/>
          </w:tcPr>
          <w:p>
            <w:pPr>
              <w:spacing w:after="0"/>
              <w:rPr>
                <w:sz w:val="1"/>
                <w:szCs w:val="1"/>
                <w:color w:val="auto"/>
              </w:rPr>
            </w:pPr>
          </w:p>
        </w:tc>
      </w:tr>
      <w:tr>
        <w:trPr>
          <w:trHeight w:val="185"/>
        </w:trPr>
        <w:tc>
          <w:tcPr>
            <w:tcW w:w="5520" w:type="dxa"/>
            <w:vAlign w:val="bottom"/>
          </w:tcPr>
          <w:p>
            <w:pPr>
              <w:ind w:left="20"/>
              <w:spacing w:after="0"/>
              <w:rPr>
                <w:sz w:val="20"/>
                <w:szCs w:val="20"/>
                <w:color w:val="auto"/>
              </w:rPr>
            </w:pPr>
            <w:r>
              <w:rPr>
                <w:rFonts w:ascii="Arial" w:cs="Arial" w:eastAsia="Arial" w:hAnsi="Arial"/>
                <w:sz w:val="14"/>
                <w:szCs w:val="14"/>
                <w:color w:val="auto"/>
              </w:rPr>
              <w:t>Worldwide Express Operations, LLC</w:t>
            </w:r>
          </w:p>
        </w:tc>
        <w:tc>
          <w:tcPr>
            <w:tcW w:w="120" w:type="dxa"/>
            <w:vAlign w:val="bottom"/>
          </w:tcPr>
          <w:p>
            <w:pPr>
              <w:spacing w:after="0"/>
              <w:rPr>
                <w:sz w:val="16"/>
                <w:szCs w:val="16"/>
                <w:color w:val="auto"/>
              </w:rPr>
            </w:pPr>
          </w:p>
        </w:tc>
        <w:tc>
          <w:tcPr>
            <w:tcW w:w="2560" w:type="dxa"/>
            <w:vAlign w:val="bottom"/>
            <w:gridSpan w:val="2"/>
          </w:tcPr>
          <w:p>
            <w:pPr>
              <w:spacing w:after="0"/>
              <w:rPr>
                <w:sz w:val="20"/>
                <w:szCs w:val="20"/>
                <w:color w:val="auto"/>
              </w:rPr>
            </w:pPr>
            <w:r>
              <w:rPr>
                <w:rFonts w:ascii="Arial" w:cs="Arial" w:eastAsia="Arial" w:hAnsi="Arial"/>
                <w:sz w:val="14"/>
                <w:szCs w:val="14"/>
                <w:color w:val="auto"/>
              </w:rPr>
              <w:t>Sale of portfolio company</w:t>
            </w:r>
          </w:p>
        </w:tc>
        <w:tc>
          <w:tcPr>
            <w:tcW w:w="8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3.0</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Pugh Lubricants, LLC</w:t>
            </w:r>
          </w:p>
        </w:tc>
        <w:tc>
          <w:tcPr>
            <w:tcW w:w="120" w:type="dxa"/>
            <w:vAlign w:val="bottom"/>
            <w:shd w:val="clear" w:color="auto" w:fill="CFF0FC"/>
          </w:tcPr>
          <w:p>
            <w:pPr>
              <w:spacing w:after="0"/>
              <w:rPr>
                <w:sz w:val="17"/>
                <w:szCs w:val="17"/>
                <w:color w:val="auto"/>
              </w:rPr>
            </w:pPr>
          </w:p>
        </w:tc>
        <w:tc>
          <w:tcPr>
            <w:tcW w:w="2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Exit of portfolio company</w:t>
            </w: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7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520" w:type="dxa"/>
            <w:vAlign w:val="bottom"/>
          </w:tcPr>
          <w:p>
            <w:pPr>
              <w:ind w:left="20"/>
              <w:spacing w:after="0"/>
              <w:rPr>
                <w:sz w:val="20"/>
                <w:szCs w:val="20"/>
                <w:color w:val="auto"/>
              </w:rPr>
            </w:pPr>
            <w:r>
              <w:rPr>
                <w:rFonts w:ascii="Arial" w:cs="Arial" w:eastAsia="Arial" w:hAnsi="Arial"/>
                <w:sz w:val="14"/>
                <w:szCs w:val="14"/>
                <w:color w:val="auto"/>
              </w:rPr>
              <w:t>LNG Indy, LLC (dba Kinetrex Energy)</w:t>
            </w:r>
          </w:p>
        </w:tc>
        <w:tc>
          <w:tcPr>
            <w:tcW w:w="120" w:type="dxa"/>
            <w:vAlign w:val="bottom"/>
          </w:tcPr>
          <w:p>
            <w:pPr>
              <w:spacing w:after="0"/>
              <w:rPr>
                <w:sz w:val="16"/>
                <w:szCs w:val="16"/>
                <w:color w:val="auto"/>
              </w:rPr>
            </w:pPr>
          </w:p>
        </w:tc>
        <w:tc>
          <w:tcPr>
            <w:tcW w:w="2560" w:type="dxa"/>
            <w:vAlign w:val="bottom"/>
            <w:gridSpan w:val="2"/>
          </w:tcPr>
          <w:p>
            <w:pPr>
              <w:spacing w:after="0"/>
              <w:rPr>
                <w:sz w:val="20"/>
                <w:szCs w:val="20"/>
                <w:color w:val="auto"/>
              </w:rPr>
            </w:pPr>
            <w:r>
              <w:rPr>
                <w:rFonts w:ascii="Arial" w:cs="Arial" w:eastAsia="Arial" w:hAnsi="Arial"/>
                <w:sz w:val="14"/>
                <w:szCs w:val="14"/>
                <w:color w:val="auto"/>
              </w:rPr>
              <w:t>Sale of portfolio company</w:t>
            </w:r>
          </w:p>
        </w:tc>
        <w:tc>
          <w:tcPr>
            <w:tcW w:w="8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4.5</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Allied 100 Group, Inc.</w:t>
            </w:r>
          </w:p>
        </w:tc>
        <w:tc>
          <w:tcPr>
            <w:tcW w:w="120" w:type="dxa"/>
            <w:vAlign w:val="bottom"/>
            <w:tcBorders>
              <w:bottom w:val="single" w:sz="8" w:color="CFF0FC"/>
            </w:tcBorders>
            <w:shd w:val="clear" w:color="auto" w:fill="CFF0FC"/>
          </w:tcPr>
          <w:p>
            <w:pPr>
              <w:spacing w:after="0"/>
              <w:rPr>
                <w:sz w:val="17"/>
                <w:szCs w:val="17"/>
                <w:color w:val="auto"/>
              </w:rPr>
            </w:pPr>
          </w:p>
        </w:tc>
        <w:tc>
          <w:tcPr>
            <w:tcW w:w="25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Exit of portfolio company</w:t>
            </w:r>
          </w:p>
        </w:tc>
        <w:tc>
          <w:tcPr>
            <w:tcW w:w="84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78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5520" w:type="dxa"/>
            <w:vAlign w:val="bottom"/>
          </w:tcPr>
          <w:p>
            <w:pPr>
              <w:ind w:left="20"/>
              <w:spacing w:after="0"/>
              <w:rPr>
                <w:sz w:val="20"/>
                <w:szCs w:val="20"/>
                <w:color w:val="auto"/>
              </w:rPr>
            </w:pPr>
            <w:r>
              <w:rPr>
                <w:rFonts w:ascii="Arial" w:cs="Arial" w:eastAsia="Arial" w:hAnsi="Arial"/>
                <w:sz w:val="14"/>
                <w:szCs w:val="14"/>
                <w:color w:val="auto"/>
              </w:rPr>
              <w:t>Net realized gain (loss) on investments</w:t>
            </w:r>
          </w:p>
        </w:tc>
        <w:tc>
          <w:tcPr>
            <w:tcW w:w="1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8.3</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87"/>
              </w:rPr>
              <w:t>13.7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Income tax (provision) benefit from realized gains on investments</w:t>
            </w:r>
          </w:p>
        </w:tc>
        <w:tc>
          <w:tcPr>
            <w:tcW w:w="120" w:type="dxa"/>
            <w:vAlign w:val="bottom"/>
            <w:tcBorders>
              <w:bottom w:val="single" w:sz="8" w:color="CFF0FC"/>
            </w:tcBorders>
            <w:shd w:val="clear" w:color="auto" w:fill="CFF0FC"/>
          </w:tcPr>
          <w:p>
            <w:pPr>
              <w:spacing w:after="0"/>
              <w:rPr>
                <w:sz w:val="17"/>
                <w:szCs w:val="17"/>
                <w:color w:val="auto"/>
              </w:rPr>
            </w:pPr>
          </w:p>
        </w:tc>
        <w:tc>
          <w:tcPr>
            <w:tcW w:w="23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78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520" w:type="dxa"/>
            <w:vAlign w:val="bottom"/>
          </w:tcPr>
          <w:p>
            <w:pPr>
              <w:ind w:left="20"/>
              <w:spacing w:after="0"/>
              <w:rPr>
                <w:sz w:val="20"/>
                <w:szCs w:val="20"/>
                <w:color w:val="auto"/>
              </w:rPr>
            </w:pPr>
            <w:r>
              <w:rPr>
                <w:rFonts w:ascii="Arial" w:cs="Arial" w:eastAsia="Arial" w:hAnsi="Arial"/>
                <w:sz w:val="14"/>
                <w:szCs w:val="14"/>
                <w:color w:val="auto"/>
              </w:rPr>
              <w:t>Net realized gain (loss), net of income tax provision, on investments</w:t>
            </w:r>
          </w:p>
        </w:tc>
        <w:tc>
          <w:tcPr>
            <w:tcW w:w="1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780" w:type="dxa"/>
            <w:vAlign w:val="bottom"/>
          </w:tcPr>
          <w:p>
            <w:pPr>
              <w:spacing w:after="0"/>
              <w:rPr>
                <w:sz w:val="15"/>
                <w:szCs w:val="15"/>
                <w:color w:val="auto"/>
              </w:rPr>
            </w:pPr>
          </w:p>
        </w:tc>
        <w:tc>
          <w:tcPr>
            <w:tcW w:w="7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7"/>
              </w:rPr>
              <w:t>13.8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5925820</wp:posOffset>
            </wp:positionH>
            <wp:positionV relativeFrom="paragraph">
              <wp:posOffset>-399415</wp:posOffset>
            </wp:positionV>
            <wp:extent cx="499110" cy="508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99110" cy="508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-399415</wp:posOffset>
            </wp:positionV>
            <wp:extent cx="56515" cy="508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6515" cy="5080"/>
                    </a:xfrm>
                    <a:prstGeom prst="rect">
                      <a:avLst/>
                    </a:prstGeom>
                    <a:noFill/>
                  </pic:spPr>
                </pic:pic>
              </a:graphicData>
            </a:graphic>
          </wp:anchor>
        </w:drawing>
        <w:drawing>
          <wp:anchor simplePos="0" relativeHeight="251657728" behindDoc="1" locked="0" layoutInCell="0" allowOverlap="1">
            <wp:simplePos x="0" y="0"/>
            <wp:positionH relativeFrom="column">
              <wp:posOffset>5925820</wp:posOffset>
            </wp:positionH>
            <wp:positionV relativeFrom="paragraph">
              <wp:posOffset>-149860</wp:posOffset>
            </wp:positionV>
            <wp:extent cx="499110" cy="508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99110" cy="508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-149860</wp:posOffset>
            </wp:positionV>
            <wp:extent cx="56515" cy="508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6515" cy="5080"/>
                    </a:xfrm>
                    <a:prstGeom prst="rect">
                      <a:avLst/>
                    </a:prstGeom>
                    <a:noFill/>
                  </pic:spPr>
                </pic:pic>
              </a:graphicData>
            </a:graphic>
          </wp:anchor>
        </w:drawing>
      </w:r>
    </w:p>
    <w:p>
      <w:pPr>
        <w:jc w:val="both"/>
        <w:ind w:firstLine="1"/>
        <w:spacing w:after="0" w:line="311" w:lineRule="auto"/>
        <w:tabs>
          <w:tab w:leader="none" w:pos="195" w:val="left"/>
        </w:tabs>
        <w:numPr>
          <w:ilvl w:val="0"/>
          <w:numId w:val="33"/>
        </w:numPr>
        <w:rPr>
          <w:rFonts w:ascii="Arial" w:cs="Arial" w:eastAsia="Arial" w:hAnsi="Arial"/>
          <w:sz w:val="12"/>
          <w:szCs w:val="12"/>
          <w:color w:val="auto"/>
        </w:rPr>
      </w:pPr>
      <w:r>
        <w:rPr>
          <w:rFonts w:ascii="Arial" w:cs="Arial" w:eastAsia="Arial" w:hAnsi="Arial"/>
          <w:sz w:val="12"/>
          <w:szCs w:val="12"/>
          <w:color w:val="auto"/>
        </w:rPr>
        <w:t>As it relates to realization events, we define an 'exit' of a portfolio company as situations where we have completely exited our position in all of the portfolio company's securities and no longer carry the portfolio company on our consolidated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p>
      <w:pPr>
        <w:spacing w:after="0" w:line="275" w:lineRule="exact"/>
        <w:rPr>
          <w:sz w:val="20"/>
          <w:szCs w:val="20"/>
          <w:color w:val="auto"/>
        </w:rPr>
      </w:pPr>
    </w:p>
    <w:p>
      <w:pPr>
        <w:jc w:val="both"/>
        <w:ind w:firstLine="375"/>
        <w:spacing w:after="0" w:line="329" w:lineRule="auto"/>
        <w:rPr>
          <w:sz w:val="20"/>
          <w:szCs w:val="20"/>
          <w:color w:val="auto"/>
        </w:rPr>
      </w:pPr>
      <w:r>
        <w:rPr>
          <w:rFonts w:ascii="Arial" w:cs="Arial" w:eastAsia="Arial" w:hAnsi="Arial"/>
          <w:sz w:val="15"/>
          <w:szCs w:val="15"/>
          <w:color w:val="auto"/>
        </w:rPr>
        <w:t>For the three and nine months ended September 30, 2020, the total net realized gain/(loss) on investments, before income tax (provision)/benefit, was $1.3 million and $32.9 million, respectively. Income tax (provision) benefit from realized gains on investments was zero and $(1.1) million for the three and nine months ended September 30, 2020, respectively. Realized gains (losses) for the three and nine months ended September 30, 2020 are summarized below (dollars in millions):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6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4"/>
                <w:szCs w:val="14"/>
                <w:b w:val="1"/>
                <w:bCs w:val="1"/>
                <w:color w:val="auto"/>
              </w:rPr>
              <w:t>Period Ended September 30, 2020</w:t>
            </w:r>
          </w:p>
        </w:tc>
        <w:tc>
          <w:tcPr>
            <w:tcW w:w="3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 xml:space="preserve">Realization Event </w:t>
            </w:r>
            <w:r>
              <w:rPr>
                <w:rFonts w:ascii="Arial" w:cs="Arial" w:eastAsia="Arial" w:hAnsi="Arial"/>
                <w:sz w:val="18"/>
                <w:szCs w:val="18"/>
                <w:b w:val="1"/>
                <w:bCs w:val="1"/>
                <w:color w:val="auto"/>
                <w:vertAlign w:val="superscript"/>
              </w:rPr>
              <w:t>(1)</w:t>
            </w:r>
          </w:p>
        </w:tc>
        <w:tc>
          <w:tcPr>
            <w:tcW w:w="220" w:type="dxa"/>
            <w:vAlign w:val="bottom"/>
            <w:vMerge w:val="restart"/>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b w:val="1"/>
                <w:bCs w:val="1"/>
                <w:color w:val="auto"/>
              </w:rPr>
              <w:t>Three</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152"/>
              <w:spacing w:after="0"/>
              <w:rPr>
                <w:sz w:val="20"/>
                <w:szCs w:val="20"/>
                <w:color w:val="auto"/>
              </w:rPr>
            </w:pPr>
            <w:r>
              <w:rPr>
                <w:rFonts w:ascii="Arial" w:cs="Arial" w:eastAsia="Arial" w:hAnsi="Arial"/>
                <w:sz w:val="14"/>
                <w:szCs w:val="14"/>
                <w:b w:val="1"/>
                <w:bCs w:val="1"/>
                <w:color w:val="auto"/>
              </w:rPr>
              <w:t>Nine</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320" w:type="dxa"/>
            <w:vAlign w:val="bottom"/>
          </w:tcPr>
          <w:p>
            <w:pPr>
              <w:spacing w:after="0"/>
              <w:rPr>
                <w:sz w:val="17"/>
                <w:szCs w:val="17"/>
                <w:color w:val="auto"/>
              </w:rPr>
            </w:pPr>
          </w:p>
        </w:tc>
        <w:tc>
          <w:tcPr>
            <w:tcW w:w="2420" w:type="dxa"/>
            <w:vAlign w:val="bottom"/>
            <w:tcBorders>
              <w:bottom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Months</w:t>
            </w:r>
          </w:p>
        </w:tc>
        <w:tc>
          <w:tcPr>
            <w:tcW w:w="3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Months</w:t>
            </w:r>
          </w:p>
        </w:tc>
        <w:tc>
          <w:tcPr>
            <w:tcW w:w="3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5260" w:type="dxa"/>
            <w:vAlign w:val="bottom"/>
          </w:tcPr>
          <w:p>
            <w:pPr>
              <w:ind w:left="20"/>
              <w:spacing w:after="0"/>
              <w:rPr>
                <w:sz w:val="20"/>
                <w:szCs w:val="20"/>
                <w:color w:val="auto"/>
              </w:rPr>
            </w:pPr>
            <w:r>
              <w:rPr>
                <w:rFonts w:ascii="Arial" w:cs="Arial" w:eastAsia="Arial" w:hAnsi="Arial"/>
                <w:sz w:val="14"/>
                <w:szCs w:val="14"/>
                <w:color w:val="auto"/>
              </w:rPr>
              <w:t>Pfanstiehl, Inc.</w:t>
            </w:r>
          </w:p>
        </w:tc>
        <w:tc>
          <w:tcPr>
            <w:tcW w:w="320" w:type="dxa"/>
            <w:vAlign w:val="bottom"/>
          </w:tcPr>
          <w:p>
            <w:pPr>
              <w:spacing w:after="0"/>
              <w:rPr>
                <w:sz w:val="15"/>
                <w:szCs w:val="15"/>
                <w:color w:val="auto"/>
              </w:rPr>
            </w:pP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Sold 50% of equity investment</w:t>
            </w:r>
          </w:p>
        </w:tc>
        <w:tc>
          <w:tcPr>
            <w:tcW w:w="940" w:type="dxa"/>
            <w:vAlign w:val="bottom"/>
          </w:tcPr>
          <w:p>
            <w:pPr>
              <w:jc w:val="right"/>
              <w:ind w:right="792"/>
              <w:spacing w:after="0"/>
              <w:rPr>
                <w:sz w:val="20"/>
                <w:szCs w:val="20"/>
                <w:color w:val="auto"/>
              </w:rPr>
            </w:pPr>
            <w:r>
              <w:rPr>
                <w:rFonts w:ascii="Arial" w:cs="Arial" w:eastAsia="Arial" w:hAnsi="Arial"/>
                <w:sz w:val="14"/>
                <w:szCs w:val="14"/>
                <w:color w:val="auto"/>
                <w:w w:val="76"/>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80" w:type="dxa"/>
            <w:vAlign w:val="bottom"/>
          </w:tcPr>
          <w:p>
            <w:pPr>
              <w:jc w:val="right"/>
              <w:ind w:right="932"/>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12.8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Fiber Materials, Inc.</w:t>
            </w:r>
          </w:p>
        </w:tc>
        <w:tc>
          <w:tcPr>
            <w:tcW w:w="320" w:type="dxa"/>
            <w:vAlign w:val="bottom"/>
            <w:shd w:val="clear" w:color="auto" w:fill="CCEEFF"/>
          </w:tcPr>
          <w:p>
            <w:pPr>
              <w:spacing w:after="0"/>
              <w:rPr>
                <w:sz w:val="17"/>
                <w:szCs w:val="17"/>
                <w:color w:val="auto"/>
              </w:rPr>
            </w:pP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Sale of portfolio company</w:t>
            </w:r>
          </w:p>
        </w:tc>
        <w:tc>
          <w:tcPr>
            <w:tcW w:w="9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(0.1 )</w:t>
            </w: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260" w:type="dxa"/>
            <w:vAlign w:val="bottom"/>
          </w:tcPr>
          <w:p>
            <w:pPr>
              <w:ind w:left="20"/>
              <w:spacing w:after="0"/>
              <w:rPr>
                <w:sz w:val="20"/>
                <w:szCs w:val="20"/>
                <w:color w:val="auto"/>
              </w:rPr>
            </w:pPr>
            <w:r>
              <w:rPr>
                <w:rFonts w:ascii="Arial" w:cs="Arial" w:eastAsia="Arial" w:hAnsi="Arial"/>
                <w:sz w:val="14"/>
                <w:szCs w:val="14"/>
                <w:color w:val="auto"/>
              </w:rPr>
              <w:t>Microbiology Research Associates, Inc.</w:t>
            </w:r>
          </w:p>
        </w:tc>
        <w:tc>
          <w:tcPr>
            <w:tcW w:w="320" w:type="dxa"/>
            <w:vAlign w:val="bottom"/>
          </w:tcPr>
          <w:p>
            <w:pPr>
              <w:spacing w:after="0"/>
              <w:rPr>
                <w:sz w:val="16"/>
                <w:szCs w:val="16"/>
                <w:color w:val="auto"/>
              </w:rPr>
            </w:pP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Sale of portfolio company</w:t>
            </w:r>
          </w:p>
        </w:tc>
        <w:tc>
          <w:tcPr>
            <w:tcW w:w="9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Medsurant Holdings, LLC</w:t>
            </w:r>
          </w:p>
        </w:tc>
        <w:tc>
          <w:tcPr>
            <w:tcW w:w="320" w:type="dxa"/>
            <w:vAlign w:val="bottom"/>
            <w:shd w:val="clear" w:color="auto" w:fill="CCEEFF"/>
          </w:tcPr>
          <w:p>
            <w:pPr>
              <w:spacing w:after="0"/>
              <w:rPr>
                <w:sz w:val="17"/>
                <w:szCs w:val="17"/>
                <w:color w:val="auto"/>
              </w:rPr>
            </w:pP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Sold 50% of equity investment</w:t>
            </w: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260" w:type="dxa"/>
            <w:vAlign w:val="bottom"/>
          </w:tcPr>
          <w:p>
            <w:pPr>
              <w:ind w:left="20"/>
              <w:spacing w:after="0"/>
              <w:rPr>
                <w:sz w:val="20"/>
                <w:szCs w:val="20"/>
                <w:color w:val="auto"/>
              </w:rPr>
            </w:pPr>
            <w:r>
              <w:rPr>
                <w:rFonts w:ascii="Arial" w:cs="Arial" w:eastAsia="Arial" w:hAnsi="Arial"/>
                <w:sz w:val="14"/>
                <w:szCs w:val="14"/>
                <w:color w:val="auto"/>
              </w:rPr>
              <w:t>Revenue Management Solutions, LLC</w:t>
            </w:r>
          </w:p>
        </w:tc>
        <w:tc>
          <w:tcPr>
            <w:tcW w:w="320" w:type="dxa"/>
            <w:vAlign w:val="bottom"/>
          </w:tcPr>
          <w:p>
            <w:pPr>
              <w:spacing w:after="0"/>
              <w:rPr>
                <w:sz w:val="16"/>
                <w:szCs w:val="16"/>
                <w:color w:val="auto"/>
              </w:rPr>
            </w:pP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Sold 50% of equity investment</w:t>
            </w:r>
          </w:p>
        </w:tc>
        <w:tc>
          <w:tcPr>
            <w:tcW w:w="9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Worldwide Express Operations, LLC</w:t>
            </w:r>
          </w:p>
        </w:tc>
        <w:tc>
          <w:tcPr>
            <w:tcW w:w="320" w:type="dxa"/>
            <w:vAlign w:val="bottom"/>
            <w:shd w:val="clear" w:color="auto" w:fill="CCEEFF"/>
          </w:tcPr>
          <w:p>
            <w:pPr>
              <w:spacing w:after="0"/>
              <w:rPr>
                <w:sz w:val="17"/>
                <w:szCs w:val="17"/>
                <w:color w:val="auto"/>
              </w:rPr>
            </w:pP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Sold 50% of equity investment</w:t>
            </w: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260" w:type="dxa"/>
            <w:vAlign w:val="bottom"/>
          </w:tcPr>
          <w:p>
            <w:pPr>
              <w:ind w:left="20"/>
              <w:spacing w:after="0"/>
              <w:rPr>
                <w:sz w:val="20"/>
                <w:szCs w:val="20"/>
                <w:color w:val="auto"/>
              </w:rPr>
            </w:pPr>
            <w:r>
              <w:rPr>
                <w:rFonts w:ascii="Arial" w:cs="Arial" w:eastAsia="Arial" w:hAnsi="Arial"/>
                <w:sz w:val="14"/>
                <w:szCs w:val="14"/>
                <w:color w:val="auto"/>
              </w:rPr>
              <w:t>Gurobi Optimization, LLC</w:t>
            </w:r>
          </w:p>
        </w:tc>
        <w:tc>
          <w:tcPr>
            <w:tcW w:w="320" w:type="dxa"/>
            <w:vAlign w:val="bottom"/>
          </w:tcPr>
          <w:p>
            <w:pPr>
              <w:spacing w:after="0"/>
              <w:rPr>
                <w:sz w:val="16"/>
                <w:szCs w:val="16"/>
                <w:color w:val="auto"/>
              </w:rPr>
            </w:pP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Sold 50% of equity investment</w:t>
            </w:r>
          </w:p>
        </w:tc>
        <w:tc>
          <w:tcPr>
            <w:tcW w:w="9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Hub Acquisition Sub, LLC (dba Hub Pen)</w:t>
            </w:r>
          </w:p>
        </w:tc>
        <w:tc>
          <w:tcPr>
            <w:tcW w:w="320" w:type="dxa"/>
            <w:vAlign w:val="bottom"/>
            <w:shd w:val="clear" w:color="auto" w:fill="CCEEFF"/>
          </w:tcPr>
          <w:p>
            <w:pPr>
              <w:spacing w:after="0"/>
              <w:rPr>
                <w:sz w:val="17"/>
                <w:szCs w:val="17"/>
                <w:color w:val="auto"/>
              </w:rPr>
            </w:pP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Sold 50% of equity investment</w:t>
            </w: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260" w:type="dxa"/>
            <w:vAlign w:val="bottom"/>
          </w:tcPr>
          <w:p>
            <w:pPr>
              <w:ind w:left="20"/>
              <w:spacing w:after="0"/>
              <w:rPr>
                <w:sz w:val="20"/>
                <w:szCs w:val="20"/>
                <w:color w:val="auto"/>
              </w:rPr>
            </w:pPr>
            <w:r>
              <w:rPr>
                <w:rFonts w:ascii="Arial" w:cs="Arial" w:eastAsia="Arial" w:hAnsi="Arial"/>
                <w:sz w:val="14"/>
                <w:szCs w:val="14"/>
                <w:color w:val="auto"/>
              </w:rPr>
              <w:t>Midwest Transit Equipment, Inc.</w:t>
            </w:r>
          </w:p>
        </w:tc>
        <w:tc>
          <w:tcPr>
            <w:tcW w:w="320" w:type="dxa"/>
            <w:vAlign w:val="bottom"/>
          </w:tcPr>
          <w:p>
            <w:pPr>
              <w:spacing w:after="0"/>
              <w:rPr>
                <w:sz w:val="16"/>
                <w:szCs w:val="16"/>
                <w:color w:val="auto"/>
              </w:rPr>
            </w:pP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Sold 50% of equity investment</w:t>
            </w:r>
          </w:p>
        </w:tc>
        <w:tc>
          <w:tcPr>
            <w:tcW w:w="9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Pugh Lubricants, LLC</w:t>
            </w:r>
          </w:p>
        </w:tc>
        <w:tc>
          <w:tcPr>
            <w:tcW w:w="320" w:type="dxa"/>
            <w:vAlign w:val="bottom"/>
            <w:shd w:val="clear" w:color="auto" w:fill="CCEEFF"/>
          </w:tcPr>
          <w:p>
            <w:pPr>
              <w:spacing w:after="0"/>
              <w:rPr>
                <w:sz w:val="17"/>
                <w:szCs w:val="17"/>
                <w:color w:val="auto"/>
              </w:rPr>
            </w:pP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Sold 50% of equity investment</w:t>
            </w: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260" w:type="dxa"/>
            <w:vAlign w:val="bottom"/>
          </w:tcPr>
          <w:p>
            <w:pPr>
              <w:ind w:left="20"/>
              <w:spacing w:after="0"/>
              <w:rPr>
                <w:sz w:val="20"/>
                <w:szCs w:val="20"/>
                <w:color w:val="auto"/>
              </w:rPr>
            </w:pPr>
            <w:r>
              <w:rPr>
                <w:rFonts w:ascii="Arial" w:cs="Arial" w:eastAsia="Arial" w:hAnsi="Arial"/>
                <w:sz w:val="14"/>
                <w:szCs w:val="14"/>
                <w:color w:val="auto"/>
              </w:rPr>
              <w:t>ControlScan, Inc.</w:t>
            </w:r>
          </w:p>
        </w:tc>
        <w:tc>
          <w:tcPr>
            <w:tcW w:w="320" w:type="dxa"/>
            <w:vAlign w:val="bottom"/>
          </w:tcPr>
          <w:p>
            <w:pPr>
              <w:spacing w:after="0"/>
              <w:rPr>
                <w:sz w:val="16"/>
                <w:szCs w:val="16"/>
                <w:color w:val="auto"/>
              </w:rPr>
            </w:pP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Sold 50% of equity investment</w:t>
            </w:r>
          </w:p>
        </w:tc>
        <w:tc>
          <w:tcPr>
            <w:tcW w:w="9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Alzheimer's Research and Treatment Center, LLC</w:t>
            </w:r>
          </w:p>
        </w:tc>
        <w:tc>
          <w:tcPr>
            <w:tcW w:w="320" w:type="dxa"/>
            <w:vAlign w:val="bottom"/>
            <w:shd w:val="clear" w:color="auto" w:fill="CCEEFF"/>
          </w:tcPr>
          <w:p>
            <w:pPr>
              <w:spacing w:after="0"/>
              <w:rPr>
                <w:sz w:val="17"/>
                <w:szCs w:val="17"/>
                <w:color w:val="auto"/>
              </w:rPr>
            </w:pP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Sold 50% of equity investment</w:t>
            </w: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260" w:type="dxa"/>
            <w:vAlign w:val="bottom"/>
          </w:tcPr>
          <w:p>
            <w:pPr>
              <w:ind w:left="20"/>
              <w:spacing w:after="0"/>
              <w:rPr>
                <w:sz w:val="20"/>
                <w:szCs w:val="20"/>
                <w:color w:val="auto"/>
              </w:rPr>
            </w:pPr>
            <w:r>
              <w:rPr>
                <w:rFonts w:ascii="Arial" w:cs="Arial" w:eastAsia="Arial" w:hAnsi="Arial"/>
                <w:sz w:val="14"/>
                <w:szCs w:val="14"/>
                <w:color w:val="auto"/>
              </w:rPr>
              <w:t>BCM One Group Holdings, Inc.</w:t>
            </w:r>
          </w:p>
        </w:tc>
        <w:tc>
          <w:tcPr>
            <w:tcW w:w="320" w:type="dxa"/>
            <w:vAlign w:val="bottom"/>
          </w:tcPr>
          <w:p>
            <w:pPr>
              <w:spacing w:after="0"/>
              <w:rPr>
                <w:sz w:val="16"/>
                <w:szCs w:val="16"/>
                <w:color w:val="auto"/>
              </w:rPr>
            </w:pP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Sold 50% of equity investment</w:t>
            </w:r>
          </w:p>
        </w:tc>
        <w:tc>
          <w:tcPr>
            <w:tcW w:w="9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Software Technology, LLC</w:t>
            </w:r>
          </w:p>
        </w:tc>
        <w:tc>
          <w:tcPr>
            <w:tcW w:w="320" w:type="dxa"/>
            <w:vAlign w:val="bottom"/>
            <w:shd w:val="clear" w:color="auto" w:fill="CCEEFF"/>
          </w:tcPr>
          <w:p>
            <w:pPr>
              <w:spacing w:after="0"/>
              <w:rPr>
                <w:sz w:val="17"/>
                <w:szCs w:val="17"/>
                <w:color w:val="auto"/>
              </w:rPr>
            </w:pP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Sold 50% of equity investment</w:t>
            </w: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260" w:type="dxa"/>
            <w:vAlign w:val="bottom"/>
          </w:tcPr>
          <w:p>
            <w:pPr>
              <w:ind w:left="20"/>
              <w:spacing w:after="0"/>
              <w:rPr>
                <w:sz w:val="20"/>
                <w:szCs w:val="20"/>
                <w:color w:val="auto"/>
              </w:rPr>
            </w:pPr>
            <w:r>
              <w:rPr>
                <w:rFonts w:ascii="Arial" w:cs="Arial" w:eastAsia="Arial" w:hAnsi="Arial"/>
                <w:sz w:val="14"/>
                <w:szCs w:val="14"/>
                <w:color w:val="auto"/>
              </w:rPr>
              <w:t>LNG Indy, LLC (dba Kinetrex Energy)</w:t>
            </w:r>
          </w:p>
        </w:tc>
        <w:tc>
          <w:tcPr>
            <w:tcW w:w="320" w:type="dxa"/>
            <w:vAlign w:val="bottom"/>
          </w:tcPr>
          <w:p>
            <w:pPr>
              <w:spacing w:after="0"/>
              <w:rPr>
                <w:sz w:val="16"/>
                <w:szCs w:val="16"/>
                <w:color w:val="auto"/>
              </w:rPr>
            </w:pP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Sold 50% of equity investment</w:t>
            </w:r>
          </w:p>
        </w:tc>
        <w:tc>
          <w:tcPr>
            <w:tcW w:w="9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Wheel Pros, Inc.</w:t>
            </w:r>
          </w:p>
        </w:tc>
        <w:tc>
          <w:tcPr>
            <w:tcW w:w="320" w:type="dxa"/>
            <w:vAlign w:val="bottom"/>
            <w:shd w:val="clear" w:color="auto" w:fill="CCEEFF"/>
          </w:tcPr>
          <w:p>
            <w:pPr>
              <w:spacing w:after="0"/>
              <w:rPr>
                <w:sz w:val="17"/>
                <w:szCs w:val="17"/>
                <w:color w:val="auto"/>
              </w:rPr>
            </w:pP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Sold 50% of equity investment</w:t>
            </w: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260" w:type="dxa"/>
            <w:vAlign w:val="bottom"/>
          </w:tcPr>
          <w:p>
            <w:pPr>
              <w:ind w:left="20"/>
              <w:spacing w:after="0"/>
              <w:rPr>
                <w:sz w:val="20"/>
                <w:szCs w:val="20"/>
                <w:color w:val="auto"/>
              </w:rPr>
            </w:pPr>
            <w:r>
              <w:rPr>
                <w:rFonts w:ascii="Arial" w:cs="Arial" w:eastAsia="Arial" w:hAnsi="Arial"/>
                <w:sz w:val="14"/>
                <w:szCs w:val="14"/>
                <w:color w:val="auto"/>
              </w:rPr>
              <w:t>New Era Technology, Inc.</w:t>
            </w:r>
          </w:p>
        </w:tc>
        <w:tc>
          <w:tcPr>
            <w:tcW w:w="320" w:type="dxa"/>
            <w:vAlign w:val="bottom"/>
          </w:tcPr>
          <w:p>
            <w:pPr>
              <w:spacing w:after="0"/>
              <w:rPr>
                <w:sz w:val="16"/>
                <w:szCs w:val="16"/>
                <w:color w:val="auto"/>
              </w:rPr>
            </w:pP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Escrow distribution</w:t>
            </w:r>
          </w:p>
        </w:tc>
        <w:tc>
          <w:tcPr>
            <w:tcW w:w="9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Apex Microtechnology, Inc.</w:t>
            </w:r>
          </w:p>
        </w:tc>
        <w:tc>
          <w:tcPr>
            <w:tcW w:w="320" w:type="dxa"/>
            <w:vAlign w:val="bottom"/>
            <w:shd w:val="clear" w:color="auto" w:fill="CCEEFF"/>
          </w:tcPr>
          <w:p>
            <w:pPr>
              <w:spacing w:after="0"/>
              <w:rPr>
                <w:sz w:val="17"/>
                <w:szCs w:val="17"/>
                <w:color w:val="auto"/>
              </w:rPr>
            </w:pP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Escrow distribution</w:t>
            </w: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260" w:type="dxa"/>
            <w:vAlign w:val="bottom"/>
          </w:tcPr>
          <w:p>
            <w:pPr>
              <w:ind w:left="20"/>
              <w:spacing w:after="0"/>
              <w:rPr>
                <w:sz w:val="20"/>
                <w:szCs w:val="20"/>
                <w:color w:val="auto"/>
              </w:rPr>
            </w:pPr>
            <w:r>
              <w:rPr>
                <w:rFonts w:ascii="Arial" w:cs="Arial" w:eastAsia="Arial" w:hAnsi="Arial"/>
                <w:sz w:val="14"/>
                <w:szCs w:val="14"/>
                <w:color w:val="auto"/>
              </w:rPr>
              <w:t>Allied 100 Group, Inc.</w:t>
            </w:r>
          </w:p>
        </w:tc>
        <w:tc>
          <w:tcPr>
            <w:tcW w:w="320" w:type="dxa"/>
            <w:vAlign w:val="bottom"/>
          </w:tcPr>
          <w:p>
            <w:pPr>
              <w:spacing w:after="0"/>
              <w:rPr>
                <w:sz w:val="16"/>
                <w:szCs w:val="16"/>
                <w:color w:val="auto"/>
              </w:rPr>
            </w:pP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Sold 50% of equity investment</w:t>
            </w:r>
          </w:p>
        </w:tc>
        <w:tc>
          <w:tcPr>
            <w:tcW w:w="9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Restaurant Finance Co, LLC</w:t>
            </w:r>
          </w:p>
        </w:tc>
        <w:tc>
          <w:tcPr>
            <w:tcW w:w="320" w:type="dxa"/>
            <w:vAlign w:val="bottom"/>
            <w:shd w:val="clear" w:color="auto" w:fill="CCEEFF"/>
          </w:tcPr>
          <w:p>
            <w:pPr>
              <w:spacing w:after="0"/>
              <w:rPr>
                <w:sz w:val="17"/>
                <w:szCs w:val="17"/>
                <w:color w:val="auto"/>
              </w:rPr>
            </w:pP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Escrow distribution</w:t>
            </w: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260" w:type="dxa"/>
            <w:vAlign w:val="bottom"/>
          </w:tcPr>
          <w:p>
            <w:pPr>
              <w:ind w:left="20"/>
              <w:spacing w:after="0"/>
              <w:rPr>
                <w:sz w:val="20"/>
                <w:szCs w:val="20"/>
                <w:color w:val="auto"/>
              </w:rPr>
            </w:pPr>
            <w:r>
              <w:rPr>
                <w:rFonts w:ascii="Arial" w:cs="Arial" w:eastAsia="Arial" w:hAnsi="Arial"/>
                <w:sz w:val="14"/>
                <w:szCs w:val="14"/>
                <w:color w:val="auto"/>
              </w:rPr>
              <w:t>Allredi, LLC (fka Marco Group International OpCo, LLC)</w:t>
            </w:r>
          </w:p>
        </w:tc>
        <w:tc>
          <w:tcPr>
            <w:tcW w:w="320" w:type="dxa"/>
            <w:vAlign w:val="bottom"/>
          </w:tcPr>
          <w:p>
            <w:pPr>
              <w:spacing w:after="0"/>
              <w:rPr>
                <w:sz w:val="16"/>
                <w:szCs w:val="16"/>
                <w:color w:val="auto"/>
              </w:rPr>
            </w:pPr>
          </w:p>
        </w:tc>
        <w:tc>
          <w:tcPr>
            <w:tcW w:w="2640" w:type="dxa"/>
            <w:vAlign w:val="bottom"/>
            <w:gridSpan w:val="2"/>
          </w:tcPr>
          <w:p>
            <w:pPr>
              <w:ind w:left="20"/>
              <w:spacing w:after="0"/>
              <w:rPr>
                <w:sz w:val="20"/>
                <w:szCs w:val="20"/>
                <w:color w:val="auto"/>
              </w:rPr>
            </w:pPr>
            <w:r>
              <w:rPr>
                <w:rFonts w:ascii="Arial" w:cs="Arial" w:eastAsia="Arial" w:hAnsi="Arial"/>
                <w:sz w:val="14"/>
                <w:szCs w:val="14"/>
                <w:color w:val="auto"/>
              </w:rPr>
              <w:t>Sold 50% of equity investment</w:t>
            </w:r>
          </w:p>
        </w:tc>
        <w:tc>
          <w:tcPr>
            <w:tcW w:w="9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Vanguard Dealer Services, L.L.C.</w:t>
            </w:r>
          </w:p>
        </w:tc>
        <w:tc>
          <w:tcPr>
            <w:tcW w:w="320" w:type="dxa"/>
            <w:vAlign w:val="bottom"/>
            <w:shd w:val="clear" w:color="auto" w:fill="CCEEFF"/>
          </w:tcPr>
          <w:p>
            <w:pPr>
              <w:spacing w:after="0"/>
              <w:rPr>
                <w:sz w:val="17"/>
                <w:szCs w:val="17"/>
                <w:color w:val="auto"/>
              </w:rPr>
            </w:pP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Escrow distribution</w:t>
            </w: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260" w:type="dxa"/>
            <w:vAlign w:val="bottom"/>
          </w:tcPr>
          <w:p>
            <w:pPr>
              <w:ind w:left="20"/>
              <w:spacing w:after="0"/>
              <w:rPr>
                <w:sz w:val="20"/>
                <w:szCs w:val="20"/>
                <w:color w:val="auto"/>
              </w:rPr>
            </w:pPr>
            <w:r>
              <w:rPr>
                <w:rFonts w:ascii="Arial" w:cs="Arial" w:eastAsia="Arial" w:hAnsi="Arial"/>
                <w:sz w:val="14"/>
                <w:szCs w:val="14"/>
                <w:color w:val="auto"/>
              </w:rPr>
              <w:t>Other</w:t>
            </w:r>
          </w:p>
        </w:tc>
        <w:tc>
          <w:tcPr>
            <w:tcW w:w="3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Palisade Company, LLC</w:t>
            </w:r>
          </w:p>
        </w:tc>
        <w:tc>
          <w:tcPr>
            <w:tcW w:w="320" w:type="dxa"/>
            <w:vAlign w:val="bottom"/>
            <w:shd w:val="clear" w:color="auto" w:fill="CCEEFF"/>
          </w:tcPr>
          <w:p>
            <w:pPr>
              <w:spacing w:after="0"/>
              <w:rPr>
                <w:sz w:val="17"/>
                <w:szCs w:val="17"/>
                <w:color w:val="auto"/>
              </w:rPr>
            </w:pP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Sold 50% of equity investment</w:t>
            </w: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(0.1 )</w:t>
            </w:r>
          </w:p>
        </w:tc>
        <w:tc>
          <w:tcPr>
            <w:tcW w:w="0" w:type="dxa"/>
            <w:vAlign w:val="bottom"/>
          </w:tcPr>
          <w:p>
            <w:pPr>
              <w:spacing w:after="0"/>
              <w:rPr>
                <w:sz w:val="1"/>
                <w:szCs w:val="1"/>
                <w:color w:val="auto"/>
              </w:rPr>
            </w:pPr>
          </w:p>
        </w:tc>
      </w:tr>
      <w:tr>
        <w:trPr>
          <w:trHeight w:val="177"/>
        </w:trPr>
        <w:tc>
          <w:tcPr>
            <w:tcW w:w="526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Net realized gain (loss) on investments</w:t>
            </w:r>
          </w:p>
        </w:tc>
        <w:tc>
          <w:tcPr>
            <w:tcW w:w="320" w:type="dxa"/>
            <w:vAlign w:val="bottom"/>
            <w:tcBorders>
              <w:top w:val="single" w:sz="8" w:color="CCEEFF"/>
            </w:tcBorders>
          </w:tcPr>
          <w:p>
            <w:pPr>
              <w:spacing w:after="0"/>
              <w:rPr>
                <w:sz w:val="15"/>
                <w:szCs w:val="15"/>
                <w:color w:val="auto"/>
              </w:rPr>
            </w:pPr>
          </w:p>
        </w:tc>
        <w:tc>
          <w:tcPr>
            <w:tcW w:w="24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220" w:type="dxa"/>
            <w:vAlign w:val="bottom"/>
            <w:tcBorders>
              <w:top w:val="single" w:sz="8" w:color="CCEEFF"/>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32.9</w:t>
            </w: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(provision) benefit from realized gains on investments</w:t>
            </w:r>
          </w:p>
        </w:tc>
        <w:tc>
          <w:tcPr>
            <w:tcW w:w="32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183"/>
        </w:trPr>
        <w:tc>
          <w:tcPr>
            <w:tcW w:w="526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Net realized gain (loss), net of income tax provision, on investments</w:t>
            </w:r>
          </w:p>
        </w:tc>
        <w:tc>
          <w:tcPr>
            <w:tcW w:w="320" w:type="dxa"/>
            <w:vAlign w:val="bottom"/>
            <w:tcBorders>
              <w:top w:val="single" w:sz="8" w:color="CCEEFF"/>
            </w:tcBorders>
          </w:tcPr>
          <w:p>
            <w:pPr>
              <w:spacing w:after="0"/>
              <w:rPr>
                <w:sz w:val="15"/>
                <w:szCs w:val="15"/>
                <w:color w:val="auto"/>
              </w:rPr>
            </w:pPr>
          </w:p>
        </w:tc>
        <w:tc>
          <w:tcPr>
            <w:tcW w:w="24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792"/>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220" w:type="dxa"/>
            <w:vAlign w:val="bottom"/>
            <w:tcBorders>
              <w:top w:val="single" w:sz="8" w:color="CCEEFF"/>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932"/>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31.8</w:t>
            </w: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6014720</wp:posOffset>
            </wp:positionH>
            <wp:positionV relativeFrom="paragraph">
              <wp:posOffset>-399415</wp:posOffset>
            </wp:positionV>
            <wp:extent cx="1127125" cy="12573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127125" cy="12573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-149860</wp:posOffset>
            </wp:positionV>
            <wp:extent cx="1127125" cy="15049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127125" cy="150495"/>
                    </a:xfrm>
                    <a:prstGeom prst="rect">
                      <a:avLst/>
                    </a:prstGeom>
                    <a:noFill/>
                  </pic:spPr>
                </pic:pic>
              </a:graphicData>
            </a:graphic>
          </wp:anchor>
        </w:drawing>
      </w:r>
    </w:p>
    <w:p>
      <w:pPr>
        <w:jc w:val="both"/>
        <w:ind w:firstLine="1"/>
        <w:spacing w:after="0" w:line="311" w:lineRule="auto"/>
        <w:tabs>
          <w:tab w:leader="none" w:pos="195" w:val="left"/>
        </w:tabs>
        <w:numPr>
          <w:ilvl w:val="0"/>
          <w:numId w:val="34"/>
        </w:numPr>
        <w:rPr>
          <w:rFonts w:ascii="Arial" w:cs="Arial" w:eastAsia="Arial" w:hAnsi="Arial"/>
          <w:sz w:val="12"/>
          <w:szCs w:val="12"/>
          <w:color w:val="auto"/>
        </w:rPr>
      </w:pPr>
      <w:r>
        <w:rPr>
          <w:rFonts w:ascii="Arial" w:cs="Arial" w:eastAsia="Arial" w:hAnsi="Arial"/>
          <w:sz w:val="12"/>
          <w:szCs w:val="12"/>
          <w:color w:val="auto"/>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p>
      <w:pPr>
        <w:spacing w:after="0" w:line="275" w:lineRule="exact"/>
        <w:rPr>
          <w:sz w:val="20"/>
          <w:szCs w:val="20"/>
          <w:color w:val="auto"/>
        </w:rPr>
      </w:pPr>
    </w:p>
    <w:p>
      <w:pPr>
        <w:ind w:firstLine="375"/>
        <w:spacing w:after="0" w:line="288" w:lineRule="auto"/>
        <w:rPr>
          <w:sz w:val="20"/>
          <w:szCs w:val="20"/>
          <w:color w:val="auto"/>
        </w:rPr>
      </w:pPr>
      <w:r>
        <w:rPr>
          <w:rFonts w:ascii="Arial" w:cs="Arial" w:eastAsia="Arial" w:hAnsi="Arial"/>
          <w:sz w:val="17"/>
          <w:szCs w:val="17"/>
          <w:color w:val="auto"/>
        </w:rPr>
        <w:t>During the nine months ended September 30, 2021 and 2020, we recorded a net change in unrealized appreciation (depreciation) on investments attributable to the following (dollars in millions):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0" w:type="dxa"/>
            <w:vAlign w:val="bottom"/>
            <w:gridSpan w:val="4"/>
          </w:tcPr>
          <w:p>
            <w:pPr>
              <w:jc w:val="right"/>
              <w:spacing w:after="0"/>
              <w:rPr>
                <w:sz w:val="20"/>
                <w:szCs w:val="20"/>
                <w:color w:val="auto"/>
              </w:rPr>
            </w:pPr>
            <w:r>
              <w:rPr>
                <w:rFonts w:ascii="Arial" w:cs="Arial" w:eastAsia="Arial" w:hAnsi="Arial"/>
                <w:sz w:val="14"/>
                <w:szCs w:val="14"/>
                <w:b w:val="1"/>
                <w:bCs w:val="1"/>
                <w:color w:val="auto"/>
                <w:w w:val="99"/>
              </w:rPr>
              <w:t>Three Months Ended September 30,</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85"/>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Unrealized Appreciation (Depreciation)</w:t>
            </w:r>
          </w:p>
        </w:tc>
        <w:tc>
          <w:tcPr>
            <w:tcW w:w="16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188"/>
        </w:trPr>
        <w:tc>
          <w:tcPr>
            <w:tcW w:w="52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Exit, sale or restructuring of investments</w:t>
            </w:r>
          </w:p>
        </w:tc>
        <w:tc>
          <w:tcPr>
            <w:tcW w:w="860" w:type="dxa"/>
            <w:vAlign w:val="bottom"/>
            <w:shd w:val="clear" w:color="auto" w:fill="CFF0FC"/>
          </w:tcPr>
          <w:p>
            <w:pPr>
              <w:jc w:val="right"/>
              <w:ind w:right="712"/>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(2.6 )</w:t>
            </w:r>
          </w:p>
        </w:tc>
        <w:tc>
          <w:tcPr>
            <w:tcW w:w="940" w:type="dxa"/>
            <w:vAlign w:val="bottom"/>
            <w:shd w:val="clear" w:color="auto" w:fill="CFF0FC"/>
          </w:tcPr>
          <w:p>
            <w:pPr>
              <w:jc w:val="right"/>
              <w:ind w:right="772"/>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jc w:val="right"/>
              <w:ind w:right="132"/>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(5.9 )</w:t>
            </w:r>
          </w:p>
        </w:tc>
        <w:tc>
          <w:tcPr>
            <w:tcW w:w="380" w:type="dxa"/>
            <w:vAlign w:val="bottom"/>
            <w:shd w:val="clear" w:color="auto" w:fill="CFF0FC"/>
          </w:tcPr>
          <w:p>
            <w:pPr>
              <w:jc w:val="right"/>
              <w:ind w:right="232"/>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(30.0 )</w:t>
            </w:r>
          </w:p>
        </w:tc>
      </w:tr>
      <w:tr>
        <w:trPr>
          <w:trHeight w:val="185"/>
        </w:trPr>
        <w:tc>
          <w:tcPr>
            <w:tcW w:w="5200" w:type="dxa"/>
            <w:vAlign w:val="bottom"/>
            <w:gridSpan w:val="2"/>
          </w:tcPr>
          <w:p>
            <w:pPr>
              <w:ind w:left="20"/>
              <w:spacing w:after="0"/>
              <w:rPr>
                <w:sz w:val="20"/>
                <w:szCs w:val="20"/>
                <w:color w:val="auto"/>
              </w:rPr>
            </w:pPr>
            <w:r>
              <w:rPr>
                <w:rFonts w:ascii="Arial" w:cs="Arial" w:eastAsia="Arial" w:hAnsi="Arial"/>
                <w:sz w:val="14"/>
                <w:szCs w:val="14"/>
                <w:color w:val="auto"/>
              </w:rPr>
              <w:t>Fair value adjustments to debt investments</w:t>
            </w:r>
          </w:p>
        </w:tc>
        <w:tc>
          <w:tcPr>
            <w:tcW w:w="8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3.8</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w w:val="97"/>
              </w:rPr>
              <w:t>(1.1 )</w:t>
            </w:r>
          </w:p>
        </w:tc>
        <w:tc>
          <w:tcPr>
            <w:tcW w:w="28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(0.6 )</w:t>
            </w:r>
          </w:p>
        </w:tc>
        <w:tc>
          <w:tcPr>
            <w:tcW w:w="380" w:type="dxa"/>
            <w:vAlign w:val="bottom"/>
          </w:tcPr>
          <w:p>
            <w:pPr>
              <w:spacing w:after="0"/>
              <w:rPr>
                <w:sz w:val="16"/>
                <w:szCs w:val="16"/>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4"/>
                <w:szCs w:val="14"/>
                <w:color w:val="auto"/>
              </w:rPr>
              <w:t>(31.1 )</w:t>
            </w:r>
          </w:p>
        </w:tc>
      </w:tr>
      <w:tr>
        <w:trPr>
          <w:trHeight w:val="190"/>
        </w:trPr>
        <w:tc>
          <w:tcPr>
            <w:tcW w:w="52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Fair value adjustments to equity investments</w:t>
            </w:r>
          </w:p>
        </w:tc>
        <w:tc>
          <w:tcPr>
            <w:tcW w:w="86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w:t>
            </w: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7"/>
              </w:rPr>
              <w:t>13.8</w:t>
            </w: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38.5</w:t>
            </w: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(2.3 )</w:t>
            </w:r>
          </w:p>
        </w:tc>
      </w:tr>
      <w:tr>
        <w:trPr>
          <w:trHeight w:val="20"/>
        </w:trPr>
        <w:tc>
          <w:tcPr>
            <w:tcW w:w="50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88"/>
        </w:trPr>
        <w:tc>
          <w:tcPr>
            <w:tcW w:w="5200" w:type="dxa"/>
            <w:vAlign w:val="bottom"/>
            <w:gridSpan w:val="2"/>
          </w:tcPr>
          <w:p>
            <w:pPr>
              <w:ind w:left="20"/>
              <w:spacing w:after="0"/>
              <w:rPr>
                <w:sz w:val="20"/>
                <w:szCs w:val="20"/>
                <w:color w:val="auto"/>
              </w:rPr>
            </w:pPr>
            <w:r>
              <w:rPr>
                <w:rFonts w:ascii="Arial" w:cs="Arial" w:eastAsia="Arial" w:hAnsi="Arial"/>
                <w:sz w:val="14"/>
                <w:szCs w:val="14"/>
                <w:color w:val="auto"/>
              </w:rPr>
              <w:t>Net change in unrealized appreciation (depreciation)</w:t>
            </w:r>
          </w:p>
        </w:tc>
        <w:tc>
          <w:tcPr>
            <w:tcW w:w="860" w:type="dxa"/>
            <w:vAlign w:val="bottom"/>
          </w:tcPr>
          <w:p>
            <w:pPr>
              <w:jc w:val="right"/>
              <w:ind w:right="712"/>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15.3</w:t>
            </w:r>
          </w:p>
        </w:tc>
        <w:tc>
          <w:tcPr>
            <w:tcW w:w="240" w:type="dxa"/>
            <w:vAlign w:val="bottom"/>
          </w:tcPr>
          <w:p>
            <w:pPr>
              <w:spacing w:after="0"/>
              <w:rPr>
                <w:sz w:val="16"/>
                <w:szCs w:val="16"/>
                <w:color w:val="auto"/>
              </w:rPr>
            </w:pPr>
          </w:p>
        </w:tc>
        <w:tc>
          <w:tcPr>
            <w:tcW w:w="940" w:type="dxa"/>
            <w:vAlign w:val="bottom"/>
          </w:tcPr>
          <w:p>
            <w:pPr>
              <w:jc w:val="right"/>
              <w:ind w:right="772"/>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w w:val="87"/>
              </w:rPr>
              <w:t>12.7</w:t>
            </w:r>
          </w:p>
        </w:tc>
        <w:tc>
          <w:tcPr>
            <w:tcW w:w="220" w:type="dxa"/>
            <w:vAlign w:val="bottom"/>
          </w:tcPr>
          <w:p>
            <w:pPr>
              <w:spacing w:after="0"/>
              <w:rPr>
                <w:sz w:val="16"/>
                <w:szCs w:val="16"/>
                <w:color w:val="auto"/>
              </w:rPr>
            </w:pPr>
          </w:p>
        </w:tc>
        <w:tc>
          <w:tcPr>
            <w:tcW w:w="280" w:type="dxa"/>
            <w:vAlign w:val="bottom"/>
          </w:tcPr>
          <w:p>
            <w:pPr>
              <w:jc w:val="right"/>
              <w:ind w:right="132"/>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32.0</w:t>
            </w:r>
          </w:p>
        </w:tc>
        <w:tc>
          <w:tcPr>
            <w:tcW w:w="240" w:type="dxa"/>
            <w:vAlign w:val="bottom"/>
          </w:tcPr>
          <w:p>
            <w:pPr>
              <w:spacing w:after="0"/>
              <w:rPr>
                <w:sz w:val="16"/>
                <w:szCs w:val="16"/>
                <w:color w:val="auto"/>
              </w:rPr>
            </w:pPr>
          </w:p>
        </w:tc>
        <w:tc>
          <w:tcPr>
            <w:tcW w:w="380" w:type="dxa"/>
            <w:vAlign w:val="bottom"/>
          </w:tcPr>
          <w:p>
            <w:pPr>
              <w:jc w:val="right"/>
              <w:ind w:right="232"/>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20"/>
              <w:spacing w:after="0"/>
              <w:rPr>
                <w:sz w:val="20"/>
                <w:szCs w:val="20"/>
                <w:color w:val="auto"/>
              </w:rPr>
            </w:pPr>
            <w:r>
              <w:rPr>
                <w:rFonts w:ascii="Arial" w:cs="Arial" w:eastAsia="Arial" w:hAnsi="Arial"/>
                <w:sz w:val="14"/>
                <w:szCs w:val="14"/>
                <w:color w:val="auto"/>
              </w:rPr>
              <w:t>(63.4 )</w:t>
            </w:r>
          </w:p>
        </w:tc>
      </w:tr>
      <w:tr>
        <w:trPr>
          <w:trHeight w:val="20"/>
        </w:trPr>
        <w:tc>
          <w:tcPr>
            <w:tcW w:w="5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4082415</wp:posOffset>
            </wp:positionH>
            <wp:positionV relativeFrom="paragraph">
              <wp:posOffset>-149860</wp:posOffset>
            </wp:positionV>
            <wp:extent cx="153035" cy="508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53035" cy="5080"/>
                    </a:xfrm>
                    <a:prstGeom prst="rect">
                      <a:avLst/>
                    </a:prstGeom>
                    <a:noFill/>
                  </pic:spPr>
                </pic:pic>
              </a:graphicData>
            </a:graphic>
          </wp:anchor>
        </w:drawing>
        <w:drawing>
          <wp:anchor simplePos="0" relativeHeight="251657728" behindDoc="1" locked="0" layoutInCell="0" allowOverlap="1">
            <wp:simplePos x="0" y="0"/>
            <wp:positionH relativeFrom="column">
              <wp:posOffset>4999990</wp:posOffset>
            </wp:positionH>
            <wp:positionV relativeFrom="paragraph">
              <wp:posOffset>-149860</wp:posOffset>
            </wp:positionV>
            <wp:extent cx="144780" cy="508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44780" cy="508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-149860</wp:posOffset>
            </wp:positionV>
            <wp:extent cx="144780" cy="508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44780" cy="508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-149860</wp:posOffset>
            </wp:positionV>
            <wp:extent cx="56515" cy="508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6515" cy="5080"/>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9" w:name="page50"/>
    <w:bookmarkEnd w:id="49"/>
    <w:p>
      <w:pPr>
        <w:ind w:left="420"/>
        <w:spacing w:after="0"/>
        <w:rPr>
          <w:sz w:val="20"/>
          <w:szCs w:val="20"/>
          <w:color w:val="auto"/>
        </w:rPr>
      </w:pPr>
      <w:r>
        <w:rPr>
          <w:rFonts w:ascii="Arial" w:cs="Arial" w:eastAsia="Arial" w:hAnsi="Arial"/>
          <w:sz w:val="17"/>
          <w:szCs w:val="17"/>
          <w:i w:val="1"/>
          <w:iCs w:val="1"/>
          <w:color w:val="auto"/>
        </w:rPr>
        <w:t>Net Increase in Net Assets Resulting From Operations</w:t>
      </w:r>
    </w:p>
    <w:p>
      <w:pPr>
        <w:spacing w:after="0" w:line="172" w:lineRule="exact"/>
        <w:rPr>
          <w:sz w:val="20"/>
          <w:szCs w:val="20"/>
          <w:color w:val="auto"/>
        </w:rPr>
      </w:pPr>
    </w:p>
    <w:p>
      <w:pPr>
        <w:jc w:val="both"/>
        <w:ind w:firstLine="375"/>
        <w:spacing w:after="0" w:line="288" w:lineRule="auto"/>
        <w:rPr>
          <w:sz w:val="20"/>
          <w:szCs w:val="20"/>
          <w:color w:val="auto"/>
        </w:rPr>
      </w:pPr>
      <w:r>
        <w:rPr>
          <w:rFonts w:ascii="Arial" w:cs="Arial" w:eastAsia="Arial" w:hAnsi="Arial"/>
          <w:sz w:val="17"/>
          <w:szCs w:val="17"/>
          <w:color w:val="auto"/>
        </w:rPr>
        <w:t>Net increase (decrease) in net assets resulting from operations during the three months ended September 30, 2021 and 2020 was $28.4 million and $20.7 million, respectively, as a result of the events described above.</w:t>
      </w:r>
    </w:p>
    <w:p>
      <w:pPr>
        <w:spacing w:after="0" w:line="114" w:lineRule="exact"/>
        <w:rPr>
          <w:sz w:val="20"/>
          <w:szCs w:val="20"/>
          <w:color w:val="auto"/>
        </w:rPr>
      </w:pPr>
    </w:p>
    <w:p>
      <w:pPr>
        <w:jc w:val="both"/>
        <w:ind w:firstLine="375"/>
        <w:spacing w:after="0" w:line="288" w:lineRule="auto"/>
        <w:rPr>
          <w:sz w:val="20"/>
          <w:szCs w:val="20"/>
          <w:color w:val="auto"/>
        </w:rPr>
      </w:pPr>
      <w:r>
        <w:rPr>
          <w:rFonts w:ascii="Arial" w:cs="Arial" w:eastAsia="Arial" w:hAnsi="Arial"/>
          <w:sz w:val="17"/>
          <w:szCs w:val="17"/>
          <w:color w:val="auto"/>
        </w:rPr>
        <w:t>Net increase (decrease) in net assets resulting from operations during the nine months ended September 30, 2021 and 2020 was $65.8 million and $1.7 million, respectively, as a result of the events described above.</w:t>
      </w:r>
    </w:p>
    <w:p>
      <w:pPr>
        <w:spacing w:after="0" w:line="114"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Liquidity and Capital Resources</w:t>
      </w:r>
    </w:p>
    <w:p>
      <w:pPr>
        <w:spacing w:after="0" w:line="172" w:lineRule="exact"/>
        <w:rPr>
          <w:sz w:val="20"/>
          <w:szCs w:val="20"/>
          <w:color w:val="auto"/>
        </w:rPr>
      </w:pPr>
    </w:p>
    <w:p>
      <w:pPr>
        <w:jc w:val="both"/>
        <w:ind w:firstLine="478"/>
        <w:spacing w:after="0" w:line="308" w:lineRule="auto"/>
        <w:rPr>
          <w:sz w:val="20"/>
          <w:szCs w:val="20"/>
          <w:color w:val="auto"/>
        </w:rPr>
      </w:pPr>
      <w:r>
        <w:rPr>
          <w:rFonts w:ascii="Arial" w:cs="Arial" w:eastAsia="Arial" w:hAnsi="Arial"/>
          <w:sz w:val="15"/>
          <w:szCs w:val="15"/>
          <w:color w:val="auto"/>
        </w:rPr>
        <w:t>As of September 30, 2021, we had $98.8 million in cash and cash equivalents and our net assets totaled $447.5 million. We believe that our current cash and cash equivalents on hand, our Credit Facility, our continued access to SBA-guaranteed debentures, and our anticipated cash flows from investments will provide adequate capital resources with which to operate and finance our investment business and make distributions to our stockholders for at least the next 12 months. We intend to generate additional cash primarily from the future offerings of securities (including the “at-the-market” program) and future borrowings, as well as cash flows from operations, including income earned from investments in our portfolio companies. On both a short-term and long-term basis, our primary use of funds will be investments in portfolio companies and cash distributions to our stockholders. During the nine months ended September 30, 2021, we repaid $63.5 million of SBA debentures which would have matured during the period September 1, 2025 through March 1, 2028. Our remaining outstanding SBA debentures continue to mature in 2025 and subsequent years through 2031, which will require repayment on or before the respective maturity dates.</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Cash Flows</w:t>
      </w:r>
    </w:p>
    <w:p>
      <w:pPr>
        <w:spacing w:after="0" w:line="223" w:lineRule="exact"/>
        <w:rPr>
          <w:sz w:val="20"/>
          <w:szCs w:val="20"/>
          <w:color w:val="auto"/>
        </w:rPr>
      </w:pPr>
    </w:p>
    <w:p>
      <w:pPr>
        <w:jc w:val="both"/>
        <w:ind w:firstLine="480"/>
        <w:spacing w:after="0" w:line="269" w:lineRule="auto"/>
        <w:rPr>
          <w:sz w:val="20"/>
          <w:szCs w:val="20"/>
          <w:color w:val="auto"/>
        </w:rPr>
      </w:pPr>
      <w:r>
        <w:rPr>
          <w:rFonts w:ascii="Arial" w:cs="Arial" w:eastAsia="Arial" w:hAnsi="Arial"/>
          <w:sz w:val="17"/>
          <w:szCs w:val="17"/>
          <w:color w:val="auto"/>
        </w:rPr>
        <w:t>For the nine months ended September 30, 2021, we experienced a net decrease in cash and cash equivalents in the amount of $25.5 million. During that period, we received proceeds of $98.9 million of cash for operating activities, which included proceeds received from sales and repayments of investments of $319.0 million, which were partially offset by the funding of $245.5 million of investments. During the same period, we received proceeds of $17.7 million on our secured borrowings, made repayments on outstanding unsecured notes of $100.0 million, made repayments of SBA debentures of $63.5 million; which were partially offset by proceeds from the issuances of SBA debentures of $11.5 million, paid cash dividends paid to stockholders of $29.1 million, and made payment of deferred financing costs related to our debt financings of $1.0 million.</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Capital Resources</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We anticipate that we will continue to fund our investment activities on a long-term basis through a combination of additional debt and equity capital.</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SBA debentures</w:t>
      </w:r>
    </w:p>
    <w:p>
      <w:pPr>
        <w:spacing w:after="0" w:line="172" w:lineRule="exact"/>
        <w:rPr>
          <w:sz w:val="20"/>
          <w:szCs w:val="20"/>
          <w:color w:val="auto"/>
        </w:rPr>
      </w:pPr>
    </w:p>
    <w:p>
      <w:pPr>
        <w:jc w:val="both"/>
        <w:ind w:firstLine="469"/>
        <w:spacing w:after="0" w:line="286" w:lineRule="auto"/>
        <w:rPr>
          <w:sz w:val="20"/>
          <w:szCs w:val="20"/>
          <w:color w:val="auto"/>
        </w:rPr>
      </w:pPr>
      <w:r>
        <w:rPr>
          <w:rFonts w:ascii="Arial" w:cs="Arial" w:eastAsia="Arial" w:hAnsi="Arial"/>
          <w:sz w:val="16"/>
          <w:szCs w:val="16"/>
          <w:color w:val="auto"/>
        </w:rPr>
        <w:t>The Funds are licensed SBICs, and have the ability to issue debentures guaranteed by the SBA at favorable interest rates. Under the Small Business Investment Act and the SBA rules applicable to SBICs, an SBIC can have outstanding at any time debentures guaranteed by the SBA in an amount up to twice its regulatory capital. The SBA regulations currently limit the amount that is available to be borrowed by any SBIC and guaranteed by the SBA to 300.0% of an SBIC’s regulatory capital or $175.0 million, whichever is less. For two or more SBICs under common control, the maximum amount of outstanding SBA debentures cannot exceed $350.0 million. SBA debentures have fixed interest rates that approximate prevailing 10-year Treasury Note rates plus a spread and have a maturity of ten years with interest payable semi-annually. The principal amount of the SBA debentures is not required to be paid before maturity but may be pre-paid at any time. As of September 30, 2021, Fund II and Fund III had $70.0 million and $25.0 million of outstanding SBA debentures, respectively. Subject to SBA regulatory requirements and approval, Fund III may access up to $150.0 million of additional SBA debentures under the SBIC debenture program. For more information on the SBA debentures, please refer to Note 6 to our consolidated financial statements.</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Credit Facility</w:t>
      </w:r>
    </w:p>
    <w:p>
      <w:pPr>
        <w:spacing w:after="0" w:line="172" w:lineRule="exact"/>
        <w:rPr>
          <w:sz w:val="20"/>
          <w:szCs w:val="20"/>
          <w:color w:val="auto"/>
        </w:rPr>
      </w:pPr>
    </w:p>
    <w:p>
      <w:pPr>
        <w:jc w:val="both"/>
        <w:ind w:firstLine="469"/>
        <w:spacing w:after="0" w:line="264" w:lineRule="auto"/>
        <w:rPr>
          <w:sz w:val="20"/>
          <w:szCs w:val="20"/>
          <w:color w:val="auto"/>
        </w:rPr>
      </w:pPr>
      <w:r>
        <w:rPr>
          <w:rFonts w:ascii="Arial" w:cs="Arial" w:eastAsia="Arial" w:hAnsi="Arial"/>
          <w:sz w:val="17"/>
          <w:szCs w:val="17"/>
          <w:color w:val="auto"/>
        </w:rPr>
        <w:t>In June 2014, we entered into a senior secured revolving credit agreement (the "Credit Agreement" and the senior secured revolving credit facility) to provide additional funding for our investment and operational activities. On April 24, 2019, we entered into the Amended Credit Agreement, which amends, restates, and replaces the Credit Agreement. On June 26, 2020, the Company amended the Amended Credit Agreement, but the material terms were unchanged. Among other revisions, the amendment to the Amended Credit Agreement modifies certain covenants therein, including to amend the minimum consolidated interest coverage ratio to be 2.25 to 1.00 for the four quarter period ending on June 30, 2020, 2.00 to 1.00 for the four quarter periods ending on each of September 30, 2020 and December 31, 2020, and 1.75 to 1.00 for each four quarter period ending at the end of each quarter thereafter. The Credit Facility is secured by substantially all of our assets, excluding the assets of the Funds.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723" w:right="339" w:bottom="1440" w:gutter="0" w:footer="0" w:header="0"/>
        </w:sectPr>
      </w:pPr>
    </w:p>
    <w:bookmarkStart w:id="50" w:name="page51"/>
    <w:bookmarkEnd w:id="50"/>
    <w:p>
      <w:pPr>
        <w:jc w:val="both"/>
        <w:ind w:firstLine="469"/>
        <w:spacing w:after="0" w:line="299" w:lineRule="auto"/>
        <w:rPr>
          <w:sz w:val="20"/>
          <w:szCs w:val="20"/>
          <w:color w:val="auto"/>
        </w:rPr>
      </w:pPr>
      <w:r>
        <w:rPr>
          <w:rFonts w:ascii="Arial" w:cs="Arial" w:eastAsia="Arial" w:hAnsi="Arial"/>
          <w:sz w:val="15"/>
          <w:szCs w:val="15"/>
          <w:color w:val="auto"/>
        </w:rPr>
        <w:t>Under the Amended Credit Agreement, (i) revolving commitments by lenders were increased from $90.0 million to $100.0 million, with an accordion feature that allows for an increase in total commitments up to $250.0 million, subject to satisfaction of certain conditions at the time of any such future increase, (ii) the maturity date of the Credit Facility was extended from June 16, 2019 to April 24, 2023, and (iii) borrowings under the Credit Facility bear interest, at our election, at a rate per annum equal to (a) 3.00% (or 2.75% if certain conditions are satisfied, including if (x) no equity interests are included in the borrowing base, (y) the contribution to the borrowing base of eligible portfolio investments that are performing first lien bank loans is greater than or equal to 35%, and (z) the contribution to the borrowing base of eligible portfolio investments that are performing first lien bank loans, performing last out loans, or performing second lien loans is greater than or equal to 60%) plus the one, two, three or six month LIBOR rate, as applicable, or (b) 2.00% (or 1.75% if the above conditions are satisfied) plus the highest of</w:t>
      </w:r>
    </w:p>
    <w:p>
      <w:pPr>
        <w:spacing w:after="0" w:line="4" w:lineRule="exact"/>
        <w:rPr>
          <w:sz w:val="20"/>
          <w:szCs w:val="20"/>
          <w:color w:val="auto"/>
        </w:rPr>
      </w:pPr>
    </w:p>
    <w:p>
      <w:pPr>
        <w:jc w:val="both"/>
        <w:ind w:firstLine="1"/>
        <w:spacing w:after="0" w:line="291" w:lineRule="auto"/>
        <w:tabs>
          <w:tab w:leader="none" w:pos="2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prime rate, (B) the Federal Funds rate plus 0.5%, (C) three month LIBOR plus 1.0%, and (D) zero. We pay a commitment fee that varies depending on the size of the unused portion of the Credit Facility: 3.00% per annum on the unused portion of the Credit Facility at or below 35% of the commitments and 0.50% per annum on any remaining unused portion of the Credit Facility between the total commitments and the 35% minimum utilization. The Amended Credit Agreement also modifies certain covenants in the Credit Facility, including to provide for a minimum asset coverage ratio of 2.00 to 1 (on a regulatory basis). The Credit Facility is secured by a first priority security interest in all of our assets, excluding the assets of our SBIC subsidiaries.</w:t>
      </w:r>
    </w:p>
    <w:p>
      <w:pPr>
        <w:spacing w:after="0" w:line="114" w:lineRule="exact"/>
        <w:rPr>
          <w:sz w:val="20"/>
          <w:szCs w:val="20"/>
          <w:color w:val="auto"/>
        </w:rPr>
      </w:pPr>
    </w:p>
    <w:p>
      <w:pPr>
        <w:jc w:val="both"/>
        <w:ind w:firstLine="469"/>
        <w:spacing w:after="0" w:line="272" w:lineRule="auto"/>
        <w:rPr>
          <w:sz w:val="20"/>
          <w:szCs w:val="20"/>
          <w:color w:val="auto"/>
        </w:rPr>
      </w:pPr>
      <w:r>
        <w:rPr>
          <w:rFonts w:ascii="Arial" w:cs="Arial" w:eastAsia="Arial" w:hAnsi="Arial"/>
          <w:sz w:val="17"/>
          <w:szCs w:val="17"/>
          <w:color w:val="auto"/>
        </w:rPr>
        <w:t>Amounts available to borrow under the Credit Facility are subject to a minimum borrowing/collateral base that applies an advance rate to certain investments held by us, excluding investments held by the Funds. We are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pacing w:after="0" w:line="128" w:lineRule="exact"/>
        <w:rPr>
          <w:sz w:val="20"/>
          <w:szCs w:val="20"/>
          <w:color w:val="auto"/>
        </w:rPr>
      </w:pPr>
    </w:p>
    <w:p>
      <w:pPr>
        <w:jc w:val="both"/>
        <w:ind w:firstLine="469"/>
        <w:spacing w:after="0" w:line="276" w:lineRule="auto"/>
        <w:rPr>
          <w:sz w:val="20"/>
          <w:szCs w:val="20"/>
          <w:color w:val="auto"/>
        </w:rPr>
      </w:pPr>
      <w:r>
        <w:rPr>
          <w:rFonts w:ascii="Arial" w:cs="Arial" w:eastAsia="Arial" w:hAnsi="Arial"/>
          <w:sz w:val="17"/>
          <w:szCs w:val="17"/>
          <w:color w:val="auto"/>
        </w:rPr>
        <w:t>We have made customary representations and warranties and are required to comply with various covenants, reporting requirements and other customary requirements for similar credit facilities. These covenants are subject to important limitations and exceptions that are described in the documents governing the Credit Facility. As of September 30, 2021, we were in compliance with all covenants of the Credit Facility.</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Notes</w:t>
      </w:r>
    </w:p>
    <w:p>
      <w:pPr>
        <w:spacing w:after="0" w:line="172" w:lineRule="exact"/>
        <w:rPr>
          <w:sz w:val="20"/>
          <w:szCs w:val="20"/>
          <w:color w:val="auto"/>
        </w:rPr>
      </w:pPr>
    </w:p>
    <w:p>
      <w:pPr>
        <w:jc w:val="both"/>
        <w:ind w:firstLine="469"/>
        <w:spacing w:after="0" w:line="311" w:lineRule="auto"/>
        <w:rPr>
          <w:sz w:val="20"/>
          <w:szCs w:val="20"/>
          <w:color w:val="auto"/>
        </w:rPr>
      </w:pPr>
      <w:r>
        <w:rPr>
          <w:rFonts w:ascii="Arial" w:cs="Arial" w:eastAsia="Arial" w:hAnsi="Arial"/>
          <w:sz w:val="15"/>
          <w:szCs w:val="15"/>
          <w:color w:val="auto"/>
        </w:rPr>
        <w:t>On February 2, 2018, we closed the public offering of approximately $43.5 million in aggregate principal amount of our 5.875% notes due 2023, or the “2023 Notes.” On February 22, 2018, the underwriters exercised their option to purchase an additional $6.5 million in aggregate principal of the 2023 Notes. The total net proceeds to us from the 2023 Notes, including the exercise of the underwriters’ option, after deducting underwriting discounts of approximately $1.5 million and offering expenses of $0.4 million, were approximately $48.1 million. The 2023 Notes will mature on February 1, 2023 and bear interest at a rate of 5.875%. The 2023 Notes may be redeemed in whole or in part at any time or from time to time at our option on or after February 1, 2020. On January 19, 2021, we redeemed $50.0 million in aggregate principal amount on the issued and outstanding 2023 Notes, resulting in a realized loss on extinguishment of debt of approximately $0.8 million.</w:t>
      </w:r>
    </w:p>
    <w:p>
      <w:pPr>
        <w:spacing w:after="0" w:line="104" w:lineRule="exact"/>
        <w:rPr>
          <w:sz w:val="20"/>
          <w:szCs w:val="20"/>
          <w:color w:val="auto"/>
        </w:rPr>
      </w:pPr>
    </w:p>
    <w:p>
      <w:pPr>
        <w:jc w:val="both"/>
        <w:ind w:firstLine="469"/>
        <w:spacing w:after="0" w:line="286" w:lineRule="auto"/>
        <w:rPr>
          <w:sz w:val="20"/>
          <w:szCs w:val="20"/>
          <w:color w:val="auto"/>
        </w:rPr>
      </w:pPr>
      <w:r>
        <w:rPr>
          <w:rFonts w:ascii="Arial" w:cs="Arial" w:eastAsia="Arial" w:hAnsi="Arial"/>
          <w:sz w:val="16"/>
          <w:szCs w:val="16"/>
          <w:color w:val="auto"/>
        </w:rPr>
        <w:t>On February 8, 2019, we closed the public offering of approximately $60.0 million in aggregate principal amount of our 6.000% notes due 2024, or the “February 2024 Notes”. On February 19, 2019, the underwriters exercised their option to purchase an additional $9.0 million in aggregate principal of the February 2024 Notes. The total net proceeds to us from the February 2024 Notes, including the exercise of the underwriters’ option, after deducting underwriting discounts of approximately $2.1 million and estimated offering expenses of $0.4 million, were approximately $66.5 million. The February 2024 Notes will mature on February 15, 2024 and bear interest at a rate of 6.000%. The February 2024 Notes may be redeemed in whole or in part at any time or from time to time at our option on or after February 15, 2021. Interest on the February 2024 Notes is payable quarterly on February 15, May 15, August 15 and November 15 of each year. The February 2024 Notes are listed on the NASDAQ Global Select Market under the trading symbol “FDUSZ.” On February 16, 2021, we redeemed $50.0 million of the $69.0 million aggregate principal amount on the February 2024 Notes, resulting in a realized loss on extinguishment of debt of approximately $1.1 million. As of September 30, 2021, the outstanding principal balance of the February 2024 Notes was $19.0 million.</w:t>
      </w:r>
    </w:p>
    <w:p>
      <w:pPr>
        <w:spacing w:after="0" w:line="119" w:lineRule="exact"/>
        <w:rPr>
          <w:sz w:val="20"/>
          <w:szCs w:val="20"/>
          <w:color w:val="auto"/>
        </w:rPr>
      </w:pPr>
    </w:p>
    <w:p>
      <w:pPr>
        <w:jc w:val="both"/>
        <w:ind w:firstLine="469"/>
        <w:spacing w:after="0" w:line="299" w:lineRule="auto"/>
        <w:rPr>
          <w:sz w:val="20"/>
          <w:szCs w:val="20"/>
          <w:color w:val="auto"/>
        </w:rPr>
      </w:pPr>
      <w:r>
        <w:rPr>
          <w:rFonts w:ascii="Arial" w:cs="Arial" w:eastAsia="Arial" w:hAnsi="Arial"/>
          <w:sz w:val="15"/>
          <w:szCs w:val="15"/>
          <w:color w:val="auto"/>
        </w:rPr>
        <w:t>On October 16, 2019, we closed the public offering of approximately $55.0 million in aggregate principal amount of our 5.375% notes due 2024, or the “November 2024 Notes” (and collectively with the 2023 Notes and the February 2024 Notes, the “Public Notes”). On October 23, 2019, the underwriters exercised their option to purchase an additional $8.3 million in aggregate principal of the November 2024 Notes. The total net proceeds to us from the November 2024 Notes, including the exercise of the underwriters’ option, after deducting underwriting discounts of approximately $1.9 million and estimated offering expenses of $0.3 million, were approximately $61.1 million. The November 2024 Notes will mature on November 1, 2024 and bear interest at a rate of 5.375%. The November 2024 Notes may be redeemed in whole or in part at any time or from time to time at our option on or after November 1, 2021. Interest on the November 2024 Notes is payable quarterly on February 1, May 1, August 1 and November 1 of each year. The November 2024 Notes are listed on the NASDAQ Global Select Market under the trading symbol “FDUSG.” As of September 30, 2021, the outstanding principal balance of the November 2024 Notes was approximately $63.3 million.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07" w:right="339" w:bottom="1440" w:gutter="0" w:footer="0" w:header="0"/>
        </w:sectPr>
      </w:pPr>
    </w:p>
    <w:bookmarkStart w:id="51" w:name="page52"/>
    <w:bookmarkEnd w:id="51"/>
    <w:p>
      <w:pPr>
        <w:jc w:val="both"/>
        <w:ind w:firstLine="510"/>
        <w:spacing w:after="0" w:line="268" w:lineRule="auto"/>
        <w:rPr>
          <w:sz w:val="20"/>
          <w:szCs w:val="20"/>
          <w:color w:val="auto"/>
        </w:rPr>
      </w:pPr>
      <w:r>
        <w:rPr>
          <w:rFonts w:ascii="Arial" w:cs="Arial" w:eastAsia="Arial" w:hAnsi="Arial"/>
          <w:sz w:val="17"/>
          <w:szCs w:val="17"/>
          <w:color w:val="auto"/>
        </w:rPr>
        <w:t>On December 23, 2020, we closed the offering of approximately $125.0 million in aggregate principal amount of our 4.75% notes due 2026, or the “2026 Notes” (collectively with the Public Notes, the “Notes”). The total net proceeds to us from the 2026 Notes after deducting underwriting discounts of $2.5 million and estimated offering expenses of $0.4 million, were approximately $122.1 million. The 2026 Notes will mature on January 31, 2026 and bear interest at a rate of 4.75%. The 2026 Notes may be redeemed in whole or in part at any time or from time to time at our option subject to a make whole provision if redeemed more than three months prior to maturity or at par thereafter. Interest on the 2026 Notes is payable on January 31 and July 31 of each year. We do not intend to list the 2026 Notes on any securities exchange or automated dealer quotation system. As of September 30, 2021, the outstanding principal balance of the 2026 Notes was approximately $125.0 million.</w:t>
      </w:r>
    </w:p>
    <w:p>
      <w:pPr>
        <w:spacing w:after="0" w:line="133" w:lineRule="exact"/>
        <w:rPr>
          <w:sz w:val="20"/>
          <w:szCs w:val="20"/>
          <w:color w:val="auto"/>
        </w:rPr>
      </w:pPr>
    </w:p>
    <w:p>
      <w:pPr>
        <w:jc w:val="both"/>
        <w:ind w:firstLine="469"/>
        <w:spacing w:after="0" w:line="272" w:lineRule="auto"/>
        <w:rPr>
          <w:sz w:val="20"/>
          <w:szCs w:val="20"/>
          <w:color w:val="auto"/>
        </w:rPr>
      </w:pPr>
      <w:r>
        <w:rPr>
          <w:rFonts w:ascii="Arial" w:cs="Arial" w:eastAsia="Arial" w:hAnsi="Arial"/>
          <w:sz w:val="17"/>
          <w:szCs w:val="17"/>
          <w:color w:val="auto"/>
        </w:rPr>
        <w:t>Each of the Notes are unsecured obligations and rank pari passu with our existing and future unsecured indebtedness; effectively subordinated to all of our existing and future secured indebtedness; and structurally subordinated to all existing and future indebtedness and other obligations of any of our subsidiaries, financing vehicles, or similar facilities we may form in the future, with respect to claims on the assets of any such subsidiaries, financing vehicles, or similar facilities.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Secured Borrowing</w:t>
      </w:r>
    </w:p>
    <w:p>
      <w:pPr>
        <w:spacing w:after="0" w:line="172" w:lineRule="exact"/>
        <w:rPr>
          <w:sz w:val="20"/>
          <w:szCs w:val="20"/>
          <w:color w:val="auto"/>
        </w:rPr>
      </w:pPr>
    </w:p>
    <w:p>
      <w:pPr>
        <w:jc w:val="both"/>
        <w:ind w:firstLine="462"/>
        <w:spacing w:after="0" w:line="319" w:lineRule="auto"/>
        <w:rPr>
          <w:sz w:val="20"/>
          <w:szCs w:val="20"/>
          <w:color w:val="auto"/>
        </w:rPr>
      </w:pPr>
      <w:r>
        <w:rPr>
          <w:rFonts w:ascii="Arial" w:cs="Arial" w:eastAsia="Arial" w:hAnsi="Arial"/>
          <w:sz w:val="15"/>
          <w:szCs w:val="15"/>
          <w:color w:val="auto"/>
        </w:rPr>
        <w:t>As of September 30, 2021, secured borrowings at fair value totaled $17.7 million and the fair value of the associated loans included in investments was $17.7 million. As of December 31, 2020, there were no secured borrowings outstanding. These secured borrowings were created as a result of our completion of partial loan sales of certain unitranche loan assets that did not meet the definition of a “participating interest.” As a result, sale treatment was not permitted and these partial loan sales were treated as secured borrowings. The weighted average interest rate on our secured borrowings was approximately 4.4% as of September 30, 2021.</w:t>
      </w:r>
    </w:p>
    <w:p>
      <w:pPr>
        <w:spacing w:after="0" w:line="97" w:lineRule="exact"/>
        <w:rPr>
          <w:sz w:val="20"/>
          <w:szCs w:val="20"/>
          <w:color w:val="auto"/>
        </w:rPr>
      </w:pPr>
    </w:p>
    <w:p>
      <w:pPr>
        <w:jc w:val="both"/>
        <w:ind w:firstLine="469"/>
        <w:spacing w:after="0" w:line="301" w:lineRule="auto"/>
        <w:rPr>
          <w:sz w:val="20"/>
          <w:szCs w:val="20"/>
          <w:color w:val="auto"/>
        </w:rPr>
      </w:pPr>
      <w:r>
        <w:rPr>
          <w:rFonts w:ascii="Arial" w:cs="Arial" w:eastAsia="Arial" w:hAnsi="Arial"/>
          <w:sz w:val="16"/>
          <w:szCs w:val="16"/>
          <w:color w:val="auto"/>
        </w:rPr>
        <w:t>As of September 30, 2021, the weighted average stated interest rates for our SBA debentures, Secured Borrowings, Notes, and the Credit Facility were 2.899%, 4.392%, 5.055%, and 3.125% respectively. As of September 30, 2021, we had $60.0 million of unutilized commitment under our Credit Facility, and we were subject to a 0.500% fee on such amount. As of September 30, 2021, the weighted average stated interest rate on total debt outstanding was 4.239%.</w:t>
      </w:r>
    </w:p>
    <w:p>
      <w:pPr>
        <w:spacing w:after="0" w:line="106" w:lineRule="exact"/>
        <w:rPr>
          <w:sz w:val="20"/>
          <w:szCs w:val="20"/>
          <w:color w:val="auto"/>
        </w:rPr>
      </w:pPr>
    </w:p>
    <w:p>
      <w:pPr>
        <w:jc w:val="both"/>
        <w:ind w:firstLine="469"/>
        <w:spacing w:after="0" w:line="268" w:lineRule="auto"/>
        <w:rPr>
          <w:sz w:val="20"/>
          <w:szCs w:val="20"/>
          <w:color w:val="auto"/>
        </w:rPr>
      </w:pPr>
      <w:r>
        <w:rPr>
          <w:rFonts w:ascii="Arial" w:cs="Arial" w:eastAsia="Arial" w:hAnsi="Arial"/>
          <w:sz w:val="17"/>
          <w:szCs w:val="17"/>
          <w:color w:val="auto"/>
        </w:rPr>
        <w:t>As a BDC, we are generally required to meet an asset coverage ratio of at least 150.0% (defined as the ratio which the value of our consolidated total assets, less all consolidated liabilities and indebtedness not represented by senior securities, bears to the aggregate amount of senior securities representing indebtedness), which includes borrowings and any preferred stock we may issue in the future. This requirement limits the amount that we may borrow. On April 29, 2019, our Board, including a majority of the non-interested directors, approved a minimum asset coverage ratio of 150% under Sections 18(a)(1) and 18(a)(2) of the 1940 Act. As a result, we are subject to the 150% asset coverage ratio effective as of April 29, 2020. We have received exemptive relief from the SEC to allow us to exclude any indebtedness guaranteed by the SBA and issued by the Funds from the 150.0% asset coverage requirements, which, in turn, will enable us to fund more investments with debt capital.</w:t>
      </w:r>
    </w:p>
    <w:p>
      <w:pPr>
        <w:spacing w:after="0" w:line="133" w:lineRule="exact"/>
        <w:rPr>
          <w:sz w:val="20"/>
          <w:szCs w:val="20"/>
          <w:color w:val="auto"/>
        </w:rPr>
      </w:pPr>
    </w:p>
    <w:p>
      <w:pPr>
        <w:jc w:val="both"/>
        <w:ind w:firstLine="478"/>
        <w:spacing w:after="0" w:line="309" w:lineRule="auto"/>
        <w:rPr>
          <w:sz w:val="20"/>
          <w:szCs w:val="20"/>
          <w:color w:val="auto"/>
        </w:rPr>
      </w:pPr>
      <w:r>
        <w:rPr>
          <w:rFonts w:ascii="Arial" w:cs="Arial" w:eastAsia="Arial" w:hAnsi="Arial"/>
          <w:sz w:val="15"/>
          <w:szCs w:val="15"/>
          <w:color w:val="auto"/>
        </w:rPr>
        <w:t>As a BDC, we are generally not permitted to issue and sell our common stock at a price below net asset value per share. We may, however, sell our common stock, or warrants, options or rights to acquire our common stock, at a price below the then-current net asset value per share of our common stock if the Board, including the Independent Directors, determines that such sale is in the best interests of us and our stockholders, and if our stockholders approve such sale. On July 14, 2021, our stockholders voted to allow us to sell or otherwise issue common stock at a price below net asset value per share for a period of one year ending on the earlier of June 14, 2022 or the date of our 2022 Annual Meeting of Stockholders. We expect to present to our stockholders a similar proposal at our 2022 Annual Meeting of Stockholders. Our stockholders specified that the cumulative number of shares sold in each offering during the one-year period ending on the earlier of June 14, 2022 or the date of our 2022 Annual Meeting of Stockholders may not exceed 25.0% of our outstanding common stock immediately prior to each such sale.</w:t>
      </w:r>
    </w:p>
    <w:p>
      <w:pPr>
        <w:spacing w:after="0" w:line="106"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Stock Repurchase Program</w:t>
      </w:r>
    </w:p>
    <w:p>
      <w:pPr>
        <w:spacing w:after="0" w:line="172" w:lineRule="exact"/>
        <w:rPr>
          <w:sz w:val="20"/>
          <w:szCs w:val="20"/>
          <w:color w:val="auto"/>
        </w:rPr>
      </w:pPr>
    </w:p>
    <w:p>
      <w:pPr>
        <w:jc w:val="both"/>
        <w:ind w:firstLine="478"/>
        <w:spacing w:after="0" w:line="299" w:lineRule="auto"/>
        <w:rPr>
          <w:sz w:val="20"/>
          <w:szCs w:val="20"/>
          <w:color w:val="auto"/>
        </w:rPr>
      </w:pPr>
      <w:r>
        <w:rPr>
          <w:rFonts w:ascii="Arial" w:cs="Arial" w:eastAsia="Arial" w:hAnsi="Arial"/>
          <w:sz w:val="15"/>
          <w:szCs w:val="15"/>
          <w:color w:val="auto"/>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November 1, 2021, the Board extended the Stock Repurchase Program through December 31, 2022,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 We did not make any repurchases of common stock during the three and nine months ended September 30, 2021. During the three and nine months ended September 30, 2020, we repurchased zero and 25,719 shares 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52" w:name="page53"/>
    <w:bookmarkEnd w:id="52"/>
    <w:p>
      <w:pPr>
        <w:jc w:val="both"/>
        <w:spacing w:after="0" w:line="288" w:lineRule="auto"/>
        <w:rPr>
          <w:sz w:val="20"/>
          <w:szCs w:val="20"/>
          <w:color w:val="auto"/>
        </w:rPr>
      </w:pPr>
      <w:r>
        <w:rPr>
          <w:rFonts w:ascii="Arial" w:cs="Arial" w:eastAsia="Arial" w:hAnsi="Arial"/>
          <w:sz w:val="17"/>
          <w:szCs w:val="17"/>
          <w:color w:val="auto"/>
        </w:rPr>
        <w:t>common stock on the open market for zero and $0.3 million, respectively. Refer to Note 8 to our consolidated financial statements for additional information concerning stock repurchases.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Use of Estimates</w:t>
      </w:r>
    </w:p>
    <w:p>
      <w:pPr>
        <w:spacing w:after="0" w:line="176" w:lineRule="exact"/>
        <w:rPr>
          <w:sz w:val="20"/>
          <w:szCs w:val="20"/>
          <w:color w:val="auto"/>
        </w:rPr>
      </w:pPr>
    </w:p>
    <w:p>
      <w:pPr>
        <w:jc w:val="both"/>
        <w:ind w:firstLine="478"/>
        <w:spacing w:after="0" w:line="314" w:lineRule="auto"/>
        <w:rPr>
          <w:sz w:val="20"/>
          <w:szCs w:val="20"/>
          <w:color w:val="auto"/>
        </w:rPr>
      </w:pPr>
      <w:r>
        <w:rPr>
          <w:rFonts w:ascii="Arial" w:cs="Arial" w:eastAsia="Arial" w:hAnsi="Arial"/>
          <w:sz w:val="15"/>
          <w:szCs w:val="15"/>
          <w:color w:val="auto"/>
        </w:rPr>
        <w:t>The preparation of financial statements in accordance with GAAP requires management to make certain estimates and assumptions affecting amounts reported in the financial statements. We have identified investment valuation, revenue recognition and transfers of financial assets as our most critical accounting policies and estimates. We continuously evaluate our policies and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follows.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of Portfolio Investments</w:t>
      </w:r>
    </w:p>
    <w:p>
      <w:pPr>
        <w:spacing w:after="0" w:line="172" w:lineRule="exact"/>
        <w:rPr>
          <w:sz w:val="20"/>
          <w:szCs w:val="20"/>
          <w:color w:val="auto"/>
        </w:rPr>
      </w:pPr>
    </w:p>
    <w:p>
      <w:pPr>
        <w:jc w:val="both"/>
        <w:ind w:firstLine="478"/>
        <w:spacing w:after="0" w:line="288" w:lineRule="auto"/>
        <w:rPr>
          <w:sz w:val="20"/>
          <w:szCs w:val="20"/>
          <w:color w:val="auto"/>
        </w:rPr>
      </w:pPr>
      <w:r>
        <w:rPr>
          <w:rFonts w:ascii="Arial" w:cs="Arial" w:eastAsia="Arial" w:hAnsi="Arial"/>
          <w:sz w:val="17"/>
          <w:szCs w:val="17"/>
          <w:color w:val="auto"/>
        </w:rPr>
        <w:t>As a BDC, we report our assets and liabilities at fair value at all times consistent with GAAP and the 1940 Act. Accordingly, we are required to periodically determine the fair value of all of our portfolio investments.</w:t>
      </w:r>
    </w:p>
    <w:p>
      <w:pPr>
        <w:spacing w:after="0" w:line="114" w:lineRule="exact"/>
        <w:rPr>
          <w:sz w:val="20"/>
          <w:szCs w:val="20"/>
          <w:color w:val="auto"/>
        </w:rPr>
      </w:pPr>
    </w:p>
    <w:p>
      <w:pPr>
        <w:jc w:val="both"/>
        <w:ind w:firstLine="478"/>
        <w:spacing w:after="0" w:line="269" w:lineRule="auto"/>
        <w:rPr>
          <w:sz w:val="20"/>
          <w:szCs w:val="20"/>
          <w:color w:val="auto"/>
        </w:rPr>
      </w:pPr>
      <w:r>
        <w:rPr>
          <w:rFonts w:ascii="Arial" w:cs="Arial" w:eastAsia="Arial" w:hAnsi="Arial"/>
          <w:sz w:val="17"/>
          <w:szCs w:val="17"/>
          <w:color w:val="auto"/>
        </w:rPr>
        <w:t>Our investments generally consist of illiquid securities including debt and equity investments in lower middle-market companies. Investments for which market quotations are readily available are valued at such market quotations. Because we expect that there will not be a readily available market for substantially all of the investments in our portfolio, we value substantially all of our portfolio investments at fair value as determined in good faith by the Board using a documented valuation policy and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 could be material.</w:t>
      </w:r>
    </w:p>
    <w:p>
      <w:pPr>
        <w:spacing w:after="0" w:line="131" w:lineRule="exact"/>
        <w:rPr>
          <w:sz w:val="20"/>
          <w:szCs w:val="20"/>
          <w:color w:val="auto"/>
        </w:rPr>
      </w:pPr>
    </w:p>
    <w:p>
      <w:pPr>
        <w:jc w:val="both"/>
        <w:ind w:firstLine="478"/>
        <w:spacing w:after="0" w:line="288" w:lineRule="auto"/>
        <w:rPr>
          <w:sz w:val="20"/>
          <w:szCs w:val="20"/>
          <w:color w:val="auto"/>
        </w:rPr>
      </w:pPr>
      <w:r>
        <w:rPr>
          <w:rFonts w:ascii="Arial" w:cs="Arial" w:eastAsia="Arial" w:hAnsi="Arial"/>
          <w:sz w:val="17"/>
          <w:szCs w:val="17"/>
          <w:color w:val="auto"/>
        </w:rPr>
        <w:t>With respect to investments for which market quotations are not readily available, the Board undertakes a multi-step valuation process each quarter, as described below:</w:t>
      </w:r>
    </w:p>
    <w:p>
      <w:pPr>
        <w:spacing w:after="0" w:line="114" w:lineRule="exact"/>
        <w:rPr>
          <w:sz w:val="20"/>
          <w:szCs w:val="20"/>
          <w:color w:val="auto"/>
        </w:rPr>
      </w:pPr>
    </w:p>
    <w:p>
      <w:pPr>
        <w:ind w:left="920" w:right="80"/>
        <w:spacing w:after="0" w:line="264" w:lineRule="auto"/>
        <w:rPr>
          <w:sz w:val="20"/>
          <w:szCs w:val="20"/>
          <w:color w:val="auto"/>
        </w:rPr>
      </w:pPr>
      <w:r>
        <w:rPr>
          <w:rFonts w:ascii="Arial" w:cs="Arial" w:eastAsia="Arial" w:hAnsi="Arial"/>
          <w:sz w:val="17"/>
          <w:szCs w:val="17"/>
          <w:color w:val="auto"/>
        </w:rPr>
        <w:t>our quarterly valuation process begins with each portfolio company or investment being initially evaluated and rated by the investment professionals of the Investment Advisor responsible for the portfolio investment;</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preliminary valuation conclusions are then documented and discussed with the investment committee of the Investment Advisor;</w:t>
      </w:r>
    </w:p>
    <w:p>
      <w:pPr>
        <w:spacing w:after="0" w:line="20" w:lineRule="exact"/>
        <w:rPr>
          <w:sz w:val="20"/>
          <w:szCs w:val="20"/>
          <w:color w:val="auto"/>
        </w:rPr>
      </w:pPr>
    </w:p>
    <w:p>
      <w:pPr>
        <w:ind w:left="920" w:right="160"/>
        <w:spacing w:after="0" w:line="299" w:lineRule="auto"/>
        <w:rPr>
          <w:sz w:val="20"/>
          <w:szCs w:val="20"/>
          <w:color w:val="auto"/>
        </w:rPr>
      </w:pPr>
      <w:r>
        <w:rPr>
          <w:rFonts w:ascii="Arial" w:cs="Arial" w:eastAsia="Arial" w:hAnsi="Arial"/>
          <w:sz w:val="15"/>
          <w:szCs w:val="15"/>
          <w:color w:val="auto"/>
        </w:rPr>
        <w:t>the Board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we may determine that it is not cost-effective, and as a result it is not in our stockholders’ best interest, to request the independent appraisal of certain portfolio company investments. Such instances include, but are not limited to, situations where we determine that the fair value of the portfolio company investment is relatively insignificant to the fair value of the total portfolio. The Board consulted with the independent valuation firm(s) in arriving at our determination of fair value for 10 and 12 of our portfolio company investments representing 13.2% and 25.8% of the total portfolio investments at fair value (exclusive of new portfolio company investments made during the three months ended September 30, 2021 and December 31, 2020, respectively) as of September 30, 2021 and December 31, 2020, respectively;</w:t>
      </w:r>
    </w:p>
    <w:p>
      <w:pPr>
        <w:spacing w:after="0" w:line="6" w:lineRule="exact"/>
        <w:rPr>
          <w:sz w:val="20"/>
          <w:szCs w:val="20"/>
          <w:color w:val="auto"/>
        </w:rPr>
      </w:pPr>
    </w:p>
    <w:p>
      <w:pPr>
        <w:ind w:left="920" w:right="200"/>
        <w:spacing w:after="0" w:line="264" w:lineRule="auto"/>
        <w:rPr>
          <w:sz w:val="20"/>
          <w:szCs w:val="20"/>
          <w:color w:val="auto"/>
        </w:rPr>
      </w:pPr>
      <w:r>
        <w:rPr>
          <w:rFonts w:ascii="Arial" w:cs="Arial" w:eastAsia="Arial" w:hAnsi="Arial"/>
          <w:sz w:val="17"/>
          <w:szCs w:val="17"/>
          <w:color w:val="auto"/>
        </w:rPr>
        <w:t>the audit committee of the Board reviews the preliminary valuations of the Investment Advisor and of the independent valuation firm(s) and responds and supplements the valuation recommendations to reflect any comments; and</w:t>
      </w:r>
    </w:p>
    <w:p>
      <w:pPr>
        <w:spacing w:after="0" w:line="1" w:lineRule="exact"/>
        <w:rPr>
          <w:sz w:val="20"/>
          <w:szCs w:val="20"/>
          <w:color w:val="auto"/>
        </w:rPr>
      </w:pPr>
    </w:p>
    <w:p>
      <w:pPr>
        <w:ind w:left="920" w:right="160"/>
        <w:spacing w:after="0" w:line="288" w:lineRule="auto"/>
        <w:rPr>
          <w:sz w:val="20"/>
          <w:szCs w:val="20"/>
          <w:color w:val="auto"/>
        </w:rPr>
      </w:pPr>
      <w:r>
        <w:rPr>
          <w:rFonts w:ascii="Arial" w:cs="Arial" w:eastAsia="Arial" w:hAnsi="Arial"/>
          <w:sz w:val="17"/>
          <w:szCs w:val="17"/>
          <w:color w:val="auto"/>
        </w:rPr>
        <w:t>the Board discusses the valuations and determines the fair value of each investment in our portfolio in good faith, based on the input of the Investment Advisor, the independent valuation firm(s) and the audit committee.</w:t>
      </w:r>
    </w:p>
    <w:p>
      <w:pPr>
        <w:spacing w:after="0" w:line="114" w:lineRule="exact"/>
        <w:rPr>
          <w:sz w:val="20"/>
          <w:szCs w:val="20"/>
          <w:color w:val="auto"/>
        </w:rPr>
      </w:pPr>
    </w:p>
    <w:p>
      <w:pPr>
        <w:jc w:val="both"/>
        <w:ind w:firstLine="478"/>
        <w:spacing w:after="0" w:line="276" w:lineRule="auto"/>
        <w:rPr>
          <w:sz w:val="20"/>
          <w:szCs w:val="20"/>
          <w:color w:val="auto"/>
        </w:rPr>
      </w:pPr>
      <w:r>
        <w:rPr>
          <w:rFonts w:ascii="Arial" w:cs="Arial" w:eastAsia="Arial" w:hAnsi="Arial"/>
          <w:sz w:val="17"/>
          <w:szCs w:val="17"/>
          <w:color w:val="auto"/>
        </w:rPr>
        <w:t>In making the good faith determination of the value of portfolio investments, we start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24" w:lineRule="exact"/>
        <w:rPr>
          <w:sz w:val="20"/>
          <w:szCs w:val="20"/>
          <w:color w:val="auto"/>
        </w:rPr>
      </w:pPr>
    </w:p>
    <w:p>
      <w:pPr>
        <w:jc w:val="both"/>
        <w:ind w:firstLine="478"/>
        <w:spacing w:after="0" w:line="264" w:lineRule="auto"/>
        <w:rPr>
          <w:sz w:val="20"/>
          <w:szCs w:val="20"/>
          <w:color w:val="auto"/>
        </w:rPr>
      </w:pPr>
      <w:r>
        <w:rPr>
          <w:rFonts w:ascii="Arial" w:cs="Arial" w:eastAsia="Arial" w:hAnsi="Arial"/>
          <w:sz w:val="17"/>
          <w:szCs w:val="17"/>
          <w:color w:val="auto"/>
        </w:rPr>
        <w:t>Consistent with the policies and methodologies adopted by the Board, we perform detailed valuations of our debt and equity investments, including an analysis on the Company’s unfunded debt investment commitments, using both the market and income approaches as appropriate. Under the market approach, we typically use the enterprise value methodology to determine the fair value of an investment. There is no one methodology to estimate enterprise value and, in fact, for any one portfolio company, enterprise value is generally best expressed as a range of values, from which we derive a single estimate of enterprise value. Under the income approach, we typically prepare and analyze discounted cash flow models to estimate the present value of future cash flows of either an individual debt investment or of the underlying portfolio company itself.</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07" w:right="339" w:bottom="1440" w:gutter="0" w:footer="0" w:header="0"/>
        </w:sectPr>
      </w:pPr>
    </w:p>
    <w:bookmarkStart w:id="53" w:name="page54"/>
    <w:bookmarkEnd w:id="53"/>
    <w:p>
      <w:pPr>
        <w:jc w:val="both"/>
        <w:ind w:firstLine="478"/>
        <w:spacing w:after="0" w:line="276" w:lineRule="auto"/>
        <w:rPr>
          <w:sz w:val="20"/>
          <w:szCs w:val="20"/>
          <w:color w:val="auto"/>
        </w:rPr>
      </w:pPr>
      <w:r>
        <w:rPr>
          <w:rFonts w:ascii="Arial" w:cs="Arial" w:eastAsia="Arial" w:hAnsi="Arial"/>
          <w:sz w:val="17"/>
          <w:szCs w:val="17"/>
          <w:color w:val="auto"/>
        </w:rPr>
        <w:t>We evaluate investments in portfolio companies using the most recent portfolio company financial statements and forecasts. We also consult with the portfolio company’s senior management to obtain further updates on the portfolio company’s performance, including information such as industry trends, new product development and other operational issues.</w:t>
      </w:r>
    </w:p>
    <w:p>
      <w:pPr>
        <w:spacing w:after="0" w:line="124" w:lineRule="exact"/>
        <w:rPr>
          <w:sz w:val="20"/>
          <w:szCs w:val="20"/>
          <w:color w:val="auto"/>
        </w:rPr>
      </w:pPr>
    </w:p>
    <w:p>
      <w:pPr>
        <w:jc w:val="both"/>
        <w:ind w:firstLine="478"/>
        <w:spacing w:after="0" w:line="284" w:lineRule="auto"/>
        <w:rPr>
          <w:sz w:val="20"/>
          <w:szCs w:val="20"/>
          <w:color w:val="auto"/>
        </w:rPr>
      </w:pPr>
      <w:r>
        <w:rPr>
          <w:rFonts w:ascii="Arial" w:cs="Arial" w:eastAsia="Arial" w:hAnsi="Arial"/>
          <w:sz w:val="16"/>
          <w:szCs w:val="16"/>
          <w:color w:val="auto"/>
        </w:rPr>
        <w:t>For our debt investments the primary valuation technique used to estimate the fair value is the discounted cash flow method. However, if there is deterioration in credit quality or a debt investment is in workout status, we may consider other methods in determining the fair value, including the value attributable to the debt investment from the enterprise value of the portfolio company or the proceeds that would be received in a liquidation analysis. Our discounted cash flow models estimate a range of fair values by applying an appropriate discount rate to the future cash flow streams of our debt investments, based on future interest and principal payments as set forth in the associated debt investment agreements. We prepare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We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We estimate the remaining life of our debt investments to generally be the legal maturity date of the instrument, as we generally intend to hold debt investments to maturity. However, if we have information available to us that the debt investment is expected to be repaid in the near term, we would use an estimated remaining life based on the expected repayment date.</w:t>
      </w:r>
    </w:p>
    <w:p>
      <w:pPr>
        <w:spacing w:after="0" w:line="124" w:lineRule="exact"/>
        <w:rPr>
          <w:sz w:val="20"/>
          <w:szCs w:val="20"/>
          <w:color w:val="auto"/>
        </w:rPr>
      </w:pPr>
    </w:p>
    <w:p>
      <w:pPr>
        <w:jc w:val="both"/>
        <w:ind w:firstLine="478"/>
        <w:spacing w:after="0" w:line="289" w:lineRule="auto"/>
        <w:rPr>
          <w:sz w:val="20"/>
          <w:szCs w:val="20"/>
          <w:color w:val="auto"/>
        </w:rPr>
      </w:pPr>
      <w:r>
        <w:rPr>
          <w:rFonts w:ascii="Arial" w:cs="Arial" w:eastAsia="Arial" w:hAnsi="Arial"/>
          <w:sz w:val="16"/>
          <w:szCs w:val="16"/>
          <w:color w:val="auto"/>
        </w:rPr>
        <w:t>For our equity investments, including equity securities and warrants, we generally use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we analyze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p>
    <w:p>
      <w:pPr>
        <w:spacing w:after="0" w:line="116" w:lineRule="exact"/>
        <w:rPr>
          <w:sz w:val="20"/>
          <w:szCs w:val="20"/>
          <w:color w:val="auto"/>
        </w:rPr>
      </w:pPr>
    </w:p>
    <w:p>
      <w:pPr>
        <w:jc w:val="both"/>
        <w:ind w:firstLine="478"/>
        <w:spacing w:after="0" w:line="269" w:lineRule="auto"/>
        <w:rPr>
          <w:sz w:val="20"/>
          <w:szCs w:val="20"/>
          <w:color w:val="auto"/>
        </w:rPr>
      </w:pPr>
      <w:r>
        <w:rPr>
          <w:rFonts w:ascii="Arial" w:cs="Arial" w:eastAsia="Arial" w:hAnsi="Arial"/>
          <w:sz w:val="17"/>
          <w:szCs w:val="17"/>
          <w:color w:val="auto"/>
        </w:rPr>
        <w:t>We may also utilize an income approach when estimating the fair value of our equity securities, either as a primary methodology if consistent with industry practice or if the market approach is otherwise not applicable, or as a supporting methodology to corroborate the fair value ranges determined by the market approach. We typically prepare and analyze discounted cash flow models based on projections of the future free cash flows (or earnings) of the portfolio company. We consider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131" w:lineRule="exact"/>
        <w:rPr>
          <w:sz w:val="20"/>
          <w:szCs w:val="20"/>
          <w:color w:val="auto"/>
        </w:rPr>
      </w:pPr>
    </w:p>
    <w:p>
      <w:pPr>
        <w:jc w:val="both"/>
        <w:ind w:firstLine="478"/>
        <w:spacing w:after="0" w:line="321" w:lineRule="auto"/>
        <w:rPr>
          <w:sz w:val="20"/>
          <w:szCs w:val="20"/>
          <w:color w:val="auto"/>
        </w:rPr>
      </w:pPr>
      <w:r>
        <w:rPr>
          <w:rFonts w:ascii="Arial" w:cs="Arial" w:eastAsia="Arial" w:hAnsi="Arial"/>
          <w:sz w:val="16"/>
          <w:szCs w:val="16"/>
          <w:color w:val="auto"/>
        </w:rPr>
        <w:t>Determination of fair value involves subjective judgments and estimates. Accordingly, the notes to our consolidated financial statements express the uncertainties with respect to the possible effect of such valuations, and any changes in such valuations, on the consolidated financial statements.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72" w:lineRule="exact"/>
        <w:rPr>
          <w:sz w:val="20"/>
          <w:szCs w:val="20"/>
          <w:color w:val="auto"/>
        </w:rPr>
      </w:pPr>
    </w:p>
    <w:p>
      <w:pPr>
        <w:jc w:val="both"/>
        <w:ind w:firstLine="478"/>
        <w:spacing w:after="0" w:line="291" w:lineRule="auto"/>
        <w:rPr>
          <w:sz w:val="20"/>
          <w:szCs w:val="20"/>
          <w:color w:val="auto"/>
        </w:rPr>
      </w:pPr>
      <w:r>
        <w:rPr>
          <w:rFonts w:ascii="Arial" w:cs="Arial" w:eastAsia="Arial" w:hAnsi="Arial"/>
          <w:sz w:val="16"/>
          <w:szCs w:val="16"/>
          <w:i w:val="1"/>
          <w:iCs w:val="1"/>
          <w:color w:val="auto"/>
        </w:rPr>
        <w:t xml:space="preserve">Investments and related investment income. </w:t>
      </w:r>
      <w:r>
        <w:rPr>
          <w:rFonts w:ascii="Arial" w:cs="Arial" w:eastAsia="Arial" w:hAnsi="Arial"/>
          <w:sz w:val="16"/>
          <w:szCs w:val="16"/>
          <w:color w:val="auto"/>
        </w:rPr>
        <w:t>Realized gains or losses on investments are recorded upon the sale or disposition of a portfolio investment and are</w:t>
      </w:r>
      <w:r>
        <w:rPr>
          <w:rFonts w:ascii="Arial" w:cs="Arial" w:eastAsia="Arial" w:hAnsi="Arial"/>
          <w:sz w:val="16"/>
          <w:szCs w:val="16"/>
          <w:i w:val="1"/>
          <w:iCs w:val="1"/>
          <w:color w:val="auto"/>
        </w:rPr>
        <w:t xml:space="preserve"> </w:t>
      </w:r>
      <w:r>
        <w:rPr>
          <w:rFonts w:ascii="Arial" w:cs="Arial" w:eastAsia="Arial" w:hAnsi="Arial"/>
          <w:sz w:val="16"/>
          <w:szCs w:val="16"/>
          <w:color w:val="auto"/>
        </w:rPr>
        <w:t>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by the Board through the application of our valuation policy, as well as reclassifications of any prior period unrealized appreciation or depreciation on exited investments to realized gains or losses on investments.</w:t>
      </w:r>
    </w:p>
    <w:p>
      <w:pPr>
        <w:spacing w:after="0" w:line="114" w:lineRule="exact"/>
        <w:rPr>
          <w:sz w:val="20"/>
          <w:szCs w:val="20"/>
          <w:color w:val="auto"/>
        </w:rPr>
      </w:pPr>
    </w:p>
    <w:p>
      <w:pPr>
        <w:jc w:val="both"/>
        <w:ind w:firstLine="478"/>
        <w:spacing w:after="0" w:line="269" w:lineRule="auto"/>
        <w:rPr>
          <w:sz w:val="20"/>
          <w:szCs w:val="20"/>
          <w:color w:val="auto"/>
        </w:rPr>
      </w:pPr>
      <w:r>
        <w:rPr>
          <w:rFonts w:ascii="Arial" w:cs="Arial" w:eastAsia="Arial" w:hAnsi="Arial"/>
          <w:sz w:val="17"/>
          <w:szCs w:val="17"/>
          <w:i w:val="1"/>
          <w:iCs w:val="1"/>
          <w:color w:val="auto"/>
        </w:rPr>
        <w:t>Interest and dividend income</w:t>
      </w:r>
      <w:r>
        <w:rPr>
          <w:rFonts w:ascii="Arial" w:cs="Arial" w:eastAsia="Arial" w:hAnsi="Arial"/>
          <w:sz w:val="17"/>
          <w:szCs w:val="17"/>
          <w:color w:val="auto"/>
        </w:rPr>
        <w:t>. Interest and dividend income are recorded on the accrual basis to the extent that we expect to collect such amounts. Interest is</w:t>
      </w:r>
      <w:r>
        <w:rPr>
          <w:rFonts w:ascii="Arial" w:cs="Arial" w:eastAsia="Arial" w:hAnsi="Arial"/>
          <w:sz w:val="17"/>
          <w:szCs w:val="17"/>
          <w:i w:val="1"/>
          <w:iCs w:val="1"/>
          <w:color w:val="auto"/>
        </w:rPr>
        <w:t xml:space="preserve"> </w:t>
      </w:r>
      <w:r>
        <w:rPr>
          <w:rFonts w:ascii="Arial" w:cs="Arial" w:eastAsia="Arial" w:hAnsi="Arial"/>
          <w:sz w:val="17"/>
          <w:szCs w:val="17"/>
          <w:color w:val="auto"/>
        </w:rPr>
        <w:t>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spacing w:after="0" w:line="131" w:lineRule="exact"/>
        <w:rPr>
          <w:sz w:val="20"/>
          <w:szCs w:val="20"/>
          <w:color w:val="auto"/>
        </w:rPr>
      </w:pPr>
    </w:p>
    <w:p>
      <w:pPr>
        <w:jc w:val="both"/>
        <w:ind w:firstLine="478"/>
        <w:spacing w:after="0" w:line="264" w:lineRule="auto"/>
        <w:rPr>
          <w:sz w:val="20"/>
          <w:szCs w:val="20"/>
          <w:color w:val="auto"/>
        </w:rPr>
      </w:pPr>
      <w:r>
        <w:rPr>
          <w:rFonts w:ascii="Arial" w:cs="Arial" w:eastAsia="Arial" w:hAnsi="Arial"/>
          <w:sz w:val="17"/>
          <w:szCs w:val="17"/>
          <w:i w:val="1"/>
          <w:iCs w:val="1"/>
          <w:color w:val="auto"/>
        </w:rPr>
        <w:t xml:space="preserve">PIK income. </w:t>
      </w:r>
      <w:r>
        <w:rPr>
          <w:rFonts w:ascii="Arial" w:cs="Arial" w:eastAsia="Arial" w:hAnsi="Arial"/>
          <w:sz w:val="17"/>
          <w:szCs w:val="17"/>
          <w:color w:val="auto"/>
        </w:rPr>
        <w:t>Certain of our investments contain a PIK income provision. The PIK income, computed at the contractual rate specified in the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agreement, is added to the principal balance of the investment, rather than being paid in cash, and recorded as interest or dividend income, as applicable, on the consolidated statements of operations. Generally, PIK can be paid-in-kind or all in cash. We stop accruing PIK income when there is reasonable doubt that PIK income will be collected. PIK income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07" w:right="339" w:bottom="1440" w:gutter="0" w:footer="0" w:header="0"/>
        </w:sectPr>
      </w:pPr>
    </w:p>
    <w:bookmarkStart w:id="54" w:name="page55"/>
    <w:bookmarkEnd w:id="54"/>
    <w:p>
      <w:pPr>
        <w:jc w:val="both"/>
        <w:spacing w:after="0" w:line="294" w:lineRule="auto"/>
        <w:rPr>
          <w:sz w:val="20"/>
          <w:szCs w:val="20"/>
          <w:color w:val="auto"/>
        </w:rPr>
      </w:pPr>
      <w:r>
        <w:rPr>
          <w:rFonts w:ascii="Arial" w:cs="Arial" w:eastAsia="Arial" w:hAnsi="Arial"/>
          <w:sz w:val="16"/>
          <w:szCs w:val="16"/>
          <w:color w:val="auto"/>
        </w:rPr>
        <w:t>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our taxable income and, therefore, affects the amount we are required to pay to our stockholders in the form of dividends in order to maintain our tax treatment as a RIC and to avoid paying corporate-level U.S. federal income tax, even though we have not yet collected the cash.</w:t>
      </w:r>
    </w:p>
    <w:p>
      <w:pPr>
        <w:spacing w:after="0" w:line="113" w:lineRule="exact"/>
        <w:rPr>
          <w:sz w:val="20"/>
          <w:szCs w:val="20"/>
          <w:color w:val="auto"/>
        </w:rPr>
      </w:pPr>
    </w:p>
    <w:p>
      <w:pPr>
        <w:jc w:val="both"/>
        <w:ind w:firstLine="478"/>
        <w:spacing w:after="0" w:line="269" w:lineRule="auto"/>
        <w:rPr>
          <w:sz w:val="20"/>
          <w:szCs w:val="20"/>
          <w:color w:val="auto"/>
        </w:rPr>
      </w:pPr>
      <w:r>
        <w:rPr>
          <w:rFonts w:ascii="Arial" w:cs="Arial" w:eastAsia="Arial" w:hAnsi="Arial"/>
          <w:sz w:val="17"/>
          <w:szCs w:val="17"/>
          <w:i w:val="1"/>
          <w:iCs w:val="1"/>
          <w:color w:val="auto"/>
        </w:rPr>
        <w:t xml:space="preserve">Non-accrual. </w:t>
      </w:r>
      <w:r>
        <w:rPr>
          <w:rFonts w:ascii="Arial" w:cs="Arial" w:eastAsia="Arial" w:hAnsi="Arial"/>
          <w:sz w:val="17"/>
          <w:szCs w:val="17"/>
          <w:color w:val="auto"/>
        </w:rPr>
        <w:t>Debt investments or preferred equity investments (for which we are accruing PIK dividends) are placed on non-accrual status when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or dividend payments become materially past due, or when there is reasonable doubt that principal, interest or dividends will be collected. Any original issue discount and market discount are no longer accreted to interest income as of the date the loan is placed on full non-accrual status. Interest and dividend payments received on non-accrual investments may be recognized as interest or dividend income or applied to the investment principal balance based on management’s judgment. Non-accrual investments are restored to accrual status when past due principal, interest or dividends are paid and, in management’s judgment, are likely to remain current.</w:t>
      </w:r>
    </w:p>
    <w:p>
      <w:pPr>
        <w:spacing w:after="0" w:line="131" w:lineRule="exact"/>
        <w:rPr>
          <w:sz w:val="20"/>
          <w:szCs w:val="20"/>
          <w:color w:val="auto"/>
        </w:rPr>
      </w:pPr>
    </w:p>
    <w:p>
      <w:pPr>
        <w:jc w:val="both"/>
        <w:ind w:firstLine="478"/>
        <w:spacing w:after="0" w:line="270" w:lineRule="auto"/>
        <w:rPr>
          <w:sz w:val="20"/>
          <w:szCs w:val="20"/>
          <w:color w:val="auto"/>
        </w:rPr>
      </w:pPr>
      <w:r>
        <w:rPr>
          <w:rFonts w:ascii="Arial" w:cs="Arial" w:eastAsia="Arial" w:hAnsi="Arial"/>
          <w:sz w:val="17"/>
          <w:szCs w:val="17"/>
          <w:i w:val="1"/>
          <w:iCs w:val="1"/>
          <w:color w:val="auto"/>
        </w:rPr>
        <w:t xml:space="preserve">Warrants. </w:t>
      </w:r>
      <w:r>
        <w:rPr>
          <w:rFonts w:ascii="Arial" w:cs="Arial" w:eastAsia="Arial" w:hAnsi="Arial"/>
          <w:sz w:val="17"/>
          <w:szCs w:val="17"/>
          <w:color w:val="auto"/>
        </w:rPr>
        <w:t>In connection with our debt investments, we will sometimes receive warrants or other equity-related securities (Warrants). We determine the cost</w:t>
      </w:r>
      <w:r>
        <w:rPr>
          <w:rFonts w:ascii="Arial" w:cs="Arial" w:eastAsia="Arial" w:hAnsi="Arial"/>
          <w:sz w:val="17"/>
          <w:szCs w:val="17"/>
          <w:i w:val="1"/>
          <w:iCs w:val="1"/>
          <w:color w:val="auto"/>
        </w:rPr>
        <w:t xml:space="preserve"> </w:t>
      </w:r>
      <w:r>
        <w:rPr>
          <w:rFonts w:ascii="Arial" w:cs="Arial" w:eastAsia="Arial" w:hAnsi="Arial"/>
          <w:sz w:val="17"/>
          <w:szCs w:val="17"/>
          <w:color w:val="auto"/>
        </w:rPr>
        <w:t>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OID and accreted into interest income using the effective interest method over the term of the debt investment. Upon the prepayment of a debt investment, any unaccreted OID is accelerated into interest income.</w:t>
      </w:r>
    </w:p>
    <w:p>
      <w:pPr>
        <w:spacing w:after="0" w:line="130" w:lineRule="exact"/>
        <w:rPr>
          <w:sz w:val="20"/>
          <w:szCs w:val="20"/>
          <w:color w:val="auto"/>
        </w:rPr>
      </w:pPr>
    </w:p>
    <w:p>
      <w:pPr>
        <w:jc w:val="both"/>
        <w:ind w:firstLine="478"/>
        <w:spacing w:after="0" w:line="287" w:lineRule="auto"/>
        <w:rPr>
          <w:sz w:val="20"/>
          <w:szCs w:val="20"/>
          <w:color w:val="auto"/>
        </w:rPr>
      </w:pPr>
      <w:r>
        <w:rPr>
          <w:rFonts w:ascii="Arial" w:cs="Arial" w:eastAsia="Arial" w:hAnsi="Arial"/>
          <w:sz w:val="16"/>
          <w:szCs w:val="16"/>
          <w:i w:val="1"/>
          <w:iCs w:val="1"/>
          <w:color w:val="auto"/>
        </w:rPr>
        <w:t xml:space="preserve">Fee income. </w:t>
      </w:r>
      <w:r>
        <w:rPr>
          <w:rFonts w:ascii="Arial" w:cs="Arial" w:eastAsia="Arial" w:hAnsi="Arial"/>
          <w:sz w:val="16"/>
          <w:szCs w:val="16"/>
          <w:color w:val="auto"/>
        </w:rPr>
        <w:t>All transaction fees earned in connection with our investments are recognized as fee income and are generally non-recurring. Such fees typically</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fees for services, including structuring and advisory services, provided to portfolio companies. We recognize income from fees for providing such structuring and advisory services when the services are rendered or the transactions are completed. Upon the prepayment of a debt investment, any prepayment penalties are recorded as fee income when earned. In 2020, the Company elected to change the manner in which it presents the recognition of management services fees income. Previously, the Company classified management services fees as a component of interest on idle funds and other income on the Consolidated Statement of Operations. Comparative prior periods presented have been reclassified retrospectively to conform to the revised presentation. There is no change in historical net increase in net assets resulting from operations due to this change in presentation.</w:t>
      </w:r>
    </w:p>
    <w:p>
      <w:pPr>
        <w:spacing w:after="0" w:line="121" w:lineRule="exact"/>
        <w:rPr>
          <w:sz w:val="20"/>
          <w:szCs w:val="20"/>
          <w:color w:val="auto"/>
        </w:rPr>
      </w:pPr>
    </w:p>
    <w:p>
      <w:pPr>
        <w:jc w:val="both"/>
        <w:ind w:firstLine="478"/>
        <w:spacing w:after="0" w:line="272" w:lineRule="auto"/>
        <w:rPr>
          <w:sz w:val="20"/>
          <w:szCs w:val="20"/>
          <w:color w:val="auto"/>
        </w:rPr>
      </w:pPr>
      <w:r>
        <w:rPr>
          <w:rFonts w:ascii="Arial" w:cs="Arial" w:eastAsia="Arial" w:hAnsi="Arial"/>
          <w:sz w:val="17"/>
          <w:szCs w:val="17"/>
          <w:color w:val="auto"/>
        </w:rPr>
        <w:t>We also typically receive debt investment origination or closing fees in connection with investments. Such debt investment origination and closing fees are capitalized as unearned income and offset against investment cost basis on our consolidated statements of assets and liabilities and accreted into interest income over the term of the investment. Upon the prepayment of a debt investment, any unaccreted debt investment origination and closing fees are accelerated into interest income.</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Transfers of Financial Assets</w:t>
      </w:r>
    </w:p>
    <w:p>
      <w:pPr>
        <w:spacing w:after="0" w:line="172" w:lineRule="exact"/>
        <w:rPr>
          <w:sz w:val="20"/>
          <w:szCs w:val="20"/>
          <w:color w:val="auto"/>
        </w:rPr>
      </w:pPr>
    </w:p>
    <w:p>
      <w:pPr>
        <w:jc w:val="both"/>
        <w:ind w:firstLine="469"/>
        <w:spacing w:after="0" w:line="270" w:lineRule="auto"/>
        <w:rPr>
          <w:sz w:val="20"/>
          <w:szCs w:val="20"/>
          <w:color w:val="auto"/>
        </w:rPr>
      </w:pPr>
      <w:r>
        <w:rPr>
          <w:rFonts w:ascii="Arial" w:cs="Arial" w:eastAsia="Arial" w:hAnsi="Arial"/>
          <w:sz w:val="17"/>
          <w:szCs w:val="17"/>
          <w:i w:val="1"/>
          <w:iCs w:val="1"/>
          <w:color w:val="auto"/>
        </w:rPr>
        <w:t xml:space="preserve">Partial loan and equity sales. </w:t>
      </w:r>
      <w:r>
        <w:rPr>
          <w:rFonts w:ascii="Arial" w:cs="Arial" w:eastAsia="Arial" w:hAnsi="Arial"/>
          <w:sz w:val="17"/>
          <w:szCs w:val="17"/>
          <w:color w:val="auto"/>
        </w:rPr>
        <w:t>The Company follows the guidance in ASC 860,</w:t>
      </w:r>
      <w:r>
        <w:rPr>
          <w:rFonts w:ascii="Arial" w:cs="Arial" w:eastAsia="Arial" w:hAnsi="Arial"/>
          <w:sz w:val="17"/>
          <w:szCs w:val="17"/>
          <w:i w:val="1"/>
          <w:iCs w:val="1"/>
          <w:color w:val="auto"/>
        </w:rPr>
        <w:t xml:space="preserve"> Transfers and Servicing, </w:t>
      </w:r>
      <w:r>
        <w:rPr>
          <w:rFonts w:ascii="Arial" w:cs="Arial" w:eastAsia="Arial" w:hAnsi="Arial"/>
          <w:sz w:val="17"/>
          <w:szCs w:val="17"/>
          <w:color w:val="auto"/>
        </w:rPr>
        <w:t>when accounting for loan (debt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participations, equity assignments and other partial loan sales. Such guidance requires a participation, assignment or other partial loan or equity sale to meet the definition of a “participating interest,” as defined in the guidance, in order for sale treatment to be allowed. Participations, assignments or other partial loan or equity sales which do not meet the definition of a participating interest should remain on the Company’s consolidated statements of assets and liabilities and the proceeds recorded as a secured borrowing until the definition is met.</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Standards</w:t>
      </w:r>
    </w:p>
    <w:p>
      <w:pPr>
        <w:spacing w:after="0" w:line="125" w:lineRule="exact"/>
        <w:rPr>
          <w:sz w:val="20"/>
          <w:szCs w:val="20"/>
          <w:color w:val="auto"/>
        </w:rPr>
      </w:pPr>
    </w:p>
    <w:p>
      <w:pPr>
        <w:jc w:val="both"/>
        <w:ind w:firstLine="510"/>
        <w:spacing w:after="0" w:line="305" w:lineRule="auto"/>
        <w:rPr>
          <w:sz w:val="20"/>
          <w:szCs w:val="20"/>
          <w:color w:val="auto"/>
        </w:rPr>
      </w:pPr>
      <w:r>
        <w:rPr>
          <w:rFonts w:ascii="Arial" w:cs="Arial" w:eastAsia="Arial" w:hAnsi="Arial"/>
          <w:sz w:val="15"/>
          <w:szCs w:val="15"/>
          <w:color w:val="auto"/>
        </w:rPr>
        <w:t>In March 2020, the Financial Accounting Standards Board (“FASB”) issued Accounting Standards Update (“ASU”) No. 2020-04, “</w:t>
      </w:r>
      <w:r>
        <w:rPr>
          <w:rFonts w:ascii="Arial" w:cs="Arial" w:eastAsia="Arial" w:hAnsi="Arial"/>
          <w:sz w:val="15"/>
          <w:szCs w:val="15"/>
          <w:i w:val="1"/>
          <w:iCs w:val="1"/>
          <w:color w:val="auto"/>
        </w:rPr>
        <w:t>Reference Rate Reform</w:t>
      </w:r>
      <w:r>
        <w:rPr>
          <w:rFonts w:ascii="Arial" w:cs="Arial" w:eastAsia="Arial" w:hAnsi="Arial"/>
          <w:sz w:val="15"/>
          <w:szCs w:val="15"/>
          <w:color w:val="auto"/>
        </w:rPr>
        <w:t xml:space="preserve"> </w:t>
      </w:r>
      <w:r>
        <w:rPr>
          <w:rFonts w:ascii="Arial" w:cs="Arial" w:eastAsia="Arial" w:hAnsi="Arial"/>
          <w:sz w:val="15"/>
          <w:szCs w:val="15"/>
          <w:i w:val="1"/>
          <w:iCs w:val="1"/>
          <w:color w:val="auto"/>
        </w:rPr>
        <w:t>(Topic 848),</w:t>
      </w:r>
      <w:r>
        <w:rPr>
          <w:rFonts w:ascii="Arial" w:cs="Arial" w:eastAsia="Arial" w:hAnsi="Arial"/>
          <w:sz w:val="15"/>
          <w:szCs w:val="15"/>
          <w:color w:val="auto"/>
        </w:rPr>
        <w:t>” which provides optional expedients and exceptions for applying GAAP to contracts, hedging relationships, and other transactions affected by reference</w:t>
      </w:r>
      <w:r>
        <w:rPr>
          <w:rFonts w:ascii="Arial" w:cs="Arial" w:eastAsia="Arial" w:hAnsi="Arial"/>
          <w:sz w:val="15"/>
          <w:szCs w:val="15"/>
          <w:i w:val="1"/>
          <w:iCs w:val="1"/>
          <w:color w:val="auto"/>
        </w:rPr>
        <w:t xml:space="preserve"> </w:t>
      </w:r>
      <w:r>
        <w:rPr>
          <w:rFonts w:ascii="Arial" w:cs="Arial" w:eastAsia="Arial" w:hAnsi="Arial"/>
          <w:sz w:val="15"/>
          <w:szCs w:val="15"/>
          <w:color w:val="auto"/>
        </w:rPr>
        <w:t>rate reform if certain criteria are met. The amendments apply only to contracts, hedging relationships, and other transactions that reference LIBOR or another reference rate expected to be discontinued because of reference rate reform. The Company has agreements that have LIBOR as a reference rate with certain portfolio companies and under the Credit Facility (as described in Note 6). Many of these agreements (including the credit agreement relating to the Credit Facility) include an alternative successor rate or language for choosing an alternative successor rate when LIBOR reference is no longer considered to be appropriate. With respect to other agreements, the Company intends to work with its portfolio companies to modify agreements to choose an alternative successor rate. ASU 2020-04 is effective for all entities as of March 12, 2020 through December 31, 2022. The expedients and exceptions provided by the amendments do not apply to contract modifications and hedging relationships entered into or evaluated after December 31, 2022, except for hedging transactions as of December 31, 2022, that an entity has elected certain optional expedients for and that are retained through the end of the hedging relationship. The Company did not utilize the optional expedients and exceptions provided by ASU 2020-04 during the nine months ended September 30, 2021.</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 Rule 1-02(w)(2) Update</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07" w:right="339" w:bottom="1440" w:gutter="0" w:footer="0" w:header="0"/>
        </w:sectPr>
      </w:pPr>
    </w:p>
    <w:bookmarkStart w:id="55" w:name="page56"/>
    <w:bookmarkEnd w:id="55"/>
    <w:p>
      <w:pPr>
        <w:jc w:val="both"/>
        <w:ind w:firstLine="510"/>
        <w:spacing w:after="0" w:line="286" w:lineRule="auto"/>
        <w:rPr>
          <w:sz w:val="20"/>
          <w:szCs w:val="20"/>
          <w:color w:val="auto"/>
        </w:rPr>
      </w:pPr>
      <w:r>
        <w:rPr>
          <w:rFonts w:ascii="Arial" w:cs="Arial" w:eastAsia="Arial" w:hAnsi="Arial"/>
          <w:sz w:val="16"/>
          <w:szCs w:val="16"/>
          <w:color w:val="auto"/>
        </w:rPr>
        <w:t>In May 2020, the SEC adopted rule amendments that will impact the requirement of investment companies, including BDCs, to disclose the financial statements of certain of their portfolio companies or certain acquired funds (the “Final Rules”). The Final Rules adopted a new definition of “significant subsidiary” set forth in Rule 1-02(w)(2) of Regulation S-X under the Securities Act. Rules 3-09 and 4-08(g) of Regulation S-X require investment companies to include separate financial statements or summary financial information, respectively, in such investment company’s periodic reports for any portfolio company that meets the definition of “significant subsidiary.” The Final Rules adopt a new definition of “significant subsidiary” applicable only to investment companies that (i) modifies the investment test and the income test, and (ii) eliminates the asset test currently in the definition of “significant subsidiary” in Rule 1-02(w) of Regulation S-X. The new Rule 1-02(w)(2) of Regulation S-X is intended to more accurately capture those portfolio companies that are more likely to materially impact the financial condition of an investment company. The Final Rules became effective on January 1, 2021; however, the Company elected to early adopt this rule change as of December 31, 2020. The adoption of this guidance did not have a material impact on the Company’s Consolidated Financial Statements.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 Regulation S-K Update</w:t>
      </w:r>
    </w:p>
    <w:p>
      <w:pPr>
        <w:spacing w:after="0" w:line="125"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In November 2020, the SEC issued a final rule that modernized and simplifies Management’s Discussion and Analysis of Financial Condition and Results of Operations and certain financial disclosure requirements in Regulation S-K (the “Amendments”). Specifically, the Amendments: (i) eliminate Item 301 of Regulation S-K (Selected Financial Data); (ii) simplify Item 302 of Regulation S-K (Supplementary Financial Information); and (iii) amend certain aspects of Item 303 of Regulation S-K (Managements Discussion and Analysis of Financial Condition and Results of Operations). The Amendments became effective on February 10, 2021 and compliance will be required for the registrant’s fiscal year ending on or after August 9, 2021. Early adoption of the Amendments is permitted on an item-by-item basis after the effective date; however, a registrant must fully comply with each adopted item in its entirety. The Company adopted the Amendments on the effective date which did not have a material impact on the Company’s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76" w:lineRule="exact"/>
        <w:rPr>
          <w:sz w:val="20"/>
          <w:szCs w:val="20"/>
          <w:color w:val="auto"/>
        </w:rPr>
      </w:pPr>
    </w:p>
    <w:p>
      <w:pPr>
        <w:jc w:val="both"/>
        <w:ind w:firstLine="478"/>
        <w:spacing w:after="0" w:line="272" w:lineRule="auto"/>
        <w:rPr>
          <w:sz w:val="20"/>
          <w:szCs w:val="20"/>
          <w:color w:val="auto"/>
        </w:rPr>
      </w:pPr>
      <w:r>
        <w:rPr>
          <w:rFonts w:ascii="Arial" w:cs="Arial" w:eastAsia="Arial" w:hAnsi="Arial"/>
          <w:sz w:val="17"/>
          <w:szCs w:val="17"/>
          <w:color w:val="auto"/>
        </w:rPr>
        <w:t>We may be a party to financial instruments with off-balance sheet risk in the normal course of business to meet the financial needs of our portfolio companies. We had off-balance sheet arrangements consisting of outstanding commitments to fund various undrawn revolving loans, other debt investments and capital commitments totaling $8.6 million and $5.6 million as of September 30, 2021 and December 31, 2020, respectively. Such outstanding commitments are summarized in the following table (dollars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3"/>
          </w:tcPr>
          <w:p>
            <w:pPr>
              <w:jc w:val="right"/>
              <w:ind w:right="501"/>
              <w:spacing w:after="0"/>
              <w:rPr>
                <w:sz w:val="20"/>
                <w:szCs w:val="20"/>
                <w:color w:val="auto"/>
              </w:rPr>
            </w:pPr>
            <w:r>
              <w:rPr>
                <w:rFonts w:ascii="Arial" w:cs="Arial" w:eastAsia="Arial" w:hAnsi="Arial"/>
                <w:sz w:val="12"/>
                <w:szCs w:val="12"/>
                <w:b w:val="1"/>
                <w:bCs w:val="1"/>
                <w:color w:val="auto"/>
              </w:rPr>
              <w:t>September 30, 2021</w:t>
            </w:r>
          </w:p>
        </w:tc>
        <w:tc>
          <w:tcPr>
            <w:tcW w:w="2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4"/>
          </w:tcPr>
          <w:p>
            <w:pPr>
              <w:jc w:val="center"/>
              <w:ind w:right="41"/>
              <w:spacing w:after="0"/>
              <w:rPr>
                <w:sz w:val="20"/>
                <w:szCs w:val="20"/>
                <w:color w:val="auto"/>
              </w:rPr>
            </w:pPr>
            <w:r>
              <w:rPr>
                <w:rFonts w:ascii="Arial" w:cs="Arial" w:eastAsia="Arial" w:hAnsi="Arial"/>
                <w:sz w:val="12"/>
                <w:szCs w:val="12"/>
                <w:b w:val="1"/>
                <w:bCs w:val="1"/>
                <w:color w:val="auto"/>
                <w:w w:val="88"/>
              </w:rPr>
              <w:t>December 31, 2020</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301"/>
              <w:spacing w:after="0"/>
              <w:rPr>
                <w:sz w:val="20"/>
                <w:szCs w:val="20"/>
                <w:color w:val="auto"/>
              </w:rPr>
            </w:pPr>
            <w:r>
              <w:rPr>
                <w:rFonts w:ascii="Arial" w:cs="Arial" w:eastAsia="Arial" w:hAnsi="Arial"/>
                <w:sz w:val="12"/>
                <w:szCs w:val="12"/>
                <w:b w:val="1"/>
                <w:bCs w:val="1"/>
                <w:color w:val="auto"/>
              </w:rPr>
              <w:t>Total</w:t>
            </w:r>
          </w:p>
        </w:tc>
        <w:tc>
          <w:tcPr>
            <w:tcW w:w="340" w:type="dxa"/>
            <w:vAlign w:val="bottom"/>
          </w:tcPr>
          <w:p>
            <w:pPr>
              <w:spacing w:after="0"/>
              <w:rPr>
                <w:sz w:val="13"/>
                <w:szCs w:val="13"/>
                <w:color w:val="auto"/>
              </w:rPr>
            </w:pPr>
          </w:p>
        </w:tc>
        <w:tc>
          <w:tcPr>
            <w:tcW w:w="1000" w:type="dxa"/>
            <w:vAlign w:val="bottom"/>
          </w:tcPr>
          <w:p>
            <w:pPr>
              <w:jc w:val="right"/>
              <w:ind w:right="81"/>
              <w:spacing w:after="0"/>
              <w:rPr>
                <w:sz w:val="20"/>
                <w:szCs w:val="20"/>
                <w:color w:val="auto"/>
              </w:rPr>
            </w:pPr>
            <w:r>
              <w:rPr>
                <w:rFonts w:ascii="Arial" w:cs="Arial" w:eastAsia="Arial" w:hAnsi="Arial"/>
                <w:sz w:val="12"/>
                <w:szCs w:val="12"/>
                <w:b w:val="1"/>
                <w:bCs w:val="1"/>
                <w:color w:val="auto"/>
              </w:rPr>
              <w:t>Unfunded</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261"/>
              <w:spacing w:after="0"/>
              <w:rPr>
                <w:sz w:val="20"/>
                <w:szCs w:val="20"/>
                <w:color w:val="auto"/>
              </w:rPr>
            </w:pPr>
            <w:r>
              <w:rPr>
                <w:rFonts w:ascii="Arial" w:cs="Arial" w:eastAsia="Arial" w:hAnsi="Arial"/>
                <w:sz w:val="12"/>
                <w:szCs w:val="12"/>
                <w:b w:val="1"/>
                <w:bCs w:val="1"/>
                <w:color w:val="auto"/>
              </w:rPr>
              <w:t>Total</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161"/>
              <w:spacing w:after="0"/>
              <w:rPr>
                <w:sz w:val="20"/>
                <w:szCs w:val="20"/>
                <w:color w:val="auto"/>
              </w:rPr>
            </w:pPr>
            <w:r>
              <w:rPr>
                <w:rFonts w:ascii="Arial" w:cs="Arial" w:eastAsia="Arial" w:hAnsi="Arial"/>
                <w:sz w:val="12"/>
                <w:szCs w:val="12"/>
                <w:b w:val="1"/>
                <w:bCs w:val="1"/>
                <w:color w:val="auto"/>
              </w:rPr>
              <w:t>Unfunded</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Portfolio Company - Investment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b w:val="1"/>
                <w:bCs w:val="1"/>
                <w:color w:val="auto"/>
                <w:w w:val="95"/>
              </w:rPr>
              <w:t>Commitment</w:t>
            </w:r>
          </w:p>
        </w:tc>
        <w:tc>
          <w:tcPr>
            <w:tcW w:w="340" w:type="dxa"/>
            <w:vAlign w:val="bottom"/>
          </w:tcPr>
          <w:p>
            <w:pPr>
              <w:spacing w:after="0"/>
              <w:rPr>
                <w:sz w:val="16"/>
                <w:szCs w:val="16"/>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Commitment</w:t>
            </w:r>
          </w:p>
        </w:tc>
        <w:tc>
          <w:tcPr>
            <w:tcW w:w="2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b w:val="1"/>
                <w:bCs w:val="1"/>
                <w:color w:val="auto"/>
                <w:w w:val="92"/>
              </w:rPr>
              <w:t>Commitment</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b w:val="1"/>
                <w:bCs w:val="1"/>
                <w:color w:val="auto"/>
                <w:w w:val="92"/>
              </w:rPr>
              <w:t>Commitment</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Combined Systems, Inc. - Revolving Loan</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1340" w:type="dxa"/>
            <w:vAlign w:val="bottom"/>
            <w:gridSpan w:val="2"/>
            <w:shd w:val="clear" w:color="auto" w:fill="CCEEFF"/>
          </w:tcPr>
          <w:p>
            <w:pPr>
              <w:jc w:val="right"/>
              <w:ind w:right="861"/>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900" w:type="dxa"/>
            <w:vAlign w:val="bottom"/>
            <w:gridSpan w:val="2"/>
          </w:tcPr>
          <w:p>
            <w:pPr>
              <w:ind w:left="20"/>
              <w:spacing w:after="0"/>
              <w:rPr>
                <w:sz w:val="20"/>
                <w:szCs w:val="20"/>
                <w:color w:val="auto"/>
              </w:rPr>
            </w:pPr>
            <w:r>
              <w:rPr>
                <w:rFonts w:ascii="Arial" w:cs="Arial" w:eastAsia="Arial" w:hAnsi="Arial"/>
                <w:sz w:val="12"/>
                <w:szCs w:val="12"/>
                <w:color w:val="auto"/>
              </w:rPr>
              <w:t>Elements Brands, LLC - Revolving Loan</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3.0</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0.8</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3.0</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0.8</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Mesa Line Services, LLC - Delayed Draw Term Loan</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900" w:type="dxa"/>
            <w:vAlign w:val="bottom"/>
            <w:gridSpan w:val="2"/>
          </w:tcPr>
          <w:p>
            <w:pPr>
              <w:ind w:left="20"/>
              <w:spacing w:after="0"/>
              <w:rPr>
                <w:sz w:val="20"/>
                <w:szCs w:val="20"/>
                <w:color w:val="auto"/>
              </w:rPr>
            </w:pPr>
            <w:r>
              <w:rPr>
                <w:rFonts w:ascii="Arial" w:cs="Arial" w:eastAsia="Arial" w:hAnsi="Arial"/>
                <w:sz w:val="12"/>
                <w:szCs w:val="12"/>
                <w:color w:val="auto"/>
              </w:rPr>
              <w:t>Rhino Assembly Company, LLC - Delayed Draw Commitment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0.9</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0.9</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0.9</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0.9</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0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Safety Products Group, LLC - Common Equity (Units)</w:t>
            </w:r>
          </w:p>
        </w:tc>
        <w:tc>
          <w:tcPr>
            <w:tcW w:w="12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340" w:type="dxa"/>
            <w:vAlign w:val="bottom"/>
            <w:shd w:val="clear" w:color="auto" w:fill="CCEEFF"/>
          </w:tcPr>
          <w:p>
            <w:pPr>
              <w:jc w:val="right"/>
              <w:ind w:right="67"/>
              <w:spacing w:after="0"/>
              <w:rPr>
                <w:sz w:val="20"/>
                <w:szCs w:val="20"/>
                <w:color w:val="auto"/>
              </w:rPr>
            </w:pPr>
            <w:r>
              <w:rPr>
                <w:rFonts w:ascii="Arial" w:cs="Arial" w:eastAsia="Arial" w:hAnsi="Arial"/>
                <w:sz w:val="8"/>
                <w:szCs w:val="8"/>
                <w:color w:val="auto"/>
              </w:rPr>
              <w:t>(1)</w:t>
            </w:r>
          </w:p>
        </w:tc>
        <w:tc>
          <w:tcPr>
            <w:tcW w:w="100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280" w:type="dxa"/>
            <w:vAlign w:val="bottom"/>
            <w:shd w:val="clear" w:color="auto" w:fill="CCEEFF"/>
          </w:tcPr>
          <w:p>
            <w:pPr>
              <w:jc w:val="right"/>
              <w:ind w:right="7"/>
              <w:spacing w:after="0"/>
              <w:rPr>
                <w:sz w:val="20"/>
                <w:szCs w:val="20"/>
                <w:color w:val="auto"/>
              </w:rPr>
            </w:pPr>
            <w:r>
              <w:rPr>
                <w:rFonts w:ascii="Arial" w:cs="Arial" w:eastAsia="Arial" w:hAnsi="Arial"/>
                <w:sz w:val="8"/>
                <w:szCs w:val="8"/>
                <w:color w:val="auto"/>
              </w:rPr>
              <w:t>(1)</w:t>
            </w: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320" w:type="dxa"/>
            <w:vAlign w:val="bottom"/>
            <w:shd w:val="clear" w:color="auto" w:fill="CCEEFF"/>
          </w:tcPr>
          <w:p>
            <w:pPr>
              <w:jc w:val="right"/>
              <w:ind w:right="47"/>
              <w:spacing w:after="0"/>
              <w:rPr>
                <w:sz w:val="20"/>
                <w:szCs w:val="20"/>
                <w:color w:val="auto"/>
              </w:rPr>
            </w:pPr>
            <w:r>
              <w:rPr>
                <w:rFonts w:ascii="Arial" w:cs="Arial" w:eastAsia="Arial" w:hAnsi="Arial"/>
                <w:sz w:val="8"/>
                <w:szCs w:val="8"/>
                <w:color w:val="auto"/>
              </w:rPr>
              <w:t>(1)</w:t>
            </w:r>
          </w:p>
        </w:tc>
        <w:tc>
          <w:tcPr>
            <w:tcW w:w="12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320" w:type="dxa"/>
            <w:vAlign w:val="bottom"/>
            <w:shd w:val="clear" w:color="auto" w:fill="CCEEFF"/>
          </w:tcPr>
          <w:p>
            <w:pPr>
              <w:jc w:val="right"/>
              <w:ind w:right="80"/>
              <w:spacing w:after="0"/>
              <w:rPr>
                <w:sz w:val="20"/>
                <w:szCs w:val="20"/>
                <w:color w:val="auto"/>
              </w:rPr>
            </w:pPr>
            <w:r>
              <w:rPr>
                <w:rFonts w:ascii="Arial" w:cs="Arial" w:eastAsia="Arial" w:hAnsi="Arial"/>
                <w:sz w:val="8"/>
                <w:szCs w:val="8"/>
                <w:color w:val="auto"/>
              </w:rPr>
              <w:t>(1)</w:t>
            </w:r>
          </w:p>
        </w:tc>
        <w:tc>
          <w:tcPr>
            <w:tcW w:w="0" w:type="dxa"/>
            <w:vAlign w:val="bottom"/>
          </w:tcPr>
          <w:p>
            <w:pPr>
              <w:spacing w:after="0"/>
              <w:rPr>
                <w:sz w:val="1"/>
                <w:szCs w:val="1"/>
                <w:color w:val="auto"/>
              </w:rPr>
            </w:pPr>
          </w:p>
        </w:tc>
      </w:tr>
      <w:tr>
        <w:trPr>
          <w:trHeight w:val="67"/>
        </w:trPr>
        <w:tc>
          <w:tcPr>
            <w:tcW w:w="590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5900" w:type="dxa"/>
            <w:vAlign w:val="bottom"/>
            <w:gridSpan w:val="2"/>
          </w:tcPr>
          <w:p>
            <w:pPr>
              <w:ind w:left="20"/>
              <w:spacing w:after="0"/>
              <w:rPr>
                <w:sz w:val="20"/>
                <w:szCs w:val="20"/>
                <w:color w:val="auto"/>
              </w:rPr>
            </w:pPr>
            <w:r>
              <w:rPr>
                <w:rFonts w:ascii="Arial" w:cs="Arial" w:eastAsia="Arial" w:hAnsi="Arial"/>
                <w:sz w:val="12"/>
                <w:szCs w:val="12"/>
                <w:color w:val="auto"/>
              </w:rPr>
              <w:t>Spectra A&amp;D Acquisition, Inc. (fka FDS Avionics Corp.) - Revolving Loan</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0.2</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Wonderware Holdings, LLC (dba CORE Business Technologies) - Delayed Draw Term Loan</w:t>
            </w: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3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900" w:type="dxa"/>
            <w:vAlign w:val="bottom"/>
            <w:gridSpan w:val="2"/>
          </w:tcPr>
          <w:p>
            <w:pPr>
              <w:ind w:left="20"/>
              <w:spacing w:after="0"/>
              <w:rPr>
                <w:sz w:val="20"/>
                <w:szCs w:val="20"/>
                <w:color w:val="auto"/>
              </w:rPr>
            </w:pPr>
            <w:r>
              <w:rPr>
                <w:rFonts w:ascii="Arial" w:cs="Arial" w:eastAsia="Arial" w:hAnsi="Arial"/>
                <w:sz w:val="12"/>
                <w:szCs w:val="12"/>
                <w:color w:val="auto"/>
              </w:rPr>
              <w:t>Total</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16.7</w:t>
            </w:r>
          </w:p>
        </w:tc>
        <w:tc>
          <w:tcPr>
            <w:tcW w:w="1340" w:type="dxa"/>
            <w:vAlign w:val="bottom"/>
            <w:gridSpan w:val="2"/>
          </w:tcPr>
          <w:p>
            <w:pPr>
              <w:jc w:val="right"/>
              <w:ind w:right="861"/>
              <w:spacing w:after="0"/>
              <w:rPr>
                <w:sz w:val="20"/>
                <w:szCs w:val="20"/>
                <w:color w:val="auto"/>
              </w:rPr>
            </w:pPr>
            <w:r>
              <w:rPr>
                <w:rFonts w:ascii="Arial" w:cs="Arial" w:eastAsia="Arial" w:hAnsi="Arial"/>
                <w:sz w:val="12"/>
                <w:szCs w:val="12"/>
                <w:color w:val="auto"/>
              </w:rPr>
              <w:t>$</w:t>
            </w:r>
          </w:p>
        </w:tc>
        <w:tc>
          <w:tcPr>
            <w:tcW w:w="220" w:type="dxa"/>
            <w:vAlign w:val="bottom"/>
          </w:tcPr>
          <w:p>
            <w:pPr>
              <w:jc w:val="right"/>
              <w:spacing w:after="0"/>
              <w:rPr>
                <w:sz w:val="20"/>
                <w:szCs w:val="20"/>
                <w:color w:val="auto"/>
              </w:rPr>
            </w:pPr>
            <w:r>
              <w:rPr>
                <w:rFonts w:ascii="Arial" w:cs="Arial" w:eastAsia="Arial" w:hAnsi="Arial"/>
                <w:sz w:val="12"/>
                <w:szCs w:val="12"/>
                <w:color w:val="auto"/>
              </w:rPr>
              <w:t>8.6</w:t>
            </w:r>
          </w:p>
        </w:tc>
        <w:tc>
          <w:tcPr>
            <w:tcW w:w="3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11.0</w:t>
            </w:r>
          </w:p>
        </w:tc>
        <w:tc>
          <w:tcPr>
            <w:tcW w:w="4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5.6</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4371975</wp:posOffset>
            </wp:positionH>
            <wp:positionV relativeFrom="paragraph">
              <wp:posOffset>-141605</wp:posOffset>
            </wp:positionV>
            <wp:extent cx="2769235" cy="1422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769235" cy="142240"/>
                    </a:xfrm>
                    <a:prstGeom prst="rect">
                      <a:avLst/>
                    </a:prstGeom>
                    <a:noFill/>
                  </pic:spPr>
                </pic:pic>
              </a:graphicData>
            </a:graphic>
          </wp:anchor>
        </w:drawing>
      </w:r>
    </w:p>
    <w:p>
      <w:pPr>
        <w:ind w:right="220" w:firstLine="1"/>
        <w:spacing w:after="0" w:line="254" w:lineRule="auto"/>
        <w:tabs>
          <w:tab w:leader="none" w:pos="191" w:val="left"/>
        </w:tabs>
        <w:numPr>
          <w:ilvl w:val="0"/>
          <w:numId w:val="36"/>
        </w:numPr>
        <w:rPr>
          <w:rFonts w:ascii="Arial" w:cs="Arial" w:eastAsia="Arial" w:hAnsi="Arial"/>
          <w:sz w:val="14"/>
          <w:szCs w:val="14"/>
          <w:color w:val="auto"/>
        </w:rPr>
      </w:pPr>
      <w:r>
        <w:rPr>
          <w:rFonts w:ascii="Arial" w:cs="Arial" w:eastAsia="Arial" w:hAnsi="Arial"/>
          <w:sz w:val="14"/>
          <w:szCs w:val="14"/>
          <w:color w:val="auto"/>
        </w:rPr>
        <w:t>Portfolio company was no longer held at period end. The commitment represents our maximum potential liability related to certain guaranteed obligations stemming from the prior sale of the portfolio company's underlying operations.</w:t>
      </w:r>
    </w:p>
    <w:p>
      <w:pPr>
        <w:spacing w:after="0" w:line="14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Additional detail for each of the commitments above is provided in our consolidated schedules of investments.</w:t>
      </w:r>
    </w:p>
    <w:p>
      <w:pPr>
        <w:spacing w:after="0" w:line="172" w:lineRule="exact"/>
        <w:rPr>
          <w:sz w:val="20"/>
          <w:szCs w:val="20"/>
          <w:color w:val="auto"/>
        </w:rPr>
      </w:pPr>
    </w:p>
    <w:p>
      <w:pPr>
        <w:ind w:firstLine="478"/>
        <w:spacing w:after="0" w:line="288" w:lineRule="auto"/>
        <w:rPr>
          <w:sz w:val="20"/>
          <w:szCs w:val="20"/>
          <w:color w:val="auto"/>
        </w:rPr>
      </w:pPr>
      <w:r>
        <w:rPr>
          <w:rFonts w:ascii="Arial" w:cs="Arial" w:eastAsia="Arial" w:hAnsi="Arial"/>
          <w:sz w:val="17"/>
          <w:szCs w:val="17"/>
          <w:color w:val="auto"/>
        </w:rPr>
        <w:t>The Company believes its assets will provide adequate coverage to satisfy these outstanding commitments. As of September 30, 2021, the Company had cash and cash equivalents of approximately $98.8 million and $60.0 million in available borrowings under the Credit Facility.</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Transactions</w:t>
      </w:r>
    </w:p>
    <w:p>
      <w:pPr>
        <w:spacing w:after="0" w:line="176"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We have entered into a number of business relationships with affiliated or related parties, including the following:</w:t>
      </w:r>
    </w:p>
    <w:p>
      <w:pPr>
        <w:spacing w:after="0" w:line="172" w:lineRule="exact"/>
        <w:rPr>
          <w:sz w:val="20"/>
          <w:szCs w:val="20"/>
          <w:color w:val="auto"/>
        </w:rPr>
      </w:pPr>
    </w:p>
    <w:p>
      <w:pPr>
        <w:ind w:left="920" w:right="20"/>
        <w:spacing w:after="0" w:line="264" w:lineRule="auto"/>
        <w:rPr>
          <w:sz w:val="20"/>
          <w:szCs w:val="20"/>
          <w:color w:val="auto"/>
        </w:rPr>
      </w:pPr>
      <w:r>
        <w:rPr>
          <w:rFonts w:ascii="Arial" w:cs="Arial" w:eastAsia="Arial" w:hAnsi="Arial"/>
          <w:sz w:val="17"/>
          <w:szCs w:val="17"/>
          <w:color w:val="auto"/>
        </w:rPr>
        <w:t>We have entered into the Investment Advisory Agreement with Fidus Investment Advisors as our investment advisor. Pursuant to the agreement, the Investment Advisor manages our day-to-day operating and investing activities. We pay the Investment Advisor a fee for its services under the Investment Advisory Agreement consisting of two components — a base management fee and an incentive fee. See Note 5 to our consolidated financial statements.</w:t>
      </w:r>
    </w:p>
    <w:p>
      <w:pPr>
        <w:spacing w:after="0" w:line="2" w:lineRule="exact"/>
        <w:rPr>
          <w:sz w:val="20"/>
          <w:szCs w:val="20"/>
          <w:color w:val="auto"/>
        </w:rPr>
      </w:pPr>
    </w:p>
    <w:p>
      <w:pPr>
        <w:ind w:left="920" w:right="120"/>
        <w:spacing w:after="0" w:line="264" w:lineRule="auto"/>
        <w:rPr>
          <w:sz w:val="20"/>
          <w:szCs w:val="20"/>
          <w:color w:val="auto"/>
        </w:rPr>
      </w:pPr>
      <w:r>
        <w:rPr>
          <w:rFonts w:ascii="Arial" w:cs="Arial" w:eastAsia="Arial" w:hAnsi="Arial"/>
          <w:sz w:val="17"/>
          <w:szCs w:val="17"/>
          <w:color w:val="auto"/>
        </w:rPr>
        <w:t>Edward H. Ross, our Chairman and Chief Executive Officer, and Thomas C. Lauer, our President, are managers of Fidus Investment Advisors. In May 2015, Fidus Investment Advisors entered into a combination with Fidus Partners, LLC (the “Combination”), by which members of Fidus Investment Advisors and Fidus Partners, LLC (“Partners”) contributed all of their respective membership interest in Fidus Investment Advisors and Partners to a newly formed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457" w:right="339" w:bottom="1440" w:gutter="0" w:footer="0" w:header="0"/>
        </w:sectPr>
      </w:pPr>
    </w:p>
    <w:bookmarkStart w:id="56" w:name="page57"/>
    <w:bookmarkEnd w:id="56"/>
    <w:p>
      <w:pPr>
        <w:ind w:left="920" w:right="60"/>
        <w:spacing w:after="0" w:line="264" w:lineRule="auto"/>
        <w:rPr>
          <w:sz w:val="20"/>
          <w:szCs w:val="20"/>
          <w:color w:val="auto"/>
        </w:rPr>
      </w:pPr>
      <w:r>
        <w:rPr>
          <w:rFonts w:ascii="Arial" w:cs="Arial" w:eastAsia="Arial" w:hAnsi="Arial"/>
          <w:sz w:val="17"/>
          <w:szCs w:val="17"/>
          <w:color w:val="auto"/>
        </w:rPr>
        <w:t>limited liability company, Fidus Group Holdings, LLC (“Holdings”). As a result, Fidus Investment Advisors is a wholly-owned subsidiary of Holdings, which is a limited liability company organized under the laws of Delaware.</w:t>
      </w:r>
    </w:p>
    <w:p>
      <w:pPr>
        <w:spacing w:after="0" w:line="1" w:lineRule="exact"/>
        <w:rPr>
          <w:sz w:val="20"/>
          <w:szCs w:val="20"/>
          <w:color w:val="auto"/>
        </w:rPr>
      </w:pPr>
    </w:p>
    <w:p>
      <w:pPr>
        <w:ind w:left="920" w:right="480"/>
        <w:spacing w:after="0" w:line="264" w:lineRule="auto"/>
        <w:rPr>
          <w:sz w:val="20"/>
          <w:szCs w:val="20"/>
          <w:color w:val="auto"/>
        </w:rPr>
      </w:pPr>
      <w:r>
        <w:rPr>
          <w:rFonts w:ascii="Arial" w:cs="Arial" w:eastAsia="Arial" w:hAnsi="Arial"/>
          <w:sz w:val="17"/>
          <w:szCs w:val="17"/>
          <w:color w:val="auto"/>
        </w:rPr>
        <w:t>We entered into the Administration Agreement with Fidus Investment Advisors to provide us with the office facilities and administrative services necessary to conduct day-to-day operations. See Note 5 to our consolidated financial statements.</w:t>
      </w:r>
    </w:p>
    <w:p>
      <w:pPr>
        <w:spacing w:after="0" w:line="1" w:lineRule="exact"/>
        <w:rPr>
          <w:sz w:val="20"/>
          <w:szCs w:val="20"/>
          <w:color w:val="auto"/>
        </w:rPr>
      </w:pPr>
    </w:p>
    <w:p>
      <w:pPr>
        <w:ind w:left="920" w:right="400"/>
        <w:spacing w:after="0" w:line="264" w:lineRule="auto"/>
        <w:rPr>
          <w:sz w:val="20"/>
          <w:szCs w:val="20"/>
          <w:color w:val="auto"/>
        </w:rPr>
      </w:pPr>
      <w:r>
        <w:rPr>
          <w:rFonts w:ascii="Arial" w:cs="Arial" w:eastAsia="Arial" w:hAnsi="Arial"/>
          <w:sz w:val="17"/>
          <w:szCs w:val="17"/>
          <w:color w:val="auto"/>
        </w:rPr>
        <w:t>We entered into a license agreement with Fidus Partners, LLC, pursuant to which Fidus Partners, LLC has granted us a non-exclusive, royalty-free license to use the name “Fidus.”</w:t>
      </w:r>
    </w:p>
    <w:p>
      <w:pPr>
        <w:spacing w:after="0" w:line="1" w:lineRule="exact"/>
        <w:rPr>
          <w:sz w:val="20"/>
          <w:szCs w:val="20"/>
          <w:color w:val="auto"/>
        </w:rPr>
      </w:pPr>
    </w:p>
    <w:p>
      <w:pPr>
        <w:ind w:left="920"/>
        <w:spacing w:after="0" w:line="264" w:lineRule="auto"/>
        <w:rPr>
          <w:sz w:val="20"/>
          <w:szCs w:val="20"/>
          <w:color w:val="auto"/>
        </w:rPr>
      </w:pPr>
      <w:r>
        <w:rPr>
          <w:rFonts w:ascii="Arial" w:cs="Arial" w:eastAsia="Arial" w:hAnsi="Arial"/>
          <w:sz w:val="17"/>
          <w:szCs w:val="17"/>
          <w:color w:val="auto"/>
        </w:rPr>
        <w:t>On February 25, 2020, the Company entered into a Limited Partnership Agreement (the “Agreement”) with Fidus Equity Fund I, L.P. (“FEF I”). Pursuant to the Agreement, we will serve as the General Partner of FEF I. Owned by third-party investors, FEF I was formed to purchase 50% of select equity investments from us. On February 25, 2020, we sold 50% of our equity investments in 20 portfolio companies to FEF I and received net proceeds of $35.9 million, resulting in a realized gain, net of estimated taxes, of approximately $20.4 million. We will not receive any fees from FEF I for any services provided in our capacity as the General Partner of FEF I.</w:t>
      </w:r>
    </w:p>
    <w:p>
      <w:pPr>
        <w:spacing w:after="0" w:line="3" w:lineRule="exact"/>
        <w:rPr>
          <w:sz w:val="20"/>
          <w:szCs w:val="20"/>
          <w:color w:val="auto"/>
        </w:rPr>
      </w:pPr>
    </w:p>
    <w:p>
      <w:pPr>
        <w:ind w:left="920" w:right="60"/>
        <w:spacing w:after="0" w:line="264" w:lineRule="auto"/>
        <w:rPr>
          <w:sz w:val="20"/>
          <w:szCs w:val="20"/>
          <w:color w:val="auto"/>
        </w:rPr>
      </w:pPr>
      <w:r>
        <w:rPr>
          <w:rFonts w:ascii="Arial" w:cs="Arial" w:eastAsia="Arial" w:hAnsi="Arial"/>
          <w:sz w:val="17"/>
          <w:szCs w:val="17"/>
          <w:color w:val="auto"/>
        </w:rPr>
        <w:t>The Investment Advisor, in consultation with the Board, agreed to voluntarily waive $0.4 million of the income incentive fee for the nine months ended September 30, 2020. There was no income incentive fee waiver for the three and nine months ended September 30, 2021 and the three months ended September 30, 2020.</w:t>
      </w:r>
    </w:p>
    <w:p>
      <w:pPr>
        <w:spacing w:after="0" w:line="2" w:lineRule="exact"/>
        <w:rPr>
          <w:sz w:val="20"/>
          <w:szCs w:val="20"/>
          <w:color w:val="auto"/>
        </w:rPr>
      </w:pPr>
    </w:p>
    <w:p>
      <w:pPr>
        <w:jc w:val="both"/>
        <w:ind w:left="920" w:right="100"/>
        <w:spacing w:after="0" w:line="301" w:lineRule="auto"/>
        <w:rPr>
          <w:sz w:val="20"/>
          <w:szCs w:val="20"/>
          <w:color w:val="auto"/>
        </w:rPr>
      </w:pPr>
      <w:r>
        <w:rPr>
          <w:rFonts w:ascii="Arial" w:cs="Arial" w:eastAsia="Arial" w:hAnsi="Arial"/>
          <w:sz w:val="16"/>
          <w:szCs w:val="16"/>
          <w:color w:val="auto"/>
        </w:rPr>
        <w:t>The Investment Advisor, in consultation with the Board, agreed to voluntarily waive $0.1 million and $0.1 million of the base management fees on any assets accounted for as secured borrowings as defined under GAAP for the three and nine months ended September 30, 2021, respectively. There were no secured borrowings included in total assets for the three and nine months ended September 30, 2020.</w:t>
      </w:r>
    </w:p>
    <w:p>
      <w:pPr>
        <w:spacing w:after="0" w:line="106" w:lineRule="exact"/>
        <w:rPr>
          <w:sz w:val="20"/>
          <w:szCs w:val="20"/>
          <w:color w:val="auto"/>
        </w:rPr>
      </w:pPr>
    </w:p>
    <w:p>
      <w:pPr>
        <w:jc w:val="both"/>
        <w:ind w:firstLine="375"/>
        <w:spacing w:after="0" w:line="329" w:lineRule="auto"/>
        <w:rPr>
          <w:sz w:val="20"/>
          <w:szCs w:val="20"/>
          <w:color w:val="auto"/>
        </w:rPr>
      </w:pPr>
      <w:r>
        <w:rPr>
          <w:rFonts w:ascii="Arial" w:cs="Arial" w:eastAsia="Arial" w:hAnsi="Arial"/>
          <w:sz w:val="15"/>
          <w:szCs w:val="15"/>
          <w:color w:val="auto"/>
        </w:rPr>
        <w:t>In connection with the IPO and our election to be regulated as a BDC, we applied for and received exemptive relief from the SEC on March 27, 2012 to allow us to take certain actions that would otherwise be prohibited by the 1940 Act, as applicable to BDCs. Effective June 30, 2014, pursuant to separate exemptive relief from the SEC, any SBA debentures issued by Fund II and Fund III are not considered senior securities for purposes of the asset coverage requirements.</w:t>
      </w:r>
    </w:p>
    <w:p>
      <w:pPr>
        <w:spacing w:after="0" w:line="89" w:lineRule="exact"/>
        <w:rPr>
          <w:sz w:val="20"/>
          <w:szCs w:val="20"/>
          <w:color w:val="auto"/>
        </w:rPr>
      </w:pPr>
    </w:p>
    <w:p>
      <w:pPr>
        <w:jc w:val="both"/>
        <w:ind w:firstLine="375"/>
        <w:spacing w:after="0" w:line="307" w:lineRule="auto"/>
        <w:rPr>
          <w:sz w:val="20"/>
          <w:szCs w:val="20"/>
          <w:color w:val="auto"/>
        </w:rPr>
      </w:pPr>
      <w:r>
        <w:rPr>
          <w:rFonts w:ascii="Arial" w:cs="Arial" w:eastAsia="Arial" w:hAnsi="Arial"/>
          <w:sz w:val="15"/>
          <w:szCs w:val="15"/>
          <w:color w:val="auto"/>
        </w:rPr>
        <w:t>While we may co-invest with investment entities managed by the Investment Advisor or its affiliates, to the extent permitted by the 1940 Act and the rules and regulations thereunder, the 1940 Act imposes significant limits on co-investment. On January 4, 2017, the SEC staff has granted us relief sought in an exemptive order that expands our ability to co-invest in portfolio companies with other funds managed by the Investment Advisor or its affiliates in a manner consistent with our investment objective, positions, policies, strategies and restrictions as well as regulatory requirements and other pertinent factors, subject to compliance with certain conditions (the “Order”). Pursuant to the Order, we are permitted to co-invest with our affiliates if a “required majority” (as defined in Section 57(o) of the 1940 Act) or the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 (2) the transaction is consistent with the interests of our stockholders and is consistent with our investment objective and strategies. However, neither we nor our affiliates are obligated to invest or co-invest when investment opportunities are referred to us or them.</w:t>
      </w:r>
    </w:p>
    <w:p>
      <w:pPr>
        <w:spacing w:after="0" w:line="106" w:lineRule="exact"/>
        <w:rPr>
          <w:sz w:val="20"/>
          <w:szCs w:val="20"/>
          <w:color w:val="auto"/>
        </w:rPr>
      </w:pPr>
    </w:p>
    <w:p>
      <w:pPr>
        <w:jc w:val="both"/>
        <w:ind w:firstLine="282"/>
        <w:spacing w:after="0" w:line="270" w:lineRule="auto"/>
        <w:rPr>
          <w:sz w:val="20"/>
          <w:szCs w:val="20"/>
          <w:color w:val="auto"/>
        </w:rPr>
      </w:pPr>
      <w:r>
        <w:rPr>
          <w:rFonts w:ascii="Arial" w:cs="Arial" w:eastAsia="Arial" w:hAnsi="Arial"/>
          <w:sz w:val="17"/>
          <w:szCs w:val="17"/>
          <w:color w:val="auto"/>
        </w:rPr>
        <w:t>In addition, we and our Investment Advisor have each adopted a joint code of ethics pursuant to Rule 17j-1 under the 1940 Act that governs the conduct of our and the Investment Advisor’s officers, directors and employees. Additionally, the Investment Advisor has adopted a code of ethics pursuant to Rule 204A-1 under the Advisers Act of 1940, as amended, and in accordance with Rule 17j-1(c) under the 1940 Act. We have also adopted a code of business conduct that is applicable to all officers, directors and employees of Fidus and our Investment Advisor. Our officers and directors also remain subject to the duties imposed by both the 1940 Act and the Maryland General Corporation Law.</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176" w:lineRule="exact"/>
        <w:rPr>
          <w:sz w:val="20"/>
          <w:szCs w:val="20"/>
          <w:color w:val="auto"/>
        </w:rPr>
      </w:pPr>
    </w:p>
    <w:p>
      <w:pPr>
        <w:jc w:val="both"/>
        <w:ind w:firstLine="469"/>
        <w:spacing w:after="0" w:line="288" w:lineRule="auto"/>
        <w:rPr>
          <w:sz w:val="20"/>
          <w:szCs w:val="20"/>
          <w:color w:val="auto"/>
        </w:rPr>
      </w:pPr>
      <w:r>
        <w:rPr>
          <w:rFonts w:ascii="Arial" w:cs="Arial" w:eastAsia="Arial" w:hAnsi="Arial"/>
          <w:sz w:val="17"/>
          <w:szCs w:val="17"/>
          <w:color w:val="auto"/>
        </w:rPr>
        <w:t>On October 1, 2021, we invested $8.5 million in first lien debt, subordinated debt, and common equity of Auto CRM LLC (dba Dealer Holdings), a leading SaaS-based provider of customer communication software to the auto repair market.</w:t>
      </w:r>
    </w:p>
    <w:p>
      <w:pPr>
        <w:spacing w:after="0" w:line="114" w:lineRule="exact"/>
        <w:rPr>
          <w:sz w:val="20"/>
          <w:szCs w:val="20"/>
          <w:color w:val="auto"/>
        </w:rPr>
      </w:pPr>
    </w:p>
    <w:p>
      <w:pPr>
        <w:jc w:val="both"/>
        <w:ind w:firstLine="469"/>
        <w:spacing w:after="0" w:line="288" w:lineRule="auto"/>
        <w:rPr>
          <w:sz w:val="20"/>
          <w:szCs w:val="20"/>
          <w:color w:val="auto"/>
        </w:rPr>
      </w:pPr>
      <w:r>
        <w:rPr>
          <w:rFonts w:ascii="Arial" w:cs="Arial" w:eastAsia="Arial" w:hAnsi="Arial"/>
          <w:sz w:val="17"/>
          <w:szCs w:val="17"/>
          <w:color w:val="auto"/>
        </w:rPr>
        <w:t>On October 6, 2021, we invested $18.5 million in first lien debt, common equity, and warrants of Acendre Midco, Inc., a market leading provider of cloud-based talent management software solutions.</w:t>
      </w:r>
    </w:p>
    <w:p>
      <w:pPr>
        <w:spacing w:after="0" w:line="114" w:lineRule="exact"/>
        <w:rPr>
          <w:sz w:val="20"/>
          <w:szCs w:val="20"/>
          <w:color w:val="auto"/>
        </w:rPr>
      </w:pPr>
    </w:p>
    <w:p>
      <w:pPr>
        <w:jc w:val="both"/>
        <w:ind w:firstLine="469"/>
        <w:spacing w:after="0" w:line="276" w:lineRule="auto"/>
        <w:rPr>
          <w:sz w:val="20"/>
          <w:szCs w:val="20"/>
          <w:color w:val="auto"/>
        </w:rPr>
      </w:pPr>
      <w:r>
        <w:rPr>
          <w:rFonts w:ascii="Arial" w:cs="Arial" w:eastAsia="Arial" w:hAnsi="Arial"/>
          <w:sz w:val="17"/>
          <w:szCs w:val="17"/>
          <w:color w:val="auto"/>
        </w:rPr>
        <w:t>On October 8, 2021, we closed the public offering of approximately $125.0 million in aggregate principal amount of our 3.50% notes due 2026, or the “November 2026 Notes.” The total net proceeds to us from the November 2026 Notes, based on a public offering price of 99.996% of par, after deducting underwriting discounts of $2.5 million and estimated offering expenses of $0.4 million, were approximately $122.1 million.</w:t>
      </w:r>
    </w:p>
    <w:p>
      <w:pPr>
        <w:spacing w:after="0" w:line="124" w:lineRule="exact"/>
        <w:rPr>
          <w:sz w:val="20"/>
          <w:szCs w:val="20"/>
          <w:color w:val="auto"/>
        </w:rPr>
      </w:pPr>
    </w:p>
    <w:p>
      <w:pPr>
        <w:jc w:val="both"/>
        <w:ind w:firstLine="469"/>
        <w:spacing w:after="0" w:line="264" w:lineRule="auto"/>
        <w:rPr>
          <w:sz w:val="20"/>
          <w:szCs w:val="20"/>
          <w:color w:val="auto"/>
        </w:rPr>
      </w:pPr>
      <w:r>
        <w:rPr>
          <w:rFonts w:ascii="Arial" w:cs="Arial" w:eastAsia="Arial" w:hAnsi="Arial"/>
          <w:sz w:val="17"/>
          <w:szCs w:val="17"/>
          <w:color w:val="auto"/>
        </w:rPr>
        <w:t>The November 2026 Notes will mature on November 15, 2026 and bear interest at a rate of 3.50% per year. The November 2026 Notes are unsecured obligations and rank pari passu with our existing and future unsecured indebtedness; and structurally subordinated to all existing and future indebtedness and other obligations of any of our subsidiaries, financing vehicles, or similar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7" w:name="page58"/>
    <w:bookmarkEnd w:id="57"/>
    <w:p>
      <w:pPr>
        <w:jc w:val="both"/>
        <w:spacing w:after="0" w:line="294" w:lineRule="auto"/>
        <w:rPr>
          <w:sz w:val="20"/>
          <w:szCs w:val="20"/>
          <w:color w:val="auto"/>
        </w:rPr>
      </w:pPr>
      <w:r>
        <w:rPr>
          <w:rFonts w:ascii="Arial" w:cs="Arial" w:eastAsia="Arial" w:hAnsi="Arial"/>
          <w:sz w:val="16"/>
          <w:szCs w:val="16"/>
          <w:color w:val="auto"/>
        </w:rPr>
        <w:t>facilities we may form in the future, with respect to claims on the assets of any such subsidiaries, financing vehicles, or similar facilities. The November 2026 Notes may be redeemed in whole or in part at any time or from time to time at our option subject to a make whole provision if redeemed more than three months prior to maturity or at par thereafter. Interest on the November 2026 Notes is payable on May 15 and November 15 of each year, beginning May 15, 2022. We do not intend to list the November 2026 Notes on any securities exchange or automated dealer quotation system.</w:t>
      </w:r>
    </w:p>
    <w:p>
      <w:pPr>
        <w:spacing w:after="0" w:line="113" w:lineRule="exact"/>
        <w:rPr>
          <w:sz w:val="20"/>
          <w:szCs w:val="20"/>
          <w:color w:val="auto"/>
        </w:rPr>
      </w:pPr>
    </w:p>
    <w:p>
      <w:pPr>
        <w:jc w:val="both"/>
        <w:ind w:firstLine="469"/>
        <w:spacing w:after="0" w:line="288" w:lineRule="auto"/>
        <w:rPr>
          <w:sz w:val="20"/>
          <w:szCs w:val="20"/>
          <w:color w:val="auto"/>
        </w:rPr>
      </w:pPr>
      <w:r>
        <w:rPr>
          <w:rFonts w:ascii="Arial" w:cs="Arial" w:eastAsia="Arial" w:hAnsi="Arial"/>
          <w:sz w:val="17"/>
          <w:szCs w:val="17"/>
          <w:color w:val="auto"/>
        </w:rPr>
        <w:t>On October 26, 2021, we exited our debt investment in the Tranzonic Companies. The Company received payment in full of $7.1 million on our subordinated debt, which includes a prepayment fee.</w:t>
      </w:r>
    </w:p>
    <w:p>
      <w:pPr>
        <w:spacing w:after="0" w:line="114" w:lineRule="exact"/>
        <w:rPr>
          <w:sz w:val="20"/>
          <w:szCs w:val="20"/>
          <w:color w:val="auto"/>
        </w:rPr>
      </w:pPr>
    </w:p>
    <w:p>
      <w:pPr>
        <w:jc w:val="both"/>
        <w:ind w:firstLine="469"/>
        <w:spacing w:after="0" w:line="288" w:lineRule="auto"/>
        <w:rPr>
          <w:sz w:val="20"/>
          <w:szCs w:val="20"/>
          <w:color w:val="auto"/>
        </w:rPr>
      </w:pPr>
      <w:r>
        <w:rPr>
          <w:rFonts w:ascii="Arial" w:cs="Arial" w:eastAsia="Arial" w:hAnsi="Arial"/>
          <w:sz w:val="17"/>
          <w:szCs w:val="17"/>
          <w:color w:val="auto"/>
        </w:rPr>
        <w:t>On October 29, 2021, we committed $16.0 million in second lien debt in a leading marketing technology platform for digital customer acquisition across all consumer verticals, including financial services, home services, and insurance.</w:t>
      </w:r>
    </w:p>
    <w:p>
      <w:pPr>
        <w:spacing w:after="0" w:line="127" w:lineRule="exact"/>
        <w:rPr>
          <w:sz w:val="20"/>
          <w:szCs w:val="20"/>
          <w:color w:val="auto"/>
        </w:rPr>
      </w:pPr>
    </w:p>
    <w:p>
      <w:pPr>
        <w:jc w:val="both"/>
        <w:ind w:firstLine="469"/>
        <w:spacing w:after="0" w:line="288" w:lineRule="auto"/>
        <w:rPr>
          <w:sz w:val="20"/>
          <w:szCs w:val="20"/>
          <w:color w:val="auto"/>
        </w:rPr>
      </w:pPr>
      <w:r>
        <w:rPr>
          <w:rFonts w:ascii="Arial" w:cs="Arial" w:eastAsia="Arial" w:hAnsi="Arial"/>
          <w:sz w:val="17"/>
          <w:szCs w:val="17"/>
          <w:color w:val="auto"/>
        </w:rPr>
        <w:t>On November 1, 2021, our Board declared a regular quarterly dividend of $0.32 per share, a supplemental dividend of $0.04 per share, and a special dividend of $0.05 per share payable December 17, 2021, to stockholders of record as of December 3, 2021.</w:t>
      </w:r>
    </w:p>
    <w:p>
      <w:pPr>
        <w:spacing w:after="0" w:line="114" w:lineRule="exact"/>
        <w:rPr>
          <w:sz w:val="20"/>
          <w:szCs w:val="20"/>
          <w:color w:val="auto"/>
        </w:rPr>
      </w:pPr>
    </w:p>
    <w:p>
      <w:pPr>
        <w:jc w:val="both"/>
        <w:ind w:firstLine="469"/>
        <w:spacing w:after="0" w:line="288" w:lineRule="auto"/>
        <w:rPr>
          <w:sz w:val="20"/>
          <w:szCs w:val="20"/>
          <w:color w:val="auto"/>
        </w:rPr>
      </w:pPr>
      <w:r>
        <w:rPr>
          <w:rFonts w:ascii="Arial" w:cs="Arial" w:eastAsia="Arial" w:hAnsi="Arial"/>
          <w:sz w:val="17"/>
          <w:szCs w:val="17"/>
          <w:color w:val="auto"/>
        </w:rPr>
        <w:t>On November 2, 2021, we fully redeemed $19.0 million and $63.3 million of the issued and outstanding February 2024 Notes and November 2024 Notes, respectively, resulting in a realized loss on extinguishment of debt of approximately $1.6 million.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76" w:lineRule="exact"/>
        <w:rPr>
          <w:sz w:val="20"/>
          <w:szCs w:val="20"/>
          <w:color w:val="auto"/>
        </w:rPr>
      </w:pPr>
    </w:p>
    <w:p>
      <w:pPr>
        <w:jc w:val="both"/>
        <w:ind w:firstLine="375"/>
        <w:spacing w:after="0" w:line="270" w:lineRule="auto"/>
        <w:rPr>
          <w:sz w:val="20"/>
          <w:szCs w:val="20"/>
          <w:color w:val="auto"/>
        </w:rPr>
      </w:pPr>
      <w:r>
        <w:rPr>
          <w:rFonts w:ascii="Arial" w:cs="Arial" w:eastAsia="Arial" w:hAnsi="Arial"/>
          <w:sz w:val="17"/>
          <w:szCs w:val="17"/>
          <w:color w:val="auto"/>
        </w:rPr>
        <w:t>We are subject to financial market risks, including changes in interest rates. Changes in interest rates affect both our cost of funding and the valuation of our investment portfolio. Our risk management systems and procedures are designed to identify and analyze our risk, to set appropriate policies and limits and to continually monitor these risks and limits by means of reliable administrative and information systems and other policies and programs. In addition, U.S. and global capital markets and credit markets have experienced a higher level of stress due to the global COVID-19 pandemic, which has resulted in an increase in the level of volatility across such markets and a general decline in value of the securities held by us.</w:t>
      </w:r>
    </w:p>
    <w:p>
      <w:pPr>
        <w:spacing w:after="0" w:line="130" w:lineRule="exact"/>
        <w:rPr>
          <w:sz w:val="20"/>
          <w:szCs w:val="20"/>
          <w:color w:val="auto"/>
        </w:rPr>
      </w:pPr>
    </w:p>
    <w:p>
      <w:pPr>
        <w:jc w:val="both"/>
        <w:ind w:firstLine="375"/>
        <w:spacing w:after="0" w:line="284" w:lineRule="auto"/>
        <w:rPr>
          <w:sz w:val="20"/>
          <w:szCs w:val="20"/>
          <w:color w:val="auto"/>
        </w:rPr>
      </w:pPr>
      <w:r>
        <w:rPr>
          <w:rFonts w:ascii="Arial" w:cs="Arial" w:eastAsia="Arial" w:hAnsi="Arial"/>
          <w:sz w:val="16"/>
          <w:szCs w:val="16"/>
          <w:color w:val="auto"/>
        </w:rPr>
        <w:t>In the future, our investment income may also be affected by changes in various interest rates, including LIBOR and prime rates, to the extent of any debt investments that include floating interest rates. In connection with the COVID-19 pandemic, the U.S. Federal Reserve and other central banks have reduced certain interest rates and LIBOR has decreased. A prolonged reduction in interest rates will reduce our gross investment income and could result in a decrease in our net investment income if such decreases in LIBOR are not offset by a corresponding increase in the spread over LIBOR that we earn on any portfolio investments, a decrease in in our operating expenses, including with respect to our income incentive fee, or a decrease in the interest rate of our floating interest rate liabilities tied to LIBOR. As of September 30, 2021 and December 31, 2020, 28 and 22 portfolio company’s debt investments, respectively, bore interest at a variable rate, which represented $317.2 million and $230.9 million of our portfolio on a fair value basis, respectively, and the remainder of our debt portfolio was comprised entirely of fixed rate investments. Our pooled SBA debentures and our Notes bear interest at fixed rates. Our Credit Facility bears interest, at our election, at a rate per annum equal to (a) 3.00% (or 2.75% if certain conditions are satisfied, including if (x) no equity interests are included in the borrowing base, (y) the contribution to the borrowing base of eligible portfolio investments that are performing first lien bank loans is greater than or equal to 35%, and (z) the contribution to the borrowing base of eligible portfolio investments that are performing first lien bank loans, performing last out loans, or performing second lien loans is greater than or equal to 60%) plus the one, two, three or six month LIBOR rate, as applicable, or (b) 2.00% (or 1.75% if the above conditions are satisfied) plus the highest of (A) a prime rate, (B) the Federal Funds rate plus 0.5%, (C) three month LIBOR plus 1.0%, and (D) zero.</w:t>
      </w:r>
    </w:p>
    <w:p>
      <w:pPr>
        <w:spacing w:after="0" w:line="187" w:lineRule="exact"/>
        <w:rPr>
          <w:sz w:val="20"/>
          <w:szCs w:val="20"/>
          <w:color w:val="auto"/>
        </w:rPr>
      </w:pPr>
    </w:p>
    <w:p>
      <w:pPr>
        <w:jc w:val="both"/>
        <w:ind w:firstLine="375"/>
        <w:spacing w:after="0" w:line="294" w:lineRule="auto"/>
        <w:rPr>
          <w:sz w:val="20"/>
          <w:szCs w:val="20"/>
          <w:color w:val="auto"/>
        </w:rPr>
      </w:pPr>
      <w:r>
        <w:rPr>
          <w:rFonts w:ascii="Arial" w:cs="Arial" w:eastAsia="Arial" w:hAnsi="Arial"/>
          <w:sz w:val="16"/>
          <w:szCs w:val="16"/>
          <w:color w:val="auto"/>
        </w:rPr>
        <w:t>Because we currently borrow, and plan to borrow in the future, money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176" w:lineRule="exact"/>
        <w:rPr>
          <w:sz w:val="20"/>
          <w:szCs w:val="20"/>
          <w:color w:val="auto"/>
        </w:rPr>
      </w:pPr>
    </w:p>
    <w:p>
      <w:pPr>
        <w:jc w:val="both"/>
        <w:ind w:firstLine="375"/>
        <w:spacing w:after="0" w:line="288" w:lineRule="auto"/>
        <w:rPr>
          <w:sz w:val="20"/>
          <w:szCs w:val="20"/>
          <w:color w:val="auto"/>
        </w:rPr>
      </w:pPr>
      <w:r>
        <w:rPr>
          <w:rFonts w:ascii="Arial" w:cs="Arial" w:eastAsia="Arial" w:hAnsi="Arial"/>
          <w:sz w:val="17"/>
          <w:szCs w:val="17"/>
          <w:color w:val="auto"/>
        </w:rPr>
        <w:t>The following table shows the approximate annualized increase or decrease in the components of net investment income due to hypothetical base rate changes in interest rates, assuming no changes in our investments and borrowings as of September 30, 2021 (dollars in millions):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507"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74"/>
        </w:trPr>
        <w:tc>
          <w:tcPr>
            <w:tcW w:w="3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center"/>
              <w:ind w:left="212"/>
              <w:spacing w:after="0"/>
              <w:rPr>
                <w:sz w:val="20"/>
                <w:szCs w:val="20"/>
                <w:color w:val="auto"/>
              </w:rPr>
            </w:pPr>
            <w:r>
              <w:rPr>
                <w:rFonts w:ascii="Arial" w:cs="Arial" w:eastAsia="Arial" w:hAnsi="Arial"/>
                <w:sz w:val="14"/>
                <w:szCs w:val="14"/>
                <w:b w:val="1"/>
                <w:bCs w:val="1"/>
                <w:color w:val="auto"/>
                <w:w w:val="86"/>
              </w:rPr>
              <w:t>Interest Income</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center"/>
              <w:ind w:left="192"/>
              <w:spacing w:after="0"/>
              <w:rPr>
                <w:sz w:val="20"/>
                <w:szCs w:val="20"/>
                <w:color w:val="auto"/>
              </w:rPr>
            </w:pPr>
            <w:r>
              <w:rPr>
                <w:rFonts w:ascii="Arial" w:cs="Arial" w:eastAsia="Arial" w:hAnsi="Arial"/>
                <w:sz w:val="14"/>
                <w:szCs w:val="14"/>
                <w:b w:val="1"/>
                <w:bCs w:val="1"/>
                <w:color w:val="auto"/>
                <w:w w:val="85"/>
              </w:rPr>
              <w:t>Interest Expense</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6"/>
        </w:trPr>
        <w:tc>
          <w:tcPr>
            <w:tcW w:w="3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jc w:val="center"/>
              <w:ind w:left="192"/>
              <w:spacing w:after="0"/>
              <w:rPr>
                <w:sz w:val="20"/>
                <w:szCs w:val="20"/>
                <w:color w:val="auto"/>
              </w:rPr>
            </w:pPr>
            <w:r>
              <w:rPr>
                <w:rFonts w:ascii="Arial" w:cs="Arial" w:eastAsia="Arial" w:hAnsi="Arial"/>
                <w:sz w:val="14"/>
                <w:szCs w:val="14"/>
                <w:b w:val="1"/>
                <w:bCs w:val="1"/>
                <w:color w:val="auto"/>
                <w:w w:val="84"/>
              </w:rPr>
              <w:t>Increase</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center"/>
              <w:ind w:left="192"/>
              <w:spacing w:after="0"/>
              <w:rPr>
                <w:sz w:val="20"/>
                <w:szCs w:val="20"/>
                <w:color w:val="auto"/>
              </w:rPr>
            </w:pPr>
            <w:r>
              <w:rPr>
                <w:rFonts w:ascii="Arial" w:cs="Arial" w:eastAsia="Arial" w:hAnsi="Arial"/>
                <w:sz w:val="14"/>
                <w:szCs w:val="14"/>
                <w:b w:val="1"/>
                <w:bCs w:val="1"/>
                <w:color w:val="auto"/>
                <w:w w:val="84"/>
              </w:rPr>
              <w:t>Increase</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center"/>
              <w:ind w:left="272"/>
              <w:spacing w:after="0"/>
              <w:rPr>
                <w:sz w:val="20"/>
                <w:szCs w:val="20"/>
                <w:color w:val="auto"/>
              </w:rPr>
            </w:pPr>
            <w:r>
              <w:rPr>
                <w:rFonts w:ascii="Arial" w:cs="Arial" w:eastAsia="Arial" w:hAnsi="Arial"/>
                <w:sz w:val="14"/>
                <w:szCs w:val="14"/>
                <w:b w:val="1"/>
                <w:bCs w:val="1"/>
                <w:color w:val="auto"/>
                <w:w w:val="86"/>
              </w:rPr>
              <w:t>Net Increase</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Net Investment</w:t>
            </w:r>
          </w:p>
        </w:tc>
      </w:tr>
      <w:tr>
        <w:trPr>
          <w:trHeight w:val="205"/>
        </w:trPr>
        <w:tc>
          <w:tcPr>
            <w:tcW w:w="3720" w:type="dxa"/>
            <w:vAlign w:val="bottom"/>
            <w:tcBorders>
              <w:bottom w:val="single" w:sz="8" w:color="auto"/>
            </w:tcBorders>
          </w:tcPr>
          <w:p>
            <w:pPr>
              <w:jc w:val="right"/>
              <w:ind w:right="1832"/>
              <w:spacing w:after="0"/>
              <w:rPr>
                <w:sz w:val="20"/>
                <w:szCs w:val="20"/>
                <w:color w:val="auto"/>
              </w:rPr>
            </w:pPr>
            <w:r>
              <w:rPr>
                <w:rFonts w:ascii="Arial" w:cs="Arial" w:eastAsia="Arial" w:hAnsi="Arial"/>
                <w:sz w:val="14"/>
                <w:szCs w:val="14"/>
                <w:b w:val="1"/>
                <w:bCs w:val="1"/>
                <w:color w:val="auto"/>
                <w:w w:val="84"/>
              </w:rPr>
              <w:t>Basis Point Increase (Decrease)</w:t>
            </w:r>
          </w:p>
        </w:tc>
        <w:tc>
          <w:tcPr>
            <w:tcW w:w="300" w:type="dxa"/>
            <w:vAlign w:val="bottom"/>
          </w:tcPr>
          <w:p>
            <w:pPr>
              <w:spacing w:after="0"/>
              <w:rPr>
                <w:sz w:val="17"/>
                <w:szCs w:val="17"/>
                <w:color w:val="auto"/>
              </w:rPr>
            </w:pPr>
          </w:p>
        </w:tc>
        <w:tc>
          <w:tcPr>
            <w:tcW w:w="1340" w:type="dxa"/>
            <w:vAlign w:val="bottom"/>
            <w:tcBorders>
              <w:bottom w:val="single" w:sz="8" w:color="auto"/>
            </w:tcBorders>
          </w:tcPr>
          <w:p>
            <w:pPr>
              <w:jc w:val="center"/>
              <w:ind w:left="192"/>
              <w:spacing w:after="0" w:line="205" w:lineRule="exact"/>
              <w:rPr>
                <w:sz w:val="20"/>
                <w:szCs w:val="20"/>
                <w:color w:val="auto"/>
              </w:rPr>
            </w:pPr>
            <w:r>
              <w:rPr>
                <w:rFonts w:ascii="Arial" w:cs="Arial" w:eastAsia="Arial" w:hAnsi="Arial"/>
                <w:sz w:val="14"/>
                <w:szCs w:val="14"/>
                <w:b w:val="1"/>
                <w:bCs w:val="1"/>
                <w:color w:val="auto"/>
                <w:w w:val="81"/>
              </w:rPr>
              <w:t xml:space="preserve">(Decrease) </w:t>
            </w:r>
            <w:r>
              <w:rPr>
                <w:rFonts w:ascii="Arial" w:cs="Arial" w:eastAsia="Arial" w:hAnsi="Arial"/>
                <w:sz w:val="18"/>
                <w:szCs w:val="18"/>
                <w:b w:val="1"/>
                <w:bCs w:val="1"/>
                <w:color w:val="auto"/>
                <w:w w:val="81"/>
                <w:vertAlign w:val="superscript"/>
              </w:rPr>
              <w:t>(1) (2)</w:t>
            </w:r>
          </w:p>
        </w:tc>
        <w:tc>
          <w:tcPr>
            <w:tcW w:w="2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Borders>
              <w:bottom w:val="single" w:sz="8" w:color="auto"/>
            </w:tcBorders>
          </w:tcPr>
          <w:p>
            <w:pPr>
              <w:jc w:val="center"/>
              <w:ind w:left="192"/>
              <w:spacing w:after="0"/>
              <w:rPr>
                <w:sz w:val="20"/>
                <w:szCs w:val="20"/>
                <w:color w:val="auto"/>
              </w:rPr>
            </w:pPr>
            <w:r>
              <w:rPr>
                <w:rFonts w:ascii="Arial" w:cs="Arial" w:eastAsia="Arial" w:hAnsi="Arial"/>
                <w:sz w:val="14"/>
                <w:szCs w:val="14"/>
                <w:b w:val="1"/>
                <w:bCs w:val="1"/>
                <w:color w:val="auto"/>
                <w:w w:val="83"/>
              </w:rPr>
              <w:t>(Decrease)</w:t>
            </w:r>
          </w:p>
        </w:tc>
        <w:tc>
          <w:tcPr>
            <w:tcW w:w="2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Borders>
              <w:bottom w:val="single" w:sz="8" w:color="auto"/>
            </w:tcBorders>
          </w:tcPr>
          <w:p>
            <w:pPr>
              <w:jc w:val="center"/>
              <w:ind w:left="272"/>
              <w:spacing w:after="0"/>
              <w:rPr>
                <w:sz w:val="20"/>
                <w:szCs w:val="20"/>
                <w:color w:val="auto"/>
              </w:rPr>
            </w:pPr>
            <w:r>
              <w:rPr>
                <w:rFonts w:ascii="Arial" w:cs="Arial" w:eastAsia="Arial" w:hAnsi="Arial"/>
                <w:sz w:val="14"/>
                <w:szCs w:val="14"/>
                <w:b w:val="1"/>
                <w:bCs w:val="1"/>
                <w:color w:val="auto"/>
                <w:w w:val="83"/>
              </w:rPr>
              <w:t>(Decrease)</w:t>
            </w:r>
          </w:p>
        </w:tc>
        <w:tc>
          <w:tcPr>
            <w:tcW w:w="3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52"/>
              <w:spacing w:after="0" w:line="205" w:lineRule="exact"/>
              <w:rPr>
                <w:sz w:val="20"/>
                <w:szCs w:val="20"/>
                <w:color w:val="auto"/>
              </w:rPr>
            </w:pPr>
            <w:r>
              <w:rPr>
                <w:rFonts w:ascii="Arial" w:cs="Arial" w:eastAsia="Arial" w:hAnsi="Arial"/>
                <w:sz w:val="14"/>
                <w:szCs w:val="14"/>
                <w:b w:val="1"/>
                <w:bCs w:val="1"/>
                <w:color w:val="auto"/>
              </w:rPr>
              <w:t xml:space="preserve">Income </w:t>
            </w:r>
            <w:r>
              <w:rPr>
                <w:rFonts w:ascii="Arial" w:cs="Arial" w:eastAsia="Arial" w:hAnsi="Arial"/>
                <w:sz w:val="18"/>
                <w:szCs w:val="18"/>
                <w:b w:val="1"/>
                <w:bCs w:val="1"/>
                <w:color w:val="auto"/>
                <w:vertAlign w:val="superscript"/>
              </w:rPr>
              <w:t>(3)</w:t>
            </w:r>
          </w:p>
        </w:tc>
        <w:tc>
          <w:tcPr>
            <w:tcW w:w="60" w:type="dxa"/>
            <w:vAlign w:val="bottom"/>
          </w:tcPr>
          <w:p>
            <w:pPr>
              <w:spacing w:after="0"/>
              <w:rPr>
                <w:sz w:val="17"/>
                <w:szCs w:val="17"/>
                <w:color w:val="auto"/>
              </w:rPr>
            </w:pPr>
          </w:p>
        </w:tc>
      </w:tr>
      <w:tr>
        <w:trPr>
          <w:trHeight w:val="183"/>
        </w:trPr>
        <w:tc>
          <w:tcPr>
            <w:tcW w:w="4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(200 )</w:t>
            </w:r>
          </w:p>
        </w:tc>
        <w:tc>
          <w:tcPr>
            <w:tcW w:w="1340" w:type="dxa"/>
            <w:vAlign w:val="bottom"/>
            <w:shd w:val="clear" w:color="auto" w:fill="CCEEFF"/>
          </w:tcPr>
          <w:p>
            <w:pPr>
              <w:jc w:val="right"/>
              <w:ind w:right="1192"/>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1192"/>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1112"/>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85"/>
        </w:trPr>
        <w:tc>
          <w:tcPr>
            <w:tcW w:w="4020" w:type="dxa"/>
            <w:vAlign w:val="bottom"/>
            <w:gridSpan w:val="2"/>
          </w:tcPr>
          <w:p>
            <w:pPr>
              <w:jc w:val="right"/>
              <w:ind w:right="240"/>
              <w:spacing w:after="0"/>
              <w:rPr>
                <w:sz w:val="20"/>
                <w:szCs w:val="20"/>
                <w:color w:val="auto"/>
              </w:rPr>
            </w:pPr>
            <w:r>
              <w:rPr>
                <w:rFonts w:ascii="Arial" w:cs="Arial" w:eastAsia="Arial" w:hAnsi="Arial"/>
                <w:sz w:val="14"/>
                <w:szCs w:val="14"/>
                <w:color w:val="auto"/>
              </w:rPr>
              <w:t>(150 )</w:t>
            </w:r>
          </w:p>
        </w:tc>
        <w:tc>
          <w:tcPr>
            <w:tcW w:w="13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96"/>
        </w:trPr>
        <w:tc>
          <w:tcPr>
            <w:tcW w:w="4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(100 )</w:t>
            </w:r>
          </w:p>
        </w:tc>
        <w:tc>
          <w:tcPr>
            <w:tcW w:w="13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85"/>
        </w:trPr>
        <w:tc>
          <w:tcPr>
            <w:tcW w:w="4020" w:type="dxa"/>
            <w:vAlign w:val="bottom"/>
            <w:gridSpan w:val="2"/>
          </w:tcPr>
          <w:p>
            <w:pPr>
              <w:jc w:val="right"/>
              <w:ind w:right="240"/>
              <w:spacing w:after="0"/>
              <w:rPr>
                <w:sz w:val="20"/>
                <w:szCs w:val="20"/>
                <w:color w:val="auto"/>
              </w:rPr>
            </w:pPr>
            <w:r>
              <w:rPr>
                <w:rFonts w:ascii="Arial" w:cs="Arial" w:eastAsia="Arial" w:hAnsi="Arial"/>
                <w:sz w:val="14"/>
                <w:szCs w:val="14"/>
                <w:color w:val="auto"/>
              </w:rPr>
              <w:t>(50 )</w:t>
            </w:r>
          </w:p>
        </w:tc>
        <w:tc>
          <w:tcPr>
            <w:tcW w:w="13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96"/>
        </w:trPr>
        <w:tc>
          <w:tcPr>
            <w:tcW w:w="3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(0.1 )</w:t>
            </w: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(0.1 )</w:t>
            </w:r>
          </w:p>
        </w:tc>
      </w:tr>
      <w:tr>
        <w:trPr>
          <w:trHeight w:val="185"/>
        </w:trPr>
        <w:tc>
          <w:tcPr>
            <w:tcW w:w="3720" w:type="dxa"/>
            <w:vAlign w:val="bottom"/>
          </w:tcPr>
          <w:p>
            <w:pPr>
              <w:jc w:val="right"/>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0.8</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0.5</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0.3</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0.2</w:t>
            </w:r>
          </w:p>
        </w:tc>
        <w:tc>
          <w:tcPr>
            <w:tcW w:w="60" w:type="dxa"/>
            <w:vAlign w:val="bottom"/>
          </w:tcPr>
          <w:p>
            <w:pPr>
              <w:spacing w:after="0"/>
              <w:rPr>
                <w:sz w:val="16"/>
                <w:szCs w:val="16"/>
                <w:color w:val="auto"/>
              </w:rPr>
            </w:pPr>
          </w:p>
        </w:tc>
      </w:tr>
      <w:tr>
        <w:trPr>
          <w:trHeight w:val="196"/>
        </w:trPr>
        <w:tc>
          <w:tcPr>
            <w:tcW w:w="3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60" w:type="dxa"/>
            <w:vAlign w:val="bottom"/>
            <w:shd w:val="clear" w:color="auto" w:fill="CCEEFF"/>
          </w:tcPr>
          <w:p>
            <w:pPr>
              <w:spacing w:after="0"/>
              <w:rPr>
                <w:sz w:val="17"/>
                <w:szCs w:val="17"/>
                <w:color w:val="auto"/>
              </w:rPr>
            </w:pPr>
          </w:p>
        </w:tc>
      </w:tr>
      <w:tr>
        <w:trPr>
          <w:trHeight w:val="185"/>
        </w:trPr>
        <w:tc>
          <w:tcPr>
            <w:tcW w:w="3720" w:type="dxa"/>
            <w:vAlign w:val="bottom"/>
          </w:tcPr>
          <w:p>
            <w:pPr>
              <w:jc w:val="right"/>
              <w:spacing w:after="0"/>
              <w:rPr>
                <w:sz w:val="20"/>
                <w:szCs w:val="20"/>
                <w:color w:val="auto"/>
              </w:rPr>
            </w:pPr>
            <w:r>
              <w:rPr>
                <w:rFonts w:ascii="Arial" w:cs="Arial" w:eastAsia="Arial" w:hAnsi="Arial"/>
                <w:sz w:val="14"/>
                <w:szCs w:val="14"/>
                <w:color w:val="auto"/>
              </w:rPr>
              <w:t>200</w:t>
            </w: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3.4</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2.4</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1.9</w:t>
            </w:r>
          </w:p>
        </w:tc>
        <w:tc>
          <w:tcPr>
            <w:tcW w:w="60" w:type="dxa"/>
            <w:vAlign w:val="bottom"/>
          </w:tcPr>
          <w:p>
            <w:pPr>
              <w:spacing w:after="0"/>
              <w:rPr>
                <w:sz w:val="16"/>
                <w:szCs w:val="16"/>
                <w:color w:val="auto"/>
              </w:rPr>
            </w:pPr>
          </w:p>
        </w:tc>
      </w:tr>
      <w:tr>
        <w:trPr>
          <w:trHeight w:val="196"/>
        </w:trPr>
        <w:tc>
          <w:tcPr>
            <w:tcW w:w="3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60" w:type="dxa"/>
            <w:vAlign w:val="bottom"/>
            <w:shd w:val="clear" w:color="auto" w:fill="CCEEFF"/>
          </w:tcPr>
          <w:p>
            <w:pPr>
              <w:spacing w:after="0"/>
              <w:rPr>
                <w:sz w:val="17"/>
                <w:szCs w:val="17"/>
                <w:color w:val="auto"/>
              </w:rPr>
            </w:pPr>
          </w:p>
        </w:tc>
      </w:tr>
      <w:tr>
        <w:trPr>
          <w:trHeight w:val="179"/>
        </w:trPr>
        <w:tc>
          <w:tcPr>
            <w:tcW w:w="3720" w:type="dxa"/>
            <w:vAlign w:val="bottom"/>
          </w:tcPr>
          <w:p>
            <w:pPr>
              <w:jc w:val="right"/>
              <w:spacing w:after="0"/>
              <w:rPr>
                <w:sz w:val="20"/>
                <w:szCs w:val="20"/>
                <w:color w:val="auto"/>
              </w:rPr>
            </w:pPr>
            <w:r>
              <w:rPr>
                <w:rFonts w:ascii="Arial" w:cs="Arial" w:eastAsia="Arial" w:hAnsi="Arial"/>
                <w:sz w:val="14"/>
                <w:szCs w:val="14"/>
                <w:color w:val="auto"/>
              </w:rPr>
              <w:t>300</w:t>
            </w: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6.6</w:t>
            </w: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5.0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4.0</w:t>
            </w:r>
          </w:p>
        </w:tc>
        <w:tc>
          <w:tcPr>
            <w:tcW w:w="60" w:type="dxa"/>
            <w:vAlign w:val="bottom"/>
          </w:tcPr>
          <w:p>
            <w:pPr>
              <w:spacing w:after="0"/>
              <w:rPr>
                <w:sz w:val="15"/>
                <w:szCs w:val="15"/>
                <w:color w:val="auto"/>
              </w:rPr>
            </w:pPr>
          </w:p>
        </w:tc>
      </w:tr>
    </w:tbl>
    <w:p>
      <w:pPr>
        <w:spacing w:after="0" w:line="221" w:lineRule="exact"/>
        <w:rPr>
          <w:sz w:val="20"/>
          <w:szCs w:val="20"/>
          <w:color w:val="auto"/>
        </w:rPr>
      </w:pPr>
    </w:p>
    <w:p>
      <w:pPr>
        <w:ind w:left="200" w:hanging="199"/>
        <w:spacing w:after="0"/>
        <w:tabs>
          <w:tab w:leader="none" w:pos="2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Certain of our variable rate debt investments have a LIBOR interest rate floor, which lessens the impact of decreases in interest rates.</w:t>
      </w:r>
    </w:p>
    <w:p>
      <w:pPr>
        <w:spacing w:after="0" w:line="11" w:lineRule="exact"/>
        <w:rPr>
          <w:rFonts w:ascii="Arial" w:cs="Arial" w:eastAsia="Arial" w:hAnsi="Arial"/>
          <w:sz w:val="14"/>
          <w:szCs w:val="14"/>
          <w:color w:val="auto"/>
        </w:rPr>
      </w:pPr>
    </w:p>
    <w:p>
      <w:pPr>
        <w:ind w:left="200" w:hanging="199"/>
        <w:spacing w:after="0"/>
        <w:tabs>
          <w:tab w:leader="none" w:pos="2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Interest income calculated assuming three-month LIBOR rate as of September 30, 2021.</w:t>
      </w:r>
    </w:p>
    <w:p>
      <w:pPr>
        <w:spacing w:after="0" w:line="3" w:lineRule="exact"/>
        <w:rPr>
          <w:rFonts w:ascii="Arial" w:cs="Arial" w:eastAsia="Arial" w:hAnsi="Arial"/>
          <w:sz w:val="14"/>
          <w:szCs w:val="14"/>
          <w:color w:val="auto"/>
        </w:rPr>
      </w:pPr>
    </w:p>
    <w:p>
      <w:pPr>
        <w:ind w:left="200" w:hanging="199"/>
        <w:spacing w:after="0"/>
        <w:tabs>
          <w:tab w:leader="none" w:pos="2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the impact of income incentive fee at 20.0% on net increase (decrease) in net interest.</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00"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Evaluation of Disclosure Controls and Procedures</w:t>
      </w:r>
    </w:p>
    <w:p>
      <w:pPr>
        <w:spacing w:after="0" w:line="96" w:lineRule="exact"/>
        <w:rPr>
          <w:sz w:val="20"/>
          <w:szCs w:val="20"/>
          <w:color w:val="auto"/>
        </w:rPr>
      </w:pPr>
    </w:p>
    <w:p>
      <w:pPr>
        <w:jc w:val="both"/>
        <w:ind w:firstLine="469"/>
        <w:spacing w:after="0" w:line="285"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Chief Executive Officer and Chief Financial Officer carried out an evaluation of the effectiveness of the design and operation of our disclosure controls and procedures (as defined in Rule 13a-15(e) of the Exchange Act) as of the end of the period covered by this report. Based on the evaluation of these disclosure controls and procedures, the Chief Executive Officer and Chief Financial Officer concluded that our disclosure controls and procedures were effective. 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Changes in Internal Control over Financial Reporting</w:t>
      </w:r>
    </w:p>
    <w:p>
      <w:pPr>
        <w:spacing w:after="0" w:line="96" w:lineRule="exact"/>
        <w:rPr>
          <w:sz w:val="20"/>
          <w:szCs w:val="20"/>
          <w:color w:val="auto"/>
        </w:rPr>
      </w:pPr>
    </w:p>
    <w:p>
      <w:pPr>
        <w:jc w:val="both"/>
        <w:ind w:firstLine="469"/>
        <w:spacing w:after="0" w:line="288" w:lineRule="auto"/>
        <w:rPr>
          <w:sz w:val="20"/>
          <w:szCs w:val="20"/>
          <w:color w:val="auto"/>
        </w:rPr>
      </w:pPr>
      <w:r>
        <w:rPr>
          <w:rFonts w:ascii="Arial" w:cs="Arial" w:eastAsia="Arial" w:hAnsi="Arial"/>
          <w:sz w:val="17"/>
          <w:szCs w:val="17"/>
          <w:color w:val="auto"/>
        </w:rPr>
        <w:t>There were no changes in our internal control over financial reporting during the third quarter of 2021 that have materially affected, or are reasonably likely to materially affect, our internal control over financial reporting.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color w:val="auto"/>
        </w:rPr>
        <w:t>PART II — OTHER INFORMATION</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4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are not, and the Investment Advisor is not, currently subject to any material legal proceedings.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40" w:lineRule="exact"/>
        <w:rPr>
          <w:sz w:val="20"/>
          <w:szCs w:val="20"/>
          <w:color w:val="auto"/>
        </w:rPr>
      </w:pPr>
    </w:p>
    <w:p>
      <w:pPr>
        <w:jc w:val="both"/>
        <w:ind w:firstLine="300"/>
        <w:spacing w:after="0" w:line="272" w:lineRule="auto"/>
        <w:rPr>
          <w:sz w:val="20"/>
          <w:szCs w:val="20"/>
          <w:color w:val="auto"/>
        </w:rPr>
      </w:pPr>
      <w:r>
        <w:rPr>
          <w:rFonts w:ascii="Arial" w:cs="Arial" w:eastAsia="Arial" w:hAnsi="Arial"/>
          <w:sz w:val="17"/>
          <w:szCs w:val="17"/>
          <w:color w:val="auto"/>
        </w:rPr>
        <w:t>In addition to other information set forth in this report, you should carefully consider the “Risk Factors” discussed in our Form 10-K for the year ended December 31, 2020 and filed with the SEC on February 25, 2021, which are incorporated herein by reference. These Risk Factors could materially affect our business, financial condition and/or operating results. Additional risks and uncertainties not currently known to us or that we currently deem to be immaterial also may materially affect our business, financial condition and/or operating results.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40"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Sales of Unregistered Securities</w:t>
      </w:r>
    </w:p>
    <w:p>
      <w:pPr>
        <w:spacing w:after="0" w:line="236" w:lineRule="exact"/>
        <w:rPr>
          <w:sz w:val="20"/>
          <w:szCs w:val="20"/>
          <w:color w:val="auto"/>
        </w:rPr>
      </w:pPr>
    </w:p>
    <w:p>
      <w:pPr>
        <w:ind w:left="280"/>
        <w:spacing w:after="0"/>
        <w:rPr>
          <w:sz w:val="20"/>
          <w:szCs w:val="20"/>
          <w:color w:val="auto"/>
        </w:rPr>
      </w:pPr>
      <w:r>
        <w:rPr>
          <w:rFonts w:ascii="Arial" w:cs="Arial" w:eastAsia="Arial" w:hAnsi="Arial"/>
          <w:sz w:val="17"/>
          <w:szCs w:val="17"/>
          <w:color w:val="auto"/>
        </w:rPr>
        <w:t>None.</w:t>
      </w:r>
    </w:p>
    <w:p>
      <w:pPr>
        <w:spacing w:after="0" w:line="236"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Issuer Purchases of Equity Securities</w:t>
      </w:r>
    </w:p>
    <w:p>
      <w:pPr>
        <w:spacing w:after="0" w:line="236" w:lineRule="exact"/>
        <w:rPr>
          <w:sz w:val="20"/>
          <w:szCs w:val="20"/>
          <w:color w:val="auto"/>
        </w:rPr>
      </w:pPr>
    </w:p>
    <w:p>
      <w:pPr>
        <w:jc w:val="both"/>
        <w:ind w:firstLine="282"/>
        <w:spacing w:after="0" w:line="286" w:lineRule="auto"/>
        <w:rPr>
          <w:sz w:val="20"/>
          <w:szCs w:val="20"/>
          <w:color w:val="auto"/>
        </w:rPr>
      </w:pPr>
      <w:r>
        <w:rPr>
          <w:rFonts w:ascii="Arial" w:cs="Arial" w:eastAsia="Arial" w:hAnsi="Arial"/>
          <w:sz w:val="16"/>
          <w:szCs w:val="16"/>
          <w:color w:val="auto"/>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November 1, 2021, the Board extended the Stock Repurchase Program through December 31, 2022,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r>
        <w:rPr>
          <w:rFonts w:ascii="Arial" w:cs="Arial" w:eastAsia="Arial" w:hAnsi="Arial"/>
          <w:sz w:val="17"/>
          <w:szCs w:val="17"/>
          <w:b w:val="1"/>
          <w:bCs w:val="1"/>
          <w:i w:val="1"/>
          <w:iCs w:val="1"/>
          <w:color w:val="auto"/>
        </w:rPr>
        <w:t>.</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9"/>
        </w:trPr>
        <w:tc>
          <w:tcPr>
            <w:tcW w:w="1580" w:type="dxa"/>
            <w:vAlign w:val="bottom"/>
          </w:tcPr>
          <w:p>
            <w:pPr>
              <w:spacing w:after="0"/>
              <w:rPr>
                <w:sz w:val="20"/>
                <w:szCs w:val="20"/>
                <w:color w:val="auto"/>
              </w:rPr>
            </w:pPr>
            <w:r>
              <w:rPr>
                <w:rFonts w:ascii="Arial" w:cs="Arial" w:eastAsia="Arial" w:hAnsi="Arial"/>
                <w:sz w:val="17"/>
                <w:szCs w:val="17"/>
                <w:b w:val="1"/>
                <w:bCs w:val="1"/>
                <w:color w:val="auto"/>
              </w:rPr>
              <w:t>Item 6. Exhibits.</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38"/>
        </w:trPr>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Number</w:t>
            </w:r>
          </w:p>
        </w:tc>
        <w:tc>
          <w:tcPr>
            <w:tcW w:w="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gridSpan w:val="10"/>
          </w:tcPr>
          <w:p>
            <w:pPr>
              <w:spacing w:after="0"/>
              <w:rPr>
                <w:sz w:val="20"/>
                <w:szCs w:val="20"/>
                <w:color w:val="auto"/>
              </w:rPr>
            </w:pPr>
            <w:r>
              <w:rPr>
                <w:rFonts w:ascii="Arial" w:cs="Arial" w:eastAsia="Arial" w:hAnsi="Arial"/>
                <w:sz w:val="17"/>
                <w:szCs w:val="17"/>
                <w:b w:val="1"/>
                <w:bCs w:val="1"/>
                <w:color w:val="auto"/>
              </w:rPr>
              <w:t>Exhibit</w:t>
            </w:r>
          </w:p>
        </w:tc>
      </w:tr>
      <w:tr>
        <w:trPr>
          <w:trHeight w:val="177"/>
        </w:trPr>
        <w:tc>
          <w:tcPr>
            <w:tcW w:w="1580" w:type="dxa"/>
            <w:vAlign w:val="bottom"/>
          </w:tcPr>
          <w:p>
            <w:pPr>
              <w:jc w:val="center"/>
              <w:spacing w:after="0" w:line="177" w:lineRule="exact"/>
              <w:rPr>
                <w:sz w:val="20"/>
                <w:szCs w:val="20"/>
                <w:color w:val="auto"/>
              </w:rPr>
            </w:pPr>
            <w:r>
              <w:rPr>
                <w:rFonts w:ascii="Arial" w:cs="Arial" w:eastAsia="Arial" w:hAnsi="Arial"/>
                <w:sz w:val="17"/>
                <w:szCs w:val="17"/>
                <w:color w:val="auto"/>
                <w:w w:val="92"/>
              </w:rPr>
              <w:t>3.1</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40" w:type="dxa"/>
            <w:vAlign w:val="bottom"/>
            <w:tcBorders>
              <w:bottom w:val="single" w:sz="8" w:color="333366"/>
            </w:tcBorders>
            <w:gridSpan w:val="6"/>
          </w:tcPr>
          <w:p>
            <w:pPr>
              <w:spacing w:after="0" w:line="177" w:lineRule="exact"/>
              <w:rPr>
                <w:rFonts w:ascii="Arial" w:cs="Arial" w:eastAsia="Arial" w:hAnsi="Arial"/>
                <w:sz w:val="17"/>
                <w:szCs w:val="17"/>
                <w:color w:val="333366"/>
                <w:w w:val="91"/>
              </w:rPr>
            </w:pPr>
            <w:hyperlink r:id="rId458">
              <w:r>
                <w:rPr>
                  <w:rFonts w:ascii="Arial" w:cs="Arial" w:eastAsia="Arial" w:hAnsi="Arial"/>
                  <w:sz w:val="17"/>
                  <w:szCs w:val="17"/>
                  <w:color w:val="333366"/>
                  <w:w w:val="91"/>
                </w:rPr>
                <w:t>Articles of Amendment and Restatement of the Registrant (Filed as Exhibit (a)(1) to Pre-Effective Amendment No. 2 to the Registrant’s</w:t>
              </w:r>
            </w:hyperlink>
          </w:p>
        </w:tc>
        <w:tc>
          <w:tcPr>
            <w:tcW w:w="260" w:type="dxa"/>
            <w:vAlign w:val="bottom"/>
            <w:gridSpan w:val="4"/>
          </w:tcPr>
          <w:p>
            <w:pPr>
              <w:spacing w:after="0"/>
              <w:rPr>
                <w:sz w:val="15"/>
                <w:szCs w:val="15"/>
                <w:color w:val="auto"/>
              </w:rPr>
            </w:pPr>
          </w:p>
        </w:tc>
      </w:tr>
      <w:tr>
        <w:trPr>
          <w:trHeight w:val="183"/>
        </w:trPr>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60" w:type="dxa"/>
            <w:vAlign w:val="bottom"/>
            <w:tcBorders>
              <w:bottom w:val="single" w:sz="8" w:color="333366"/>
            </w:tcBorders>
            <w:gridSpan w:val="9"/>
          </w:tcPr>
          <w:p>
            <w:pPr>
              <w:spacing w:after="0" w:line="183" w:lineRule="exact"/>
              <w:rPr>
                <w:rFonts w:ascii="Arial" w:cs="Arial" w:eastAsia="Arial" w:hAnsi="Arial"/>
                <w:sz w:val="17"/>
                <w:szCs w:val="17"/>
                <w:color w:val="333366"/>
                <w:w w:val="90"/>
              </w:rPr>
            </w:pPr>
            <w:hyperlink r:id="rId458">
              <w:r>
                <w:rPr>
                  <w:rFonts w:ascii="Arial" w:cs="Arial" w:eastAsia="Arial" w:hAnsi="Arial"/>
                  <w:sz w:val="17"/>
                  <w:szCs w:val="17"/>
                  <w:color w:val="333366"/>
                  <w:w w:val="90"/>
                </w:rPr>
                <w:t>Registration Statement on Form N-2 (File No. 333-172550) filed with the U.S. Securities and Exchange Commission on April 29, 2011 and</w:t>
              </w:r>
            </w:hyperlink>
          </w:p>
        </w:tc>
        <w:tc>
          <w:tcPr>
            <w:tcW w:w="40" w:type="dxa"/>
            <w:vAlign w:val="bottom"/>
          </w:tcPr>
          <w:p>
            <w:pPr>
              <w:spacing w:after="0"/>
              <w:rPr>
                <w:sz w:val="15"/>
                <w:szCs w:val="15"/>
                <w:color w:val="auto"/>
              </w:rPr>
            </w:pPr>
          </w:p>
        </w:tc>
      </w:tr>
      <w:tr>
        <w:trPr>
          <w:trHeight w:val="183"/>
        </w:trPr>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tcBorders>
              <w:bottom w:val="single" w:sz="8" w:color="333366"/>
            </w:tcBorders>
            <w:gridSpan w:val="2"/>
          </w:tcPr>
          <w:p>
            <w:pPr>
              <w:spacing w:after="0" w:line="183" w:lineRule="exact"/>
              <w:rPr>
                <w:rFonts w:ascii="Arial" w:cs="Arial" w:eastAsia="Arial" w:hAnsi="Arial"/>
                <w:sz w:val="17"/>
                <w:szCs w:val="17"/>
                <w:color w:val="333366"/>
                <w:w w:val="89"/>
              </w:rPr>
            </w:pPr>
            <w:hyperlink r:id="rId458">
              <w:r>
                <w:rPr>
                  <w:rFonts w:ascii="Arial" w:cs="Arial" w:eastAsia="Arial" w:hAnsi="Arial"/>
                  <w:sz w:val="17"/>
                  <w:szCs w:val="17"/>
                  <w:color w:val="333366"/>
                  <w:w w:val="89"/>
                </w:rPr>
                <w:t>incorporated herein by reference).</w:t>
              </w:r>
            </w:hyperlink>
          </w:p>
        </w:tc>
        <w:tc>
          <w:tcPr>
            <w:tcW w:w="7200" w:type="dxa"/>
            <w:vAlign w:val="bottom"/>
            <w:gridSpan w:val="8"/>
          </w:tcPr>
          <w:p>
            <w:pPr>
              <w:spacing w:after="0"/>
              <w:rPr>
                <w:sz w:val="15"/>
                <w:szCs w:val="15"/>
                <w:color w:val="auto"/>
              </w:rPr>
            </w:pPr>
          </w:p>
        </w:tc>
      </w:tr>
      <w:tr>
        <w:trPr>
          <w:trHeight w:val="436"/>
        </w:trPr>
        <w:tc>
          <w:tcPr>
            <w:tcW w:w="1580" w:type="dxa"/>
            <w:vAlign w:val="bottom"/>
          </w:tcPr>
          <w:p>
            <w:pPr>
              <w:jc w:val="center"/>
              <w:spacing w:after="0"/>
              <w:rPr>
                <w:sz w:val="20"/>
                <w:szCs w:val="20"/>
                <w:color w:val="auto"/>
              </w:rPr>
            </w:pPr>
            <w:r>
              <w:rPr>
                <w:rFonts w:ascii="Arial" w:cs="Arial" w:eastAsia="Arial" w:hAnsi="Arial"/>
                <w:sz w:val="17"/>
                <w:szCs w:val="17"/>
                <w:color w:val="auto"/>
                <w:w w:val="92"/>
              </w:rPr>
              <w:t>3.2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00" w:type="dxa"/>
            <w:vAlign w:val="bottom"/>
            <w:gridSpan w:val="10"/>
          </w:tcPr>
          <w:p>
            <w:pPr>
              <w:spacing w:after="0"/>
              <w:rPr>
                <w:rFonts w:ascii="Arial" w:cs="Arial" w:eastAsia="Arial" w:hAnsi="Arial"/>
                <w:sz w:val="17"/>
                <w:szCs w:val="17"/>
                <w:color w:val="333366"/>
                <w:w w:val="92"/>
              </w:rPr>
            </w:pPr>
            <w:hyperlink r:id="rId459">
              <w:r>
                <w:rPr>
                  <w:rFonts w:ascii="Arial" w:cs="Arial" w:eastAsia="Arial" w:hAnsi="Arial"/>
                  <w:sz w:val="17"/>
                  <w:szCs w:val="17"/>
                  <w:color w:val="333366"/>
                  <w:w w:val="92"/>
                </w:rPr>
                <w:t>Bylaws of the Registrant (Filed as Exhibit (b)(1) to Pre-Effective Amendment No. 2 to the Registrant’s Registration Statement on Form N-</w:t>
              </w:r>
            </w:hyperlink>
          </w:p>
        </w:tc>
      </w:tr>
      <w:tr>
        <w:trPr>
          <w:trHeight w:val="183"/>
        </w:trPr>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20" w:type="dxa"/>
            <w:vAlign w:val="bottom"/>
            <w:tcBorders>
              <w:top w:val="single" w:sz="8" w:color="333366"/>
            </w:tcBorders>
            <w:gridSpan w:val="8"/>
          </w:tcPr>
          <w:p>
            <w:pPr>
              <w:spacing w:after="0" w:line="183" w:lineRule="exact"/>
              <w:rPr>
                <w:rFonts w:ascii="Arial" w:cs="Arial" w:eastAsia="Arial" w:hAnsi="Arial"/>
                <w:sz w:val="17"/>
                <w:szCs w:val="17"/>
                <w:color w:val="333366"/>
                <w:w w:val="90"/>
              </w:rPr>
            </w:pPr>
            <w:hyperlink r:id="rId459">
              <w:r>
                <w:rPr>
                  <w:rFonts w:ascii="Arial" w:cs="Arial" w:eastAsia="Arial" w:hAnsi="Arial"/>
                  <w:sz w:val="17"/>
                  <w:szCs w:val="17"/>
                  <w:color w:val="333366"/>
                  <w:w w:val="90"/>
                </w:rPr>
                <w:t>2 (File No. 333-172550) filed with the U.S. Securities and Exchange Commission on April 29, 2011 and incorporated herein by reference).</w:t>
              </w:r>
            </w:hyperlink>
          </w:p>
        </w:tc>
        <w:tc>
          <w:tcPr>
            <w:tcW w:w="80" w:type="dxa"/>
            <w:vAlign w:val="bottom"/>
            <w:gridSpan w:val="2"/>
          </w:tcPr>
          <w:p>
            <w:pPr>
              <w:spacing w:after="0"/>
              <w:rPr>
                <w:sz w:val="15"/>
                <w:szCs w:val="15"/>
                <w:color w:val="auto"/>
              </w:rPr>
            </w:pPr>
          </w:p>
        </w:tc>
      </w:tr>
      <w:tr>
        <w:trPr>
          <w:trHeight w:val="436"/>
        </w:trPr>
        <w:tc>
          <w:tcPr>
            <w:tcW w:w="158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900" w:type="dxa"/>
            <w:vAlign w:val="bottom"/>
            <w:tcBorders>
              <w:top w:val="single" w:sz="8" w:color="333366"/>
              <w:bottom w:val="single" w:sz="8" w:color="333366"/>
            </w:tcBorders>
            <w:gridSpan w:val="4"/>
          </w:tcPr>
          <w:p>
            <w:pPr>
              <w:spacing w:after="0"/>
              <w:rPr>
                <w:rFonts w:ascii="Arial" w:cs="Arial" w:eastAsia="Arial" w:hAnsi="Arial"/>
                <w:sz w:val="17"/>
                <w:szCs w:val="17"/>
                <w:color w:val="333366"/>
                <w:w w:val="91"/>
              </w:rPr>
            </w:pPr>
            <w:hyperlink r:id="rId460">
              <w:r>
                <w:rPr>
                  <w:rFonts w:ascii="Arial" w:cs="Arial" w:eastAsia="Arial" w:hAnsi="Arial"/>
                  <w:sz w:val="17"/>
                  <w:szCs w:val="17"/>
                  <w:color w:val="333366"/>
                  <w:w w:val="91"/>
                </w:rPr>
                <w:t>Form of Stock Certificate of the Registrant (Filed as Exhibit (d) to Pre-Effective Amendment No. 2 to the Registrant’s Registration</w:t>
              </w:r>
            </w:hyperlink>
          </w:p>
        </w:tc>
        <w:tc>
          <w:tcPr>
            <w:tcW w:w="500" w:type="dxa"/>
            <w:vAlign w:val="bottom"/>
            <w:tcBorders>
              <w:top w:val="single" w:sz="8" w:color="333366"/>
            </w:tcBorders>
            <w:gridSpan w:val="3"/>
          </w:tcPr>
          <w:p>
            <w:pPr>
              <w:spacing w:after="0"/>
              <w:rPr>
                <w:sz w:val="24"/>
                <w:szCs w:val="24"/>
                <w:color w:val="auto"/>
              </w:rPr>
            </w:pPr>
          </w:p>
        </w:tc>
        <w:tc>
          <w:tcPr>
            <w:tcW w:w="100" w:type="dxa"/>
            <w:vAlign w:val="bottom"/>
            <w:gridSpan w:val="3"/>
          </w:tcPr>
          <w:p>
            <w:pPr>
              <w:spacing w:after="0"/>
              <w:rPr>
                <w:sz w:val="24"/>
                <w:szCs w:val="24"/>
                <w:color w:val="auto"/>
              </w:rPr>
            </w:pPr>
          </w:p>
        </w:tc>
      </w:tr>
      <w:tr>
        <w:trPr>
          <w:trHeight w:val="183"/>
        </w:trPr>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60" w:type="dxa"/>
            <w:vAlign w:val="bottom"/>
            <w:tcBorders>
              <w:bottom w:val="single" w:sz="8" w:color="333366"/>
            </w:tcBorders>
            <w:gridSpan w:val="3"/>
          </w:tcPr>
          <w:p>
            <w:pPr>
              <w:spacing w:after="0" w:line="183" w:lineRule="exact"/>
              <w:rPr>
                <w:rFonts w:ascii="Arial" w:cs="Arial" w:eastAsia="Arial" w:hAnsi="Arial"/>
                <w:sz w:val="17"/>
                <w:szCs w:val="17"/>
                <w:color w:val="333366"/>
                <w:w w:val="91"/>
              </w:rPr>
            </w:pPr>
            <w:hyperlink r:id="rId460">
              <w:r>
                <w:rPr>
                  <w:rFonts w:ascii="Arial" w:cs="Arial" w:eastAsia="Arial" w:hAnsi="Arial"/>
                  <w:sz w:val="17"/>
                  <w:szCs w:val="17"/>
                  <w:color w:val="333366"/>
                  <w:w w:val="91"/>
                </w:rPr>
                <w:t>Statement on Form N-2 (File No. 333-172550) filed with the U.S. Securities and Exchange Commission on April 29, 2011 and</w:t>
              </w:r>
            </w:hyperlink>
          </w:p>
        </w:tc>
        <w:tc>
          <w:tcPr>
            <w:tcW w:w="840" w:type="dxa"/>
            <w:vAlign w:val="bottom"/>
            <w:gridSpan w:val="7"/>
          </w:tcPr>
          <w:p>
            <w:pPr>
              <w:spacing w:after="0"/>
              <w:rPr>
                <w:sz w:val="15"/>
                <w:szCs w:val="15"/>
                <w:color w:val="auto"/>
              </w:rPr>
            </w:pPr>
          </w:p>
        </w:tc>
      </w:tr>
      <w:tr>
        <w:trPr>
          <w:trHeight w:val="183"/>
        </w:trPr>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tcBorders>
              <w:bottom w:val="single" w:sz="8" w:color="333366"/>
            </w:tcBorders>
            <w:gridSpan w:val="2"/>
          </w:tcPr>
          <w:p>
            <w:pPr>
              <w:spacing w:after="0" w:line="183" w:lineRule="exact"/>
              <w:rPr>
                <w:rFonts w:ascii="Arial" w:cs="Arial" w:eastAsia="Arial" w:hAnsi="Arial"/>
                <w:sz w:val="17"/>
                <w:szCs w:val="17"/>
                <w:color w:val="333366"/>
                <w:w w:val="89"/>
              </w:rPr>
            </w:pPr>
            <w:hyperlink r:id="rId460">
              <w:r>
                <w:rPr>
                  <w:rFonts w:ascii="Arial" w:cs="Arial" w:eastAsia="Arial" w:hAnsi="Arial"/>
                  <w:sz w:val="17"/>
                  <w:szCs w:val="17"/>
                  <w:color w:val="333366"/>
                  <w:w w:val="89"/>
                </w:rPr>
                <w:t>incorporated herein by reference).</w:t>
              </w:r>
            </w:hyperlink>
          </w:p>
        </w:tc>
        <w:tc>
          <w:tcPr>
            <w:tcW w:w="7200" w:type="dxa"/>
            <w:vAlign w:val="bottom"/>
            <w:gridSpan w:val="8"/>
          </w:tcPr>
          <w:p>
            <w:pPr>
              <w:spacing w:after="0"/>
              <w:rPr>
                <w:sz w:val="15"/>
                <w:szCs w:val="15"/>
                <w:color w:val="auto"/>
              </w:rPr>
            </w:pPr>
          </w:p>
        </w:tc>
      </w:tr>
      <w:tr>
        <w:trPr>
          <w:trHeight w:val="449"/>
        </w:trPr>
        <w:tc>
          <w:tcPr>
            <w:tcW w:w="1580" w:type="dxa"/>
            <w:vAlign w:val="bottom"/>
          </w:tcPr>
          <w:p>
            <w:pPr>
              <w:jc w:val="center"/>
              <w:spacing w:after="0"/>
              <w:rPr>
                <w:sz w:val="20"/>
                <w:szCs w:val="20"/>
                <w:color w:val="auto"/>
              </w:rPr>
            </w:pPr>
            <w:r>
              <w:rPr>
                <w:rFonts w:ascii="Arial" w:cs="Arial" w:eastAsia="Arial" w:hAnsi="Arial"/>
                <w:sz w:val="17"/>
                <w:szCs w:val="17"/>
                <w:color w:val="auto"/>
                <w:w w:val="92"/>
              </w:rPr>
              <w:t>4.2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40" w:type="dxa"/>
            <w:vAlign w:val="bottom"/>
            <w:tcBorders>
              <w:bottom w:val="single" w:sz="8" w:color="0000FF"/>
            </w:tcBorders>
            <w:gridSpan w:val="5"/>
          </w:tcPr>
          <w:p>
            <w:pPr>
              <w:spacing w:after="0"/>
              <w:rPr>
                <w:rFonts w:ascii="Arial" w:cs="Arial" w:eastAsia="Arial" w:hAnsi="Arial"/>
                <w:sz w:val="17"/>
                <w:szCs w:val="17"/>
                <w:color w:val="0000FF"/>
                <w:w w:val="91"/>
              </w:rPr>
            </w:pPr>
            <w:hyperlink r:id="rId461">
              <w:r>
                <w:rPr>
                  <w:rFonts w:ascii="Arial" w:cs="Arial" w:eastAsia="Arial" w:hAnsi="Arial"/>
                  <w:sz w:val="17"/>
                  <w:szCs w:val="17"/>
                  <w:color w:val="0000FF"/>
                  <w:w w:val="91"/>
                </w:rPr>
                <w:t>Agreement to Furnish Certain Instruments (Filed as Exhibit (f)(2) to Pre-Effective Amendment No. 3 to the Registrant’s Registration</w:t>
              </w:r>
            </w:hyperlink>
          </w:p>
        </w:tc>
        <w:tc>
          <w:tcPr>
            <w:tcW w:w="460" w:type="dxa"/>
            <w:vAlign w:val="bottom"/>
            <w:gridSpan w:val="5"/>
          </w:tcPr>
          <w:p>
            <w:pPr>
              <w:spacing w:after="0"/>
              <w:rPr>
                <w:sz w:val="24"/>
                <w:szCs w:val="24"/>
                <w:color w:val="auto"/>
              </w:rPr>
            </w:pPr>
          </w:p>
        </w:tc>
      </w:tr>
      <w:tr>
        <w:trPr>
          <w:trHeight w:val="19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60" w:type="dxa"/>
            <w:vAlign w:val="bottom"/>
            <w:tcBorders>
              <w:bottom w:val="single" w:sz="8" w:color="0000FF"/>
            </w:tcBorders>
            <w:gridSpan w:val="9"/>
          </w:tcPr>
          <w:p>
            <w:pPr>
              <w:spacing w:after="0"/>
              <w:rPr>
                <w:rFonts w:ascii="Arial" w:cs="Arial" w:eastAsia="Arial" w:hAnsi="Arial"/>
                <w:sz w:val="17"/>
                <w:szCs w:val="17"/>
                <w:color w:val="0000FF"/>
                <w:w w:val="90"/>
              </w:rPr>
            </w:pPr>
            <w:hyperlink r:id="rId461">
              <w:r>
                <w:rPr>
                  <w:rFonts w:ascii="Arial" w:cs="Arial" w:eastAsia="Arial" w:hAnsi="Arial"/>
                  <w:sz w:val="17"/>
                  <w:szCs w:val="17"/>
                  <w:color w:val="0000FF"/>
                  <w:w w:val="90"/>
                </w:rPr>
                <w:t>Statement on Form N-2 (File No. 333-172550) filed with the U.S. Securities and Exchange Commission on May 26, 2011 and incorporated</w:t>
              </w:r>
            </w:hyperlink>
          </w:p>
        </w:tc>
        <w:tc>
          <w:tcPr>
            <w:tcW w:w="40" w:type="dxa"/>
            <w:vAlign w:val="bottom"/>
          </w:tcPr>
          <w:p>
            <w:pPr>
              <w:spacing w:after="0"/>
              <w:rPr>
                <w:sz w:val="17"/>
                <w:szCs w:val="17"/>
                <w:color w:val="auto"/>
              </w:rPr>
            </w:pPr>
          </w:p>
        </w:tc>
      </w:tr>
      <w:tr>
        <w:trPr>
          <w:trHeight w:val="19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gridSpan w:val="10"/>
          </w:tcPr>
          <w:p>
            <w:pPr>
              <w:spacing w:after="0"/>
              <w:rPr>
                <w:rFonts w:ascii="Arial" w:cs="Arial" w:eastAsia="Arial" w:hAnsi="Arial"/>
                <w:sz w:val="17"/>
                <w:szCs w:val="17"/>
                <w:color w:val="0000FF"/>
              </w:rPr>
            </w:pPr>
            <w:hyperlink r:id="rId461">
              <w:r>
                <w:rPr>
                  <w:rFonts w:ascii="Arial" w:cs="Arial" w:eastAsia="Arial" w:hAnsi="Arial"/>
                  <w:sz w:val="17"/>
                  <w:szCs w:val="17"/>
                  <w:color w:val="0000FF"/>
                </w:rPr>
                <w:t>herein by reference)</w:t>
              </w:r>
              <w:r>
                <w:rPr>
                  <w:rFonts w:ascii="Arial" w:cs="Arial" w:eastAsia="Arial" w:hAnsi="Arial"/>
                  <w:sz w:val="17"/>
                  <w:szCs w:val="17"/>
                  <w:color w:val="000000"/>
                </w:rPr>
                <w:t>.</w:t>
              </w:r>
            </w:hyperlink>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51" w:right="339" w:bottom="1440" w:gutter="0" w:footer="0" w:header="0"/>
        </w:sectPr>
      </w:pPr>
    </w:p>
    <w:p>
      <w:pPr>
        <w:spacing w:after="0" w:line="66" w:lineRule="exact"/>
        <w:rPr>
          <w:sz w:val="20"/>
          <w:szCs w:val="20"/>
          <w:color w:val="auto"/>
        </w:rPr>
      </w:pPr>
    </w:p>
    <w:p>
      <w:pPr>
        <w:ind w:left="680"/>
        <w:spacing w:after="0"/>
        <w:rPr>
          <w:sz w:val="20"/>
          <w:szCs w:val="20"/>
          <w:color w:val="auto"/>
        </w:rPr>
      </w:pPr>
      <w:r>
        <w:rPr>
          <w:rFonts w:ascii="Arial" w:cs="Arial" w:eastAsia="Arial" w:hAnsi="Arial"/>
          <w:sz w:val="15"/>
          <w:szCs w:val="15"/>
          <w:color w:val="auto"/>
        </w:rPr>
        <w:t>4.3</w:t>
      </w:r>
    </w:p>
    <w:p>
      <w:pPr>
        <w:spacing w:after="0" w:line="200" w:lineRule="exact"/>
        <w:rPr>
          <w:sz w:val="20"/>
          <w:szCs w:val="20"/>
          <w:color w:val="auto"/>
        </w:rPr>
      </w:pPr>
    </w:p>
    <w:p>
      <w:pPr>
        <w:spacing w:after="0" w:line="312" w:lineRule="exact"/>
        <w:rPr>
          <w:sz w:val="20"/>
          <w:szCs w:val="20"/>
          <w:color w:val="auto"/>
        </w:rPr>
      </w:pPr>
    </w:p>
    <w:p>
      <w:pPr>
        <w:ind w:left="680"/>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right="180"/>
        <w:spacing w:after="0" w:line="358" w:lineRule="auto"/>
        <w:rPr>
          <w:rFonts w:ascii="Arial" w:cs="Arial" w:eastAsia="Arial" w:hAnsi="Arial"/>
          <w:sz w:val="15"/>
          <w:szCs w:val="15"/>
          <w:u w:val="single" w:color="auto"/>
          <w:color w:val="0000FF"/>
        </w:rPr>
      </w:pPr>
      <w:hyperlink r:id="rId462">
        <w:r>
          <w:rPr>
            <w:rFonts w:ascii="Arial" w:cs="Arial" w:eastAsia="Arial" w:hAnsi="Arial"/>
            <w:sz w:val="15"/>
            <w:szCs w:val="15"/>
            <w:u w:val="single" w:color="auto"/>
            <w:color w:val="0000FF"/>
          </w:rPr>
          <w:t>Form of Indenture (Filed as Exhibit (d)(5) to Post-Effective Amendment No. 2 to the Registrant’s Registration Statement on Form N-2</w:t>
        </w:r>
      </w:hyperlink>
      <w:r>
        <w:rPr>
          <w:rFonts w:ascii="Arial" w:cs="Arial" w:eastAsia="Arial" w:hAnsi="Arial"/>
          <w:sz w:val="15"/>
          <w:szCs w:val="15"/>
          <w:u w:val="single" w:color="auto"/>
          <w:color w:val="0000FF"/>
        </w:rPr>
        <w:t xml:space="preserve"> </w:t>
      </w:r>
      <w:hyperlink r:id="rId462">
        <w:r>
          <w:rPr>
            <w:rFonts w:ascii="Arial" w:cs="Arial" w:eastAsia="Arial" w:hAnsi="Arial"/>
            <w:sz w:val="15"/>
            <w:szCs w:val="15"/>
            <w:u w:val="single" w:color="auto"/>
            <w:color w:val="0000FF"/>
          </w:rPr>
          <w:t>(File No. 333-202531) filed with the U.S. Securities and Exchange Commission on April 29, 2016 and incorporated herein by reference).</w:t>
        </w:r>
      </w:hyperlink>
    </w:p>
    <w:p>
      <w:pPr>
        <w:spacing w:after="0" w:line="170" w:lineRule="exact"/>
        <w:rPr>
          <w:sz w:val="20"/>
          <w:szCs w:val="20"/>
          <w:color w:val="auto"/>
        </w:rPr>
      </w:pPr>
    </w:p>
    <w:p>
      <w:pPr>
        <w:ind w:right="40"/>
        <w:spacing w:after="0" w:line="276" w:lineRule="auto"/>
        <w:rPr>
          <w:rFonts w:ascii="Arial" w:cs="Arial" w:eastAsia="Arial" w:hAnsi="Arial"/>
          <w:sz w:val="17"/>
          <w:szCs w:val="17"/>
          <w:u w:val="single" w:color="auto"/>
          <w:color w:val="0000FF"/>
        </w:rPr>
      </w:pPr>
      <w:hyperlink r:id="rId463">
        <w:r>
          <w:rPr>
            <w:rFonts w:ascii="Arial" w:cs="Arial" w:eastAsia="Arial" w:hAnsi="Arial"/>
            <w:sz w:val="17"/>
            <w:szCs w:val="17"/>
            <w:u w:val="single" w:color="auto"/>
            <w:color w:val="0000FF"/>
          </w:rPr>
          <w:t>Fourth Supplemental Indenture dated as of December 23, 2020 between Fidus Investment Corporation and U.S. Bank National Association,</w:t>
        </w:r>
      </w:hyperlink>
      <w:r>
        <w:rPr>
          <w:rFonts w:ascii="Arial" w:cs="Arial" w:eastAsia="Arial" w:hAnsi="Arial"/>
          <w:sz w:val="17"/>
          <w:szCs w:val="17"/>
          <w:u w:val="single" w:color="auto"/>
          <w:color w:val="0000FF"/>
        </w:rPr>
        <w:t xml:space="preserve"> </w:t>
      </w:r>
      <w:hyperlink r:id="rId463">
        <w:r>
          <w:rPr>
            <w:rFonts w:ascii="Arial" w:cs="Arial" w:eastAsia="Arial" w:hAnsi="Arial"/>
            <w:sz w:val="17"/>
            <w:szCs w:val="17"/>
            <w:u w:val="single" w:color="auto"/>
            <w:color w:val="0000FF"/>
          </w:rPr>
          <w:t>as trustee (Filed as Exhibit 4.1 to the Registrant’s Current report on Form 8-K filed with the U.S. Securities and Exchange Commission on</w:t>
        </w:r>
      </w:hyperlink>
      <w:r>
        <w:rPr>
          <w:rFonts w:ascii="Arial" w:cs="Arial" w:eastAsia="Arial" w:hAnsi="Arial"/>
          <w:sz w:val="17"/>
          <w:szCs w:val="17"/>
          <w:u w:val="single" w:color="auto"/>
          <w:color w:val="0000FF"/>
        </w:rPr>
        <w:t xml:space="preserve"> </w:t>
      </w:r>
      <w:hyperlink r:id="rId463">
        <w:r>
          <w:rPr>
            <w:rFonts w:ascii="Arial" w:cs="Arial" w:eastAsia="Arial" w:hAnsi="Arial"/>
            <w:sz w:val="17"/>
            <w:szCs w:val="17"/>
            <w:u w:val="single" w:color="auto"/>
            <w:color w:val="0000FF"/>
          </w:rPr>
          <w:t>December 23, 2020 and incorporated herein by reference).</w:t>
        </w:r>
      </w:hyperlink>
    </w:p>
    <w:p>
      <w:pPr>
        <w:spacing w:after="0" w:line="2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ectPr>
          <w:pgSz w:w="11900" w:h="16838" w:orient="portrait"/>
          <w:cols w:equalWidth="0" w:num="2">
            <w:col w:w="1020" w:space="720"/>
            <w:col w:w="9500"/>
          </w:cols>
          <w:pgMar w:left="320" w:top="351" w:right="339" w:bottom="1440" w:gutter="0" w:footer="0" w:header="0"/>
          <w:type w:val="continuous"/>
        </w:sectPr>
      </w:pPr>
    </w:p>
    <w:p>
      <w:pPr>
        <w:spacing w:after="0" w:line="13" w:lineRule="exact"/>
        <w:rPr>
          <w:rFonts w:ascii="Arial" w:cs="Arial" w:eastAsia="Arial" w:hAnsi="Arial"/>
          <w:sz w:val="17"/>
          <w:szCs w:val="17"/>
          <w:u w:val="single" w:color="auto"/>
          <w:color w:val="0000FF"/>
        </w:rPr>
      </w:pPr>
    </w:p>
    <w:p>
      <w:pPr>
        <w:ind w:left="680"/>
        <w:spacing w:after="0"/>
        <w:rPr>
          <w:sz w:val="20"/>
          <w:szCs w:val="20"/>
          <w:color w:val="auto"/>
        </w:rPr>
      </w:pPr>
      <w:r>
        <w:rPr>
          <w:rFonts w:ascii="Arial" w:cs="Arial" w:eastAsia="Arial" w:hAnsi="Arial"/>
          <w:sz w:val="15"/>
          <w:szCs w:val="15"/>
          <w:color w:val="auto"/>
        </w:rPr>
        <w:t>4.5</w:t>
      </w:r>
    </w:p>
    <w:p>
      <w:pPr>
        <w:spacing w:after="0" w:line="200" w:lineRule="exact"/>
        <w:rPr>
          <w:rFonts w:ascii="Arial" w:cs="Arial" w:eastAsia="Arial" w:hAnsi="Arial"/>
          <w:sz w:val="17"/>
          <w:szCs w:val="17"/>
          <w:u w:val="single" w:color="auto"/>
          <w:color w:val="0000FF"/>
        </w:rPr>
      </w:pPr>
    </w:p>
    <w:p>
      <w:pPr>
        <w:spacing w:after="0" w:line="312" w:lineRule="exact"/>
        <w:rPr>
          <w:rFonts w:ascii="Arial" w:cs="Arial" w:eastAsia="Arial" w:hAnsi="Arial"/>
          <w:sz w:val="17"/>
          <w:szCs w:val="17"/>
          <w:u w:val="single" w:color="auto"/>
          <w:color w:val="0000FF"/>
        </w:rPr>
      </w:pPr>
    </w:p>
    <w:p>
      <w:pPr>
        <w:ind w:left="680"/>
        <w:spacing w:after="0"/>
        <w:rPr>
          <w:sz w:val="20"/>
          <w:szCs w:val="20"/>
          <w:color w:val="auto"/>
        </w:rPr>
      </w:pPr>
      <w:r>
        <w:rPr>
          <w:rFonts w:ascii="Arial" w:cs="Arial" w:eastAsia="Arial" w:hAnsi="Arial"/>
          <w:sz w:val="15"/>
          <w:szCs w:val="15"/>
          <w:color w:val="auto"/>
        </w:rPr>
        <w:t>4.6</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br w:type="column"/>
      </w:r>
    </w:p>
    <w:p>
      <w:pPr>
        <w:spacing w:after="0" w:line="6" w:lineRule="exact"/>
        <w:rPr>
          <w:rFonts w:ascii="Arial" w:cs="Arial" w:eastAsia="Arial" w:hAnsi="Arial"/>
          <w:sz w:val="17"/>
          <w:szCs w:val="17"/>
          <w:u w:val="single" w:color="auto"/>
          <w:color w:val="0000FF"/>
        </w:rPr>
      </w:pPr>
    </w:p>
    <w:p>
      <w:pPr>
        <w:ind w:right="240"/>
        <w:spacing w:after="0" w:line="321" w:lineRule="auto"/>
        <w:rPr>
          <w:rFonts w:ascii="Arial" w:cs="Arial" w:eastAsia="Arial" w:hAnsi="Arial"/>
          <w:sz w:val="16"/>
          <w:szCs w:val="16"/>
          <w:u w:val="single" w:color="auto"/>
          <w:color w:val="0000FF"/>
        </w:rPr>
      </w:pPr>
      <w:hyperlink r:id="rId464">
        <w:r>
          <w:rPr>
            <w:rFonts w:ascii="Arial" w:cs="Arial" w:eastAsia="Arial" w:hAnsi="Arial"/>
            <w:sz w:val="16"/>
            <w:szCs w:val="16"/>
            <w:u w:val="single" w:color="auto"/>
            <w:color w:val="0000FF"/>
          </w:rPr>
          <w:t>Form of Global Note with respect to the 4.75% Notes due 2026 (Filed as Exhibit 4.1 to the Registrant’s Current report on Form 8-K filed</w:t>
        </w:r>
      </w:hyperlink>
      <w:r>
        <w:rPr>
          <w:rFonts w:ascii="Arial" w:cs="Arial" w:eastAsia="Arial" w:hAnsi="Arial"/>
          <w:sz w:val="16"/>
          <w:szCs w:val="16"/>
          <w:u w:val="single" w:color="auto"/>
          <w:color w:val="0000FF"/>
        </w:rPr>
        <w:t xml:space="preserve"> </w:t>
      </w:r>
      <w:hyperlink r:id="rId464">
        <w:r>
          <w:rPr>
            <w:rFonts w:ascii="Arial" w:cs="Arial" w:eastAsia="Arial" w:hAnsi="Arial"/>
            <w:sz w:val="16"/>
            <w:szCs w:val="16"/>
            <w:u w:val="single" w:color="auto"/>
            <w:color w:val="0000FF"/>
          </w:rPr>
          <w:t>with the U.S. Securities and Exchange Commission on December 23, 2020 and incorporated herein by reference).</w:t>
        </w:r>
      </w:hyperlink>
    </w:p>
    <w:p>
      <w:pPr>
        <w:spacing w:after="0" w:line="192" w:lineRule="exact"/>
        <w:rPr>
          <w:sz w:val="20"/>
          <w:szCs w:val="20"/>
          <w:color w:val="auto"/>
        </w:rPr>
      </w:pPr>
    </w:p>
    <w:p>
      <w:pPr>
        <w:ind w:right="200"/>
        <w:spacing w:after="0" w:line="276" w:lineRule="auto"/>
        <w:rPr>
          <w:rFonts w:ascii="Arial" w:cs="Arial" w:eastAsia="Arial" w:hAnsi="Arial"/>
          <w:sz w:val="17"/>
          <w:szCs w:val="17"/>
          <w:u w:val="single" w:color="auto"/>
          <w:color w:val="0000FF"/>
        </w:rPr>
      </w:pPr>
      <w:hyperlink r:id="rId465">
        <w:r>
          <w:rPr>
            <w:rFonts w:ascii="Arial" w:cs="Arial" w:eastAsia="Arial" w:hAnsi="Arial"/>
            <w:sz w:val="17"/>
            <w:szCs w:val="17"/>
            <w:u w:val="single" w:color="auto"/>
            <w:color w:val="0000FF"/>
          </w:rPr>
          <w:t>Fifth Supplemental Indenture dated as of October 8, 2021 between Fidus Investment Corporation and U.S. Bank National Association, as</w:t>
        </w:r>
      </w:hyperlink>
      <w:r>
        <w:rPr>
          <w:rFonts w:ascii="Arial" w:cs="Arial" w:eastAsia="Arial" w:hAnsi="Arial"/>
          <w:sz w:val="17"/>
          <w:szCs w:val="17"/>
          <w:u w:val="single" w:color="auto"/>
          <w:color w:val="0000FF"/>
        </w:rPr>
        <w:t xml:space="preserve"> </w:t>
      </w:r>
      <w:hyperlink r:id="rId465">
        <w:r>
          <w:rPr>
            <w:rFonts w:ascii="Arial" w:cs="Arial" w:eastAsia="Arial" w:hAnsi="Arial"/>
            <w:sz w:val="17"/>
            <w:szCs w:val="17"/>
            <w:u w:val="single" w:color="auto"/>
            <w:color w:val="0000FF"/>
          </w:rPr>
          <w:t>trustee (Filed as Exhibit 4.1 to the Registrant’s Current report on Form 8-K filed with the U.S. Securities and Exchange Commission on</w:t>
        </w:r>
      </w:hyperlink>
      <w:r>
        <w:rPr>
          <w:rFonts w:ascii="Arial" w:cs="Arial" w:eastAsia="Arial" w:hAnsi="Arial"/>
          <w:sz w:val="17"/>
          <w:szCs w:val="17"/>
          <w:u w:val="single" w:color="auto"/>
          <w:color w:val="0000FF"/>
        </w:rPr>
        <w:t xml:space="preserve"> </w:t>
      </w:r>
      <w:hyperlink r:id="rId465">
        <w:r>
          <w:rPr>
            <w:rFonts w:ascii="Arial" w:cs="Arial" w:eastAsia="Arial" w:hAnsi="Arial"/>
            <w:sz w:val="17"/>
            <w:szCs w:val="17"/>
            <w:u w:val="single" w:color="auto"/>
            <w:color w:val="0000FF"/>
          </w:rPr>
          <w:t>October 8, 2021 and incorporated herein by reference).</w:t>
        </w:r>
      </w:hyperlink>
    </w:p>
    <w:p>
      <w:pPr>
        <w:spacing w:after="0" w:line="200" w:lineRule="exact"/>
        <w:rPr>
          <w:rFonts w:ascii="Arial" w:cs="Arial" w:eastAsia="Arial" w:hAnsi="Arial"/>
          <w:sz w:val="17"/>
          <w:szCs w:val="17"/>
          <w:u w:val="single" w:color="auto"/>
          <w:color w:val="0000FF"/>
        </w:rPr>
      </w:pPr>
    </w:p>
    <w:p>
      <w:pPr>
        <w:sectPr>
          <w:pgSz w:w="11900" w:h="16838" w:orient="portrait"/>
          <w:cols w:equalWidth="0" w:num="2">
            <w:col w:w="1020" w:space="720"/>
            <w:col w:w="9500"/>
          </w:cols>
          <w:pgMar w:left="320" w:top="351" w:right="339" w:bottom="1440" w:gutter="0" w:footer="0" w:header="0"/>
          <w:type w:val="continuous"/>
        </w:sectPr>
      </w:pPr>
    </w:p>
    <w:p>
      <w:pPr>
        <w:spacing w:after="0" w:line="8" w:lineRule="exact"/>
        <w:rPr>
          <w:rFonts w:ascii="Arial" w:cs="Arial" w:eastAsia="Arial" w:hAnsi="Arial"/>
          <w:sz w:val="17"/>
          <w:szCs w:val="17"/>
          <w:u w:val="single" w:color="auto"/>
          <w:color w:val="0000FF"/>
        </w:rPr>
      </w:pPr>
    </w:p>
    <w:tbl>
      <w:tblPr>
        <w:tblLayout w:type="fixed"/>
        <w:tblInd w:w="640" w:type="dxa"/>
        <w:tblCellMar>
          <w:top w:w="0" w:type="dxa"/>
          <w:left w:w="0" w:type="dxa"/>
          <w:bottom w:w="0" w:type="dxa"/>
          <w:right w:w="0" w:type="dxa"/>
        </w:tblCellMar>
      </w:tblPr>
      <w:tr>
        <w:trPr>
          <w:trHeight w:val="195"/>
        </w:trPr>
        <w:tc>
          <w:tcPr>
            <w:tcW w:w="1100" w:type="dxa"/>
            <w:vAlign w:val="bottom"/>
          </w:tcPr>
          <w:p>
            <w:pPr>
              <w:jc w:val="center"/>
              <w:ind w:right="716"/>
              <w:spacing w:after="0"/>
              <w:rPr>
                <w:sz w:val="20"/>
                <w:szCs w:val="20"/>
                <w:color w:val="auto"/>
              </w:rPr>
            </w:pPr>
            <w:r>
              <w:rPr>
                <w:rFonts w:ascii="Arial" w:cs="Arial" w:eastAsia="Arial" w:hAnsi="Arial"/>
                <w:sz w:val="17"/>
                <w:szCs w:val="17"/>
                <w:color w:val="auto"/>
                <w:w w:val="92"/>
              </w:rPr>
              <w:t>4.7</w:t>
            </w:r>
          </w:p>
        </w:tc>
        <w:tc>
          <w:tcPr>
            <w:tcW w:w="9300" w:type="dxa"/>
            <w:vAlign w:val="bottom"/>
            <w:tcBorders>
              <w:bottom w:val="single" w:sz="8" w:color="0000FF"/>
            </w:tcBorders>
            <w:gridSpan w:val="5"/>
          </w:tcPr>
          <w:p>
            <w:pPr>
              <w:spacing w:after="0"/>
              <w:rPr>
                <w:rFonts w:ascii="Arial" w:cs="Arial" w:eastAsia="Arial" w:hAnsi="Arial"/>
                <w:sz w:val="17"/>
                <w:szCs w:val="17"/>
                <w:color w:val="0000FF"/>
                <w:w w:val="91"/>
              </w:rPr>
            </w:pPr>
            <w:hyperlink r:id="rId465">
              <w:r>
                <w:rPr>
                  <w:rFonts w:ascii="Arial" w:cs="Arial" w:eastAsia="Arial" w:hAnsi="Arial"/>
                  <w:sz w:val="17"/>
                  <w:szCs w:val="17"/>
                  <w:color w:val="0000FF"/>
                  <w:w w:val="91"/>
                </w:rPr>
                <w:t>Form of Global Note with respect to the 3.50% Notes due 2026 (Filed as Exhibit 4.1 to the Registrant’s Current report on Form 8-K filed</w:t>
              </w:r>
            </w:hyperlink>
          </w:p>
        </w:tc>
        <w:tc>
          <w:tcPr>
            <w:tcW w:w="80" w:type="dxa"/>
            <w:vAlign w:val="bottom"/>
            <w:gridSpan w:val="2"/>
          </w:tcPr>
          <w:p>
            <w:pPr>
              <w:spacing w:after="0"/>
              <w:rPr>
                <w:sz w:val="16"/>
                <w:szCs w:val="16"/>
                <w:color w:val="auto"/>
              </w:rPr>
            </w:pPr>
          </w:p>
        </w:tc>
      </w:tr>
      <w:tr>
        <w:trPr>
          <w:trHeight w:val="196"/>
        </w:trPr>
        <w:tc>
          <w:tcPr>
            <w:tcW w:w="1100" w:type="dxa"/>
            <w:vAlign w:val="bottom"/>
          </w:tcPr>
          <w:p>
            <w:pPr>
              <w:spacing w:after="0"/>
              <w:rPr>
                <w:sz w:val="17"/>
                <w:szCs w:val="17"/>
                <w:color w:val="auto"/>
              </w:rPr>
            </w:pPr>
          </w:p>
        </w:tc>
        <w:tc>
          <w:tcPr>
            <w:tcW w:w="9380" w:type="dxa"/>
            <w:vAlign w:val="bottom"/>
            <w:gridSpan w:val="7"/>
          </w:tcPr>
          <w:p>
            <w:pPr>
              <w:spacing w:after="0"/>
              <w:rPr>
                <w:rFonts w:ascii="Arial" w:cs="Arial" w:eastAsia="Arial" w:hAnsi="Arial"/>
                <w:sz w:val="17"/>
                <w:szCs w:val="17"/>
                <w:color w:val="0000FF"/>
              </w:rPr>
            </w:pPr>
            <w:hyperlink r:id="rId465">
              <w:r>
                <w:rPr>
                  <w:rFonts w:ascii="Arial" w:cs="Arial" w:eastAsia="Arial" w:hAnsi="Arial"/>
                  <w:sz w:val="17"/>
                  <w:szCs w:val="17"/>
                  <w:color w:val="0000FF"/>
                </w:rPr>
                <w:t>with the U.S. Securities and Exchange Commission on October 8, 2021 and incorporated herein by reference).</w:t>
              </w:r>
            </w:hyperlink>
          </w:p>
        </w:tc>
      </w:tr>
      <w:tr>
        <w:trPr>
          <w:trHeight w:val="20"/>
        </w:trPr>
        <w:tc>
          <w:tcPr>
            <w:tcW w:w="110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98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6"/>
        </w:trPr>
        <w:tc>
          <w:tcPr>
            <w:tcW w:w="1100" w:type="dxa"/>
            <w:vAlign w:val="bottom"/>
          </w:tcPr>
          <w:p>
            <w:pPr>
              <w:jc w:val="center"/>
              <w:ind w:right="716"/>
              <w:spacing w:after="0"/>
              <w:rPr>
                <w:sz w:val="20"/>
                <w:szCs w:val="20"/>
                <w:color w:val="auto"/>
              </w:rPr>
            </w:pPr>
            <w:r>
              <w:rPr>
                <w:rFonts w:ascii="Arial" w:cs="Arial" w:eastAsia="Arial" w:hAnsi="Arial"/>
                <w:sz w:val="17"/>
                <w:szCs w:val="17"/>
                <w:color w:val="auto"/>
                <w:w w:val="90"/>
              </w:rPr>
              <w:t>31.1</w:t>
            </w:r>
          </w:p>
        </w:tc>
        <w:tc>
          <w:tcPr>
            <w:tcW w:w="9380" w:type="dxa"/>
            <w:vAlign w:val="bottom"/>
            <w:tcBorders>
              <w:bottom w:val="single" w:sz="8" w:color="0000FF"/>
            </w:tcBorders>
            <w:gridSpan w:val="7"/>
          </w:tcPr>
          <w:p>
            <w:pPr>
              <w:spacing w:after="0"/>
              <w:rPr>
                <w:rFonts w:ascii="Arial" w:cs="Arial" w:eastAsia="Arial" w:hAnsi="Arial"/>
                <w:sz w:val="17"/>
                <w:szCs w:val="17"/>
                <w:color w:val="0000FF"/>
                <w:w w:val="90"/>
              </w:rPr>
            </w:pPr>
            <w:hyperlink w:anchor="page63">
              <w:r>
                <w:rPr>
                  <w:rFonts w:ascii="Arial" w:cs="Arial" w:eastAsia="Arial" w:hAnsi="Arial"/>
                  <w:sz w:val="17"/>
                  <w:szCs w:val="17"/>
                  <w:color w:val="0000FF"/>
                  <w:w w:val="90"/>
                </w:rPr>
                <w:t>Chief Executive Officer Certification Pursuant to Rule 13a-14 of the Securities Exchange Act of 1934, as adopted pursuant to Section 302</w:t>
              </w:r>
            </w:hyperlink>
          </w:p>
        </w:tc>
      </w:tr>
      <w:tr>
        <w:trPr>
          <w:trHeight w:val="183"/>
        </w:trPr>
        <w:tc>
          <w:tcPr>
            <w:tcW w:w="1100" w:type="dxa"/>
            <w:vAlign w:val="bottom"/>
          </w:tcPr>
          <w:p>
            <w:pPr>
              <w:spacing w:after="0"/>
              <w:rPr>
                <w:sz w:val="15"/>
                <w:szCs w:val="15"/>
                <w:color w:val="auto"/>
              </w:rPr>
            </w:pPr>
          </w:p>
        </w:tc>
        <w:tc>
          <w:tcPr>
            <w:tcW w:w="9380" w:type="dxa"/>
            <w:vAlign w:val="bottom"/>
            <w:gridSpan w:val="7"/>
          </w:tcPr>
          <w:p>
            <w:pPr>
              <w:spacing w:after="0" w:line="183" w:lineRule="exact"/>
              <w:rPr>
                <w:rFonts w:ascii="Arial" w:cs="Arial" w:eastAsia="Arial" w:hAnsi="Arial"/>
                <w:sz w:val="17"/>
                <w:szCs w:val="17"/>
                <w:color w:val="0000FF"/>
              </w:rPr>
            </w:pPr>
            <w:hyperlink w:anchor="page63">
              <w:r>
                <w:rPr>
                  <w:rFonts w:ascii="Arial" w:cs="Arial" w:eastAsia="Arial" w:hAnsi="Arial"/>
                  <w:sz w:val="17"/>
                  <w:szCs w:val="17"/>
                  <w:color w:val="0000FF"/>
                </w:rPr>
                <w:t>of the Sarbanes-Oxley Act of 2002.*</w:t>
              </w:r>
            </w:hyperlink>
          </w:p>
        </w:tc>
      </w:tr>
      <w:tr>
        <w:trPr>
          <w:trHeight w:val="20"/>
        </w:trPr>
        <w:tc>
          <w:tcPr>
            <w:tcW w:w="110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6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6"/>
        </w:trPr>
        <w:tc>
          <w:tcPr>
            <w:tcW w:w="1100" w:type="dxa"/>
            <w:vAlign w:val="bottom"/>
          </w:tcPr>
          <w:p>
            <w:pPr>
              <w:jc w:val="center"/>
              <w:ind w:right="716"/>
              <w:spacing w:after="0"/>
              <w:rPr>
                <w:sz w:val="20"/>
                <w:szCs w:val="20"/>
                <w:color w:val="auto"/>
              </w:rPr>
            </w:pPr>
            <w:r>
              <w:rPr>
                <w:rFonts w:ascii="Arial" w:cs="Arial" w:eastAsia="Arial" w:hAnsi="Arial"/>
                <w:sz w:val="17"/>
                <w:szCs w:val="17"/>
                <w:color w:val="auto"/>
                <w:w w:val="90"/>
              </w:rPr>
              <w:t>31.2</w:t>
            </w:r>
          </w:p>
        </w:tc>
        <w:tc>
          <w:tcPr>
            <w:tcW w:w="9340" w:type="dxa"/>
            <w:vAlign w:val="bottom"/>
            <w:tcBorders>
              <w:bottom w:val="single" w:sz="8" w:color="0000FF"/>
            </w:tcBorders>
            <w:gridSpan w:val="6"/>
          </w:tcPr>
          <w:p>
            <w:pPr>
              <w:spacing w:after="0"/>
              <w:rPr>
                <w:rFonts w:ascii="Arial" w:cs="Arial" w:eastAsia="Arial" w:hAnsi="Arial"/>
                <w:sz w:val="17"/>
                <w:szCs w:val="17"/>
                <w:color w:val="0000FF"/>
                <w:w w:val="90"/>
              </w:rPr>
            </w:pPr>
            <w:hyperlink w:anchor="page64">
              <w:r>
                <w:rPr>
                  <w:rFonts w:ascii="Arial" w:cs="Arial" w:eastAsia="Arial" w:hAnsi="Arial"/>
                  <w:sz w:val="17"/>
                  <w:szCs w:val="17"/>
                  <w:color w:val="0000FF"/>
                  <w:w w:val="90"/>
                </w:rPr>
                <w:t>Chief Financial Officer Certification Pursuant to Rule 13a-14 of the Securities Exchange Act of 1934, as adopted pursuant to Section 302</w:t>
              </w:r>
            </w:hyperlink>
          </w:p>
        </w:tc>
        <w:tc>
          <w:tcPr>
            <w:tcW w:w="40" w:type="dxa"/>
            <w:vAlign w:val="bottom"/>
          </w:tcPr>
          <w:p>
            <w:pPr>
              <w:spacing w:after="0"/>
              <w:rPr>
                <w:sz w:val="24"/>
                <w:szCs w:val="24"/>
                <w:color w:val="auto"/>
              </w:rPr>
            </w:pPr>
          </w:p>
        </w:tc>
      </w:tr>
      <w:tr>
        <w:trPr>
          <w:trHeight w:val="183"/>
        </w:trPr>
        <w:tc>
          <w:tcPr>
            <w:tcW w:w="1100" w:type="dxa"/>
            <w:vAlign w:val="bottom"/>
          </w:tcPr>
          <w:p>
            <w:pPr>
              <w:spacing w:after="0"/>
              <w:rPr>
                <w:sz w:val="15"/>
                <w:szCs w:val="15"/>
                <w:color w:val="auto"/>
              </w:rPr>
            </w:pPr>
          </w:p>
        </w:tc>
        <w:tc>
          <w:tcPr>
            <w:tcW w:w="9380" w:type="dxa"/>
            <w:vAlign w:val="bottom"/>
            <w:gridSpan w:val="7"/>
          </w:tcPr>
          <w:p>
            <w:pPr>
              <w:spacing w:after="0" w:line="183" w:lineRule="exact"/>
              <w:rPr>
                <w:rFonts w:ascii="Arial" w:cs="Arial" w:eastAsia="Arial" w:hAnsi="Arial"/>
                <w:sz w:val="17"/>
                <w:szCs w:val="17"/>
                <w:color w:val="0000FF"/>
              </w:rPr>
            </w:pPr>
            <w:hyperlink w:anchor="page64">
              <w:r>
                <w:rPr>
                  <w:rFonts w:ascii="Arial" w:cs="Arial" w:eastAsia="Arial" w:hAnsi="Arial"/>
                  <w:sz w:val="17"/>
                  <w:szCs w:val="17"/>
                  <w:color w:val="0000FF"/>
                </w:rPr>
                <w:t>of the Sarbanes-Oxley Act of 2002.*</w:t>
              </w:r>
            </w:hyperlink>
          </w:p>
        </w:tc>
      </w:tr>
      <w:tr>
        <w:trPr>
          <w:trHeight w:val="20"/>
        </w:trPr>
        <w:tc>
          <w:tcPr>
            <w:tcW w:w="110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6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436"/>
        </w:trPr>
        <w:tc>
          <w:tcPr>
            <w:tcW w:w="1100" w:type="dxa"/>
            <w:vAlign w:val="bottom"/>
          </w:tcPr>
          <w:p>
            <w:pPr>
              <w:jc w:val="center"/>
              <w:ind w:right="716"/>
              <w:spacing w:after="0"/>
              <w:rPr>
                <w:sz w:val="20"/>
                <w:szCs w:val="20"/>
                <w:color w:val="auto"/>
              </w:rPr>
            </w:pPr>
            <w:r>
              <w:rPr>
                <w:rFonts w:ascii="Arial" w:cs="Arial" w:eastAsia="Arial" w:hAnsi="Arial"/>
                <w:sz w:val="17"/>
                <w:szCs w:val="17"/>
                <w:color w:val="auto"/>
                <w:w w:val="90"/>
              </w:rPr>
              <w:t>32.1</w:t>
            </w:r>
          </w:p>
        </w:tc>
        <w:tc>
          <w:tcPr>
            <w:tcW w:w="9140" w:type="dxa"/>
            <w:vAlign w:val="bottom"/>
            <w:tcBorders>
              <w:bottom w:val="single" w:sz="8" w:color="0000FF"/>
            </w:tcBorders>
            <w:gridSpan w:val="4"/>
          </w:tcPr>
          <w:p>
            <w:pPr>
              <w:spacing w:after="0"/>
              <w:rPr>
                <w:rFonts w:ascii="Arial" w:cs="Arial" w:eastAsia="Arial" w:hAnsi="Arial"/>
                <w:sz w:val="17"/>
                <w:szCs w:val="17"/>
                <w:color w:val="0000FF"/>
                <w:w w:val="89"/>
              </w:rPr>
            </w:pPr>
            <w:hyperlink w:anchor="page65">
              <w:r>
                <w:rPr>
                  <w:rFonts w:ascii="Arial" w:cs="Arial" w:eastAsia="Arial" w:hAnsi="Arial"/>
                  <w:sz w:val="17"/>
                  <w:szCs w:val="17"/>
                  <w:color w:val="0000FF"/>
                  <w:w w:val="89"/>
                </w:rPr>
                <w:t>Certification pursuant to Section 1350, Chapter 63 of Title 18, United States Code, as adopted pursuant to Section 906 of the Sarbanes-</w:t>
              </w:r>
            </w:hyperlink>
          </w:p>
        </w:tc>
        <w:tc>
          <w:tcPr>
            <w:tcW w:w="240" w:type="dxa"/>
            <w:vAlign w:val="bottom"/>
            <w:gridSpan w:val="3"/>
          </w:tcPr>
          <w:p>
            <w:pPr>
              <w:spacing w:after="0"/>
              <w:rPr>
                <w:sz w:val="24"/>
                <w:szCs w:val="24"/>
                <w:color w:val="auto"/>
              </w:rPr>
            </w:pPr>
          </w:p>
        </w:tc>
      </w:tr>
      <w:tr>
        <w:trPr>
          <w:trHeight w:val="183"/>
        </w:trPr>
        <w:tc>
          <w:tcPr>
            <w:tcW w:w="1100" w:type="dxa"/>
            <w:vAlign w:val="bottom"/>
          </w:tcPr>
          <w:p>
            <w:pPr>
              <w:spacing w:after="0"/>
              <w:rPr>
                <w:sz w:val="15"/>
                <w:szCs w:val="15"/>
                <w:color w:val="auto"/>
              </w:rPr>
            </w:pPr>
          </w:p>
        </w:tc>
        <w:tc>
          <w:tcPr>
            <w:tcW w:w="9380" w:type="dxa"/>
            <w:vAlign w:val="bottom"/>
            <w:gridSpan w:val="7"/>
          </w:tcPr>
          <w:p>
            <w:pPr>
              <w:spacing w:after="0" w:line="183" w:lineRule="exact"/>
              <w:rPr>
                <w:rFonts w:ascii="Arial" w:cs="Arial" w:eastAsia="Arial" w:hAnsi="Arial"/>
                <w:sz w:val="17"/>
                <w:szCs w:val="17"/>
                <w:color w:val="0000FF"/>
              </w:rPr>
            </w:pPr>
            <w:hyperlink w:anchor="page65">
              <w:r>
                <w:rPr>
                  <w:rFonts w:ascii="Arial" w:cs="Arial" w:eastAsia="Arial" w:hAnsi="Arial"/>
                  <w:sz w:val="17"/>
                  <w:szCs w:val="17"/>
                  <w:color w:val="0000FF"/>
                </w:rPr>
                <w:t>Oxley Act of 2002.*</w:t>
              </w:r>
            </w:hyperlink>
          </w:p>
        </w:tc>
      </w:tr>
      <w:tr>
        <w:trPr>
          <w:trHeight w:val="20"/>
        </w:trPr>
        <w:tc>
          <w:tcPr>
            <w:tcW w:w="110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5975" cy="4127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17"/>
          <w:szCs w:val="17"/>
          <w:b w:val="1"/>
          <w:bCs w:val="1"/>
          <w:color w:val="auto"/>
        </w:rPr>
        <w:t>SIGNATURES</w:t>
      </w:r>
    </w:p>
    <w:p>
      <w:pPr>
        <w:spacing w:after="0" w:line="240"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6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600" w:type="dxa"/>
            <w:vAlign w:val="bottom"/>
            <w:gridSpan w:val="3"/>
          </w:tcPr>
          <w:p>
            <w:pPr>
              <w:spacing w:after="0"/>
              <w:rPr>
                <w:sz w:val="20"/>
                <w:szCs w:val="20"/>
                <w:color w:val="auto"/>
              </w:rPr>
            </w:pPr>
            <w:r>
              <w:rPr>
                <w:rFonts w:ascii="Arial" w:cs="Arial" w:eastAsia="Arial" w:hAnsi="Arial"/>
                <w:sz w:val="17"/>
                <w:szCs w:val="17"/>
                <w:b w:val="1"/>
                <w:bCs w:val="1"/>
                <w:color w:val="auto"/>
              </w:rPr>
              <w:t>FIDUS INVESTMENT CORPORATION</w:t>
            </w:r>
          </w:p>
        </w:tc>
      </w:tr>
      <w:tr>
        <w:trPr>
          <w:trHeight w:val="419"/>
        </w:trPr>
        <w:tc>
          <w:tcPr>
            <w:tcW w:w="3620" w:type="dxa"/>
            <w:vAlign w:val="bottom"/>
          </w:tcPr>
          <w:p>
            <w:pPr>
              <w:ind w:left="40"/>
              <w:spacing w:after="0"/>
              <w:rPr>
                <w:sz w:val="20"/>
                <w:szCs w:val="20"/>
                <w:color w:val="auto"/>
              </w:rPr>
            </w:pPr>
            <w:r>
              <w:rPr>
                <w:rFonts w:ascii="Arial" w:cs="Arial" w:eastAsia="Arial" w:hAnsi="Arial"/>
                <w:sz w:val="17"/>
                <w:szCs w:val="17"/>
                <w:color w:val="auto"/>
              </w:rPr>
              <w:t>Date: November 4, 2021</w:t>
            </w:r>
          </w:p>
        </w:tc>
        <w:tc>
          <w:tcPr>
            <w:tcW w:w="2020" w:type="dxa"/>
            <w:vAlign w:val="bottom"/>
          </w:tcPr>
          <w:p>
            <w:pPr>
              <w:spacing w:after="0"/>
              <w:rPr>
                <w:sz w:val="24"/>
                <w:szCs w:val="24"/>
                <w:color w:val="auto"/>
              </w:rPr>
            </w:pPr>
          </w:p>
        </w:tc>
        <w:tc>
          <w:tcPr>
            <w:tcW w:w="5600" w:type="dxa"/>
            <w:vAlign w:val="bottom"/>
            <w:gridSpan w:val="3"/>
          </w:tcPr>
          <w:p>
            <w:pPr>
              <w:spacing w:after="0"/>
              <w:rPr>
                <w:sz w:val="20"/>
                <w:szCs w:val="20"/>
                <w:color w:val="auto"/>
              </w:rPr>
            </w:pPr>
            <w:r>
              <w:rPr>
                <w:rFonts w:ascii="Arial" w:cs="Arial" w:eastAsia="Arial" w:hAnsi="Arial"/>
                <w:sz w:val="17"/>
                <w:szCs w:val="17"/>
                <w:color w:val="auto"/>
              </w:rPr>
              <w:t>/s/ EDWARD H. ROSS</w:t>
            </w:r>
          </w:p>
        </w:tc>
      </w:tr>
      <w:tr>
        <w:trPr>
          <w:trHeight w:val="258"/>
        </w:trPr>
        <w:tc>
          <w:tcPr>
            <w:tcW w:w="36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5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Edward H. Ross</w:t>
            </w:r>
          </w:p>
        </w:tc>
        <w:tc>
          <w:tcPr>
            <w:tcW w:w="4020" w:type="dxa"/>
            <w:vAlign w:val="bottom"/>
            <w:gridSpan w:val="2"/>
          </w:tcPr>
          <w:p>
            <w:pPr>
              <w:spacing w:after="0"/>
              <w:rPr>
                <w:sz w:val="22"/>
                <w:szCs w:val="22"/>
                <w:color w:val="auto"/>
              </w:rPr>
            </w:pPr>
          </w:p>
        </w:tc>
      </w:tr>
      <w:tr>
        <w:trPr>
          <w:trHeight w:val="228"/>
        </w:trPr>
        <w:tc>
          <w:tcPr>
            <w:tcW w:w="36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600" w:type="dxa"/>
            <w:vAlign w:val="bottom"/>
            <w:gridSpan w:val="3"/>
          </w:tcPr>
          <w:p>
            <w:pPr>
              <w:spacing w:after="0"/>
              <w:rPr>
                <w:sz w:val="20"/>
                <w:szCs w:val="20"/>
                <w:color w:val="auto"/>
              </w:rPr>
            </w:pPr>
            <w:r>
              <w:rPr>
                <w:rFonts w:ascii="Arial" w:cs="Arial" w:eastAsia="Arial" w:hAnsi="Arial"/>
                <w:sz w:val="17"/>
                <w:szCs w:val="17"/>
                <w:color w:val="auto"/>
              </w:rPr>
              <w:t>Chairman and Chief Executive Officer</w:t>
            </w:r>
          </w:p>
        </w:tc>
      </w:tr>
      <w:tr>
        <w:trPr>
          <w:trHeight w:val="228"/>
        </w:trPr>
        <w:tc>
          <w:tcPr>
            <w:tcW w:w="36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600" w:type="dxa"/>
            <w:vAlign w:val="bottom"/>
            <w:gridSpan w:val="3"/>
          </w:tcPr>
          <w:p>
            <w:pPr>
              <w:spacing w:after="0"/>
              <w:rPr>
                <w:sz w:val="20"/>
                <w:szCs w:val="20"/>
                <w:color w:val="auto"/>
              </w:rPr>
            </w:pPr>
            <w:r>
              <w:rPr>
                <w:rFonts w:ascii="Arial" w:cs="Arial" w:eastAsia="Arial" w:hAnsi="Arial"/>
                <w:sz w:val="17"/>
                <w:szCs w:val="17"/>
                <w:color w:val="auto"/>
              </w:rPr>
              <w:t>(Principal Executive Officer)</w:t>
            </w:r>
          </w:p>
        </w:tc>
      </w:tr>
      <w:tr>
        <w:trPr>
          <w:trHeight w:val="419"/>
        </w:trPr>
        <w:tc>
          <w:tcPr>
            <w:tcW w:w="3620" w:type="dxa"/>
            <w:vAlign w:val="bottom"/>
          </w:tcPr>
          <w:p>
            <w:pPr>
              <w:ind w:left="40"/>
              <w:spacing w:after="0"/>
              <w:rPr>
                <w:sz w:val="20"/>
                <w:szCs w:val="20"/>
                <w:color w:val="auto"/>
              </w:rPr>
            </w:pPr>
            <w:r>
              <w:rPr>
                <w:rFonts w:ascii="Arial" w:cs="Arial" w:eastAsia="Arial" w:hAnsi="Arial"/>
                <w:sz w:val="17"/>
                <w:szCs w:val="17"/>
                <w:color w:val="auto"/>
              </w:rPr>
              <w:t>Date: November 4, 2021</w:t>
            </w:r>
          </w:p>
        </w:tc>
        <w:tc>
          <w:tcPr>
            <w:tcW w:w="2020" w:type="dxa"/>
            <w:vAlign w:val="bottom"/>
          </w:tcPr>
          <w:p>
            <w:pPr>
              <w:spacing w:after="0"/>
              <w:rPr>
                <w:sz w:val="24"/>
                <w:szCs w:val="24"/>
                <w:color w:val="auto"/>
              </w:rPr>
            </w:pPr>
          </w:p>
        </w:tc>
        <w:tc>
          <w:tcPr>
            <w:tcW w:w="5600" w:type="dxa"/>
            <w:vAlign w:val="bottom"/>
            <w:gridSpan w:val="3"/>
          </w:tcPr>
          <w:p>
            <w:pPr>
              <w:spacing w:after="0"/>
              <w:rPr>
                <w:sz w:val="20"/>
                <w:szCs w:val="20"/>
                <w:color w:val="auto"/>
              </w:rPr>
            </w:pPr>
            <w:r>
              <w:rPr>
                <w:rFonts w:ascii="Arial" w:cs="Arial" w:eastAsia="Arial" w:hAnsi="Arial"/>
                <w:sz w:val="17"/>
                <w:szCs w:val="17"/>
                <w:color w:val="auto"/>
              </w:rPr>
              <w:t>/s/ SHELBY E. SHERARD</w:t>
            </w:r>
          </w:p>
        </w:tc>
      </w:tr>
      <w:tr>
        <w:trPr>
          <w:trHeight w:val="246"/>
        </w:trPr>
        <w:tc>
          <w:tcPr>
            <w:tcW w:w="36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8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Shelby E. Sherard</w:t>
            </w:r>
          </w:p>
        </w:tc>
        <w:tc>
          <w:tcPr>
            <w:tcW w:w="3740" w:type="dxa"/>
            <w:vAlign w:val="bottom"/>
          </w:tcPr>
          <w:p>
            <w:pPr>
              <w:spacing w:after="0"/>
              <w:rPr>
                <w:sz w:val="21"/>
                <w:szCs w:val="21"/>
                <w:color w:val="auto"/>
              </w:rPr>
            </w:pPr>
          </w:p>
        </w:tc>
      </w:tr>
      <w:tr>
        <w:trPr>
          <w:trHeight w:val="216"/>
        </w:trPr>
        <w:tc>
          <w:tcPr>
            <w:tcW w:w="3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7"/>
                <w:szCs w:val="17"/>
                <w:color w:val="auto"/>
              </w:rPr>
              <w:t>Chief Financial Officer</w:t>
            </w:r>
          </w:p>
        </w:tc>
      </w:tr>
      <w:tr>
        <w:trPr>
          <w:trHeight w:val="215"/>
        </w:trPr>
        <w:tc>
          <w:tcPr>
            <w:tcW w:w="3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7"/>
                <w:szCs w:val="17"/>
                <w:color w:val="auto"/>
              </w:rPr>
              <w:t>(Principal Financial and Accounting Officer)</w:t>
            </w:r>
          </w:p>
        </w:tc>
      </w:tr>
      <w:tr>
        <w:trPr>
          <w:trHeight w:val="444"/>
        </w:trPr>
        <w:tc>
          <w:tcPr>
            <w:tcW w:w="3620" w:type="dxa"/>
            <w:vAlign w:val="bottom"/>
          </w:tcPr>
          <w:p>
            <w:pPr>
              <w:spacing w:after="0"/>
              <w:rPr>
                <w:sz w:val="24"/>
                <w:szCs w:val="24"/>
                <w:color w:val="auto"/>
              </w:rPr>
            </w:pPr>
          </w:p>
        </w:tc>
        <w:tc>
          <w:tcPr>
            <w:tcW w:w="3600" w:type="dxa"/>
            <w:vAlign w:val="bottom"/>
            <w:gridSpan w:val="2"/>
          </w:tcPr>
          <w:p>
            <w:pPr>
              <w:jc w:val="right"/>
              <w:ind w:right="1436"/>
              <w:spacing w:after="0"/>
              <w:rPr>
                <w:sz w:val="20"/>
                <w:szCs w:val="20"/>
                <w:color w:val="auto"/>
              </w:rPr>
            </w:pPr>
            <w:r>
              <w:rPr>
                <w:rFonts w:ascii="Arial" w:cs="Arial" w:eastAsia="Arial" w:hAnsi="Arial"/>
                <w:sz w:val="17"/>
                <w:szCs w:val="17"/>
                <w:color w:val="auto"/>
              </w:rPr>
              <w:t>62</w:t>
            </w:r>
          </w:p>
        </w:tc>
        <w:tc>
          <w:tcPr>
            <w:tcW w:w="28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107"/>
        </w:trPr>
        <w:tc>
          <w:tcPr>
            <w:tcW w:w="362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7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7">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8">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7"/>
          <w:szCs w:val="17"/>
          <w:b w:val="1"/>
          <w:bCs w:val="1"/>
          <w:color w:val="auto"/>
        </w:rPr>
        <w:t>Exhibit 31.1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Fidus Investment Corporation Chief Executive Officer Certification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Rule 13a-14 of the Securities Exchange Act of 1934,</w:t>
      </w:r>
    </w:p>
    <w:p>
      <w:pPr>
        <w:spacing w:after="0" w:line="20" w:lineRule="exact"/>
        <w:rPr>
          <w:sz w:val="20"/>
          <w:szCs w:val="20"/>
          <w:color w:val="auto"/>
        </w:rPr>
      </w:pPr>
    </w:p>
    <w:p>
      <w:pPr>
        <w:ind w:left="3120"/>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I, Edward H. Ross, as Chief Executive Officer of Fidus Investment Corporation, certify that:</w:t>
      </w:r>
    </w:p>
    <w:p>
      <w:pPr>
        <w:spacing w:after="0" w:line="236" w:lineRule="exact"/>
        <w:rPr>
          <w:sz w:val="20"/>
          <w:szCs w:val="20"/>
          <w:color w:val="auto"/>
        </w:rPr>
      </w:pPr>
    </w:p>
    <w:p>
      <w:pPr>
        <w:ind w:left="340" w:hanging="338"/>
        <w:spacing w:after="0"/>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Fidus Investment Corporation;</w:t>
      </w:r>
    </w:p>
    <w:p>
      <w:pPr>
        <w:spacing w:after="0" w:line="235" w:lineRule="exact"/>
        <w:rPr>
          <w:rFonts w:ascii="Arial" w:cs="Arial" w:eastAsia="Arial" w:hAnsi="Arial"/>
          <w:sz w:val="17"/>
          <w:szCs w:val="17"/>
          <w:color w:val="auto"/>
        </w:rPr>
      </w:pPr>
    </w:p>
    <w:p>
      <w:pPr>
        <w:ind w:left="300" w:right="320" w:hanging="298"/>
        <w:spacing w:after="0" w:line="358" w:lineRule="auto"/>
        <w:tabs>
          <w:tab w:leader="none" w:pos="338" w:val="left"/>
        </w:tabs>
        <w:numPr>
          <w:ilvl w:val="0"/>
          <w:numId w:val="3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1" w:lineRule="exact"/>
        <w:rPr>
          <w:rFonts w:ascii="Arial" w:cs="Arial" w:eastAsia="Arial" w:hAnsi="Arial"/>
          <w:sz w:val="15"/>
          <w:szCs w:val="15"/>
          <w:color w:val="auto"/>
        </w:rPr>
      </w:pPr>
    </w:p>
    <w:p>
      <w:pPr>
        <w:ind w:left="300" w:right="400" w:hanging="298"/>
        <w:spacing w:after="0" w:line="288" w:lineRule="auto"/>
        <w:tabs>
          <w:tab w:leader="none" w:pos="338"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Arial" w:cs="Arial" w:eastAsia="Arial" w:hAnsi="Arial"/>
          <w:sz w:val="17"/>
          <w:szCs w:val="17"/>
          <w:color w:val="auto"/>
        </w:rPr>
      </w:pPr>
    </w:p>
    <w:p>
      <w:pPr>
        <w:ind w:left="300" w:right="80" w:hanging="298"/>
        <w:spacing w:after="0" w:line="276" w:lineRule="auto"/>
        <w:tabs>
          <w:tab w:leader="none" w:pos="338"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Arial" w:cs="Arial" w:eastAsia="Arial" w:hAnsi="Arial"/>
          <w:sz w:val="17"/>
          <w:szCs w:val="17"/>
          <w:color w:val="auto"/>
        </w:rPr>
      </w:pPr>
    </w:p>
    <w:p>
      <w:pPr>
        <w:ind w:left="600" w:right="40" w:hanging="290"/>
        <w:spacing w:after="0" w:line="276" w:lineRule="auto"/>
        <w:tabs>
          <w:tab w:leader="none" w:pos="646"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7"/>
          <w:szCs w:val="17"/>
          <w:color w:val="auto"/>
        </w:rPr>
      </w:pPr>
    </w:p>
    <w:p>
      <w:pPr>
        <w:ind w:left="600" w:right="180" w:hanging="290"/>
        <w:spacing w:after="0" w:line="276" w:lineRule="auto"/>
        <w:tabs>
          <w:tab w:leader="none" w:pos="646"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7"/>
          <w:szCs w:val="17"/>
          <w:color w:val="auto"/>
        </w:rPr>
      </w:pPr>
    </w:p>
    <w:p>
      <w:pPr>
        <w:ind w:left="600" w:right="140" w:hanging="290"/>
        <w:spacing w:after="0" w:line="288" w:lineRule="auto"/>
        <w:tabs>
          <w:tab w:leader="none" w:pos="646" w:val="left"/>
        </w:tabs>
        <w:numPr>
          <w:ilvl w:val="1"/>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Arial" w:cs="Arial" w:eastAsia="Arial" w:hAnsi="Arial"/>
          <w:sz w:val="17"/>
          <w:szCs w:val="17"/>
          <w:color w:val="auto"/>
        </w:rPr>
      </w:pPr>
    </w:p>
    <w:p>
      <w:pPr>
        <w:ind w:left="600" w:right="80" w:hanging="290"/>
        <w:spacing w:after="0" w:line="276" w:lineRule="auto"/>
        <w:tabs>
          <w:tab w:leader="none" w:pos="646" w:val="left"/>
        </w:tabs>
        <w:numPr>
          <w:ilvl w:val="1"/>
          <w:numId w:val="3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7"/>
          <w:szCs w:val="17"/>
          <w:color w:val="auto"/>
        </w:rPr>
      </w:pPr>
    </w:p>
    <w:p>
      <w:pPr>
        <w:ind w:left="300" w:hanging="298"/>
        <w:spacing w:after="0" w:line="288" w:lineRule="auto"/>
        <w:tabs>
          <w:tab w:leader="none" w:pos="338"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Arial" w:cs="Arial" w:eastAsia="Arial" w:hAnsi="Arial"/>
          <w:sz w:val="17"/>
          <w:szCs w:val="17"/>
          <w:color w:val="auto"/>
        </w:rPr>
      </w:pPr>
    </w:p>
    <w:p>
      <w:pPr>
        <w:ind w:left="600" w:right="320" w:hanging="290"/>
        <w:spacing w:after="0" w:line="288" w:lineRule="auto"/>
        <w:tabs>
          <w:tab w:leader="none" w:pos="646"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Arial" w:cs="Arial" w:eastAsia="Arial" w:hAnsi="Arial"/>
          <w:sz w:val="17"/>
          <w:szCs w:val="17"/>
          <w:color w:val="auto"/>
        </w:rPr>
      </w:pPr>
    </w:p>
    <w:p>
      <w:pPr>
        <w:ind w:left="600" w:right="540" w:hanging="290"/>
        <w:spacing w:after="0" w:line="288" w:lineRule="auto"/>
        <w:tabs>
          <w:tab w:leader="none" w:pos="646" w:val="left"/>
        </w:tabs>
        <w:numPr>
          <w:ilvl w:val="1"/>
          <w:numId w:val="3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Date: November 4, 2021</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171640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9">
                      <a:extLst>
                        <a:ext uri="{28A0092B-C50C-407E-A947-70E740481C1C}"/>
                      </a:extLst>
                    </a:blip>
                    <a:srcRect/>
                    <a:stretch>
                      <a:fillRect/>
                    </a:stretch>
                  </pic:blipFill>
                  <pic:spPr bwMode="auto">
                    <a:xfrm>
                      <a:off x="0" y="0"/>
                      <a:ext cx="171640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Edward H. Ross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Chairman and Chief Executive Officer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201295</wp:posOffset>
            </wp:positionV>
            <wp:extent cx="7165975" cy="4127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7"/>
          <w:szCs w:val="17"/>
          <w:b w:val="1"/>
          <w:bCs w:val="1"/>
          <w:color w:val="auto"/>
        </w:rPr>
        <w:t>Exhibit 31.2</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Fidus Investment Corporation Chief Financial Officer Certification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Rule 13a-14 of the Securities Exchange Act of 1934,</w:t>
      </w:r>
    </w:p>
    <w:p>
      <w:pPr>
        <w:spacing w:after="0" w:line="20" w:lineRule="exact"/>
        <w:rPr>
          <w:sz w:val="20"/>
          <w:szCs w:val="20"/>
          <w:color w:val="auto"/>
        </w:rPr>
      </w:pPr>
    </w:p>
    <w:p>
      <w:pPr>
        <w:ind w:left="3120"/>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I, Shelby E. Sherard, as Chief Financial Officer of Fidus Investment Corporation, certify that:</w:t>
      </w:r>
    </w:p>
    <w:p>
      <w:pPr>
        <w:spacing w:after="0" w:line="236" w:lineRule="exact"/>
        <w:rPr>
          <w:sz w:val="20"/>
          <w:szCs w:val="20"/>
          <w:color w:val="auto"/>
        </w:rPr>
      </w:pPr>
    </w:p>
    <w:p>
      <w:pPr>
        <w:ind w:left="340" w:hanging="338"/>
        <w:spacing w:after="0"/>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Fidus Investment Corporation;</w:t>
      </w:r>
    </w:p>
    <w:p>
      <w:pPr>
        <w:spacing w:after="0" w:line="235" w:lineRule="exact"/>
        <w:rPr>
          <w:rFonts w:ascii="Arial" w:cs="Arial" w:eastAsia="Arial" w:hAnsi="Arial"/>
          <w:sz w:val="17"/>
          <w:szCs w:val="17"/>
          <w:color w:val="auto"/>
        </w:rPr>
      </w:pPr>
    </w:p>
    <w:p>
      <w:pPr>
        <w:ind w:left="300" w:right="320" w:hanging="298"/>
        <w:spacing w:after="0" w:line="358" w:lineRule="auto"/>
        <w:tabs>
          <w:tab w:leader="none" w:pos="338" w:val="left"/>
        </w:tabs>
        <w:numPr>
          <w:ilvl w:val="0"/>
          <w:numId w:val="3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1" w:lineRule="exact"/>
        <w:rPr>
          <w:rFonts w:ascii="Arial" w:cs="Arial" w:eastAsia="Arial" w:hAnsi="Arial"/>
          <w:sz w:val="15"/>
          <w:szCs w:val="15"/>
          <w:color w:val="auto"/>
        </w:rPr>
      </w:pPr>
    </w:p>
    <w:p>
      <w:pPr>
        <w:ind w:left="300" w:right="400" w:hanging="298"/>
        <w:spacing w:after="0" w:line="288" w:lineRule="auto"/>
        <w:tabs>
          <w:tab w:leader="none" w:pos="338"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Arial" w:cs="Arial" w:eastAsia="Arial" w:hAnsi="Arial"/>
          <w:sz w:val="17"/>
          <w:szCs w:val="17"/>
          <w:color w:val="auto"/>
        </w:rPr>
      </w:pPr>
    </w:p>
    <w:p>
      <w:pPr>
        <w:ind w:left="300" w:right="80" w:hanging="298"/>
        <w:spacing w:after="0" w:line="276" w:lineRule="auto"/>
        <w:tabs>
          <w:tab w:leader="none" w:pos="338"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Arial" w:cs="Arial" w:eastAsia="Arial" w:hAnsi="Arial"/>
          <w:sz w:val="17"/>
          <w:szCs w:val="17"/>
          <w:color w:val="auto"/>
        </w:rPr>
      </w:pPr>
    </w:p>
    <w:p>
      <w:pPr>
        <w:ind w:left="600" w:right="40" w:hanging="290"/>
        <w:spacing w:after="0" w:line="276" w:lineRule="auto"/>
        <w:tabs>
          <w:tab w:leader="none" w:pos="646"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7"/>
          <w:szCs w:val="17"/>
          <w:color w:val="auto"/>
        </w:rPr>
      </w:pPr>
    </w:p>
    <w:p>
      <w:pPr>
        <w:ind w:left="600" w:right="180" w:hanging="290"/>
        <w:spacing w:after="0" w:line="276" w:lineRule="auto"/>
        <w:tabs>
          <w:tab w:leader="none" w:pos="646"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7"/>
          <w:szCs w:val="17"/>
          <w:color w:val="auto"/>
        </w:rPr>
      </w:pPr>
    </w:p>
    <w:p>
      <w:pPr>
        <w:ind w:left="600" w:right="140" w:hanging="290"/>
        <w:spacing w:after="0" w:line="288" w:lineRule="auto"/>
        <w:tabs>
          <w:tab w:leader="none" w:pos="646"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Arial" w:cs="Arial" w:eastAsia="Arial" w:hAnsi="Arial"/>
          <w:sz w:val="17"/>
          <w:szCs w:val="17"/>
          <w:color w:val="auto"/>
        </w:rPr>
      </w:pPr>
    </w:p>
    <w:p>
      <w:pPr>
        <w:ind w:left="600" w:right="80" w:hanging="290"/>
        <w:spacing w:after="0" w:line="276" w:lineRule="auto"/>
        <w:tabs>
          <w:tab w:leader="none" w:pos="646" w:val="left"/>
        </w:tabs>
        <w:numPr>
          <w:ilvl w:val="1"/>
          <w:numId w:val="3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7"/>
          <w:szCs w:val="17"/>
          <w:color w:val="auto"/>
        </w:rPr>
      </w:pPr>
    </w:p>
    <w:p>
      <w:pPr>
        <w:ind w:left="300" w:hanging="298"/>
        <w:spacing w:after="0" w:line="288" w:lineRule="auto"/>
        <w:tabs>
          <w:tab w:leader="none" w:pos="338"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Arial" w:cs="Arial" w:eastAsia="Arial" w:hAnsi="Arial"/>
          <w:sz w:val="17"/>
          <w:szCs w:val="17"/>
          <w:color w:val="auto"/>
        </w:rPr>
      </w:pPr>
    </w:p>
    <w:p>
      <w:pPr>
        <w:ind w:left="600" w:right="320" w:hanging="290"/>
        <w:spacing w:after="0" w:line="288" w:lineRule="auto"/>
        <w:tabs>
          <w:tab w:leader="none" w:pos="646"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Arial" w:cs="Arial" w:eastAsia="Arial" w:hAnsi="Arial"/>
          <w:sz w:val="17"/>
          <w:szCs w:val="17"/>
          <w:color w:val="auto"/>
        </w:rPr>
      </w:pPr>
    </w:p>
    <w:p>
      <w:pPr>
        <w:ind w:left="600" w:right="540" w:hanging="290"/>
        <w:spacing w:after="0" w:line="288" w:lineRule="auto"/>
        <w:tabs>
          <w:tab w:leader="none" w:pos="646" w:val="left"/>
        </w:tabs>
        <w:numPr>
          <w:ilvl w:val="1"/>
          <w:numId w:val="3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Date: November 4, 2021</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193103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1">
                      <a:extLst>
                        <a:ext uri="{28A0092B-C50C-407E-A947-70E740481C1C}"/>
                      </a:extLst>
                    </a:blip>
                    <a:srcRect/>
                    <a:stretch>
                      <a:fillRect/>
                    </a:stretch>
                  </pic:blipFill>
                  <pic:spPr bwMode="auto">
                    <a:xfrm>
                      <a:off x="0" y="0"/>
                      <a:ext cx="193103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Shelby E. Sherard</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337820</wp:posOffset>
            </wp:positionV>
            <wp:extent cx="7165975" cy="4127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7"/>
          <w:szCs w:val="17"/>
          <w:b w:val="1"/>
          <w:bCs w:val="1"/>
          <w:color w:val="auto"/>
        </w:rPr>
        <w:t>Exhibit 32.1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 of the Sarbanes-Oxley Act Of 2002</w:t>
      </w:r>
    </w:p>
    <w:p>
      <w:pPr>
        <w:spacing w:after="0" w:line="23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connection with the Quarterly Report on Form 10-Q of Fidus Investment Corporation (the “Company”) for the quarterly period ended September 30, 2021, as filed with the Securities and Exchange Commission on the date hereof (the “Report”), I, Edward H. Ross, Chief Executive Officer of the Company, and I, Shelby E. Sherard, Chief Financial Officer of the Company, each certify, pursuant to 18 U.S.C. Section 1350, as adopted pursuant to Section 906 of the Sarbanes-Oxley Act of 2002, that to my knowledge:</w:t>
      </w:r>
    </w:p>
    <w:p>
      <w:pPr>
        <w:spacing w:after="0" w:line="191" w:lineRule="exact"/>
        <w:rPr>
          <w:sz w:val="20"/>
          <w:szCs w:val="20"/>
          <w:color w:val="auto"/>
        </w:rPr>
      </w:pPr>
    </w:p>
    <w:p>
      <w:pPr>
        <w:ind w:left="640" w:hanging="330"/>
        <w:spacing w:after="0"/>
        <w:tabs>
          <w:tab w:leader="none" w:pos="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5" w:lineRule="exact"/>
        <w:rPr>
          <w:rFonts w:ascii="Arial" w:cs="Arial" w:eastAsia="Arial" w:hAnsi="Arial"/>
          <w:sz w:val="17"/>
          <w:szCs w:val="17"/>
          <w:color w:val="auto"/>
        </w:rPr>
      </w:pPr>
    </w:p>
    <w:p>
      <w:pPr>
        <w:ind w:left="640" w:hanging="330"/>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00" w:type="dxa"/>
            <w:vAlign w:val="bottom"/>
          </w:tcPr>
          <w:p>
            <w:pPr>
              <w:ind w:left="40"/>
              <w:spacing w:after="0"/>
              <w:rPr>
                <w:sz w:val="20"/>
                <w:szCs w:val="20"/>
                <w:color w:val="auto"/>
              </w:rPr>
            </w:pPr>
            <w:r>
              <w:rPr>
                <w:rFonts w:ascii="Arial" w:cs="Arial" w:eastAsia="Arial" w:hAnsi="Arial"/>
                <w:sz w:val="17"/>
                <w:szCs w:val="17"/>
                <w:color w:val="auto"/>
              </w:rPr>
              <w:t>Date: November 4, 2021</w:t>
            </w:r>
          </w:p>
        </w:tc>
        <w:tc>
          <w:tcPr>
            <w:tcW w:w="5840" w:type="dxa"/>
            <w:vAlign w:val="bottom"/>
            <w:gridSpan w:val="3"/>
          </w:tcPr>
          <w:p>
            <w:pPr>
              <w:spacing w:after="0"/>
              <w:rPr>
                <w:sz w:val="20"/>
                <w:szCs w:val="20"/>
                <w:color w:val="auto"/>
              </w:rPr>
            </w:pPr>
            <w:r>
              <w:rPr>
                <w:rFonts w:ascii="Arial" w:cs="Arial" w:eastAsia="Arial" w:hAnsi="Arial"/>
                <w:sz w:val="17"/>
                <w:szCs w:val="17"/>
                <w:color w:val="auto"/>
              </w:rPr>
              <w:t>/s/ EDWARD H. ROSS</w:t>
            </w:r>
          </w:p>
        </w:tc>
      </w:tr>
      <w:tr>
        <w:trPr>
          <w:trHeight w:val="258"/>
        </w:trPr>
        <w:tc>
          <w:tcPr>
            <w:tcW w:w="5400" w:type="dxa"/>
            <w:vAlign w:val="bottom"/>
          </w:tcPr>
          <w:p>
            <w:pPr>
              <w:spacing w:after="0"/>
              <w:rPr>
                <w:sz w:val="22"/>
                <w:szCs w:val="22"/>
                <w:color w:val="auto"/>
              </w:rPr>
            </w:pPr>
          </w:p>
        </w:tc>
        <w:tc>
          <w:tcPr>
            <w:tcW w:w="15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Edward H. Ross</w:t>
            </w:r>
          </w:p>
        </w:tc>
        <w:tc>
          <w:tcPr>
            <w:tcW w:w="4260" w:type="dxa"/>
            <w:vAlign w:val="bottom"/>
            <w:gridSpan w:val="2"/>
          </w:tcPr>
          <w:p>
            <w:pPr>
              <w:spacing w:after="0"/>
              <w:rPr>
                <w:sz w:val="22"/>
                <w:szCs w:val="22"/>
                <w:color w:val="auto"/>
              </w:rPr>
            </w:pPr>
          </w:p>
        </w:tc>
      </w:tr>
      <w:tr>
        <w:trPr>
          <w:trHeight w:val="228"/>
        </w:trPr>
        <w:tc>
          <w:tcPr>
            <w:tcW w:w="5400" w:type="dxa"/>
            <w:vAlign w:val="bottom"/>
          </w:tcPr>
          <w:p>
            <w:pPr>
              <w:spacing w:after="0"/>
              <w:rPr>
                <w:sz w:val="19"/>
                <w:szCs w:val="19"/>
                <w:color w:val="auto"/>
              </w:rPr>
            </w:pPr>
          </w:p>
        </w:tc>
        <w:tc>
          <w:tcPr>
            <w:tcW w:w="5840" w:type="dxa"/>
            <w:vAlign w:val="bottom"/>
            <w:gridSpan w:val="3"/>
          </w:tcPr>
          <w:p>
            <w:pPr>
              <w:spacing w:after="0"/>
              <w:rPr>
                <w:sz w:val="20"/>
                <w:szCs w:val="20"/>
                <w:color w:val="auto"/>
              </w:rPr>
            </w:pPr>
            <w:r>
              <w:rPr>
                <w:rFonts w:ascii="Arial" w:cs="Arial" w:eastAsia="Arial" w:hAnsi="Arial"/>
                <w:sz w:val="17"/>
                <w:szCs w:val="17"/>
                <w:color w:val="auto"/>
              </w:rPr>
              <w:t>Chairman and Chief Executive Officer</w:t>
            </w:r>
          </w:p>
        </w:tc>
      </w:tr>
      <w:tr>
        <w:trPr>
          <w:trHeight w:val="228"/>
        </w:trPr>
        <w:tc>
          <w:tcPr>
            <w:tcW w:w="5400" w:type="dxa"/>
            <w:vAlign w:val="bottom"/>
          </w:tcPr>
          <w:p>
            <w:pPr>
              <w:spacing w:after="0"/>
              <w:rPr>
                <w:sz w:val="19"/>
                <w:szCs w:val="19"/>
                <w:color w:val="auto"/>
              </w:rPr>
            </w:pPr>
          </w:p>
        </w:tc>
        <w:tc>
          <w:tcPr>
            <w:tcW w:w="5840" w:type="dxa"/>
            <w:vAlign w:val="bottom"/>
            <w:gridSpan w:val="3"/>
          </w:tcPr>
          <w:p>
            <w:pPr>
              <w:spacing w:after="0"/>
              <w:rPr>
                <w:sz w:val="20"/>
                <w:szCs w:val="20"/>
                <w:color w:val="auto"/>
              </w:rPr>
            </w:pPr>
            <w:r>
              <w:rPr>
                <w:rFonts w:ascii="Arial" w:cs="Arial" w:eastAsia="Arial" w:hAnsi="Arial"/>
                <w:sz w:val="17"/>
                <w:szCs w:val="17"/>
                <w:color w:val="auto"/>
              </w:rPr>
              <w:t>(Principal Executive Officer)</w:t>
            </w:r>
          </w:p>
        </w:tc>
      </w:tr>
      <w:tr>
        <w:trPr>
          <w:trHeight w:val="419"/>
        </w:trPr>
        <w:tc>
          <w:tcPr>
            <w:tcW w:w="5400" w:type="dxa"/>
            <w:vAlign w:val="bottom"/>
          </w:tcPr>
          <w:p>
            <w:pPr>
              <w:spacing w:after="0"/>
              <w:rPr>
                <w:sz w:val="24"/>
                <w:szCs w:val="24"/>
                <w:color w:val="auto"/>
              </w:rPr>
            </w:pPr>
          </w:p>
        </w:tc>
        <w:tc>
          <w:tcPr>
            <w:tcW w:w="5840" w:type="dxa"/>
            <w:vAlign w:val="bottom"/>
            <w:gridSpan w:val="3"/>
          </w:tcPr>
          <w:p>
            <w:pPr>
              <w:spacing w:after="0"/>
              <w:rPr>
                <w:sz w:val="20"/>
                <w:szCs w:val="20"/>
                <w:color w:val="auto"/>
              </w:rPr>
            </w:pPr>
            <w:r>
              <w:rPr>
                <w:rFonts w:ascii="Arial" w:cs="Arial" w:eastAsia="Arial" w:hAnsi="Arial"/>
                <w:sz w:val="17"/>
                <w:szCs w:val="17"/>
                <w:color w:val="auto"/>
              </w:rPr>
              <w:t>/s/ SHELBY E. SHERARD</w:t>
            </w:r>
          </w:p>
        </w:tc>
      </w:tr>
      <w:tr>
        <w:trPr>
          <w:trHeight w:val="246"/>
        </w:trPr>
        <w:tc>
          <w:tcPr>
            <w:tcW w:w="5400" w:type="dxa"/>
            <w:vAlign w:val="bottom"/>
          </w:tcPr>
          <w:p>
            <w:pPr>
              <w:spacing w:after="0"/>
              <w:rPr>
                <w:sz w:val="21"/>
                <w:szCs w:val="21"/>
                <w:color w:val="auto"/>
              </w:rPr>
            </w:pPr>
          </w:p>
        </w:tc>
        <w:tc>
          <w:tcPr>
            <w:tcW w:w="18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Shelby E. Sherard</w:t>
            </w:r>
          </w:p>
        </w:tc>
        <w:tc>
          <w:tcPr>
            <w:tcW w:w="3980" w:type="dxa"/>
            <w:vAlign w:val="bottom"/>
          </w:tcPr>
          <w:p>
            <w:pPr>
              <w:spacing w:after="0"/>
              <w:rPr>
                <w:sz w:val="21"/>
                <w:szCs w:val="21"/>
                <w:color w:val="auto"/>
              </w:rPr>
            </w:pPr>
          </w:p>
        </w:tc>
      </w:tr>
      <w:tr>
        <w:trPr>
          <w:trHeight w:val="228"/>
        </w:trPr>
        <w:tc>
          <w:tcPr>
            <w:tcW w:w="5400" w:type="dxa"/>
            <w:vAlign w:val="bottom"/>
          </w:tcPr>
          <w:p>
            <w:pPr>
              <w:spacing w:after="0"/>
              <w:rPr>
                <w:sz w:val="19"/>
                <w:szCs w:val="19"/>
                <w:color w:val="auto"/>
              </w:rPr>
            </w:pPr>
          </w:p>
        </w:tc>
        <w:tc>
          <w:tcPr>
            <w:tcW w:w="5840" w:type="dxa"/>
            <w:vAlign w:val="bottom"/>
            <w:gridSpan w:val="3"/>
          </w:tcPr>
          <w:p>
            <w:pPr>
              <w:spacing w:after="0"/>
              <w:rPr>
                <w:sz w:val="20"/>
                <w:szCs w:val="20"/>
                <w:color w:val="auto"/>
              </w:rPr>
            </w:pPr>
            <w:r>
              <w:rPr>
                <w:rFonts w:ascii="Arial" w:cs="Arial" w:eastAsia="Arial" w:hAnsi="Arial"/>
                <w:sz w:val="17"/>
                <w:szCs w:val="17"/>
                <w:color w:val="auto"/>
              </w:rPr>
              <w:t>Chief Financial Officer</w:t>
            </w:r>
          </w:p>
        </w:tc>
      </w:tr>
      <w:tr>
        <w:trPr>
          <w:trHeight w:val="228"/>
        </w:trPr>
        <w:tc>
          <w:tcPr>
            <w:tcW w:w="5400" w:type="dxa"/>
            <w:vAlign w:val="bottom"/>
          </w:tcPr>
          <w:p>
            <w:pPr>
              <w:spacing w:after="0"/>
              <w:rPr>
                <w:sz w:val="19"/>
                <w:szCs w:val="19"/>
                <w:color w:val="auto"/>
              </w:rPr>
            </w:pPr>
          </w:p>
        </w:tc>
        <w:tc>
          <w:tcPr>
            <w:tcW w:w="5840" w:type="dxa"/>
            <w:vAlign w:val="bottom"/>
            <w:gridSpan w:val="3"/>
          </w:tcPr>
          <w:p>
            <w:pPr>
              <w:spacing w:after="0"/>
              <w:rPr>
                <w:sz w:val="20"/>
                <w:szCs w:val="20"/>
                <w:color w:val="auto"/>
              </w:rPr>
            </w:pPr>
            <w:r>
              <w:rPr>
                <w:rFonts w:ascii="Arial" w:cs="Arial" w:eastAsia="Arial" w:hAnsi="Arial"/>
                <w:sz w:val="17"/>
                <w:szCs w:val="17"/>
                <w:color w:val="auto"/>
              </w:rPr>
              <w:t>(Principal Financial and Accounting Officer)</w:t>
            </w:r>
          </w:p>
        </w:tc>
      </w:tr>
      <w:tr>
        <w:trPr>
          <w:trHeight w:val="1971"/>
        </w:trPr>
        <w:tc>
          <w:tcPr>
            <w:tcW w:w="54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3">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4">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lowerLetter"/>
      <w:start w:val="1"/>
    </w:lvl>
  </w:abstractNum>
  <w:abstractNum w:abstractNumId="3">
    <w:nsid w:val="721DA317"/>
    <w:multiLevelType w:val="hybridMultilevel"/>
    <w:lvl w:ilvl="0">
      <w:lvlJc w:val="left"/>
      <w:lvlText w:val="(%1)"/>
      <w:numFmt w:val="lowerLetter"/>
      <w:start w:val="7"/>
    </w:lvl>
  </w:abstractNum>
  <w:abstractNum w:abstractNumId="4">
    <w:nsid w:val="2443A858"/>
    <w:multiLevelType w:val="hybridMultilevel"/>
    <w:lvl w:ilvl="0">
      <w:lvlJc w:val="left"/>
      <w:lvlText w:val="(%1)"/>
      <w:numFmt w:val="lowerLetter"/>
      <w:start w:val="26"/>
    </w:lvl>
  </w:abstractNum>
  <w:abstractNum w:abstractNumId="5">
    <w:nsid w:val="2D1D5AE9"/>
    <w:multiLevelType w:val="hybridMultilevel"/>
    <w:lvl w:ilvl="0">
      <w:lvlJc w:val="left"/>
      <w:lvlText w:val="(%1)"/>
      <w:numFmt w:val="lowerLetter"/>
      <w:start w:val="27"/>
    </w:lvl>
  </w:abstractNum>
  <w:abstractNum w:abstractNumId="6">
    <w:nsid w:val="6763845E"/>
    <w:multiLevelType w:val="hybridMultilevel"/>
    <w:lvl w:ilvl="0">
      <w:lvlJc w:val="left"/>
      <w:lvlText w:val="(%1)"/>
      <w:numFmt w:val="lowerLetter"/>
      <w:start w:val="1"/>
    </w:lvl>
  </w:abstractNum>
  <w:abstractNum w:abstractNumId="7">
    <w:nsid w:val="75A2A8D4"/>
    <w:multiLevelType w:val="hybridMultilevel"/>
    <w:lvl w:ilvl="0">
      <w:lvlJc w:val="left"/>
      <w:lvlText w:val="(%1)"/>
      <w:numFmt w:val="lowerLetter"/>
      <w:start w:val="12"/>
    </w:lvl>
  </w:abstractNum>
  <w:abstractNum w:abstractNumId="8">
    <w:nsid w:val="8EDBDAB"/>
    <w:multiLevelType w:val="hybridMultilevel"/>
    <w:lvl w:ilvl="0">
      <w:lvlJc w:val="left"/>
      <w:lvlText w:val="(%1)"/>
      <w:numFmt w:val="lowerLetter"/>
      <w:start w:val="27"/>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6"/>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2"/>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1)"/>
      <w:numFmt w:val="upperLetter"/>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66" Type="http://schemas.openxmlformats.org/officeDocument/2006/relationships/image" Target="media/image451.png"/><Relationship Id="rId467" Type="http://schemas.openxmlformats.org/officeDocument/2006/relationships/image" Target="media/image452.png"/><Relationship Id="rId468" Type="http://schemas.openxmlformats.org/officeDocument/2006/relationships/image" Target="media/image453.png"/><Relationship Id="rId469" Type="http://schemas.openxmlformats.org/officeDocument/2006/relationships/image" Target="media/image454.png"/><Relationship Id="rId470" Type="http://schemas.openxmlformats.org/officeDocument/2006/relationships/image" Target="media/image455.png"/><Relationship Id="rId471" Type="http://schemas.openxmlformats.org/officeDocument/2006/relationships/image" Target="media/image456.png"/><Relationship Id="rId472" Type="http://schemas.openxmlformats.org/officeDocument/2006/relationships/image" Target="media/image457.png"/><Relationship Id="rId473" Type="http://schemas.openxmlformats.org/officeDocument/2006/relationships/image" Target="media/image458.png"/><Relationship Id="rId474" Type="http://schemas.openxmlformats.org/officeDocument/2006/relationships/image" Target="media/image459.png"/><Relationship Id="rId458" Type="http://schemas.openxmlformats.org/officeDocument/2006/relationships/hyperlink" Target="https://www.sec.gov/Archives/edgar/data/1513363/000095012311041885/w81466a2exv99wxayx1y.htm" TargetMode="External"/><Relationship Id="rId459" Type="http://schemas.openxmlformats.org/officeDocument/2006/relationships/hyperlink" Target="https://www.sec.gov/Archives/edgar/data/1513363/000095012311041885/w81466a2exv99wxbyx1y.htm" TargetMode="External"/><Relationship Id="rId460" Type="http://schemas.openxmlformats.org/officeDocument/2006/relationships/hyperlink" Target="https://www.sec.gov/Archives/edgar/data/1513363/000095012311041885/w81466a2exv99wxdy.htm" TargetMode="External"/><Relationship Id="rId461" Type="http://schemas.openxmlformats.org/officeDocument/2006/relationships/hyperlink" Target="https://www.sec.gov/Archives/edgar/data/1513363/000095012311054001/w81466a3exv99wxfyx2y.htm" TargetMode="External"/><Relationship Id="rId462" Type="http://schemas.openxmlformats.org/officeDocument/2006/relationships/hyperlink" Target="https://www.sec.gov/Archives/edgar/data/0001513363/000119312516569246/d141023dpos8c.htm" TargetMode="External"/><Relationship Id="rId463" Type="http://schemas.openxmlformats.org/officeDocument/2006/relationships/hyperlink" Target="https://www.sec.gov/Archives/edgar/data/1513363/000119312516569246/d141023dex99d5.htm" TargetMode="External"/><Relationship Id="rId464" Type="http://schemas.openxmlformats.org/officeDocument/2006/relationships/hyperlink" Target="https://www.sec.gov/Archives/edgar/data/1513363/000119312520325989/d97521dex41.htm" TargetMode="External"/><Relationship Id="rId465" Type="http://schemas.openxmlformats.org/officeDocument/2006/relationships/hyperlink" Target="https://www.sec.gov/Archives/edgar/data/0001513363/000119312521295460/d193806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2021-11-04T15:25:50Z</dcterms:created>
  <dcterms:modified xsi:type="dcterms:W3CDTF">2021-11-04T15:25:50Z</dcterms:modified>
</cp:coreProperties>
</file>