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1"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1934</w:t>
      </w: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814-00861</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6020" w:type="dxa"/>
            <w:vAlign w:val="bottom"/>
          </w:tcPr>
          <w:p>
            <w:pPr>
              <w:jc w:val="center"/>
              <w:ind w:right="3259"/>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27-5017321</w:t>
            </w:r>
          </w:p>
        </w:tc>
      </w:tr>
      <w:tr>
        <w:trPr>
          <w:trHeight w:val="148"/>
        </w:trPr>
        <w:tc>
          <w:tcPr>
            <w:tcW w:w="6020" w:type="dxa"/>
            <w:vAlign w:val="bottom"/>
          </w:tcPr>
          <w:p>
            <w:pPr>
              <w:jc w:val="center"/>
              <w:ind w:right="32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jc w:val="center"/>
              <w:ind w:right="325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20" w:type="dxa"/>
            <w:vAlign w:val="bottom"/>
          </w:tcPr>
          <w:p>
            <w:pPr>
              <w:jc w:val="center"/>
              <w:ind w:right="3259"/>
              <w:spacing w:after="0"/>
              <w:rPr>
                <w:sz w:val="20"/>
                <w:szCs w:val="20"/>
                <w:color w:val="auto"/>
              </w:rPr>
            </w:pPr>
            <w:r>
              <w:rPr>
                <w:rFonts w:ascii="Arial" w:cs="Arial" w:eastAsia="Arial" w:hAnsi="Arial"/>
                <w:sz w:val="18"/>
                <w:szCs w:val="18"/>
                <w:b w:val="1"/>
                <w:bCs w:val="1"/>
                <w:color w:val="auto"/>
                <w:w w:val="90"/>
              </w:rPr>
              <w:t>1603 Orrington Avenue, Suite 1005</w:t>
            </w:r>
          </w:p>
        </w:tc>
        <w:tc>
          <w:tcPr>
            <w:tcW w:w="1440" w:type="dxa"/>
            <w:vAlign w:val="bottom"/>
          </w:tcPr>
          <w:p>
            <w:pPr>
              <w:spacing w:after="0"/>
              <w:rPr>
                <w:sz w:val="24"/>
                <w:szCs w:val="24"/>
                <w:color w:val="auto"/>
              </w:rPr>
            </w:pPr>
          </w:p>
        </w:tc>
      </w:tr>
      <w:tr>
        <w:trPr>
          <w:trHeight w:val="225"/>
        </w:trPr>
        <w:tc>
          <w:tcPr>
            <w:tcW w:w="6020" w:type="dxa"/>
            <w:vAlign w:val="bottom"/>
          </w:tcPr>
          <w:p>
            <w:pPr>
              <w:jc w:val="center"/>
              <w:ind w:right="3279"/>
              <w:spacing w:after="0"/>
              <w:rPr>
                <w:sz w:val="20"/>
                <w:szCs w:val="20"/>
                <w:color w:val="auto"/>
              </w:rPr>
            </w:pPr>
            <w:r>
              <w:rPr>
                <w:rFonts w:ascii="Arial" w:cs="Arial" w:eastAsia="Arial" w:hAnsi="Arial"/>
                <w:sz w:val="18"/>
                <w:szCs w:val="18"/>
                <w:b w:val="1"/>
                <w:bCs w:val="1"/>
                <w:color w:val="auto"/>
                <w:w w:val="90"/>
              </w:rPr>
              <w:t>Evanston, Illinois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6020" w:type="dxa"/>
            <w:vAlign w:val="bottom"/>
          </w:tcPr>
          <w:p>
            <w:pPr>
              <w:jc w:val="center"/>
              <w:ind w:right="32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020" w:type="dxa"/>
            <w:vAlign w:val="bottom"/>
          </w:tcPr>
          <w:p>
            <w:pPr>
              <w:jc w:val="right"/>
              <w:ind w:right="1319"/>
              <w:spacing w:after="0"/>
              <w:rPr>
                <w:sz w:val="20"/>
                <w:szCs w:val="20"/>
                <w:color w:val="auto"/>
              </w:rPr>
            </w:pPr>
            <w:r>
              <w:rPr>
                <w:rFonts w:ascii="Arial" w:cs="Arial" w:eastAsia="Arial" w:hAnsi="Arial"/>
                <w:sz w:val="18"/>
                <w:szCs w:val="18"/>
                <w:b w:val="1"/>
                <w:bCs w:val="1"/>
                <w:color w:val="auto"/>
              </w:rPr>
              <w:t>(847) 859-3940</w:t>
            </w:r>
          </w:p>
        </w:tc>
        <w:tc>
          <w:tcPr>
            <w:tcW w:w="1440" w:type="dxa"/>
            <w:vAlign w:val="bottom"/>
          </w:tcPr>
          <w:p>
            <w:pPr>
              <w:spacing w:after="0"/>
              <w:rPr>
                <w:sz w:val="24"/>
                <w:szCs w:val="24"/>
                <w:color w:val="auto"/>
              </w:rPr>
            </w:pPr>
          </w:p>
        </w:tc>
      </w:tr>
      <w:tr>
        <w:trPr>
          <w:trHeight w:val="186"/>
        </w:trPr>
        <w:tc>
          <w:tcPr>
            <w:tcW w:w="6020" w:type="dxa"/>
            <w:vAlign w:val="bottom"/>
          </w:tcPr>
          <w:p>
            <w:pPr>
              <w:jc w:val="center"/>
              <w:ind w:left="20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FDUS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6.000%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FDUSZ</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5.375%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FDUSG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10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3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40"/>
          </w:cols>
          <w:pgMar w:left="320" w:top="230" w:right="439" w:bottom="0" w:gutter="0" w:footer="0" w:header="0"/>
        </w:sectPr>
      </w:pPr>
    </w:p>
    <w:p>
      <w:pPr>
        <w:spacing w:after="0" w:line="211" w:lineRule="exact"/>
        <w:rPr>
          <w:sz w:val="24"/>
          <w:szCs w:val="24"/>
          <w:color w:val="auto"/>
        </w:rPr>
      </w:pPr>
    </w:p>
    <w:p>
      <w:pPr>
        <w:ind w:left="120" w:right="200"/>
        <w:spacing w:after="0" w:line="23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Accelerated filer</w:t>
      </w:r>
    </w:p>
    <w:p>
      <w:pPr>
        <w:spacing w:after="0" w:line="30" w:lineRule="exact"/>
        <w:rPr>
          <w:sz w:val="24"/>
          <w:szCs w:val="24"/>
          <w:color w:val="auto"/>
        </w:rPr>
      </w:pPr>
    </w:p>
    <w:p>
      <w:pPr>
        <w:jc w:val="center"/>
        <w:ind w:right="1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Non-accelerated filer</w:t>
      </w:r>
    </w:p>
    <w:p>
      <w:pPr>
        <w:spacing w:after="0" w:line="41" w:lineRule="exact"/>
        <w:rPr>
          <w:sz w:val="24"/>
          <w:szCs w:val="24"/>
          <w:color w:val="auto"/>
        </w:rPr>
      </w:pPr>
    </w:p>
    <w:p>
      <w:pPr>
        <w:jc w:val="center"/>
        <w:ind w:right="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28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42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24" w:lineRule="exact"/>
        <w:rPr>
          <w:sz w:val="24"/>
          <w:szCs w:val="24"/>
          <w:color w:val="auto"/>
        </w:rPr>
      </w:pPr>
    </w:p>
    <w:p>
      <w:pPr>
        <w:sectPr>
          <w:pgSz w:w="11900" w:h="16838" w:orient="portrait"/>
          <w:cols w:equalWidth="0" w:num="5">
            <w:col w:w="1940" w:space="720"/>
            <w:col w:w="1380" w:space="720"/>
            <w:col w:w="1720" w:space="720"/>
            <w:col w:w="1540" w:space="720"/>
            <w:col w:w="1680"/>
          </w:cols>
          <w:pgMar w:left="320" w:top="230" w:right="439" w:bottom="0" w:gutter="0" w:footer="0" w:header="0"/>
          <w:type w:val="continuous"/>
        </w:sect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May 3, 2021, the Registrant had outstanding 24,437,400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8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00" w:type="dxa"/>
            <w:vAlign w:val="bottom"/>
            <w:gridSpan w:val="12"/>
          </w:tcPr>
          <w:p>
            <w:pPr>
              <w:jc w:val="center"/>
              <w:ind w:right="3220"/>
              <w:spacing w:after="0"/>
              <w:rPr>
                <w:sz w:val="20"/>
                <w:szCs w:val="20"/>
                <w:color w:val="auto"/>
              </w:rPr>
            </w:pPr>
            <w:r>
              <w:rPr>
                <w:rFonts w:ascii="Arial" w:cs="Arial" w:eastAsia="Arial" w:hAnsi="Arial"/>
                <w:sz w:val="18"/>
                <w:szCs w:val="18"/>
                <w:b w:val="1"/>
                <w:bCs w:val="1"/>
                <w:color w:val="auto"/>
              </w:rPr>
              <w:t>FIDUS INVESTMENT CORPORATION</w:t>
            </w:r>
          </w:p>
        </w:tc>
        <w:tc>
          <w:tcPr>
            <w:tcW w:w="6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12"/>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00" w:type="dxa"/>
            <w:vAlign w:val="bottom"/>
            <w:gridSpan w:val="12"/>
          </w:tcPr>
          <w:p>
            <w:pPr>
              <w:jc w:val="center"/>
              <w:ind w:right="3220"/>
              <w:spacing w:after="0"/>
              <w:rPr>
                <w:sz w:val="20"/>
                <w:szCs w:val="20"/>
                <w:color w:val="auto"/>
              </w:rPr>
            </w:pPr>
            <w:r>
              <w:rPr>
                <w:rFonts w:ascii="Arial" w:cs="Arial" w:eastAsia="Arial" w:hAnsi="Arial"/>
                <w:sz w:val="18"/>
                <w:szCs w:val="18"/>
                <w:b w:val="1"/>
                <w:bCs w:val="1"/>
                <w:color w:val="auto"/>
                <w:w w:val="99"/>
              </w:rPr>
              <w:t>QUARTERLY REPORT ON FORM 10-Q</w:t>
            </w:r>
          </w:p>
        </w:tc>
        <w:tc>
          <w:tcPr>
            <w:tcW w:w="6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40" w:type="dxa"/>
            <w:vAlign w:val="bottom"/>
            <w:gridSpan w:val="13"/>
          </w:tcPr>
          <w:p>
            <w:pPr>
              <w:jc w:val="center"/>
              <w:ind w:right="32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300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240" w:type="dxa"/>
            <w:vAlign w:val="bottom"/>
            <w:tcBorders>
              <w:top w:val="single" w:sz="8" w:color="0000EE"/>
            </w:tcBorders>
            <w:gridSpan w:val="5"/>
          </w:tcPr>
          <w:p>
            <w:pPr>
              <w:spacing w:after="0"/>
              <w:rPr>
                <w:sz w:val="17"/>
                <w:szCs w:val="17"/>
                <w:color w:val="auto"/>
              </w:rPr>
            </w:pPr>
          </w:p>
        </w:tc>
        <w:tc>
          <w:tcPr>
            <w:tcW w:w="326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Assets and Liabilities — March 31, 2021 (unaudited) and December 31, 2020</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 Three Months Ended March 31, 2021 (unaudited) and 2020 (unaudited)</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22"/>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Changes in Net Assets — Three Months Ended March 31, 2021 (unaudited) and 2020 (unaudited)</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tcBorders>
              <w:top w:val="single" w:sz="8" w:color="0000EE"/>
            </w:tcBorders>
            <w:gridSpan w:val="21"/>
          </w:tcPr>
          <w:p>
            <w:pPr>
              <w:spacing w:after="0" w:line="196"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Statements of Cash Flows — Three Months Ended March 31, 2021 (unaudited) and 2020 (unaudited)</w:t>
              </w:r>
            </w:hyperlink>
          </w:p>
        </w:tc>
        <w:tc>
          <w:tcPr>
            <w:tcW w:w="4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 March 31, 2021 (unaudited) and December 31, 2020</w:t>
              </w:r>
            </w:hyperlink>
          </w:p>
        </w:tc>
        <w:tc>
          <w:tcPr>
            <w:tcW w:w="120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Notes to Consolidated Financial Statements (unaudited)</w:t>
              </w:r>
            </w:hyperlink>
          </w:p>
        </w:tc>
        <w:tc>
          <w:tcPr>
            <w:tcW w:w="262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00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30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 — OTHER INFORMATION</w:t>
              </w:r>
            </w:hyperlink>
          </w:p>
        </w:tc>
        <w:tc>
          <w:tcPr>
            <w:tcW w:w="35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Legal Proceedings.</w:t>
              </w:r>
            </w:hyperlink>
          </w:p>
        </w:tc>
        <w:tc>
          <w:tcPr>
            <w:tcW w:w="812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50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1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510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50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17"/>
                <w:szCs w:val="17"/>
                <w:color w:val="auto"/>
              </w:rPr>
            </w:pPr>
          </w:p>
        </w:tc>
        <w:tc>
          <w:tcPr>
            <w:tcW w:w="714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Other Information.</w:t>
              </w:r>
            </w:hyperlink>
          </w:p>
        </w:tc>
        <w:tc>
          <w:tcPr>
            <w:tcW w:w="814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0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Signatures</w:t>
              </w:r>
            </w:hyperlink>
          </w:p>
        </w:tc>
        <w:tc>
          <w:tcPr>
            <w:tcW w:w="10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7"/>
        </w:trPr>
        <w:tc>
          <w:tcPr>
            <w:tcW w:w="120" w:type="dxa"/>
            <w:vAlign w:val="bottom"/>
          </w:tcPr>
          <w:p>
            <w:pPr>
              <w:spacing w:after="0"/>
              <w:rPr>
                <w:sz w:val="20"/>
                <w:szCs w:val="20"/>
                <w:color w:val="auto"/>
              </w:rPr>
            </w:pPr>
          </w:p>
        </w:tc>
        <w:tc>
          <w:tcPr>
            <w:tcW w:w="10360" w:type="dxa"/>
            <w:vAlign w:val="bottom"/>
            <w:gridSpan w:val="24"/>
          </w:tcPr>
          <w:p>
            <w:pPr>
              <w:spacing w:after="0"/>
              <w:rPr>
                <w:sz w:val="20"/>
                <w:szCs w:val="20"/>
                <w:color w:val="auto"/>
              </w:rPr>
            </w:pPr>
            <w:r>
              <w:rPr>
                <w:rFonts w:ascii="Arial" w:cs="Arial" w:eastAsia="Arial" w:hAnsi="Arial"/>
                <w:sz w:val="18"/>
                <w:szCs w:val="18"/>
                <w:color w:val="auto"/>
              </w:rPr>
              <w:t>Exhibit Index</w:t>
            </w:r>
          </w:p>
        </w:tc>
        <w:tc>
          <w:tcPr>
            <w:tcW w:w="600" w:type="dxa"/>
            <w:vAlign w:val="bottom"/>
          </w:tcPr>
          <w:p>
            <w:pPr>
              <w:spacing w:after="0"/>
              <w:rPr>
                <w:sz w:val="20"/>
                <w:szCs w:val="20"/>
                <w:color w:val="auto"/>
              </w:rPr>
            </w:pPr>
          </w:p>
        </w:tc>
      </w:tr>
      <w:tr>
        <w:trPr>
          <w:trHeight w:val="36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20" w:type="dxa"/>
            <w:vAlign w:val="bottom"/>
            <w:gridSpan w:val="14"/>
          </w:tcPr>
          <w:p>
            <w:pPr>
              <w:jc w:val="center"/>
              <w:ind w:left="3270"/>
              <w:spacing w:after="0"/>
              <w:rPr>
                <w:sz w:val="20"/>
                <w:szCs w:val="20"/>
                <w:color w:val="auto"/>
              </w:rPr>
            </w:pPr>
            <w:r>
              <w:rPr>
                <w:rFonts w:ascii="Arial" w:cs="Arial" w:eastAsia="Arial" w:hAnsi="Arial"/>
                <w:sz w:val="18"/>
                <w:szCs w:val="18"/>
                <w:color w:val="auto"/>
                <w:w w:val="79"/>
              </w:rPr>
              <w:t>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440" w:type="dxa"/>
            <w:vAlign w:val="bottom"/>
          </w:tcPr>
          <w:p>
            <w:pPr>
              <w:spacing w:after="0"/>
              <w:rPr>
                <w:sz w:val="13"/>
                <w:szCs w:val="13"/>
                <w:color w:val="auto"/>
              </w:rPr>
            </w:pPr>
          </w:p>
        </w:tc>
        <w:tc>
          <w:tcPr>
            <w:tcW w:w="680" w:type="dxa"/>
            <w:vAlign w:val="bottom"/>
            <w:gridSpan w:val="4"/>
          </w:tcPr>
          <w:p>
            <w:pPr>
              <w:spacing w:after="0"/>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3"/>
        </w:trPr>
        <w:tc>
          <w:tcPr>
            <w:tcW w:w="9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440" w:type="dxa"/>
            <w:vAlign w:val="bottom"/>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40" w:type="dxa"/>
            <w:vAlign w:val="bottom"/>
          </w:tcPr>
          <w:p>
            <w:pPr>
              <w:spacing w:after="0" w:line="135" w:lineRule="exact"/>
              <w:rPr>
                <w:sz w:val="20"/>
                <w:szCs w:val="20"/>
                <w:color w:val="auto"/>
              </w:rPr>
            </w:pPr>
            <w:r>
              <w:rPr>
                <w:rFonts w:ascii="Arial" w:cs="Arial" w:eastAsia="Arial" w:hAnsi="Arial"/>
                <w:sz w:val="13"/>
                <w:szCs w:val="13"/>
                <w:color w:val="auto"/>
              </w:rPr>
              <w:t>Investments, at fair value: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Control investments (cost: $26,390 and $32,969, respectively)</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22,566</w:t>
            </w:r>
          </w:p>
        </w:tc>
        <w:tc>
          <w:tcPr>
            <w:tcW w:w="1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28,253</w:t>
            </w:r>
          </w:p>
        </w:tc>
        <w:tc>
          <w:tcPr>
            <w:tcW w:w="0" w:type="dxa"/>
            <w:vAlign w:val="bottom"/>
          </w:tcPr>
          <w:p>
            <w:pPr>
              <w:spacing w:after="0"/>
              <w:rPr>
                <w:sz w:val="1"/>
                <w:szCs w:val="1"/>
                <w:color w:val="auto"/>
              </w:rPr>
            </w:pPr>
          </w:p>
        </w:tc>
      </w:tr>
      <w:tr>
        <w:trPr>
          <w:trHeight w:val="135"/>
        </w:trPr>
        <w:tc>
          <w:tcPr>
            <w:tcW w:w="9440" w:type="dxa"/>
            <w:vAlign w:val="bottom"/>
          </w:tcPr>
          <w:p>
            <w:pPr>
              <w:ind w:left="240"/>
              <w:spacing w:after="0" w:line="135" w:lineRule="exact"/>
              <w:rPr>
                <w:sz w:val="20"/>
                <w:szCs w:val="20"/>
                <w:color w:val="auto"/>
              </w:rPr>
            </w:pPr>
            <w:r>
              <w:rPr>
                <w:rFonts w:ascii="Arial" w:cs="Arial" w:eastAsia="Arial" w:hAnsi="Arial"/>
                <w:sz w:val="13"/>
                <w:szCs w:val="13"/>
                <w:color w:val="auto"/>
              </w:rPr>
              <w:t>Affiliate investments (cost: $42,504 and $31,836, respectively)</w:t>
            </w:r>
          </w:p>
        </w:tc>
        <w:tc>
          <w:tcPr>
            <w:tcW w:w="10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96,014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81,394</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Non-control/non-affiliate investments (cost: $587,727 and $622,222, respectively)</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3"/>
              </w:rPr>
              <w:t>593,304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633,222</w:t>
            </w:r>
          </w:p>
        </w:tc>
        <w:tc>
          <w:tcPr>
            <w:tcW w:w="0" w:type="dxa"/>
            <w:vAlign w:val="bottom"/>
          </w:tcPr>
          <w:p>
            <w:pPr>
              <w:spacing w:after="0"/>
              <w:rPr>
                <w:sz w:val="1"/>
                <w:szCs w:val="1"/>
                <w:color w:val="auto"/>
              </w:rPr>
            </w:pPr>
          </w:p>
        </w:tc>
      </w:tr>
      <w:tr>
        <w:trPr>
          <w:trHeight w:val="142"/>
        </w:trPr>
        <w:tc>
          <w:tcPr>
            <w:tcW w:w="9440" w:type="dxa"/>
            <w:vAlign w:val="bottom"/>
          </w:tcPr>
          <w:p>
            <w:pPr>
              <w:spacing w:after="0" w:line="142" w:lineRule="exact"/>
              <w:rPr>
                <w:sz w:val="20"/>
                <w:szCs w:val="20"/>
                <w:color w:val="auto"/>
              </w:rPr>
            </w:pPr>
            <w:r>
              <w:rPr>
                <w:rFonts w:ascii="Arial" w:cs="Arial" w:eastAsia="Arial" w:hAnsi="Arial"/>
                <w:sz w:val="13"/>
                <w:szCs w:val="13"/>
                <w:color w:val="auto"/>
              </w:rPr>
              <w:t>Total investments, at fair value (cost: $656,621 and $687,027, respectively)</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711,884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742,869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60,175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124,308</w:t>
            </w:r>
          </w:p>
        </w:tc>
        <w:tc>
          <w:tcPr>
            <w:tcW w:w="0" w:type="dxa"/>
            <w:vAlign w:val="bottom"/>
          </w:tcPr>
          <w:p>
            <w:pPr>
              <w:spacing w:after="0"/>
              <w:rPr>
                <w:sz w:val="1"/>
                <w:szCs w:val="1"/>
                <w:color w:val="auto"/>
              </w:rPr>
            </w:pPr>
          </w:p>
        </w:tc>
      </w:tr>
      <w:tr>
        <w:trPr>
          <w:trHeight w:val="135"/>
        </w:trPr>
        <w:tc>
          <w:tcPr>
            <w:tcW w:w="9440" w:type="dxa"/>
            <w:vAlign w:val="bottom"/>
          </w:tcPr>
          <w:p>
            <w:pPr>
              <w:spacing w:after="0" w:line="135" w:lineRule="exact"/>
              <w:rPr>
                <w:sz w:val="20"/>
                <w:szCs w:val="20"/>
                <w:color w:val="auto"/>
              </w:rPr>
            </w:pPr>
            <w:r>
              <w:rPr>
                <w:rFonts w:ascii="Arial" w:cs="Arial" w:eastAsia="Arial" w:hAnsi="Arial"/>
                <w:sz w:val="13"/>
                <w:szCs w:val="13"/>
                <w:color w:val="auto"/>
              </w:rPr>
              <w:t>Interest receivable</w:t>
            </w:r>
          </w:p>
        </w:tc>
        <w:tc>
          <w:tcPr>
            <w:tcW w:w="10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7,091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7,548</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42"/>
        </w:trPr>
        <w:tc>
          <w:tcPr>
            <w:tcW w:w="9440" w:type="dxa"/>
            <w:vAlign w:val="bottom"/>
          </w:tcPr>
          <w:p>
            <w:pPr>
              <w:spacing w:after="0" w:line="142" w:lineRule="exact"/>
              <w:rPr>
                <w:sz w:val="20"/>
                <w:szCs w:val="20"/>
                <w:color w:val="auto"/>
              </w:rPr>
            </w:pPr>
            <w:r>
              <w:rPr>
                <w:rFonts w:ascii="Arial" w:cs="Arial" w:eastAsia="Arial" w:hAnsi="Arial"/>
                <w:sz w:val="13"/>
                <w:szCs w:val="13"/>
                <w:b w:val="1"/>
                <w:bCs w:val="1"/>
                <w:color w:val="auto"/>
              </w:rPr>
              <w:t>Total assets</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780,883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875,740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9440" w:type="dxa"/>
            <w:vAlign w:val="bottom"/>
          </w:tcPr>
          <w:p>
            <w:pPr>
              <w:spacing w:after="0"/>
              <w:rPr>
                <w:sz w:val="20"/>
                <w:szCs w:val="20"/>
                <w:color w:val="auto"/>
              </w:rPr>
            </w:pPr>
            <w:r>
              <w:rPr>
                <w:rFonts w:ascii="Arial" w:cs="Arial" w:eastAsia="Arial" w:hAnsi="Arial"/>
                <w:sz w:val="13"/>
                <w:szCs w:val="13"/>
                <w:color w:val="auto"/>
              </w:rPr>
              <w:t>SBA debentures, net of deferred financing costs (Note 6)</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w w:val="93"/>
              </w:rPr>
              <w:t>131,092</w:t>
            </w:r>
          </w:p>
        </w:tc>
        <w:tc>
          <w:tcPr>
            <w:tcW w:w="100" w:type="dxa"/>
            <w:vAlign w:val="bottom"/>
          </w:tcPr>
          <w:p>
            <w:pPr>
              <w:spacing w:after="0"/>
              <w:rPr>
                <w:sz w:val="21"/>
                <w:szCs w:val="21"/>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144,004</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Notes, net of deferred financing costs (Note 6)</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3"/>
              </w:rPr>
              <w:t>202,576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300,294</w:t>
            </w:r>
          </w:p>
        </w:tc>
        <w:tc>
          <w:tcPr>
            <w:tcW w:w="0" w:type="dxa"/>
            <w:vAlign w:val="bottom"/>
          </w:tcPr>
          <w:p>
            <w:pPr>
              <w:spacing w:after="0"/>
              <w:rPr>
                <w:sz w:val="1"/>
                <w:szCs w:val="1"/>
                <w:color w:val="auto"/>
              </w:rPr>
            </w:pPr>
          </w:p>
        </w:tc>
      </w:tr>
      <w:tr>
        <w:trPr>
          <w:trHeight w:val="135"/>
        </w:trPr>
        <w:tc>
          <w:tcPr>
            <w:tcW w:w="9440" w:type="dxa"/>
            <w:vAlign w:val="bottom"/>
          </w:tcPr>
          <w:p>
            <w:pPr>
              <w:spacing w:after="0" w:line="135" w:lineRule="exact"/>
              <w:rPr>
                <w:sz w:val="20"/>
                <w:szCs w:val="20"/>
                <w:color w:val="auto"/>
              </w:rPr>
            </w:pPr>
            <w:r>
              <w:rPr>
                <w:rFonts w:ascii="Arial" w:cs="Arial" w:eastAsia="Arial" w:hAnsi="Arial"/>
                <w:sz w:val="13"/>
                <w:szCs w:val="13"/>
                <w:color w:val="auto"/>
              </w:rPr>
              <w:t>Borrowings under Credit Facility, net of deferred financing costs (Note 6)</w:t>
            </w:r>
          </w:p>
        </w:tc>
        <w:tc>
          <w:tcPr>
            <w:tcW w:w="10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14,063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(1,048)</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interest and fees payable</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2,967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3,500</w:t>
            </w:r>
          </w:p>
        </w:tc>
        <w:tc>
          <w:tcPr>
            <w:tcW w:w="0" w:type="dxa"/>
            <w:vAlign w:val="bottom"/>
          </w:tcPr>
          <w:p>
            <w:pPr>
              <w:spacing w:after="0"/>
              <w:rPr>
                <w:sz w:val="1"/>
                <w:szCs w:val="1"/>
                <w:color w:val="auto"/>
              </w:rPr>
            </w:pPr>
          </w:p>
        </w:tc>
      </w:tr>
      <w:tr>
        <w:trPr>
          <w:trHeight w:val="135"/>
        </w:trPr>
        <w:tc>
          <w:tcPr>
            <w:tcW w:w="9440" w:type="dxa"/>
            <w:vAlign w:val="bottom"/>
          </w:tcPr>
          <w:p>
            <w:pPr>
              <w:spacing w:after="0" w:line="135" w:lineRule="exact"/>
              <w:rPr>
                <w:sz w:val="20"/>
                <w:szCs w:val="20"/>
                <w:color w:val="auto"/>
              </w:rPr>
            </w:pPr>
            <w:r>
              <w:rPr>
                <w:rFonts w:ascii="Arial" w:cs="Arial" w:eastAsia="Arial" w:hAnsi="Arial"/>
                <w:sz w:val="13"/>
                <w:szCs w:val="13"/>
                <w:color w:val="auto"/>
              </w:rPr>
              <w:t>Base management fee payable – due to affiliate</w:t>
            </w:r>
          </w:p>
        </w:tc>
        <w:tc>
          <w:tcPr>
            <w:tcW w:w="10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3,176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3,244</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incentive fee payable – due to affiliate</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2,669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135"/>
        </w:trPr>
        <w:tc>
          <w:tcPr>
            <w:tcW w:w="9440" w:type="dxa"/>
            <w:vAlign w:val="bottom"/>
          </w:tcPr>
          <w:p>
            <w:pPr>
              <w:spacing w:after="0" w:line="135" w:lineRule="exact"/>
              <w:rPr>
                <w:sz w:val="20"/>
                <w:szCs w:val="20"/>
                <w:color w:val="auto"/>
              </w:rPr>
            </w:pPr>
            <w:r>
              <w:rPr>
                <w:rFonts w:ascii="Arial" w:cs="Arial" w:eastAsia="Arial" w:hAnsi="Arial"/>
                <w:sz w:val="13"/>
                <w:szCs w:val="13"/>
                <w:color w:val="auto"/>
              </w:rPr>
              <w:t>Capital gains incentive fee payable – due to affiliate</w:t>
            </w:r>
          </w:p>
        </w:tc>
        <w:tc>
          <w:tcPr>
            <w:tcW w:w="10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11,122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11,031</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Administration fee payable and other – due to affiliate</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35"/>
        </w:trPr>
        <w:tc>
          <w:tcPr>
            <w:tcW w:w="9440" w:type="dxa"/>
            <w:vAlign w:val="bottom"/>
          </w:tcPr>
          <w:p>
            <w:pPr>
              <w:spacing w:after="0" w:line="135" w:lineRule="exact"/>
              <w:rPr>
                <w:sz w:val="20"/>
                <w:szCs w:val="20"/>
                <w:color w:val="auto"/>
              </w:rPr>
            </w:pPr>
            <w:r>
              <w:rPr>
                <w:rFonts w:ascii="Arial" w:cs="Arial" w:eastAsia="Arial" w:hAnsi="Arial"/>
                <w:sz w:val="13"/>
                <w:szCs w:val="13"/>
                <w:color w:val="auto"/>
              </w:rPr>
              <w:t>Taxes (receivable) payable</w:t>
            </w:r>
          </w:p>
        </w:tc>
        <w:tc>
          <w:tcPr>
            <w:tcW w:w="100" w:type="dxa"/>
            <w:vAlign w:val="bottom"/>
          </w:tcPr>
          <w:p>
            <w:pPr>
              <w:spacing w:after="0"/>
              <w:rPr>
                <w:sz w:val="11"/>
                <w:szCs w:val="11"/>
                <w:color w:val="auto"/>
              </w:rPr>
            </w:pPr>
          </w:p>
        </w:tc>
        <w:tc>
          <w:tcPr>
            <w:tcW w:w="5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(425)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payable and other liabilities</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49"/>
        </w:trPr>
        <w:tc>
          <w:tcPr>
            <w:tcW w:w="9440" w:type="dxa"/>
            <w:vAlign w:val="bottom"/>
          </w:tcPr>
          <w:p>
            <w:pPr>
              <w:spacing w:after="0" w:line="142" w:lineRule="exact"/>
              <w:rPr>
                <w:sz w:val="20"/>
                <w:szCs w:val="20"/>
                <w:color w:val="auto"/>
              </w:rPr>
            </w:pPr>
            <w:r>
              <w:rPr>
                <w:rFonts w:ascii="Arial" w:cs="Arial" w:eastAsia="Arial" w:hAnsi="Arial"/>
                <w:sz w:val="13"/>
                <w:szCs w:val="13"/>
                <w:b w:val="1"/>
                <w:bCs w:val="1"/>
                <w:color w:val="auto"/>
              </w:rPr>
              <w:t>Total liabilities</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367,871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464,980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Commitments and contingencies (Note 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Common stock, $0.001 par value (100,000,000 shares authorized, 24,437,400 and 24,437,400</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 issued and outstanding at March 31, 2021 and December 31, 2020, respectively)</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944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3"/>
              </w:rPr>
              <w:t>363,751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363,751</w:t>
            </w: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distributable earnings</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49,237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46,985</w:t>
            </w:r>
          </w:p>
        </w:tc>
        <w:tc>
          <w:tcPr>
            <w:tcW w:w="0" w:type="dxa"/>
            <w:vAlign w:val="bottom"/>
          </w:tcPr>
          <w:p>
            <w:pPr>
              <w:spacing w:after="0"/>
              <w:rPr>
                <w:sz w:val="1"/>
                <w:szCs w:val="1"/>
                <w:color w:val="auto"/>
              </w:rPr>
            </w:pPr>
          </w:p>
        </w:tc>
      </w:tr>
      <w:tr>
        <w:trPr>
          <w:trHeight w:val="149"/>
        </w:trPr>
        <w:tc>
          <w:tcPr>
            <w:tcW w:w="944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assets</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413,012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410,760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liabilities and net assets</w:t>
            </w:r>
          </w:p>
        </w:tc>
        <w:tc>
          <w:tcPr>
            <w:tcW w:w="1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780,883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875,740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3"/>
                <w:szCs w:val="13"/>
                <w:b w:val="1"/>
                <w:bCs w:val="1"/>
                <w:color w:val="auto"/>
              </w:rPr>
              <w:t>Net asset value per common share</w:t>
            </w: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40" w:type="dxa"/>
            <w:vAlign w:val="bottom"/>
            <w:vMerge w:val="continue"/>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16.90</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29"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jc w:val="center"/>
        <w:ind w:left="84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72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16,052</w:t>
            </w:r>
          </w:p>
        </w:tc>
        <w:tc>
          <w:tcPr>
            <w:tcW w:w="0" w:type="dxa"/>
            <w:vAlign w:val="bottom"/>
          </w:tcPr>
          <w:p>
            <w:pPr>
              <w:spacing w:after="0"/>
              <w:rPr>
                <w:sz w:val="1"/>
                <w:szCs w:val="1"/>
                <w:color w:val="auto"/>
              </w:rPr>
            </w:pPr>
          </w:p>
        </w:tc>
      </w:tr>
      <w:tr>
        <w:trPr>
          <w:trHeight w:val="223"/>
        </w:trPr>
        <w:tc>
          <w:tcPr>
            <w:tcW w:w="7220" w:type="dxa"/>
            <w:vAlign w:val="bottom"/>
          </w:tcPr>
          <w:p>
            <w:pPr>
              <w:ind w:left="1080"/>
              <w:spacing w:after="0"/>
              <w:rPr>
                <w:sz w:val="20"/>
                <w:szCs w:val="20"/>
                <w:color w:val="auto"/>
              </w:rPr>
            </w:pPr>
            <w:r>
              <w:rPr>
                <w:rFonts w:ascii="Arial" w:cs="Arial" w:eastAsia="Arial" w:hAnsi="Arial"/>
                <w:sz w:val="18"/>
                <w:szCs w:val="18"/>
                <w:color w:val="auto"/>
              </w:rPr>
              <w:t>Total interest income</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Payment-in-kind interest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payment-in-kind interest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220" w:type="dxa"/>
            <w:vAlign w:val="bottom"/>
          </w:tcPr>
          <w:p>
            <w:pPr>
              <w:ind w:left="1080"/>
              <w:spacing w:after="0"/>
              <w:rPr>
                <w:sz w:val="20"/>
                <w:szCs w:val="20"/>
                <w:color w:val="auto"/>
              </w:rPr>
            </w:pPr>
            <w:r>
              <w:rPr>
                <w:rFonts w:ascii="Arial" w:cs="Arial" w:eastAsia="Arial" w:hAnsi="Arial"/>
                <w:sz w:val="18"/>
                <w:szCs w:val="18"/>
                <w:color w:val="auto"/>
              </w:rPr>
              <w:t>Total dividend income</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fee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Interest on idle funds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19,983</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financing expenses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Base management fee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Incentive fee (reversal) - capital gains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service expenses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general and administrative expenses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Total expenses</w:t>
            </w:r>
          </w:p>
        </w:tc>
        <w:tc>
          <w:tcPr>
            <w:tcW w:w="1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17,417</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 (losses):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24,332</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realized gain (loss) on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31,378</w:t>
            </w:r>
          </w:p>
        </w:tc>
        <w:tc>
          <w:tcPr>
            <w:tcW w:w="0" w:type="dxa"/>
            <w:vAlign w:val="bottom"/>
          </w:tcPr>
          <w:p>
            <w:pPr>
              <w:spacing w:after="0"/>
              <w:rPr>
                <w:sz w:val="1"/>
                <w:szCs w:val="1"/>
                <w:color w:val="auto"/>
              </w:rPr>
            </w:pP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color w:val="auto"/>
              </w:rPr>
              <w:t>Income tax (provision) benefit from realized gains on investments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appreciation (depreciation):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(33,641)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(74,590)</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Net gain (loss) on investments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share — basic and 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Dividends declared per share</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24,437,400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24,457,634</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140"/>
          </w:cols>
          <w:pgMar w:left="320" w:top="459" w:right="439" w:bottom="663"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40"/>
          </w:cols>
          <w:pgMar w:left="320" w:top="459" w:right="439" w:bottom="663"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680" w:type="dxa"/>
            <w:vAlign w:val="bottom"/>
            <w:gridSpan w:val="6"/>
          </w:tcPr>
          <w:p>
            <w:pPr>
              <w:ind w:lef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100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Par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distributable</w:t>
            </w: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24,463,119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$366,061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$412,310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w w:val="98"/>
              </w:rPr>
              <w:t>(25,719)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17,417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30,327</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30,327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(74,590)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(74,590)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Balances at March 31, 2020</w:t>
            </w: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24,437,400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24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365,793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375,534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24,437,400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98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363,751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46,985</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410,760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(9,286)</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24,437,400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98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363,751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49,237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413,012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amount is greater than zero but less than 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20" w:type="dxa"/>
            <w:vAlign w:val="bottom"/>
          </w:tcPr>
          <w:p>
            <w:pPr>
              <w:ind w:left="28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11,538</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(26,971)</w:t>
            </w:r>
          </w:p>
        </w:tc>
        <w:tc>
          <w:tcPr>
            <w:tcW w:w="0" w:type="dxa"/>
            <w:vAlign w:val="bottom"/>
          </w:tcPr>
          <w:p>
            <w:pPr>
              <w:spacing w:after="0"/>
              <w:rPr>
                <w:sz w:val="1"/>
                <w:szCs w:val="1"/>
                <w:color w:val="auto"/>
              </w:rPr>
            </w:pPr>
          </w:p>
        </w:tc>
      </w:tr>
      <w:tr>
        <w:trPr>
          <w:trHeight w:val="130"/>
        </w:trPr>
        <w:tc>
          <w:tcPr>
            <w:tcW w:w="69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Adjustments to reconcile net increase (decrease) in net assets resulting from</w:t>
            </w:r>
          </w:p>
        </w:tc>
        <w:tc>
          <w:tcPr>
            <w:tcW w:w="1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operations to net cash provided by (used for) operating activities:</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74,590</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realized (gain) loss on investments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(3,216)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(31,378)</w:t>
            </w: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Interest and dividend income paid-in-kind</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Accretion of original issue discount</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Accretion of loan origination fees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Purchase of investments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(63,107)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(68,192)</w:t>
            </w: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Proceeds from sales and repayments of investments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98,565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73,772</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Proceeds from loan origination fees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Realized losses on extinguishment of debt</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2,180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 receivable</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48"/>
        </w:trPr>
        <w:tc>
          <w:tcPr>
            <w:tcW w:w="692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assets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interest and fees payable</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8"/>
        </w:trPr>
        <w:tc>
          <w:tcPr>
            <w:tcW w:w="6920" w:type="dxa"/>
            <w:vAlign w:val="bottom"/>
          </w:tcPr>
          <w:p>
            <w:pPr>
              <w:ind w:left="860"/>
              <w:spacing w:after="0" w:line="149" w:lineRule="exact"/>
              <w:rPr>
                <w:sz w:val="20"/>
                <w:szCs w:val="20"/>
                <w:color w:val="auto"/>
              </w:rPr>
            </w:pPr>
            <w:r>
              <w:rPr>
                <w:rFonts w:ascii="Arial" w:cs="Arial" w:eastAsia="Arial" w:hAnsi="Arial"/>
                <w:sz w:val="14"/>
                <w:szCs w:val="14"/>
                <w:color w:val="auto"/>
              </w:rPr>
              <w:t>Base management fee payable – due to affiliate</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incentive fee payable – due to affiliate</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9"/>
        </w:trPr>
        <w:tc>
          <w:tcPr>
            <w:tcW w:w="6920" w:type="dxa"/>
            <w:vAlign w:val="bottom"/>
          </w:tcPr>
          <w:p>
            <w:pPr>
              <w:ind w:left="860"/>
              <w:spacing w:after="0" w:line="149" w:lineRule="exact"/>
              <w:rPr>
                <w:sz w:val="20"/>
                <w:szCs w:val="20"/>
                <w:color w:val="auto"/>
              </w:rPr>
            </w:pPr>
            <w:r>
              <w:rPr>
                <w:rFonts w:ascii="Arial" w:cs="Arial" w:eastAsia="Arial" w:hAnsi="Arial"/>
                <w:sz w:val="14"/>
                <w:szCs w:val="14"/>
                <w:color w:val="auto"/>
              </w:rPr>
              <w:t>Capital gains incentive fee (reversal) – due to (from) affiliate</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(8,878)</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Administration fee payable and other – due to affiliate</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8"/>
        </w:trPr>
        <w:tc>
          <w:tcPr>
            <w:tcW w:w="692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other liabilities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63"/>
        </w:trPr>
        <w:tc>
          <w:tcPr>
            <w:tcW w:w="692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provided by (used for) operating activities</w:t>
            </w:r>
          </w:p>
        </w:tc>
        <w:tc>
          <w:tcPr>
            <w:tcW w:w="18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43,501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Proceeds received from SBA debentures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Repayments of SBA debentures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(19,200)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Principal payments on Notes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Proceeds received from (repayments of) borrowings under Credit Facility, net</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Payment of deferred financing costs</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Dividends paid to stockholders, including expenses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(9,286)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(9,537)</w:t>
            </w: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Repurchases of common stock under Stock Repurchase Program</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92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Net cash provided by (used for) financing activities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(107,634)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56"/>
        </w:trPr>
        <w:tc>
          <w:tcPr>
            <w:tcW w:w="692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8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(64,133)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20" w:type="dxa"/>
            <w:vAlign w:val="bottom"/>
          </w:tcPr>
          <w:p>
            <w:pPr>
              <w:ind w:left="580"/>
              <w:spacing w:after="0" w:line="149" w:lineRule="exact"/>
              <w:rPr>
                <w:sz w:val="20"/>
                <w:szCs w:val="20"/>
                <w:color w:val="auto"/>
              </w:rPr>
            </w:pPr>
            <w:r>
              <w:rPr>
                <w:rFonts w:ascii="Arial" w:cs="Arial" w:eastAsia="Arial" w:hAnsi="Arial"/>
                <w:sz w:val="14"/>
                <w:szCs w:val="14"/>
                <w:color w:val="auto"/>
              </w:rPr>
              <w:t>Beginning of period</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124,308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15,012</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End of period</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60,175</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27,225</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r>
              <w:rPr>
                <w:rFonts w:ascii="Arial" w:cs="Arial" w:eastAsia="Arial" w:hAnsi="Arial"/>
                <w:sz w:val="14"/>
                <w:szCs w:val="14"/>
                <w:color w:val="auto"/>
              </w:rPr>
              <w:t>:</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Cash payments for interest</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5,144</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182"/>
        </w:trPr>
        <w:tc>
          <w:tcPr>
            <w:tcW w:w="6920" w:type="dxa"/>
            <w:vAlign w:val="bottom"/>
          </w:tcPr>
          <w:p>
            <w:pPr>
              <w:ind w:left="580"/>
              <w:spacing w:after="0"/>
              <w:rPr>
                <w:sz w:val="20"/>
                <w:szCs w:val="20"/>
                <w:color w:val="auto"/>
              </w:rPr>
            </w:pPr>
            <w:r>
              <w:rPr>
                <w:rFonts w:ascii="Arial" w:cs="Arial" w:eastAsia="Arial" w:hAnsi="Arial"/>
                <w:sz w:val="14"/>
                <w:szCs w:val="14"/>
                <w:color w:val="auto"/>
              </w:rPr>
              <w:t>Cash payments for taxes, net of tax refunds received</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698</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2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8"/>
              </w:rPr>
              <w:t>Principal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73"/>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Investment Type (c)</w:t>
            </w:r>
          </w:p>
        </w:tc>
        <w:tc>
          <w:tcPr>
            <w:tcW w:w="1600" w:type="dxa"/>
            <w:vAlign w:val="bottom"/>
          </w:tcPr>
          <w:p>
            <w:pPr>
              <w:spacing w:after="0"/>
              <w:rPr>
                <w:sz w:val="15"/>
                <w:szCs w:val="15"/>
                <w:color w:val="auto"/>
              </w:rPr>
            </w:pPr>
          </w:p>
        </w:tc>
        <w:tc>
          <w:tcPr>
            <w:tcW w:w="2040" w:type="dxa"/>
            <w:vAlign w:val="bottom"/>
            <w:gridSpan w:val="2"/>
          </w:tcPr>
          <w:p>
            <w:pPr>
              <w:ind w:left="740"/>
              <w:spacing w:after="0"/>
              <w:rPr>
                <w:sz w:val="20"/>
                <w:szCs w:val="20"/>
                <w:color w:val="auto"/>
              </w:rPr>
            </w:pPr>
            <w:r>
              <w:rPr>
                <w:rFonts w:ascii="Arial" w:cs="Arial" w:eastAsia="Arial" w:hAnsi="Arial"/>
                <w:sz w:val="13"/>
                <w:szCs w:val="13"/>
                <w:b w:val="1"/>
                <w:bCs w:val="1"/>
                <w:color w:val="auto"/>
              </w:rPr>
              <w:t>Industry</w:t>
            </w: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Cash/PIK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Date (f)</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5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2"/>
              </w:rPr>
              <w:t>Cost</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95"/>
        </w:trPr>
        <w:tc>
          <w:tcPr>
            <w:tcW w:w="1260" w:type="dxa"/>
            <w:vAlign w:val="bottom"/>
            <w:tcBorders>
              <w:top w:val="single" w:sz="8" w:color="CCEEFF"/>
              <w:bottom w:val="single" w:sz="8" w:color="auto"/>
            </w:tcBorders>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Control Investments (t)</w:t>
            </w:r>
          </w:p>
        </w:tc>
        <w:tc>
          <w:tcPr>
            <w:tcW w:w="1660" w:type="dxa"/>
            <w:vAlign w:val="bottom"/>
            <w:tcBorders>
              <w:top w:val="single" w:sz="8" w:color="CCEEFF"/>
              <w:bottom w:val="single" w:sz="8" w:color="CCEEFF"/>
            </w:tcBorders>
            <w:gridSpan w:val="2"/>
            <w:shd w:val="clear" w:color="auto" w:fill="CCEEFF"/>
          </w:tcPr>
          <w:p>
            <w:pPr>
              <w:spacing w:after="0"/>
              <w:rPr>
                <w:sz w:val="8"/>
                <w:szCs w:val="8"/>
                <w:color w:val="auto"/>
              </w:rPr>
            </w:pPr>
          </w:p>
        </w:tc>
        <w:tc>
          <w:tcPr>
            <w:tcW w:w="19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28"/>
        </w:trPr>
        <w:tc>
          <w:tcPr>
            <w:tcW w:w="292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US GreenFiber, LLC</w:t>
            </w:r>
          </w:p>
        </w:tc>
        <w:tc>
          <w:tcPr>
            <w:tcW w:w="204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Building Products Manufacturing</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8.00%/5.00%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7/3/2014</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8/30/2024</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0"/>
              </w:rPr>
              <w:t>15,580</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15,576</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13,140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8.50%/6.50%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11/9/2018</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8/30/2024</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5,115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5,115</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5,249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8.50%/6.50%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8/10/2020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8/30/2024</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4,089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4,089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4,177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7/3/2014</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586</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(425,508 units)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8/30/2019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(1,022,813 units) (h)(j)</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7/1/2020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1,023</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26,390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22,566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42"/>
        </w:trPr>
        <w:tc>
          <w:tcPr>
            <w:tcW w:w="292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2"/>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26,390</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22,566</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6"/>
        </w:trPr>
        <w:tc>
          <w:tcPr>
            <w:tcW w:w="2920" w:type="dxa"/>
            <w:vAlign w:val="bottom"/>
            <w:gridSpan w:val="3"/>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Affiliate Investments (l)</w:t>
            </w:r>
          </w:p>
        </w:tc>
        <w:tc>
          <w:tcPr>
            <w:tcW w:w="1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8"/>
        </w:trPr>
        <w:tc>
          <w:tcPr>
            <w:tcW w:w="12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i w:val="1"/>
                <w:iCs w:val="1"/>
                <w:color w:val="auto"/>
                <w:w w:val="95"/>
              </w:rPr>
              <w:t>FAR Research Inc. (n)</w:t>
            </w:r>
          </w:p>
        </w:tc>
        <w:tc>
          <w:tcPr>
            <w:tcW w:w="1660" w:type="dxa"/>
            <w:vAlign w:val="bottom"/>
            <w:tcBorders>
              <w:top w:val="single" w:sz="8" w:color="CCEEFF"/>
            </w:tcBorders>
            <w:gridSpan w:val="2"/>
          </w:tcPr>
          <w:p>
            <w:pPr>
              <w:spacing w:after="0"/>
              <w:rPr>
                <w:sz w:val="11"/>
                <w:szCs w:val="11"/>
                <w:color w:val="auto"/>
              </w:rPr>
            </w:pPr>
          </w:p>
        </w:tc>
        <w:tc>
          <w:tcPr>
            <w:tcW w:w="2040" w:type="dxa"/>
            <w:vAlign w:val="bottom"/>
            <w:tcBorders>
              <w:top w:val="single" w:sz="8" w:color="CCEEFF"/>
            </w:tcBorders>
            <w:gridSpan w:val="2"/>
          </w:tcPr>
          <w:p>
            <w:pPr>
              <w:ind w:left="40"/>
              <w:spacing w:after="0" w:line="129" w:lineRule="exact"/>
              <w:rPr>
                <w:sz w:val="20"/>
                <w:szCs w:val="20"/>
                <w:color w:val="auto"/>
              </w:rPr>
            </w:pPr>
            <w:r>
              <w:rPr>
                <w:rFonts w:ascii="Arial" w:cs="Arial" w:eastAsia="Arial" w:hAnsi="Arial"/>
                <w:sz w:val="13"/>
                <w:szCs w:val="13"/>
                <w:color w:val="auto"/>
              </w:rPr>
              <w:t>Specialty Chemicals</w:t>
            </w:r>
          </w:p>
        </w:tc>
        <w:tc>
          <w:tcPr>
            <w:tcW w:w="12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(1,396 units)</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3/31/2014</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2920" w:type="dxa"/>
            <w:vAlign w:val="bottom"/>
            <w:gridSpan w:val="3"/>
          </w:tcPr>
          <w:p>
            <w:pPr>
              <w:spacing w:after="0"/>
              <w:rPr>
                <w:sz w:val="20"/>
                <w:szCs w:val="20"/>
                <w:color w:val="auto"/>
              </w:rPr>
            </w:pPr>
            <w:r>
              <w:rPr>
                <w:rFonts w:ascii="Arial" w:cs="Arial" w:eastAsia="Arial" w:hAnsi="Arial"/>
                <w:sz w:val="13"/>
                <w:szCs w:val="13"/>
                <w:i w:val="1"/>
                <w:iCs w:val="1"/>
                <w:color w:val="auto"/>
              </w:rPr>
              <w:t>Fiber Materials, Inc. (n)</w:t>
            </w:r>
          </w:p>
        </w:tc>
        <w:tc>
          <w:tcPr>
            <w:tcW w:w="2040" w:type="dxa"/>
            <w:vAlign w:val="bottom"/>
            <w:gridSpan w:val="2"/>
          </w:tcPr>
          <w:p>
            <w:pPr>
              <w:ind w:left="40"/>
              <w:spacing w:after="0"/>
              <w:rPr>
                <w:sz w:val="20"/>
                <w:szCs w:val="20"/>
                <w:color w:val="auto"/>
              </w:rPr>
            </w:pPr>
            <w:r>
              <w:rPr>
                <w:rFonts w:ascii="Arial" w:cs="Arial" w:eastAsia="Arial" w:hAnsi="Arial"/>
                <w:sz w:val="13"/>
                <w:szCs w:val="13"/>
                <w:color w:val="auto"/>
                <w:w w:val="93"/>
              </w:rPr>
              <w:t>Aerospace &amp; Defense Manufacturing</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11/30/2016</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2920" w:type="dxa"/>
            <w:vAlign w:val="bottom"/>
            <w:gridSpan w:val="3"/>
          </w:tcPr>
          <w:p>
            <w:pPr>
              <w:spacing w:after="0"/>
              <w:rPr>
                <w:sz w:val="20"/>
                <w:szCs w:val="20"/>
                <w:color w:val="auto"/>
              </w:rPr>
            </w:pPr>
            <w:r>
              <w:rPr>
                <w:rFonts w:ascii="Arial" w:cs="Arial" w:eastAsia="Arial" w:hAnsi="Arial"/>
                <w:sz w:val="13"/>
                <w:szCs w:val="13"/>
                <w:i w:val="1"/>
                <w:iCs w:val="1"/>
                <w:color w:val="auto"/>
              </w:rPr>
              <w:t>Medsurant Holdings, LLC</w:t>
            </w:r>
          </w:p>
        </w:tc>
        <w:tc>
          <w:tcPr>
            <w:tcW w:w="2040" w:type="dxa"/>
            <w:vAlign w:val="bottom"/>
            <w:gridSpan w:val="2"/>
          </w:tcPr>
          <w:p>
            <w:pPr>
              <w:ind w:left="40"/>
              <w:spacing w:after="0"/>
              <w:rPr>
                <w:sz w:val="20"/>
                <w:szCs w:val="20"/>
                <w:color w:val="auto"/>
              </w:rPr>
            </w:pPr>
            <w:r>
              <w:rPr>
                <w:rFonts w:ascii="Arial" w:cs="Arial" w:eastAsia="Arial" w:hAnsi="Arial"/>
                <w:sz w:val="13"/>
                <w:szCs w:val="13"/>
                <w:color w:val="auto"/>
              </w:rPr>
              <w:t>Healthcare Services</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14.00%/0.00%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12/18/2015</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3/10/2022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8,029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8,091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(63,331 units) (h)(j)</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4/12/2011</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673</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623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(252,588 units) (h)(j)(m)</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4/12/2011</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2,258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2,259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10,960</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10,973</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9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20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Utility Equipment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1"/>
              </w:rPr>
              <w:t>(L + 10.00%) / (1.00%)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11.00%/5.00%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11/25/2015</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11/25/2021</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6,492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6,570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6,492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(2,500,000 shares)</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11/25/2015</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2,188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1,277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8,758</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7,769</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29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20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(4,250 units) (j)</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3/29/2013</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425</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0"/>
              </w:rPr>
              <w:t>34,018</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w:t>
            </w:r>
          </w:p>
        </w:tc>
      </w:tr>
      <w:tr>
        <w:trPr>
          <w:trHeight w:val="135"/>
        </w:trPr>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20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Oil &amp; Gas Services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A-2 (42,500 units)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10/13/2016</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3,000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20,895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35"/>
        </w:trPr>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1"/>
              </w:rPr>
              <w:t>Spectra A&amp;D Acquisition, Inc. (fka FDS Avionics Corp.)</w:t>
            </w:r>
          </w:p>
        </w:tc>
        <w:tc>
          <w:tcPr>
            <w:tcW w:w="20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Aerospace &amp; Defense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(ag)</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5"/>
              </w:rPr>
              <w:t>(L + 5.50%) / (1.00%)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2/12/2021</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2/11/2026</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7,942</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7,942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(41,290 units)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2/12/2021</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2,609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4,240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10,551</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12,182</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21"/>
        </w:trPr>
        <w:tc>
          <w:tcPr>
            <w:tcW w:w="29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Steward Holding LLC (dba Steward Advanced</w:t>
            </w:r>
          </w:p>
        </w:tc>
        <w:tc>
          <w:tcPr>
            <w:tcW w:w="1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92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Materials)</w:t>
            </w: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Aerospace &amp; Defense Manufacturing</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9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12.00%/1.50%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11/12/2015</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10/31/2021</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7,812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7,810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7,812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11/12/2015</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1,000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2,295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8,810</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10,107</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29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42,504</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96,014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w:t>
            </w: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80" w:type="dxa"/>
            <w:vAlign w:val="bottom"/>
            <w:gridSpan w:val="4"/>
          </w:tcPr>
          <w:p>
            <w:pPr>
              <w:spacing w:after="0"/>
              <w:rPr>
                <w:sz w:val="20"/>
                <w:szCs w:val="20"/>
                <w:color w:val="auto"/>
              </w:rPr>
            </w:pPr>
            <w:r>
              <w:rPr>
                <w:rFonts w:ascii="Arial" w:cs="Arial" w:eastAsia="Arial" w:hAnsi="Arial"/>
                <w:sz w:val="13"/>
                <w:szCs w:val="13"/>
                <w:b w:val="1"/>
                <w:bCs w:val="1"/>
                <w:color w:val="auto"/>
              </w:rPr>
              <w:t>Portfolio Company (a)(b)</w:t>
            </w:r>
          </w:p>
        </w:tc>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7"/>
              </w:rPr>
              <w:t>Principal</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73"/>
        </w:trPr>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Investment Type (c)</w:t>
            </w:r>
          </w:p>
        </w:tc>
        <w:tc>
          <w:tcPr>
            <w:tcW w:w="2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Cash/PIK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Date (f)</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Cost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3"/>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95"/>
        </w:trPr>
        <w:tc>
          <w:tcPr>
            <w:tcW w:w="2040" w:type="dxa"/>
            <w:vAlign w:val="bottom"/>
            <w:tcBorders>
              <w:top w:val="single" w:sz="8" w:color="CCEEFF"/>
              <w:bottom w:val="single" w:sz="8" w:color="auto"/>
            </w:tcBorders>
            <w:gridSpan w:val="3"/>
            <w:shd w:val="clear" w:color="auto" w:fill="CCEEFF"/>
          </w:tcPr>
          <w:p>
            <w:pPr>
              <w:spacing w:after="0" w:line="95" w:lineRule="exact"/>
              <w:rPr>
                <w:sz w:val="20"/>
                <w:szCs w:val="20"/>
                <w:color w:val="auto"/>
              </w:rPr>
            </w:pPr>
            <w:r>
              <w:rPr>
                <w:rFonts w:ascii="Arial" w:cs="Arial" w:eastAsia="Arial" w:hAnsi="Arial"/>
                <w:sz w:val="10"/>
                <w:szCs w:val="10"/>
                <w:b w:val="1"/>
                <w:bCs w:val="1"/>
                <w:color w:val="auto"/>
              </w:rPr>
              <w:t>Non-control/Non-affiliate Investments</w:t>
            </w:r>
          </w:p>
        </w:tc>
        <w:tc>
          <w:tcPr>
            <w:tcW w:w="9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9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2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28"/>
        </w:trPr>
        <w:tc>
          <w:tcPr>
            <w:tcW w:w="2980" w:type="dxa"/>
            <w:vAlign w:val="bottom"/>
            <w:gridSpan w:val="4"/>
          </w:tcPr>
          <w:p>
            <w:pPr>
              <w:spacing w:after="0" w:line="129" w:lineRule="exact"/>
              <w:rPr>
                <w:sz w:val="20"/>
                <w:szCs w:val="20"/>
                <w:color w:val="auto"/>
              </w:rPr>
            </w:pPr>
            <w:r>
              <w:rPr>
                <w:rFonts w:ascii="Arial" w:cs="Arial" w:eastAsia="Arial" w:hAnsi="Arial"/>
                <w:sz w:val="13"/>
                <w:szCs w:val="13"/>
                <w:i w:val="1"/>
                <w:iCs w:val="1"/>
                <w:color w:val="auto"/>
              </w:rPr>
              <w:t>Allied 100 Group, Inc.</w:t>
            </w:r>
          </w:p>
        </w:tc>
        <w:tc>
          <w:tcPr>
            <w:tcW w:w="198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Healthcare Products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8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11.25%/0.00%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7/31/2019</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5/26/2023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8"/>
              </w:rPr>
              <w:t>$  21,501</w:t>
            </w: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3"/>
              </w:rPr>
              <w:t>$21,439</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$ 21,501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(625,000 units) (j)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11/26/2014</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626</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1,039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22,065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22,540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298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w w:val="92"/>
              </w:rPr>
              <w:t>Allredi, LLC (fka Marco Group International OpCo, LLC)</w:t>
            </w:r>
          </w:p>
        </w:tc>
        <w:tc>
          <w:tcPr>
            <w:tcW w:w="1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Industrial Cleaning &amp; Coatings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8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10.50%/1.75%</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3/2/2020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9/2/2026</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10,125</w:t>
            </w: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10,041</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7,858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(570,636 units) (h)(j)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7/21/2017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637</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10,678</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8,017</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98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Alzheimer’s Research and Treatment Center, LLC</w:t>
            </w:r>
          </w:p>
        </w:tc>
        <w:tc>
          <w:tcPr>
            <w:tcW w:w="1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Healthcare Services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 units) (h)(j)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10/23/2018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132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1"/>
        </w:trPr>
        <w:tc>
          <w:tcPr>
            <w:tcW w:w="29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8"/>
              </w:rPr>
              <w:t>American AllWaste LLC (dba WasteWater Transport</w:t>
            </w:r>
          </w:p>
        </w:tc>
        <w:tc>
          <w:tcPr>
            <w:tcW w:w="2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1100" w:type="dxa"/>
            <w:vAlign w:val="bottom"/>
            <w:shd w:val="clear" w:color="auto" w:fill="CCEEFF"/>
          </w:tcPr>
          <w:p>
            <w:pPr>
              <w:ind w:left="120"/>
              <w:spacing w:after="0"/>
              <w:rPr>
                <w:sz w:val="20"/>
                <w:szCs w:val="20"/>
                <w:color w:val="auto"/>
              </w:rPr>
            </w:pPr>
            <w:r>
              <w:rPr>
                <w:rFonts w:ascii="Arial" w:cs="Arial" w:eastAsia="Arial" w:hAnsi="Arial"/>
                <w:sz w:val="13"/>
                <w:szCs w:val="13"/>
                <w:i w:val="1"/>
                <w:iCs w:val="1"/>
                <w:color w:val="auto"/>
              </w:rPr>
              <w:t>Services)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Environmental Industries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(L + 11.00%) / (2.00%)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13.00%/0.00%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5/31/2018</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11/30/2023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17,503</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17,440</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17,503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 units) (h)(j)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5/31/2018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18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(207 units) (h)(j)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8/6/2019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250</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(141 units) (h)(j)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11/2/2020</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171</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18,361</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18,021</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Applied Data Corporation</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First Lien Debt (v)</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(L + 6.25%) / (1.50%)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11/6/2020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11/6/2025</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8,000</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7,951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7,951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(22 units)</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11/6/2020</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18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(1,070,614 units)</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11/6/2020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1,071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1,071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9,022</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9,022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98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1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8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9"/>
              </w:rPr>
              <w:t>(L + 10.75%) / (2.00%)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12.75%/0.00%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12/26/2018</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6/28/2023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12,750</w:t>
            </w: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12,713</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12,750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132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AVC Investors, LLC (dba Auveco)</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11.50%/0.00%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1/3/2018</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22,500</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22,453</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22,500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(5,000 units) (j)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487</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22,940</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22,981</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Component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11.25%/4.00%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2/27/2018</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1/1/2022</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11,019</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11,004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10,399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(50,000 units) (h)(j)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2/27/2018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497</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11,501</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10,399</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Retail</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(545,810 units) (j)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8/9/2019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931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328</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1320" w:type="dxa"/>
            <w:vAlign w:val="bottom"/>
            <w:gridSpan w:val="2"/>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1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8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11.00%/0.00%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1/3/2019</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7/3/2024</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30,000</w:t>
            </w: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29,895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(1,281 shares)</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1/3/2019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48</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(74 shares)</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736</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30,679</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31,389</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(L + 6.25%) / (2.00%)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3/12/2019</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3/12/2024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4,531</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4,509</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4,216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(500,000 units) (h)(j)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3/12/2019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5,009</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4,463</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5"/>
              </w:rPr>
              <w:t>Cardboard Box LLC (dba Anthony’s Coal Fired Pizza)</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Restaurants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(521,021 units) (j)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12/15/2015</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521</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(1,043,133 units) (j)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12/6/2019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617</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Combined Systems, Inc.</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w w:val="91"/>
              </w:rPr>
              <w:t>Aerospace &amp; Defense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9"/>
              </w:rPr>
              <w:t>First Lien Debt</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(L + 10.00%) / (2.00%)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12.00%/0.00%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1/31/2020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1/31/2025</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7,500</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7,456</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7,369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8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Revolving Loan ($550 unfunded commitment) (j)(ac)</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(L + 9.00%) / (2.00%)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11.00%/0.00%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1/31/2020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1/31/2025</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3,450</w:t>
            </w: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3,431</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3,450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10,887</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10,819</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Comply365, LLC</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w w:val="91"/>
              </w:rPr>
              <w:t>Aerospace &amp; Defense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First Lien Debt (ad)</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(L + 8.00%) / (1.00%)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9.00%/0.00%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12/11/2020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12/11/2025</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9,570</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9,433</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9,433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(1,000,000 units)</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12/11/2020</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10,433</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10,433</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10.50%/1.50%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3/14/2018</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4/30/2024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11,347</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11,315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11,347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4960" w:type="dxa"/>
            <w:vAlign w:val="bottom"/>
            <w:gridSpan w:val="7"/>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($74 unfunded commitment) (489,712 units) (h)(j)</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3/14/2018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547</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11,862</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11,694</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Dataguise, Inc.</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11.00%/0.00%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12/31/2020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12/31/2023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20,000</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19,908</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19,908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(909 shares) (j)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12/31/2020</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21,408</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21,408</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(L + 8.00%) / (1.75%)</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9.75%/0.00%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2/7/2019</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17,355</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17,175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17,355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(573 units) (h)(j)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593</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17,768</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18,012</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6"/>
              </w:rPr>
              <w:t>EBL, LLC (EbLens)</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Retail</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Second Lien Debt (j)(p)</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12.00%/1.00%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7/13/2017</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9,253</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9,218</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5,709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(75,000 units) (j)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7/13/2017</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9,968</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5,709</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0"/>
              </w:rPr>
              <w:t>ECM Industries, LLC</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Component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98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11.50%/0.00%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4/30/2020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5/23/2026</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11,500</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11,305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11,500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18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(1,000,000 units) (h)(j)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4/30/2020</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1,830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12,305</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13,330</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9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Elements Brands, LLC</w:t>
            </w:r>
          </w:p>
        </w:tc>
        <w:tc>
          <w:tcPr>
            <w:tcW w:w="1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Consumer Products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9"/>
              </w:rPr>
              <w:t>First Lien Debt</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12.25%/0.00%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12/31/2020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12/31/2025</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6,000</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5,968</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5,968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98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Revolving Loan ($838 unfunded commitment) (i)(j)</w:t>
            </w:r>
          </w:p>
        </w:tc>
        <w:tc>
          <w:tcPr>
            <w:tcW w:w="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12.25%/0.00%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12/31/2020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12/31/2025</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2,162</w:t>
            </w:r>
          </w:p>
        </w:tc>
        <w:tc>
          <w:tcPr>
            <w:tcW w:w="5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2,146</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2,146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8,114</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8,114</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r>
    </w:tbl>
    <w:p>
      <w:pPr>
        <w:spacing w:after="0" w:line="122"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66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 (a)(b)</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Variable Index</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Rate (e)</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8"/>
              </w:rPr>
              <w:t>Investment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Principal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5"/>
              </w:rPr>
              <w:t>Percent of</w:t>
            </w:r>
          </w:p>
        </w:tc>
      </w:tr>
      <w:tr>
        <w:trPr>
          <w:trHeight w:val="163"/>
        </w:trPr>
        <w:tc>
          <w:tcPr>
            <w:tcW w:w="1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Investment Type (c)</w:t>
            </w:r>
          </w:p>
        </w:tc>
        <w:tc>
          <w:tcPr>
            <w:tcW w:w="2440" w:type="dxa"/>
            <w:vAlign w:val="bottom"/>
          </w:tcPr>
          <w:p>
            <w:pPr>
              <w:spacing w:after="0"/>
              <w:rPr>
                <w:sz w:val="14"/>
                <w:szCs w:val="14"/>
                <w:color w:val="auto"/>
              </w:rPr>
            </w:pP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Industry</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Spread / Floor (d)</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Cash/PIK</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Date (f)</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Amount</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Cost</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Value (g)</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0"/>
              </w:rPr>
              <w:t>Net Assets</w:t>
            </w:r>
          </w:p>
        </w:tc>
      </w:tr>
      <w:tr>
        <w:trPr>
          <w:trHeight w:val="122"/>
        </w:trPr>
        <w:tc>
          <w:tcPr>
            <w:tcW w:w="36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i w:val="1"/>
                <w:iCs w:val="1"/>
                <w:color w:val="auto"/>
              </w:rPr>
              <w:t>Frontline Food Services, LLC (f/k/a Accent Food Services, LLC)</w:t>
            </w:r>
          </w:p>
        </w:tc>
        <w:tc>
          <w:tcPr>
            <w:tcW w:w="16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w w:val="89"/>
              </w:rPr>
              <w:t>Vending Equipment Manufacturing</w:t>
            </w:r>
          </w:p>
        </w:tc>
        <w:tc>
          <w:tcPr>
            <w:tcW w:w="8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(Class A Units) (46 units) (j)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12/31/2020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2,000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(Class B Units) (124 units)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12/31/2020</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(Class C Units) (100 units) (j)</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12/31/2020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2,000</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Global Plasma Solutions, Inc.</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Component Manufacturing</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(947 shares)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9/21/2018</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10,011</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w:t>
            </w:r>
          </w:p>
        </w:tc>
      </w:tr>
      <w:tr>
        <w:trPr>
          <w:trHeight w:val="135"/>
        </w:trPr>
        <w:tc>
          <w:tcPr>
            <w:tcW w:w="12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GP&amp;C Operations, LLC (dba Garlock Printing and Converting)</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Component Manufacturing</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(w)</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(L + 7.25%) / (1.00%)</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8.25%/0.00%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1/22/2021</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1/22/2026</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10,841</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10,841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(515,625 units) (h)(j)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1/22/2021</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516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516</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11,357</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11,357</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Gurobi Optimization, LLC</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8"/>
              </w:rPr>
              <w:t>Information Technology Services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(3 shares)</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12/19/2017</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607</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1,824</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Haematologic Technologies, Inc.</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Healthcare Services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(x)</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0"/>
              </w:rPr>
              <w:t>(L + 8.25%) / (2.00%)</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2"/>
              </w:rPr>
              <w:t>10.25%/0.00%</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10/11/2019</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10/11/2024</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5,500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5,471</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5,093</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(549 units) (h)(j)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10/11/2019</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549</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112</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6,020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5,205</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Hallmark Health Care Solutions, Inc.</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Healthcare Services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(j)(ae)</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0"/>
              </w:rPr>
              <w:t>(L + 7.25%) / (1.50%)</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8.75%/0.00%</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12/4/2020</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12/4/2025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8,500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8,440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8,440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(750,000 units) (j)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12/4/2020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750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750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9,190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9,190</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w:t>
            </w: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Healthfuse, LLC</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Healthcare Services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(af)</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0"/>
              </w:rPr>
              <w:t>(L + 7.25%) / (1.00%)</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8.25%/0.00%</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11/13/2020</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11/13/2025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6,000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5,962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5,962</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(197,980 units)</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11/13/2020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750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750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6,712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6,712</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w:t>
            </w: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Hilco Plastics Holdings, LLC (dba Hilco Technologies)</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Component Manufacturing</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2"/>
              </w:rPr>
              <w:t>11.50%/1.50%</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9/23/2016</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12/31/2019</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10,346</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10,346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10,148</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Revolving Loan (j)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(L + 6.50%) / (0.00%)</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6.62%/0.00%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12/20/2019</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12/15/2019</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5,962</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5,962</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5,962</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0"/>
              </w:rPr>
              <w:t>(L + 6.95%) / (0.00%)</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7.07%/0.00%</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12/20/2019</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12/15/2019</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4,707</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4,707</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4,707</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(1,000,000 units) (h)(j)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4/18/2018</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1,000</w:t>
            </w:r>
          </w:p>
        </w:tc>
        <w:tc>
          <w:tcPr>
            <w:tcW w:w="56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(72,507 units) (h)(j)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9/23/2016</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473</w:t>
            </w:r>
          </w:p>
        </w:tc>
        <w:tc>
          <w:tcPr>
            <w:tcW w:w="56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22,488</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20,817</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5%</w:t>
            </w: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Hub Acquisition Sub, LLC (dba Hub Pen)</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Promotional products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2"/>
              </w:rPr>
              <w:t>13.50%/0.00%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3/23/2016</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3/31/2023</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25,000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24,977</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21,294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(3,750 units)</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3/23/2016</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131</w:t>
            </w:r>
          </w:p>
        </w:tc>
        <w:tc>
          <w:tcPr>
            <w:tcW w:w="56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(868 units) (j)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10/16/2020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154</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55</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25,262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21,349</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w:t>
            </w: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IBH Holdings, LLC (fka Inflexxion, Inc.)</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Business Services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(150,000 units)</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6/20/2018</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415</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2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Ipro Tech, LLC</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8"/>
              </w:rPr>
              <w:t>Information Technology Services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(j)(u)</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(L + 8.50%) / (2.00%)</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2"/>
              </w:rPr>
              <w:t>10.50%/0.00%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6/30/2020</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6/30/2025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2,453</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1,934</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2,453</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w w:val="97"/>
              </w:rPr>
              <w:t>K2 Merger Agreement Agent, LLC (fka K2 Industrial Services, Inc.) (n)</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Industrial Cleaning &amp; Coatings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2"/>
              </w:rPr>
              <w:t>0.00%/10.00%</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1/28/2019</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1/28/2023</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2,194</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2,194</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2,194</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135"/>
        </w:trPr>
        <w:tc>
          <w:tcPr>
            <w:tcW w:w="12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The Kyjen Company, LLC (dba Outward Hound)</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Consumer Products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2"/>
              </w:rPr>
              <w:t>12.00%/0.00%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12/8/2017</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6/8/2024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14,963</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15,000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(765 shares)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12/8/2017</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765</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969</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15,728</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15,969</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LifeSpan Biosciences, Inc.</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Healthcare Products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Subordinated Debt (j)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2"/>
              </w:rPr>
              <w:t>11.50%/0.00%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3/19/2021</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9/19/2026</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16,000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15,921</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15,921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(100 shares)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3/19/2021</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16,921</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16,921</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LNG Indy, LLC (dba Kinetrex Energy)</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Oil &amp; Gas Distribution</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2"/>
              </w:rPr>
              <w:t>11.50%/0.00%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12/28/2016</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11/12/2021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10,127</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10,114</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10,127</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(500 units)</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12/28/2016</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1,052</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10,614</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11,179</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Mesa Line Services, LLC</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Utilities: Services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2"/>
              </w:rPr>
              <w:t>10.50%/1.50%</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3"/>
              </w:rPr>
              <w:t>11/30/2017</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8/1/2024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17,561</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17,498</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15,321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(981 shares)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11/30/2017</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1,148</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215</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18,646</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15,536</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Midwest Transit Equipment, Inc.</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Transportation services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Warrant (7,192 shares) (j)(m)</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6/23/2017</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180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Warrant (4.79% of Junior Subordinated Notes) (j)(q)</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6/23/2017</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190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253</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370</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393</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NGT Acquisition Holdings, LLC (dba Techniks Industries)</w:t>
            </w: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Component Manufacturing</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(378 units) (j)</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5/24/2017</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500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254</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OMC Investors, LLC (dba Ohio Medical Corporation)</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rPr>
              <w:t>Healthcare Products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2"/>
              </w:rPr>
              <w:t>13.00%/0.00%</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1/26/2021</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6/30/2024</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5,000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4,953</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4,954</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(5,000 units)</w:t>
            </w: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1/15/2016</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222</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668</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5,175</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5,622</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Palisade Company, LLC</w:t>
            </w:r>
          </w:p>
        </w:tc>
        <w:tc>
          <w:tcPr>
            <w:tcW w:w="1740" w:type="dxa"/>
            <w:vAlign w:val="bottom"/>
            <w:gridSpan w:val="2"/>
          </w:tcPr>
          <w:p>
            <w:pPr>
              <w:spacing w:after="0" w:line="135" w:lineRule="exact"/>
              <w:rPr>
                <w:sz w:val="20"/>
                <w:szCs w:val="20"/>
                <w:color w:val="auto"/>
              </w:rPr>
            </w:pPr>
            <w:r>
              <w:rPr>
                <w:rFonts w:ascii="Arial" w:cs="Arial" w:eastAsia="Arial" w:hAnsi="Arial"/>
                <w:sz w:val="12"/>
                <w:szCs w:val="12"/>
                <w:color w:val="auto"/>
                <w:w w:val="98"/>
              </w:rPr>
              <w:t>Information Technology Services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(50 shares) (j)</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3"/>
              </w:rPr>
              <w:t>11/15/2018</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829</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Consolidated Schedule of Investments (unaudited)</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40"/>
          </w:cols>
          <w:pgMar w:left="320" w:top="459" w:right="439" w:bottom="1440" w:gutter="0" w:footer="0" w:header="0"/>
        </w:sectPr>
      </w:pPr>
    </w:p>
    <w:p>
      <w:pPr>
        <w:spacing w:after="0" w:line="14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Portfolio Company (a)(b)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Investment Type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7797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i w:val="1"/>
          <w:iCs w:val="1"/>
          <w:color w:val="auto"/>
        </w:rPr>
        <w:t>Palmetto Moon, LLC</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First Lien Debt (j)</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Common Equity (499 units) (j)</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Pool &amp; Electrical Products, LLC</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Second Lien Debt (j)</w:t>
      </w:r>
    </w:p>
    <w:p>
      <w:pPr>
        <w:jc w:val="right"/>
        <w:ind w:right="560"/>
        <w:spacing w:after="0"/>
        <w:rPr>
          <w:sz w:val="20"/>
          <w:szCs w:val="20"/>
          <w:color w:val="auto"/>
        </w:rPr>
      </w:pPr>
      <w:r>
        <w:rPr>
          <w:rFonts w:ascii="Arial" w:cs="Arial" w:eastAsia="Arial" w:hAnsi="Arial"/>
          <w:sz w:val="12"/>
          <w:szCs w:val="12"/>
          <w:color w:val="auto"/>
        </w:rPr>
        <w:t>Common Equity (15,000 units) (h)(j)</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Variable Index</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Rate (e)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Investment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Principal</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Fair</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57"/>
        </w:trPr>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Industry</w:t>
            </w:r>
          </w:p>
        </w:tc>
        <w:tc>
          <w:tcPr>
            <w:tcW w:w="1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88"/>
              </w:rPr>
              <w:t>Spread / Floor (d)</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4"/>
              </w:rPr>
              <w:t>Cash/PIK</w:t>
            </w:r>
          </w:p>
        </w:tc>
        <w:tc>
          <w:tcPr>
            <w:tcW w:w="100" w:type="dxa"/>
            <w:vAlign w:val="bottom"/>
          </w:tcPr>
          <w:p>
            <w:pPr>
              <w:spacing w:after="0"/>
              <w:rPr>
                <w:sz w:val="13"/>
                <w:szCs w:val="1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b w:val="1"/>
                <w:bCs w:val="1"/>
                <w:color w:val="auto"/>
              </w:rPr>
              <w:t>Date (f)</w:t>
            </w:r>
          </w:p>
        </w:tc>
        <w:tc>
          <w:tcPr>
            <w:tcW w:w="10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3"/>
                <w:szCs w:val="13"/>
                <w:color w:val="auto"/>
              </w:rPr>
            </w:pPr>
          </w:p>
        </w:tc>
        <w:tc>
          <w:tcPr>
            <w:tcW w:w="460" w:type="dxa"/>
            <w:vAlign w:val="bottom"/>
          </w:tcPr>
          <w:p>
            <w:pPr>
              <w:jc w:val="right"/>
              <w:ind w:right="62"/>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6"/>
              </w:rPr>
              <w:t>Value (g)</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6"/>
              </w:rPr>
              <w:t>Net Assets</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Pr>
          <w:p>
            <w:pPr>
              <w:ind w:left="40"/>
              <w:spacing w:after="0"/>
              <w:rPr>
                <w:sz w:val="20"/>
                <w:szCs w:val="20"/>
                <w:color w:val="auto"/>
              </w:rPr>
            </w:pPr>
            <w:r>
              <w:rPr>
                <w:rFonts w:ascii="Arial" w:cs="Arial" w:eastAsia="Arial" w:hAnsi="Arial"/>
                <w:sz w:val="12"/>
                <w:szCs w:val="12"/>
                <w:color w:val="auto"/>
              </w:rPr>
              <w:t>Retail</w:t>
            </w:r>
          </w:p>
        </w:tc>
        <w:tc>
          <w:tcPr>
            <w:tcW w:w="14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w w:val="92"/>
              </w:rPr>
              <w:t>11.50%/2.50%</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11/3/2016</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3"/>
              </w:rPr>
              <w:t>10/31/2021</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4,731</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4,726</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4,731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11/3/2016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494</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307</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gridSpan w:val="2"/>
            <w:vMerge w:val="restart"/>
          </w:tcPr>
          <w:p>
            <w:pPr>
              <w:ind w:left="40"/>
              <w:spacing w:after="0"/>
              <w:rPr>
                <w:sz w:val="20"/>
                <w:szCs w:val="20"/>
                <w:color w:val="auto"/>
              </w:rPr>
            </w:pPr>
            <w:r>
              <w:rPr>
                <w:rFonts w:ascii="Arial" w:cs="Arial" w:eastAsia="Arial" w:hAnsi="Arial"/>
                <w:sz w:val="12"/>
                <w:szCs w:val="12"/>
                <w:color w:val="auto"/>
              </w:rPr>
              <w:t>Specialty Distribution</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5,220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5,038</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176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w w:val="92"/>
              </w:rPr>
              <w:t>11.75%/0.00%</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10/28/2020</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4/28/2027</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12,000</w:t>
            </w: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11,888</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11,889</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10/28/2020</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1,500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1,500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-633730</wp:posOffset>
            </wp:positionV>
            <wp:extent cx="699516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-454025</wp:posOffset>
            </wp:positionV>
            <wp:extent cx="699516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-264795</wp:posOffset>
            </wp:positionV>
            <wp:extent cx="699516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-93980</wp:posOffset>
            </wp:positionV>
            <wp:extent cx="699516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2640" w:space="720"/>
            <w:col w:w="77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41"/>
        </w:trPr>
        <w:tc>
          <w:tcPr>
            <w:tcW w:w="3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13,388</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13,389</w:t>
            </w: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Power Grid Components, Inc.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Specialty Distribution</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3000" w:type="dxa"/>
            <w:vAlign w:val="bottom"/>
          </w:tcPr>
          <w:p>
            <w:pPr>
              <w:spacing w:after="0"/>
              <w:rPr>
                <w:sz w:val="11"/>
                <w:szCs w:val="11"/>
                <w:color w:val="auto"/>
              </w:rPr>
            </w:pP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4"/>
              </w:rPr>
              <w:t>11.00%/0.50%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4/12/2018</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12/2/2025</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17,466</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17,394</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17,466</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Equity (392 shares)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4/12/2018</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522</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Preferred Equity (48 shares) (j)</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12/2/2019</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48</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64</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(10,622 shares)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4/12/2018</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777</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18,296</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18,829</w:t>
            </w:r>
          </w:p>
        </w:tc>
        <w:tc>
          <w:tcPr>
            <w:tcW w:w="56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Prime AE Group, Inc.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Business Services</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30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 + 6.25%) / (2.00%)</w:t>
            </w: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8.25%/0.00%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11/25/2019</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6"/>
              </w:rPr>
              <w:t>11/25/2024</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6,667</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6,526</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6,667</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Equity (500,000 shares)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11/25/2019</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613</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7,026</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7,280</w:t>
            </w:r>
          </w:p>
        </w:tc>
        <w:tc>
          <w:tcPr>
            <w:tcW w:w="5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Pugh Lubricants, LLC (n)</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Specialty Distribution</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(3,062 units) (h)(j)</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11/10/2016</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23</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Revenue Management Solutions, LLC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Information Technology Services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(113 shares)</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1/4/2017</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3,439</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Rhino Assembly Company, LLC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Specialty Distribution</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3000" w:type="dxa"/>
            <w:vAlign w:val="bottom"/>
          </w:tcPr>
          <w:p>
            <w:pPr>
              <w:spacing w:after="0"/>
              <w:rPr>
                <w:sz w:val="11"/>
                <w:szCs w:val="11"/>
                <w:color w:val="auto"/>
              </w:rPr>
            </w:pP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4"/>
              </w:rPr>
              <w:t>12.00%/1.00%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8/11/2017</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2/11/2023</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10,708</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10,686</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10,708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240"/>
              <w:spacing w:after="0"/>
              <w:rPr>
                <w:sz w:val="20"/>
                <w:szCs w:val="20"/>
                <w:color w:val="auto"/>
              </w:rPr>
            </w:pPr>
            <w:r>
              <w:rPr>
                <w:rFonts w:ascii="Arial" w:cs="Arial" w:eastAsia="Arial" w:hAnsi="Arial"/>
                <w:sz w:val="12"/>
                <w:szCs w:val="12"/>
                <w:color w:val="auto"/>
                <w:w w:val="90"/>
              </w:rPr>
              <w:t>Delayed Draw Commitment ($875 unfunded commitment) (i)(j)</w:t>
            </w:r>
          </w:p>
        </w:tc>
        <w:tc>
          <w:tcPr>
            <w:tcW w:w="30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4"/>
              </w:rPr>
              <w:t>12.00%/1.00%</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8/11/2017</w:t>
            </w: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5/17/2022</w:t>
            </w:r>
          </w:p>
        </w:tc>
        <w:tc>
          <w:tcPr>
            <w:tcW w:w="6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(Class A Units) (8,864 units) (h)(j)</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8/11/2017</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944</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757</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Equity (Units N/A) (h)(j)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12/10/2020</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140</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(Class F Units) (355 units) (h)(j)</w:t>
            </w: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12/10/2020</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11,766</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11,605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Road Safety Services, Inc.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Business Services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w w:val="94"/>
              </w:rPr>
              <w:t>11.25%/1.50%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9/18/2018</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3/18/2024</w:t>
            </w:r>
          </w:p>
        </w:tc>
        <w:tc>
          <w:tcPr>
            <w:tcW w:w="6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10,418</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10,392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10,418</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(655 units)</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9/18/2018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621</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1,101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11,013</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11,519</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Routeware, Inc.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Information Technology Services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(k)(aa)</w:t>
            </w:r>
          </w:p>
        </w:tc>
        <w:tc>
          <w:tcPr>
            <w:tcW w:w="30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 + 6.75%) / (1.25%)</w:t>
            </w:r>
          </w:p>
        </w:tc>
        <w:tc>
          <w:tcPr>
            <w:tcW w:w="86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8.00%/0.00%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2/7/2020</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2/7/2026</w:t>
            </w:r>
          </w:p>
        </w:tc>
        <w:tc>
          <w:tcPr>
            <w:tcW w:w="6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16,888</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16,797</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16,888</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SES Investors, LLC (dba SES Foam)</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Building Products Manufacturing</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3000" w:type="dxa"/>
            <w:vAlign w:val="bottom"/>
          </w:tcPr>
          <w:p>
            <w:pPr>
              <w:spacing w:after="0"/>
              <w:rPr>
                <w:sz w:val="11"/>
                <w:szCs w:val="11"/>
                <w:color w:val="auto"/>
              </w:rPr>
            </w:pP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4"/>
              </w:rPr>
              <w:t>13.00%/0.00%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9/8/2016</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6"/>
              </w:rPr>
              <w:t>12/29/2022</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1,000</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997</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(6,000 units) (h)(j)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9/8/2016</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537</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1,771</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1,534</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2,771</w:t>
            </w: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Specialized Elevator Services Holdings, LLC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Business Services</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First Lien Debt (j)(y)</w:t>
            </w:r>
          </w:p>
        </w:tc>
        <w:tc>
          <w:tcPr>
            <w:tcW w:w="30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 + 5.25%) / (2.00%)</w:t>
            </w: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7.25%/0.00%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5/7/2019</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5/3/2024</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12,889</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12,790</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12,889</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(596 units)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5/8/2019</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596</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600</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13,386</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13,489</w:t>
            </w: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SpendMend LLC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Business Services</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(1,000,000 units)</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1/8/2018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972</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1,986</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TransGo, LLC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Component Manufacturing</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(500 units)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2/28/2017</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457</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1,154</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The Tranzonic Companies</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Specialty Distribution</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Subordinated Debt (j)</w:t>
            </w:r>
          </w:p>
        </w:tc>
        <w:tc>
          <w:tcPr>
            <w:tcW w:w="3000" w:type="dxa"/>
            <w:vAlign w:val="bottom"/>
          </w:tcPr>
          <w:p>
            <w:pPr>
              <w:spacing w:after="0"/>
              <w:rPr>
                <w:sz w:val="11"/>
                <w:szCs w:val="11"/>
                <w:color w:val="auto"/>
              </w:rPr>
            </w:pP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4"/>
              </w:rPr>
              <w:t>10.00%/1.00%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3/27/2018</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3/27/2025</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7,019</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6,979</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7,019</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Equity (5,653 units)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3/27/2018</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747</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(1 units) (j)</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3/27/2018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ind w:left="2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999</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7,544</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8,765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UBEO, LLC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Business Services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Subordinated Debt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w w:val="94"/>
              </w:rPr>
              <w:t>11.00%/0.00%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4/3/2018</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10/3/2024</w:t>
            </w:r>
          </w:p>
        </w:tc>
        <w:tc>
          <w:tcPr>
            <w:tcW w:w="6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13,893</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13,819</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13,893</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(705,000 units) (h)(j)</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4/3/2018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668</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659</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14,487</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14,552</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United Biologics, LLC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Healthcare Services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Equity (98,377 units) (h)(j)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4/1/2012</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1,008</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Warrant (57,469 units) (j)(m)</w:t>
            </w: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3/5/2012</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566</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1,574</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Virginia Tile Company, LLC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Specialty Distribution</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w w:val="94"/>
              </w:rPr>
              <w:t>12.25%/0.00%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12/19/2014</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4/7/2022</w:t>
            </w:r>
          </w:p>
        </w:tc>
        <w:tc>
          <w:tcPr>
            <w:tcW w:w="6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12,000</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12,000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12,000</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Common Equity (17 units) (j)</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12/19/2014</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342</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706</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12,342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12,706</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rPr>
              <w:t>Western’s Smokehouse, LLC</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Consumer Products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(j)(ab)</w:t>
            </w:r>
          </w:p>
        </w:tc>
        <w:tc>
          <w:tcPr>
            <w:tcW w:w="30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 + 6.50%) / (1.25%)</w:t>
            </w:r>
          </w:p>
        </w:tc>
        <w:tc>
          <w:tcPr>
            <w:tcW w:w="86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7.75%/0.00%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2/28/2020</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6"/>
              </w:rPr>
              <w:t>12/23/2024</w:t>
            </w:r>
          </w:p>
        </w:tc>
        <w:tc>
          <w:tcPr>
            <w:tcW w:w="6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10,000</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9,884</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Wheel Pros, Inc.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Specialty Distribution</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Preferred Equity (347,222 units) (j)</w:t>
            </w: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5/15/2019</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301</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1,817</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i w:val="1"/>
                <w:iCs w:val="1"/>
                <w:color w:val="auto"/>
                <w:w w:val="94"/>
              </w:rPr>
              <w:t>Wonderware Holdings, LLC (dba CORE Business Technologies)</w:t>
            </w:r>
          </w:p>
        </w:tc>
        <w:tc>
          <w:tcPr>
            <w:tcW w:w="3000" w:type="dxa"/>
            <w:vAlign w:val="bottom"/>
          </w:tcPr>
          <w:p>
            <w:pPr>
              <w:ind w:left="20"/>
              <w:spacing w:after="0" w:line="135" w:lineRule="exact"/>
              <w:rPr>
                <w:sz w:val="20"/>
                <w:szCs w:val="20"/>
                <w:color w:val="auto"/>
              </w:rPr>
            </w:pPr>
            <w:r>
              <w:rPr>
                <w:rFonts w:ascii="Arial" w:cs="Arial" w:eastAsia="Arial" w:hAnsi="Arial"/>
                <w:sz w:val="12"/>
                <w:szCs w:val="12"/>
                <w:color w:val="auto"/>
              </w:rPr>
              <w:t>Information Technology Services</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($2,000 unfunded commitment) (k)(z)</w:t>
            </w:r>
          </w:p>
        </w:tc>
        <w:tc>
          <w:tcPr>
            <w:tcW w:w="30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 + 7.25%) / (1.00%)</w:t>
            </w:r>
          </w:p>
        </w:tc>
        <w:tc>
          <w:tcPr>
            <w:tcW w:w="86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8.25%/0.00%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2/10/2021</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2/9/2026</w:t>
            </w:r>
          </w:p>
        </w:tc>
        <w:tc>
          <w:tcPr>
            <w:tcW w:w="60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6,500</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6,453</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6,453</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Worldwide Express Operations, LLC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Transportation services</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30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 + 8.00%) / (1.00%)</w:t>
            </w: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9.00%/0.00%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2/27/2017</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2/3/2025</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20,000</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19,804</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20,000</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(2,000 units) (h)(j)</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2/27/2017</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1,478</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2,191</w:t>
            </w: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21,282</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22,191</w:t>
            </w:r>
          </w:p>
        </w:tc>
        <w:tc>
          <w:tcPr>
            <w:tcW w:w="56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Xeeva, Inc.</w:t>
            </w:r>
          </w:p>
        </w:tc>
        <w:tc>
          <w:tcPr>
            <w:tcW w:w="30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Information Technology Services</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30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 + 10.50%) / (1.50%)</w:t>
            </w:r>
          </w:p>
        </w:tc>
        <w:tc>
          <w:tcPr>
            <w:tcW w:w="86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4"/>
              </w:rPr>
              <w:t>12.00%/0.00%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2/11/2021</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2/11/2026</w:t>
            </w:r>
          </w:p>
        </w:tc>
        <w:tc>
          <w:tcPr>
            <w:tcW w:w="6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8,900</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8,849</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8,849</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89"/>
              </w:rPr>
              <w:t>Delayed Draw Commitment ($400 unfunded commitment) (j)(o)</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2/11/2021</w:t>
            </w: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8,849</w:t>
            </w: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8,849</w:t>
            </w:r>
          </w:p>
        </w:tc>
        <w:tc>
          <w:tcPr>
            <w:tcW w:w="5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Non-control/Non-affiliate Investments</w:t>
            </w:r>
          </w:p>
        </w:tc>
        <w:tc>
          <w:tcPr>
            <w:tcW w:w="3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2"/>
              </w:rPr>
              <w:t>$ 587,727</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w w:val="82"/>
              </w:rPr>
              <w:t>$ 593,304</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w:t>
            </w: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60" w:type="dxa"/>
            <w:vAlign w:val="bottom"/>
            <w:vMerge w:val="continue"/>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2"/>
                <w:szCs w:val="12"/>
                <w:color w:val="auto"/>
                <w:w w:val="82"/>
              </w:rPr>
              <w:t>$ 656,621</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w w:val="82"/>
              </w:rPr>
              <w:t>$ 711,884</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2"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March 31, 2021.</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March 31, 2021. Generally, payment-in-kind interest can be paid-in-kind or all in cash.</w:t>
      </w: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540" w:right="52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March 31, 2021. The Company is earning 0.50% interest on the unfunded balance of the commitment. The interest rate disclosed represents the rate which will be earned if the commitment is funded.</w:t>
      </w:r>
    </w:p>
    <w:p>
      <w:pPr>
        <w:spacing w:after="0" w:line="1" w:lineRule="exact"/>
        <w:rPr>
          <w:rFonts w:ascii="Arial" w:cs="Arial" w:eastAsia="Arial" w:hAnsi="Arial"/>
          <w:sz w:val="16"/>
          <w:szCs w:val="16"/>
          <w:color w:val="auto"/>
        </w:rPr>
      </w:pPr>
    </w:p>
    <w:p>
      <w:pPr>
        <w:ind w:left="540" w:right="14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540" w:right="32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6"/>
          <w:szCs w:val="16"/>
          <w:color w:val="auto"/>
        </w:rPr>
      </w:pPr>
    </w:p>
    <w:p>
      <w:pPr>
        <w:ind w:left="540" w:right="44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540" w:right="52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March 31, 2021. The Company is earning 5.20% interest on the unfunded balance of the commitment. The interest rate disclosed represents the rate which will be earned if the commitment is funded.</w:t>
      </w:r>
    </w:p>
    <w:p>
      <w:pPr>
        <w:spacing w:after="0" w:line="1"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was on PIK-only non-accrual status as of March 31, 2021, meaning the Company has ceased recognizing PIK interest income on the investment.</w:t>
      </w:r>
    </w:p>
    <w:p>
      <w:pPr>
        <w:ind w:left="540" w:right="20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 entitles the Company to purchase 4.79% of the outstanding principal of Junior Subordinated Notes prior to exercise, and is non-income producing.</w:t>
      </w:r>
    </w:p>
    <w:p>
      <w:pPr>
        <w:ind w:left="540" w:right="2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540" w:right="18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7.45%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20" w:hanging="424"/>
        <w:spacing w:after="0" w:line="25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11100"/>
          </w:cols>
          <w:pgMar w:left="320" w:top="459" w:right="479" w:bottom="249" w:gutter="0" w:footer="0" w:header="0"/>
        </w:sectPr>
      </w:pPr>
    </w:p>
    <w:bookmarkStart w:id="12" w:name="page13"/>
    <w:bookmarkEnd w:id="12"/>
    <w:p>
      <w:pPr>
        <w:ind w:left="424" w:hanging="424"/>
        <w:spacing w:after="0" w:line="254"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424"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10964"/>
          </w:cols>
          <w:pgMar w:left="436" w:top="125" w:right="499" w:bottom="1440" w:gutter="0" w:footer="0" w:header="0"/>
        </w:sectPr>
      </w:pPr>
    </w:p>
    <w:p>
      <w:pPr>
        <w:spacing w:after="0" w:line="2" w:lineRule="exact"/>
        <w:rPr>
          <w:sz w:val="20"/>
          <w:szCs w:val="20"/>
          <w:color w:val="auto"/>
        </w:rPr>
      </w:pPr>
    </w:p>
    <w:p>
      <w:pPr>
        <w:ind w:left="4"/>
        <w:spacing w:after="0"/>
        <w:rPr>
          <w:sz w:val="20"/>
          <w:szCs w:val="20"/>
          <w:color w:val="auto"/>
        </w:rPr>
      </w:pPr>
      <w:r>
        <w:rPr>
          <w:rFonts w:ascii="Arial" w:cs="Arial" w:eastAsia="Arial" w:hAnsi="Arial"/>
          <w:sz w:val="15"/>
          <w:szCs w:val="15"/>
          <w:color w:val="auto"/>
        </w:rPr>
        <w:t>(ab)</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
        <w:spacing w:after="0"/>
        <w:rPr>
          <w:sz w:val="20"/>
          <w:szCs w:val="20"/>
          <w:color w:val="auto"/>
        </w:rPr>
      </w:pPr>
      <w:r>
        <w:rPr>
          <w:rFonts w:ascii="Arial" w:cs="Arial" w:eastAsia="Arial" w:hAnsi="Arial"/>
          <w:sz w:val="16"/>
          <w:szCs w:val="16"/>
          <w:color w:val="auto"/>
        </w:rPr>
        <w:t>(ac)</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5"/>
          <w:szCs w:val="15"/>
          <w:color w:val="auto"/>
        </w:rPr>
        <w:t>(ad)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5"/>
          <w:szCs w:val="15"/>
          <w:color w:val="auto"/>
        </w:rPr>
        <w:t>(ae)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
        <w:spacing w:after="0"/>
        <w:rPr>
          <w:sz w:val="20"/>
          <w:szCs w:val="20"/>
          <w:color w:val="auto"/>
        </w:rPr>
      </w:pPr>
      <w:r>
        <w:rPr>
          <w:rFonts w:ascii="Arial" w:cs="Arial" w:eastAsia="Arial" w:hAnsi="Arial"/>
          <w:sz w:val="15"/>
          <w:szCs w:val="15"/>
          <w:color w:val="auto"/>
        </w:rPr>
        <w:t>(ag)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3.09%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disclosed commitment represents the unfunded amount as of March 31, 2021. The Company is earning 1.00% interest on the unfunded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balance of the commitment. The interest rate disclosed represents the rate earned on the outstanding, funded balance of the commitment.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3.33%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3.31%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4.03%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5.50%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200" w:lineRule="exact"/>
        <w:rPr>
          <w:sz w:val="20"/>
          <w:szCs w:val="20"/>
          <w:color w:val="auto"/>
        </w:rPr>
      </w:pPr>
    </w:p>
    <w:p>
      <w:pPr>
        <w:sectPr>
          <w:pgSz w:w="11900" w:h="16838" w:orient="portrait"/>
          <w:cols w:equalWidth="0" w:num="2">
            <w:col w:w="284" w:space="140"/>
            <w:col w:w="10540"/>
          </w:cols>
          <w:pgMar w:left="436" w:top="125" w:right="499" w:bottom="1440" w:gutter="0" w:footer="0" w:header="0"/>
          <w:type w:val="continuous"/>
        </w:sectPr>
      </w:pPr>
    </w:p>
    <w:p>
      <w:pPr>
        <w:spacing w:after="0" w:line="11" w:lineRule="exact"/>
        <w:rPr>
          <w:sz w:val="20"/>
          <w:szCs w:val="20"/>
          <w:color w:val="auto"/>
        </w:rPr>
      </w:pPr>
    </w:p>
    <w:p>
      <w:pPr>
        <w:jc w:val="center"/>
        <w:ind w:right="-43"/>
        <w:spacing w:after="0"/>
        <w:rPr>
          <w:sz w:val="20"/>
          <w:szCs w:val="20"/>
          <w:color w:val="auto"/>
        </w:rPr>
      </w:pPr>
      <w:r>
        <w:rPr>
          <w:rFonts w:ascii="Arial" w:cs="Arial" w:eastAsia="Arial" w:hAnsi="Arial"/>
          <w:sz w:val="16"/>
          <w:szCs w:val="16"/>
          <w:i w:val="1"/>
          <w:iCs w:val="1"/>
          <w:color w:val="auto"/>
        </w:rPr>
        <w:t>See Notes to Consolidated Financial Statements (unaudited).</w:t>
      </w:r>
    </w:p>
    <w:p>
      <w:pPr>
        <w:spacing w:after="0" w:line="1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125"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8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Variable Index</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Rate (e)</w:t>
            </w: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8"/>
              </w:rPr>
              <w:t>Principal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20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ind w:left="620"/>
              <w:spacing w:after="0"/>
              <w:rPr>
                <w:sz w:val="20"/>
                <w:szCs w:val="20"/>
                <w:color w:val="auto"/>
              </w:rPr>
            </w:pPr>
            <w:r>
              <w:rPr>
                <w:rFonts w:ascii="Arial" w:cs="Arial" w:eastAsia="Arial" w:hAnsi="Arial"/>
                <w:sz w:val="13"/>
                <w:szCs w:val="13"/>
                <w:b w:val="1"/>
                <w:bCs w:val="1"/>
                <w:color w:val="auto"/>
              </w:rPr>
              <w:t>Industry</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Spread / Floor (d)</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Cash/PIK</w:t>
            </w: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5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2"/>
              </w:rPr>
              <w:t>Cost</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102"/>
        </w:trPr>
        <w:tc>
          <w:tcPr>
            <w:tcW w:w="1260" w:type="dxa"/>
            <w:vAlign w:val="bottom"/>
            <w:tcBorders>
              <w:top w:val="single" w:sz="8" w:color="CCEEFF"/>
              <w:bottom w:val="single" w:sz="8" w:color="auto"/>
            </w:tcBorders>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Control Investments (t)</w:t>
            </w:r>
          </w:p>
        </w:tc>
        <w:tc>
          <w:tcPr>
            <w:tcW w:w="182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17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CCEEFF"/>
            </w:tcBorders>
            <w:shd w:val="clear" w:color="auto" w:fill="CCEEFF"/>
          </w:tcPr>
          <w:p>
            <w:pPr>
              <w:spacing w:after="0"/>
              <w:rPr>
                <w:sz w:val="8"/>
                <w:szCs w:val="8"/>
                <w:color w:val="auto"/>
              </w:rPr>
            </w:pPr>
          </w:p>
        </w:tc>
        <w:tc>
          <w:tcPr>
            <w:tcW w:w="108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FDS Avionics Corp. (dba Flight Display Systems)</w:t>
            </w:r>
          </w:p>
        </w:tc>
        <w:tc>
          <w:tcPr>
            <w:tcW w:w="2080" w:type="dxa"/>
            <w:vAlign w:val="bottom"/>
            <w:gridSpan w:val="4"/>
          </w:tcPr>
          <w:p>
            <w:pPr>
              <w:ind w:left="200"/>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6.00%/9.00%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11/5/2014</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12/31/2021</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4,836</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4,836</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4,836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Revolving Loan ($30 unfunded commitment)</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6.00%/9.00%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4/12/2018</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12/31/2021</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286</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(7,478 shares) (j)</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11/10/2017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(2,550 shares)</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12/26/2019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2,550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2,269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8,420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7,391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2080" w:type="dxa"/>
            <w:vAlign w:val="bottom"/>
            <w:gridSpan w:val="4"/>
          </w:tcPr>
          <w:p>
            <w:pPr>
              <w:ind w:left="200"/>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8.00%/5.00%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7/3/2014</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8/30/2024</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0"/>
              </w:rPr>
              <w:t>15,382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15,378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13,078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8.50%/6.50%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11/9/2018</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8/30/2024</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5,028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5,028</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5,183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8.50%/6.50%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8/10/2020</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8/30/2024</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2,533</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2,601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7/3/2014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586</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(425,508 units) (j)</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8/30/2019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(1,022,813 units) (h)(j)</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7/1/2020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1,023</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24,549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20,862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42"/>
        </w:trPr>
        <w:tc>
          <w:tcPr>
            <w:tcW w:w="30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2"/>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32,969</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28,253</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3"/>
        </w:trPr>
        <w:tc>
          <w:tcPr>
            <w:tcW w:w="3080" w:type="dxa"/>
            <w:vAlign w:val="bottom"/>
            <w:gridSpan w:val="3"/>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Affiliate Investments (l)</w:t>
            </w:r>
          </w:p>
        </w:tc>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5"/>
        </w:trPr>
        <w:tc>
          <w:tcPr>
            <w:tcW w:w="126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i w:val="1"/>
                <w:iCs w:val="1"/>
                <w:color w:val="auto"/>
                <w:w w:val="95"/>
              </w:rPr>
              <w:t>FAR Research Inc. (n)</w:t>
            </w:r>
          </w:p>
        </w:tc>
        <w:tc>
          <w:tcPr>
            <w:tcW w:w="182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4"/>
          </w:tcPr>
          <w:p>
            <w:pPr>
              <w:ind w:left="200"/>
              <w:spacing w:after="0" w:line="135" w:lineRule="exact"/>
              <w:rPr>
                <w:sz w:val="20"/>
                <w:szCs w:val="20"/>
                <w:color w:val="auto"/>
              </w:rPr>
            </w:pPr>
            <w:r>
              <w:rPr>
                <w:rFonts w:ascii="Arial" w:cs="Arial" w:eastAsia="Arial" w:hAnsi="Arial"/>
                <w:sz w:val="13"/>
                <w:szCs w:val="13"/>
                <w:color w:val="auto"/>
              </w:rPr>
              <w:t>Specialty Chemicals</w:t>
            </w:r>
          </w:p>
        </w:tc>
        <w:tc>
          <w:tcPr>
            <w:tcW w:w="10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(1,396 units)</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3/31/2014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080" w:type="dxa"/>
            <w:vAlign w:val="bottom"/>
            <w:gridSpan w:val="3"/>
          </w:tcPr>
          <w:p>
            <w:pPr>
              <w:spacing w:after="0"/>
              <w:rPr>
                <w:sz w:val="20"/>
                <w:szCs w:val="20"/>
                <w:color w:val="auto"/>
              </w:rPr>
            </w:pPr>
            <w:r>
              <w:rPr>
                <w:rFonts w:ascii="Arial" w:cs="Arial" w:eastAsia="Arial" w:hAnsi="Arial"/>
                <w:sz w:val="13"/>
                <w:szCs w:val="13"/>
                <w:i w:val="1"/>
                <w:iCs w:val="1"/>
                <w:color w:val="auto"/>
              </w:rPr>
              <w:t>Fiber Materials, Inc. (n)</w:t>
            </w:r>
          </w:p>
        </w:tc>
        <w:tc>
          <w:tcPr>
            <w:tcW w:w="2080" w:type="dxa"/>
            <w:vAlign w:val="bottom"/>
            <w:gridSpan w:val="4"/>
          </w:tcPr>
          <w:p>
            <w:pPr>
              <w:ind w:left="200"/>
              <w:spacing w:after="0"/>
              <w:rPr>
                <w:sz w:val="20"/>
                <w:szCs w:val="20"/>
                <w:color w:val="auto"/>
              </w:rPr>
            </w:pPr>
            <w:r>
              <w:rPr>
                <w:rFonts w:ascii="Arial" w:cs="Arial" w:eastAsia="Arial" w:hAnsi="Arial"/>
                <w:sz w:val="13"/>
                <w:szCs w:val="13"/>
                <w:color w:val="auto"/>
                <w:w w:val="87"/>
              </w:rPr>
              <w:t>Aerospace &amp; Defense Manufacturing</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11/30/2016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080" w:type="dxa"/>
            <w:vAlign w:val="bottom"/>
            <w:gridSpan w:val="3"/>
          </w:tcPr>
          <w:p>
            <w:pPr>
              <w:spacing w:after="0"/>
              <w:rPr>
                <w:sz w:val="20"/>
                <w:szCs w:val="20"/>
                <w:color w:val="auto"/>
              </w:rPr>
            </w:pPr>
            <w:r>
              <w:rPr>
                <w:rFonts w:ascii="Arial" w:cs="Arial" w:eastAsia="Arial" w:hAnsi="Arial"/>
                <w:sz w:val="13"/>
                <w:szCs w:val="13"/>
                <w:i w:val="1"/>
                <w:iCs w:val="1"/>
                <w:color w:val="auto"/>
              </w:rPr>
              <w:t>Medsurant Holdings, LLC</w:t>
            </w:r>
          </w:p>
        </w:tc>
        <w:tc>
          <w:tcPr>
            <w:tcW w:w="2080" w:type="dxa"/>
            <w:vAlign w:val="bottom"/>
            <w:gridSpan w:val="4"/>
          </w:tcPr>
          <w:p>
            <w:pPr>
              <w:ind w:left="200"/>
              <w:spacing w:after="0"/>
              <w:rPr>
                <w:sz w:val="20"/>
                <w:szCs w:val="20"/>
                <w:color w:val="auto"/>
              </w:rPr>
            </w:pPr>
            <w:r>
              <w:rPr>
                <w:rFonts w:ascii="Arial" w:cs="Arial" w:eastAsia="Arial" w:hAnsi="Arial"/>
                <w:sz w:val="13"/>
                <w:szCs w:val="13"/>
                <w:color w:val="auto"/>
              </w:rPr>
              <w:t>Healthcare Services</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14.00%/0.00%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12/18/2015</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3/10/2022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8,028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8,091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(63,331 units) (h)(j)</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4/12/2011</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673</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620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(252,588 units) (h)(j)(m)</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4/12/2011</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2,258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2,249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10,959</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10,960</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2080" w:type="dxa"/>
            <w:vAlign w:val="bottom"/>
            <w:gridSpan w:val="4"/>
            <w:shd w:val="clear" w:color="auto" w:fill="CCEEFF"/>
          </w:tcPr>
          <w:p>
            <w:pPr>
              <w:ind w:left="200"/>
              <w:spacing w:after="0" w:line="135" w:lineRule="exact"/>
              <w:rPr>
                <w:sz w:val="20"/>
                <w:szCs w:val="20"/>
                <w:color w:val="auto"/>
              </w:rPr>
            </w:pPr>
            <w:r>
              <w:rPr>
                <w:rFonts w:ascii="Arial" w:cs="Arial" w:eastAsia="Arial" w:hAnsi="Arial"/>
                <w:sz w:val="13"/>
                <w:szCs w:val="13"/>
                <w:color w:val="auto"/>
              </w:rPr>
              <w:t>Utility Equipment Manufacturing</w:t>
            </w: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jc w:val="center"/>
              <w:ind w:right="60"/>
              <w:spacing w:after="0" w:line="135" w:lineRule="exact"/>
              <w:rPr>
                <w:sz w:val="20"/>
                <w:szCs w:val="20"/>
                <w:color w:val="auto"/>
              </w:rPr>
            </w:pPr>
            <w:r>
              <w:rPr>
                <w:rFonts w:ascii="Arial" w:cs="Arial" w:eastAsia="Arial" w:hAnsi="Arial"/>
                <w:sz w:val="13"/>
                <w:szCs w:val="13"/>
                <w:color w:val="auto"/>
                <w:w w:val="91"/>
              </w:rPr>
              <w:t>(L + 10.00%) / (1.00%)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11.00%/5.00%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11/25/2015</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11/25/2021</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6,410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6,483</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6,410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(2,500,000 shares) (o)</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11/25/2015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2,188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8,671</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6,494</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2080" w:type="dxa"/>
            <w:vAlign w:val="bottom"/>
            <w:gridSpan w:val="4"/>
            <w:shd w:val="clear" w:color="auto" w:fill="CCEEFF"/>
          </w:tcPr>
          <w:p>
            <w:pPr>
              <w:ind w:left="200"/>
              <w:spacing w:after="0" w:line="135" w:lineRule="exact"/>
              <w:rPr>
                <w:sz w:val="20"/>
                <w:szCs w:val="20"/>
                <w:color w:val="auto"/>
              </w:rPr>
            </w:pPr>
            <w:r>
              <w:rPr>
                <w:rFonts w:ascii="Arial" w:cs="Arial" w:eastAsia="Arial" w:hAnsi="Arial"/>
                <w:sz w:val="13"/>
                <w:szCs w:val="13"/>
                <w:color w:val="auto"/>
              </w:rPr>
              <w:t>Healthcare Products</w:t>
            </w: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(4,250 units) (j)</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3/29/2013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425</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0"/>
              </w:rPr>
              <w:t>33,505</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w:t>
            </w:r>
          </w:p>
        </w:tc>
      </w:tr>
      <w:tr>
        <w:trPr>
          <w:trHeight w:val="135"/>
        </w:trPr>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2080" w:type="dxa"/>
            <w:vAlign w:val="bottom"/>
            <w:gridSpan w:val="4"/>
          </w:tcPr>
          <w:p>
            <w:pPr>
              <w:ind w:left="200"/>
              <w:spacing w:after="0" w:line="135" w:lineRule="exact"/>
              <w:rPr>
                <w:sz w:val="20"/>
                <w:szCs w:val="20"/>
                <w:color w:val="auto"/>
              </w:rPr>
            </w:pPr>
            <w:r>
              <w:rPr>
                <w:rFonts w:ascii="Arial" w:cs="Arial" w:eastAsia="Arial" w:hAnsi="Arial"/>
                <w:sz w:val="13"/>
                <w:szCs w:val="13"/>
                <w:color w:val="auto"/>
              </w:rPr>
              <w:t>Oil &amp; Gas Services</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A-2 (42,500 units) (j)</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10/13/2016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3,000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20,589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35"/>
        </w:trPr>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3"/>
              </w:rPr>
              <w:t>Steward Holding LLC (dba Steward Advanced Materials)</w:t>
            </w:r>
          </w:p>
        </w:tc>
        <w:tc>
          <w:tcPr>
            <w:tcW w:w="2080" w:type="dxa"/>
            <w:vAlign w:val="bottom"/>
            <w:gridSpan w:val="4"/>
            <w:shd w:val="clear" w:color="auto" w:fill="CCEEFF"/>
          </w:tcPr>
          <w:p>
            <w:pPr>
              <w:ind w:left="200"/>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12.00%/1.50%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11/12/2015</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10/31/2021</w:t>
            </w: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7,783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7,781</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7,783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11/12/2015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1,000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1,994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8,781</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9,777</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31,836</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81,394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0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Rate (e)</w:t>
            </w: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Principal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2020" w:type="dxa"/>
            <w:vAlign w:val="bottom"/>
            <w:gridSpan w:val="2"/>
          </w:tcPr>
          <w:p>
            <w:pPr>
              <w:spacing w:after="0"/>
              <w:rPr>
                <w:sz w:val="14"/>
                <w:szCs w:val="14"/>
                <w:color w:val="auto"/>
              </w:rPr>
            </w:pPr>
          </w:p>
        </w:tc>
        <w:tc>
          <w:tcPr>
            <w:tcW w:w="194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Spread / Floor (d)</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Cash/PIK</w:t>
            </w: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6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2"/>
              </w:rPr>
              <w:t>Cost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3"/>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108"/>
        </w:trPr>
        <w:tc>
          <w:tcPr>
            <w:tcW w:w="2340" w:type="dxa"/>
            <w:vAlign w:val="bottom"/>
            <w:tcBorders>
              <w:top w:val="single" w:sz="8" w:color="CCEEFF"/>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 Investments</w:t>
            </w:r>
          </w:p>
        </w:tc>
        <w:tc>
          <w:tcPr>
            <w:tcW w:w="760" w:type="dxa"/>
            <w:vAlign w:val="bottom"/>
            <w:tcBorders>
              <w:top w:val="single" w:sz="8" w:color="CCEEFF"/>
              <w:bottom w:val="single" w:sz="8" w:color="CCEEFF"/>
            </w:tcBorders>
            <w:shd w:val="clear" w:color="auto" w:fill="CCEEFF"/>
          </w:tcPr>
          <w:p>
            <w:pPr>
              <w:spacing w:after="0"/>
              <w:rPr>
                <w:sz w:val="9"/>
                <w:szCs w:val="9"/>
                <w:color w:val="auto"/>
              </w:rPr>
            </w:pPr>
          </w:p>
        </w:tc>
        <w:tc>
          <w:tcPr>
            <w:tcW w:w="190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14"/>
        </w:trPr>
        <w:tc>
          <w:tcPr>
            <w:tcW w:w="3100" w:type="dxa"/>
            <w:vAlign w:val="bottom"/>
            <w:gridSpan w:val="3"/>
          </w:tcPr>
          <w:p>
            <w:pPr>
              <w:spacing w:after="0" w:line="114" w:lineRule="exact"/>
              <w:rPr>
                <w:sz w:val="20"/>
                <w:szCs w:val="20"/>
                <w:color w:val="auto"/>
              </w:rPr>
            </w:pPr>
            <w:r>
              <w:rPr>
                <w:rFonts w:ascii="Arial" w:cs="Arial" w:eastAsia="Arial" w:hAnsi="Arial"/>
                <w:sz w:val="13"/>
                <w:szCs w:val="13"/>
                <w:i w:val="1"/>
                <w:iCs w:val="1"/>
                <w:color w:val="auto"/>
                <w:w w:val="92"/>
              </w:rPr>
              <w:t>Frontline Food Services, LLC (f/k/a Accent Food Services,</w:t>
            </w:r>
          </w:p>
        </w:tc>
        <w:tc>
          <w:tcPr>
            <w:tcW w:w="1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9"/>
        </w:trPr>
        <w:tc>
          <w:tcPr>
            <w:tcW w:w="3100" w:type="dxa"/>
            <w:vAlign w:val="bottom"/>
            <w:gridSpan w:val="3"/>
          </w:tcPr>
          <w:p>
            <w:pPr>
              <w:ind w:left="120"/>
              <w:spacing w:after="0"/>
              <w:rPr>
                <w:sz w:val="20"/>
                <w:szCs w:val="20"/>
                <w:color w:val="auto"/>
              </w:rPr>
            </w:pPr>
            <w:r>
              <w:rPr>
                <w:rFonts w:ascii="Arial" w:cs="Arial" w:eastAsia="Arial" w:hAnsi="Arial"/>
                <w:sz w:val="13"/>
                <w:szCs w:val="13"/>
                <w:i w:val="1"/>
                <w:iCs w:val="1"/>
                <w:color w:val="auto"/>
              </w:rPr>
              <w:t>LLC)</w:t>
            </w:r>
          </w:p>
        </w:tc>
        <w:tc>
          <w:tcPr>
            <w:tcW w:w="1940" w:type="dxa"/>
            <w:vAlign w:val="bottom"/>
            <w:gridSpan w:val="2"/>
          </w:tcPr>
          <w:p>
            <w:pPr>
              <w:ind w:left="100"/>
              <w:spacing w:after="0"/>
              <w:rPr>
                <w:sz w:val="20"/>
                <w:szCs w:val="20"/>
                <w:color w:val="auto"/>
              </w:rPr>
            </w:pPr>
            <w:r>
              <w:rPr>
                <w:rFonts w:ascii="Arial" w:cs="Arial" w:eastAsia="Arial" w:hAnsi="Arial"/>
                <w:sz w:val="13"/>
                <w:szCs w:val="13"/>
                <w:color w:val="auto"/>
                <w:w w:val="91"/>
              </w:rPr>
              <w:t>Vending Equipment Manufacturing</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(Class A Units) (46 units) (j)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12/31/2020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2,000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  2,000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(Class B Units) (124 units) (j)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12/31/2020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(Class C Units) (100 units) (j)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12/31/2020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2,000</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2,000</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Products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11.25%/0.00%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7/31/2019</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5/26/2023</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21,500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0"/>
              </w:rPr>
              <w:t>21,432</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21,500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(625,000 units) (j)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11/26/2014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1,087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22,057</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22,587</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6"/>
              </w:rPr>
              <w:t>Allredi, LLC (fka Marco Group International OpCo,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Industrial Cleaning &amp; Coatings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10.50%/1.75%</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3/2/2020</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9/2/2026</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10,080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9,993</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7,761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(570,636 units) (h)(j)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7/21/2017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637</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10,630</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8,036</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Alzheimer’s Research and Treatment Center,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0"/>
              </w:rPr>
              <w:t>(L + 5.75%) / (2.00%)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7.75%/0.00%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10/23/2018</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10/23/2023</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6,500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6,471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6,584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 (h)(j)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10/23/2018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766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6,971</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7,350</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21"/>
        </w:trPr>
        <w:tc>
          <w:tcPr>
            <w:tcW w:w="31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American AllWaste LLC (dba WasteWater Transport</w:t>
            </w:r>
          </w:p>
        </w:tc>
        <w:tc>
          <w:tcPr>
            <w:tcW w:w="1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Environmental Industries</w:t>
            </w: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310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Services)</w:t>
            </w:r>
          </w:p>
        </w:tc>
        <w:tc>
          <w:tcPr>
            <w:tcW w:w="1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89"/>
              </w:rPr>
              <w:t>(L + 11.00%) / (2.00%)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13.00%/0.00%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5/31/2018</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11/30/2023</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17,503</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0"/>
              </w:rPr>
              <w:t>17,434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17,503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5/31/2018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(207 units) (h)(j)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8/6/2019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250</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(141 units) (h)(j)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11/2/2020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171</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18,355</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18,141</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Applied Data Corporation</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(v)</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0"/>
              </w:rPr>
              <w:t>(L + 6.25%) / (1.50%)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7.75%/0.00%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11/6/2020</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11/6/2025</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8,000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7,949</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7,949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 units)</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11/6/2020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(1,070,614 units)</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11/6/2020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1,071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1,071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9,020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9,020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31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1"/>
              </w:rPr>
              <w:t>(L + 10.75%) / (2.00%)</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12.75%/0.00%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12/26/2018</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6/28/2023</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13,031</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12,990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13,031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243"/>
        </w:trPr>
        <w:tc>
          <w:tcPr>
            <w:tcW w:w="3100" w:type="dxa"/>
            <w:vAlign w:val="bottom"/>
            <w:gridSpan w:val="3"/>
          </w:tcPr>
          <w:p>
            <w:pPr>
              <w:spacing w:after="0"/>
              <w:rPr>
                <w:sz w:val="20"/>
                <w:szCs w:val="20"/>
                <w:color w:val="auto"/>
              </w:rPr>
            </w:pPr>
            <w:r>
              <w:rPr>
                <w:rFonts w:ascii="Arial" w:cs="Arial" w:eastAsia="Arial" w:hAnsi="Arial"/>
                <w:sz w:val="13"/>
                <w:szCs w:val="13"/>
                <w:i w:val="1"/>
                <w:iCs w:val="1"/>
                <w:color w:val="auto"/>
              </w:rPr>
              <w:t>AVC Investors, LLC (dba Auveco)</w:t>
            </w:r>
          </w:p>
        </w:tc>
        <w:tc>
          <w:tcPr>
            <w:tcW w:w="1940" w:type="dxa"/>
            <w:vAlign w:val="bottom"/>
            <w:gridSpan w:val="2"/>
          </w:tcPr>
          <w:p>
            <w:pPr>
              <w:spacing w:after="0"/>
              <w:rPr>
                <w:sz w:val="20"/>
                <w:szCs w:val="20"/>
                <w:color w:val="auto"/>
              </w:rPr>
            </w:pPr>
            <w:r>
              <w:rPr>
                <w:rFonts w:ascii="Arial" w:cs="Arial" w:eastAsia="Arial" w:hAnsi="Arial"/>
                <w:sz w:val="13"/>
                <w:szCs w:val="13"/>
                <w:color w:val="auto"/>
              </w:rPr>
              <w:t>Specialty Distribution</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11.50%/0.00%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1/3/2018</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7/3/2023</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22,500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22,448</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1/3/2018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487</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22,935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22,964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31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Component Manufacturing</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11.25%/4.00%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2/27/2018</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1/1/2022</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10,910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10,890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10,782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 units) (h)(j)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2/27/2018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497</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11,387</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10,782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Retail</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3"/>
              </w:rPr>
              <w:t>(L + 6.50%) / (2.25%)</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8.75%/0.25%</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8/9/2019</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8/9/2024</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14,680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14,289</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15,591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(545,810 units) (j)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8/9/2019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15,220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16,145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31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11.00%/0.00%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1/3/2019</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7/3/2024</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30,000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29,887</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(1,281 shares)</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1/3/2019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(74 shares)</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1/3/2019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736</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30,671</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31,195</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0"/>
              </w:rPr>
              <w:t>(L + 6.25%) / (2.00%)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3/12/2019</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3/12/2024</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4,531</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4,507</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4,531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(500,000 units) (h)(j)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3/12/2019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5,007</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4,794</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9"/>
              </w:rPr>
              <w:t>Cardboard Box LLC (dba Anthony’s Coal Fired Pizza)</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Restaurants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12/15/2015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521</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(1,043,133 units) (j)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12/6/2019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617</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Combined Systems, Inc.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0"/>
              </w:rPr>
              <w:t>Aerospace &amp; Defense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1"/>
              </w:rPr>
              <w:t>(L + 10.00%) / (2.00%)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12.00%/0.00%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1/31/2020</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1/31/2025</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7,600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7,553</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1"/>
              </w:rPr>
              <w:t>Revolving Loan ($1,050 unfunded commitment) (j)(ac)</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3"/>
              </w:rPr>
              <w:t>(L + 9.00%) / (2.00%)</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11.00%/0.00%</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1/31/2020</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1/31/2025</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2,950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2,930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2,950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10,483</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10,550</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Comply365,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0"/>
              </w:rPr>
              <w:t>Aerospace &amp; Defense Manufacturing</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(ad)</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3"/>
              </w:rPr>
              <w:t>(L + 8.00%) / (1.00%)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9.00%/0.00%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12/11/2020</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12/11/2025</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10,000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9,855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9,855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12/11/2020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1,000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10,855</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10,855</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10.50%/1.50%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3/14/2018</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4/30/2024</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11,305</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0"/>
              </w:rPr>
              <w:t>11,270</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11,305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(450,382 units) (h)(j)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3/14/2018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488</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11,758</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11,626</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Dataguise, Inc.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11.00%/0.00%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12/31/2020</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12/31/2023</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0"/>
              </w:rPr>
              <w:t>19,900</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19,900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(909 shares) (j)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12/31/2020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1,500</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21,400</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21,400</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3"/>
              </w:rPr>
              <w:t>(L + 8.00%) / (1.75%)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9.75%/0.00%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2/7/2019</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2/7/2024</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17,355</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0"/>
              </w:rPr>
              <w:t>17,159</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17,355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(573 units) (h)(j)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2/7/2019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593</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17,752</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17,849</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3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Retail</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(j)(p)</w:t>
            </w: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7/13/2017</w:t>
            </w: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1/13/2023</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9,253</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9,214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5,454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7/13/2017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9,964</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5,454</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bl>
    <w:p>
      <w:pPr>
        <w:spacing w:after="0" w:line="122"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56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 (a)(b)</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Variable Index</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6"/>
              </w:rPr>
              <w:t>Rate (e)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Investment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Principal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Fair</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5"/>
              </w:rPr>
              <w:t>Percent of</w:t>
            </w:r>
          </w:p>
        </w:tc>
      </w:tr>
      <w:tr>
        <w:trPr>
          <w:trHeight w:val="163"/>
        </w:trPr>
        <w:tc>
          <w:tcPr>
            <w:tcW w:w="1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6"/>
              </w:rPr>
              <w:t>Investment Type (c)</w:t>
            </w:r>
          </w:p>
        </w:tc>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580"/>
              <w:spacing w:after="0"/>
              <w:rPr>
                <w:sz w:val="20"/>
                <w:szCs w:val="20"/>
                <w:color w:val="auto"/>
              </w:rPr>
            </w:pPr>
            <w:r>
              <w:rPr>
                <w:rFonts w:ascii="Arial" w:cs="Arial" w:eastAsia="Arial" w:hAnsi="Arial"/>
                <w:sz w:val="12"/>
                <w:szCs w:val="12"/>
                <w:b w:val="1"/>
                <w:bCs w:val="1"/>
                <w:color w:val="auto"/>
              </w:rPr>
              <w:t>Industry</w:t>
            </w:r>
          </w:p>
        </w:tc>
        <w:tc>
          <w:tcPr>
            <w:tcW w:w="11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8"/>
              </w:rPr>
              <w:t>Spread / Floor (d)</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Cash/PIK</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 (f)</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Amount</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Cost</w:t>
            </w:r>
          </w:p>
        </w:tc>
        <w:tc>
          <w:tcPr>
            <w:tcW w:w="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Value (g)</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0"/>
              </w:rPr>
              <w:t>Net Assets</w:t>
            </w:r>
          </w:p>
        </w:tc>
      </w:tr>
      <w:tr>
        <w:trPr>
          <w:trHeight w:val="122"/>
        </w:trPr>
        <w:tc>
          <w:tcPr>
            <w:tcW w:w="10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i w:val="1"/>
                <w:iCs w:val="1"/>
                <w:color w:val="auto"/>
                <w:w w:val="90"/>
              </w:rPr>
              <w:t>ECM Industries, LLC</w:t>
            </w:r>
          </w:p>
        </w:tc>
        <w:tc>
          <w:tcPr>
            <w:tcW w:w="25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Component Manufacturing</w:t>
            </w:r>
          </w:p>
        </w:tc>
        <w:tc>
          <w:tcPr>
            <w:tcW w:w="6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Subordinated Debt (j)</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11.50%/0.00%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4/30/2020</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5/23/2026</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11,500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11,295</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11,500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(1,000,000 units) (h)(j)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4/30/2020</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1,562</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12,295</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13,062</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5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Elements Brands, LLC</w:t>
            </w: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Consumer Products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97"/>
              </w:rPr>
              <w:t>First Lien Debt</w:t>
            </w: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12.25%/0.00%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12/31/2025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5,967</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5,967</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Revolving Loan ($838 unfunded commitment) (i)(j)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12.25%/0.00%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12/31/2020</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12/31/2025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2,162</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2,146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2,146</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8,113</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8,113</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135"/>
        </w:trPr>
        <w:tc>
          <w:tcPr>
            <w:tcW w:w="1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w w:val="94"/>
              </w:rPr>
              <w:t>French Transit, LLC</w:t>
            </w:r>
          </w:p>
        </w:tc>
        <w:tc>
          <w:tcPr>
            <w:tcW w:w="2540" w:type="dxa"/>
            <w:vAlign w:val="bottom"/>
            <w:shd w:val="clear" w:color="auto" w:fill="CCEEFF"/>
          </w:tcPr>
          <w:p>
            <w:pPr>
              <w:spacing w:after="0"/>
              <w:rPr>
                <w:sz w:val="11"/>
                <w:szCs w:val="11"/>
                <w:color w:val="auto"/>
              </w:rPr>
            </w:pP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Consumer Products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90"/>
              </w:rPr>
              <w:t>(L + 10.00%) / (2.25%)</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12.25%/0.00%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6/21/2019</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6/21/2024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4,116</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4,088</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4,116</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135"/>
        </w:trPr>
        <w:tc>
          <w:tcPr>
            <w:tcW w:w="1000" w:type="dxa"/>
            <w:vAlign w:val="bottom"/>
            <w:shd w:val="clear" w:color="auto" w:fill="CCEEFF"/>
          </w:tcPr>
          <w:p>
            <w:pPr>
              <w:spacing w:after="0"/>
              <w:rPr>
                <w:sz w:val="11"/>
                <w:szCs w:val="11"/>
                <w:color w:val="auto"/>
              </w:rPr>
            </w:pPr>
          </w:p>
        </w:tc>
        <w:tc>
          <w:tcPr>
            <w:tcW w:w="2560" w:type="dxa"/>
            <w:vAlign w:val="bottom"/>
            <w:gridSpan w:val="2"/>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Global Plasma Solutions, Inc.</w:t>
            </w:r>
          </w:p>
        </w:tc>
        <w:tc>
          <w:tcPr>
            <w:tcW w:w="186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Component Manufacturing</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(947 shares) (j)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9/21/2018</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9,995</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w:t>
            </w:r>
          </w:p>
        </w:tc>
      </w:tr>
      <w:tr>
        <w:trPr>
          <w:trHeight w:val="135"/>
        </w:trPr>
        <w:tc>
          <w:tcPr>
            <w:tcW w:w="1000" w:type="dxa"/>
            <w:vAlign w:val="bottom"/>
          </w:tcPr>
          <w:p>
            <w:pPr>
              <w:spacing w:after="0"/>
              <w:rPr>
                <w:sz w:val="11"/>
                <w:szCs w:val="11"/>
                <w:color w:val="auto"/>
              </w:rPr>
            </w:pPr>
          </w:p>
        </w:tc>
        <w:tc>
          <w:tcPr>
            <w:tcW w:w="25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Gurobi Optimization, LLC</w:t>
            </w: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w w:val="92"/>
              </w:rPr>
              <w:t>Information Technology Services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8"/>
        </w:trPr>
        <w:tc>
          <w:tcPr>
            <w:tcW w:w="3560" w:type="dxa"/>
            <w:vAlign w:val="bottom"/>
            <w:gridSpan w:val="3"/>
          </w:tcPr>
          <w:p>
            <w:pPr>
              <w:ind w:left="240"/>
              <w:spacing w:after="0"/>
              <w:rPr>
                <w:sz w:val="20"/>
                <w:szCs w:val="20"/>
                <w:color w:val="auto"/>
              </w:rPr>
            </w:pPr>
            <w:r>
              <w:rPr>
                <w:rFonts w:ascii="Arial" w:cs="Arial" w:eastAsia="Arial" w:hAnsi="Arial"/>
                <w:sz w:val="12"/>
                <w:szCs w:val="12"/>
                <w:color w:val="auto"/>
              </w:rPr>
              <w:t>Common Equity (3 shares)</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w w:val="86"/>
              </w:rPr>
              <w:t>12/19/2017</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592</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1,660</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r>
      <w:tr>
        <w:trPr>
          <w:trHeight w:val="95"/>
        </w:trPr>
        <w:tc>
          <w:tcPr>
            <w:tcW w:w="1000" w:type="dxa"/>
            <w:vAlign w:val="bottom"/>
          </w:tcPr>
          <w:p>
            <w:pPr>
              <w:spacing w:after="0"/>
              <w:rPr>
                <w:sz w:val="8"/>
                <w:szCs w:val="8"/>
                <w:color w:val="auto"/>
              </w:rPr>
            </w:pPr>
          </w:p>
        </w:tc>
        <w:tc>
          <w:tcPr>
            <w:tcW w:w="25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35"/>
        </w:trPr>
        <w:tc>
          <w:tcPr>
            <w:tcW w:w="35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Haematologic Technologies, Inc.</w:t>
            </w: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Healthcare Services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First Lien Debt (x)</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(L + 8.25%) / (2.00%)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10.25%/0.00%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10/11/2019</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10/11/2024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5,500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5,469</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5,500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(549 units) (h)(j)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10/11/2019</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549</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255</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6,018</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5,755</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r>
      <w:tr>
        <w:trPr>
          <w:trHeight w:val="135"/>
        </w:trPr>
        <w:tc>
          <w:tcPr>
            <w:tcW w:w="35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Hallmark Health Care Solutions, Inc.</w:t>
            </w: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Healthcare Services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First Lien Debt (j)(ae)</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(L + 7.25%) / (1.50%)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6"/>
              </w:rPr>
              <w:t>8.75%/0.00%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12/4/2020</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12/4/2025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8,500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8,437</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8,437</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(750,000 units) (j)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12/4/2020</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750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750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9,187</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9,187</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135"/>
        </w:trPr>
        <w:tc>
          <w:tcPr>
            <w:tcW w:w="10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Healthfuse, LLC</w:t>
            </w:r>
          </w:p>
        </w:tc>
        <w:tc>
          <w:tcPr>
            <w:tcW w:w="2540" w:type="dxa"/>
            <w:vAlign w:val="bottom"/>
            <w:shd w:val="clear" w:color="auto" w:fill="CCEEFF"/>
          </w:tcPr>
          <w:p>
            <w:pPr>
              <w:spacing w:after="0"/>
              <w:rPr>
                <w:sz w:val="11"/>
                <w:szCs w:val="11"/>
                <w:color w:val="auto"/>
              </w:rPr>
            </w:pP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Healthcare Services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First Lien Debt (af)</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(L + 7.25%) / (1.00%)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6"/>
              </w:rPr>
              <w:t>8.25%/0.00%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11/13/2020</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11/13/2025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5,960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5,960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7"/>
              </w:rPr>
              <w:t>Preferred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(197,980 units)</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11/13/2020</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750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750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6,710</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6,710</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135"/>
        </w:trPr>
        <w:tc>
          <w:tcPr>
            <w:tcW w:w="35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Hilco Plastics Holdings, LLC (dba Hilco Technologies)</w:t>
            </w: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Component Manufacturing</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11.50%/1.50%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9/23/2016</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12/31/2019</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10,301</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10,301</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8,878</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Revolving Loan (j)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0"/>
              </w:rPr>
              <w:t>(L + 6.50%) / (0.00%)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6.65%/0.00%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12/20/2019</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12/15/2019</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5,962</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5,962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5,962</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60"/>
              <w:spacing w:after="0" w:line="135" w:lineRule="exact"/>
              <w:rPr>
                <w:sz w:val="20"/>
                <w:szCs w:val="20"/>
                <w:color w:val="auto"/>
              </w:rPr>
            </w:pPr>
            <w:r>
              <w:rPr>
                <w:rFonts w:ascii="Arial" w:cs="Arial" w:eastAsia="Arial" w:hAnsi="Arial"/>
                <w:sz w:val="12"/>
                <w:szCs w:val="12"/>
                <w:color w:val="auto"/>
                <w:w w:val="90"/>
              </w:rPr>
              <w:t>(L + 6.95%) / (0.00%)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6"/>
              </w:rPr>
              <w:t>7.10%/0.00%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12/20/2019</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12/15/2019</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5,092</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5,092</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5,092</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7"/>
              </w:rPr>
              <w:t>Preferred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(1,000,000 units) (h)(j)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4/18/2018</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w:t>
            </w:r>
          </w:p>
        </w:tc>
        <w:tc>
          <w:tcPr>
            <w:tcW w:w="56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tcPr>
          <w:p>
            <w:pPr>
              <w:ind w:left="20"/>
              <w:spacing w:after="0" w:line="135" w:lineRule="exact"/>
              <w:rPr>
                <w:sz w:val="20"/>
                <w:szCs w:val="20"/>
                <w:color w:val="auto"/>
              </w:rPr>
            </w:pPr>
            <w:r>
              <w:rPr>
                <w:rFonts w:ascii="Arial" w:cs="Arial" w:eastAsia="Arial" w:hAnsi="Arial"/>
                <w:sz w:val="12"/>
                <w:szCs w:val="12"/>
                <w:color w:val="auto"/>
              </w:rPr>
              <w:t>(72,507 units) (h)(j)</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9/23/2016</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473</w:t>
            </w:r>
          </w:p>
        </w:tc>
        <w:tc>
          <w:tcPr>
            <w:tcW w:w="56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22,828</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19,932</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w:t>
            </w: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Hub Acquisition Sub, LLC (dba Hub Pen)</w:t>
            </w:r>
          </w:p>
        </w:tc>
        <w:tc>
          <w:tcPr>
            <w:tcW w:w="186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Promotional products</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13.00%/0.00%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3/23/2016</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3/31/2023</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25,000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24,976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24,106</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tcPr>
          <w:p>
            <w:pPr>
              <w:ind w:left="20"/>
              <w:spacing w:after="0" w:line="135" w:lineRule="exact"/>
              <w:rPr>
                <w:sz w:val="20"/>
                <w:szCs w:val="20"/>
                <w:color w:val="auto"/>
              </w:rPr>
            </w:pPr>
            <w:r>
              <w:rPr>
                <w:rFonts w:ascii="Arial" w:cs="Arial" w:eastAsia="Arial" w:hAnsi="Arial"/>
                <w:sz w:val="12"/>
                <w:szCs w:val="12"/>
                <w:color w:val="auto"/>
              </w:rPr>
              <w:t>(3,750 units)</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3/23/2016</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131</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283</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7"/>
              </w:rPr>
              <w:t>Preferred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(868 units) (j)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10/16/2020</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154</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158</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9"/>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25,261</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24,547</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6%</w:t>
            </w:r>
          </w:p>
        </w:tc>
      </w:tr>
      <w:tr>
        <w:trPr>
          <w:trHeight w:val="101"/>
        </w:trPr>
        <w:tc>
          <w:tcPr>
            <w:tcW w:w="1000" w:type="dxa"/>
            <w:vAlign w:val="bottom"/>
          </w:tcPr>
          <w:p>
            <w:pPr>
              <w:spacing w:after="0"/>
              <w:rPr>
                <w:sz w:val="8"/>
                <w:szCs w:val="8"/>
                <w:color w:val="auto"/>
              </w:rPr>
            </w:pPr>
          </w:p>
        </w:tc>
        <w:tc>
          <w:tcPr>
            <w:tcW w:w="25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35"/>
        </w:trPr>
        <w:tc>
          <w:tcPr>
            <w:tcW w:w="35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IBH Holdings, LLC (fka Inflexxion, Inc.)</w:t>
            </w: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Business Services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tcPr>
          <w:p>
            <w:pPr>
              <w:ind w:left="20"/>
              <w:spacing w:after="0" w:line="135" w:lineRule="exact"/>
              <w:rPr>
                <w:sz w:val="20"/>
                <w:szCs w:val="20"/>
                <w:color w:val="auto"/>
              </w:rPr>
            </w:pPr>
            <w:r>
              <w:rPr>
                <w:rFonts w:ascii="Arial" w:cs="Arial" w:eastAsia="Arial" w:hAnsi="Arial"/>
                <w:sz w:val="12"/>
                <w:szCs w:val="12"/>
                <w:color w:val="auto"/>
              </w:rPr>
              <w:t>(150,000 units)</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6/20/2018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235</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Ipro Tech, LLC</w:t>
            </w:r>
          </w:p>
        </w:tc>
        <w:tc>
          <w:tcPr>
            <w:tcW w:w="2540" w:type="dxa"/>
            <w:vAlign w:val="bottom"/>
          </w:tcPr>
          <w:p>
            <w:pPr>
              <w:spacing w:after="0"/>
              <w:rPr>
                <w:sz w:val="11"/>
                <w:szCs w:val="11"/>
                <w:color w:val="auto"/>
              </w:rPr>
            </w:pPr>
          </w:p>
        </w:tc>
        <w:tc>
          <w:tcPr>
            <w:tcW w:w="1860" w:type="dxa"/>
            <w:vAlign w:val="bottom"/>
            <w:gridSpan w:val="3"/>
          </w:tcPr>
          <w:p>
            <w:pPr>
              <w:ind w:left="220"/>
              <w:spacing w:after="0" w:line="135" w:lineRule="exact"/>
              <w:rPr>
                <w:sz w:val="20"/>
                <w:szCs w:val="20"/>
                <w:color w:val="auto"/>
              </w:rPr>
            </w:pPr>
            <w:r>
              <w:rPr>
                <w:rFonts w:ascii="Arial" w:cs="Arial" w:eastAsia="Arial" w:hAnsi="Arial"/>
                <w:sz w:val="12"/>
                <w:szCs w:val="12"/>
                <w:color w:val="auto"/>
                <w:w w:val="92"/>
              </w:rPr>
              <w:t>Information Technology Services</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(j)(u)</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0"/>
              </w:rPr>
              <w:t>(L + 8.50%) / (2.00%)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10.50%/0.00%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6/30/2020</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6/30/2025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2,469</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1,923</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2,469</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243"/>
        </w:trPr>
        <w:tc>
          <w:tcPr>
            <w:tcW w:w="3560" w:type="dxa"/>
            <w:vAlign w:val="bottom"/>
            <w:gridSpan w:val="3"/>
          </w:tcPr>
          <w:p>
            <w:pPr>
              <w:spacing w:after="0"/>
              <w:rPr>
                <w:sz w:val="20"/>
                <w:szCs w:val="20"/>
                <w:color w:val="auto"/>
              </w:rPr>
            </w:pPr>
            <w:r>
              <w:rPr>
                <w:rFonts w:ascii="Arial" w:cs="Arial" w:eastAsia="Arial" w:hAnsi="Arial"/>
                <w:sz w:val="12"/>
                <w:szCs w:val="12"/>
                <w:i w:val="1"/>
                <w:iCs w:val="1"/>
                <w:color w:val="auto"/>
                <w:w w:val="95"/>
              </w:rPr>
              <w:t>K2 Merger Agreement Agent, LLC (fka K2 Industrial Services, Inc.) (n)</w:t>
            </w:r>
          </w:p>
        </w:tc>
        <w:tc>
          <w:tcPr>
            <w:tcW w:w="1860" w:type="dxa"/>
            <w:vAlign w:val="bottom"/>
            <w:gridSpan w:val="3"/>
          </w:tcPr>
          <w:p>
            <w:pPr>
              <w:ind w:left="220"/>
              <w:spacing w:after="0"/>
              <w:rPr>
                <w:sz w:val="20"/>
                <w:szCs w:val="20"/>
                <w:color w:val="auto"/>
              </w:rPr>
            </w:pPr>
            <w:r>
              <w:rPr>
                <w:rFonts w:ascii="Arial" w:cs="Arial" w:eastAsia="Arial" w:hAnsi="Arial"/>
                <w:sz w:val="12"/>
                <w:szCs w:val="12"/>
                <w:color w:val="auto"/>
              </w:rPr>
              <w:t>Industrial Cleaning &amp; Coatings</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0.00%/10.00%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1/28/2019</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1/28/2021</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2,140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2,140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2,140</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243"/>
        </w:trPr>
        <w:tc>
          <w:tcPr>
            <w:tcW w:w="3560" w:type="dxa"/>
            <w:vAlign w:val="bottom"/>
            <w:gridSpan w:val="3"/>
          </w:tcPr>
          <w:p>
            <w:pPr>
              <w:spacing w:after="0"/>
              <w:rPr>
                <w:sz w:val="20"/>
                <w:szCs w:val="20"/>
                <w:color w:val="auto"/>
              </w:rPr>
            </w:pPr>
            <w:r>
              <w:rPr>
                <w:rFonts w:ascii="Arial" w:cs="Arial" w:eastAsia="Arial" w:hAnsi="Arial"/>
                <w:sz w:val="12"/>
                <w:szCs w:val="12"/>
                <w:i w:val="1"/>
                <w:iCs w:val="1"/>
                <w:color w:val="auto"/>
              </w:rPr>
              <w:t>The Kyjen Company, LLC (dba Outward Hound)</w:t>
            </w:r>
          </w:p>
        </w:tc>
        <w:tc>
          <w:tcPr>
            <w:tcW w:w="1860" w:type="dxa"/>
            <w:vAlign w:val="bottom"/>
            <w:gridSpan w:val="3"/>
          </w:tcPr>
          <w:p>
            <w:pPr>
              <w:ind w:left="220"/>
              <w:spacing w:after="0"/>
              <w:rPr>
                <w:sz w:val="20"/>
                <w:szCs w:val="20"/>
                <w:color w:val="auto"/>
              </w:rPr>
            </w:pPr>
            <w:r>
              <w:rPr>
                <w:rFonts w:ascii="Arial" w:cs="Arial" w:eastAsia="Arial" w:hAnsi="Arial"/>
                <w:sz w:val="12"/>
                <w:szCs w:val="12"/>
                <w:color w:val="auto"/>
              </w:rPr>
              <w:t>Consumer Products</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12.00%/0.00%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12/8/2017</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6/8/2024</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14,960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tcPr>
          <w:p>
            <w:pPr>
              <w:ind w:left="20"/>
              <w:spacing w:after="0" w:line="135" w:lineRule="exact"/>
              <w:rPr>
                <w:sz w:val="20"/>
                <w:szCs w:val="20"/>
                <w:color w:val="auto"/>
              </w:rPr>
            </w:pPr>
            <w:r>
              <w:rPr>
                <w:rFonts w:ascii="Arial" w:cs="Arial" w:eastAsia="Arial" w:hAnsi="Arial"/>
                <w:sz w:val="12"/>
                <w:szCs w:val="12"/>
                <w:color w:val="auto"/>
              </w:rPr>
              <w:t>(765 shares) (j)</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12/8/2017</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765</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841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15,725</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15,841</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w:t>
            </w: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LNG Indy, LLC (dba Kinetrex Energy)</w:t>
            </w:r>
          </w:p>
        </w:tc>
        <w:tc>
          <w:tcPr>
            <w:tcW w:w="186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Oil &amp; Gas Distribution</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11.50%/1.50%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12/28/2016</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11/12/2021</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10,127</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10,108</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10,127</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tcPr>
          <w:p>
            <w:pPr>
              <w:ind w:left="20"/>
              <w:spacing w:after="0" w:line="135" w:lineRule="exact"/>
              <w:rPr>
                <w:sz w:val="20"/>
                <w:szCs w:val="20"/>
                <w:color w:val="auto"/>
              </w:rPr>
            </w:pPr>
            <w:r>
              <w:rPr>
                <w:rFonts w:ascii="Arial" w:cs="Arial" w:eastAsia="Arial" w:hAnsi="Arial"/>
                <w:sz w:val="12"/>
                <w:szCs w:val="12"/>
                <w:color w:val="auto"/>
              </w:rPr>
              <w:t>(500 units)</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12/28/2016</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500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959</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10,608</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11,086</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w:t>
            </w: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Mesa Line Services, LLC</w:t>
            </w:r>
          </w:p>
        </w:tc>
        <w:tc>
          <w:tcPr>
            <w:tcW w:w="186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Utilities: Services</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10.50%/0.50%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86"/>
              </w:rPr>
              <w:t>11/30/2017</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8/1/2024</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17,511</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17,442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17,511</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0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tcPr>
          <w:p>
            <w:pPr>
              <w:ind w:left="20"/>
              <w:spacing w:after="0" w:line="135" w:lineRule="exact"/>
              <w:rPr>
                <w:sz w:val="20"/>
                <w:szCs w:val="20"/>
                <w:color w:val="auto"/>
              </w:rPr>
            </w:pPr>
            <w:r>
              <w:rPr>
                <w:rFonts w:ascii="Arial" w:cs="Arial" w:eastAsia="Arial" w:hAnsi="Arial"/>
                <w:sz w:val="12"/>
                <w:szCs w:val="12"/>
                <w:color w:val="auto"/>
              </w:rPr>
              <w:t>(981 shares) (j)</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86"/>
              </w:rPr>
              <w:t>11/30/2017</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1,148</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1,076</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18,590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18,587</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w:t>
            </w: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Midwest Transit Equipment, Inc.</w:t>
            </w:r>
          </w:p>
        </w:tc>
        <w:tc>
          <w:tcPr>
            <w:tcW w:w="186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Transportation services</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2"/>
                <w:szCs w:val="12"/>
                <w:color w:val="auto"/>
              </w:rPr>
              <w:t>Warrant (7,192 shares) (j)(m)</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6/23/2017</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180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118</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Warrant (4.79% of Junior Subordinated Notes) (j)(q)</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6/23/2017</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190</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248</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370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366</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NGT Acquisition Holdings, LLC (dba Techniks Industries)</w:t>
            </w:r>
          </w:p>
        </w:tc>
        <w:tc>
          <w:tcPr>
            <w:tcW w:w="186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Component Manufacturing</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(378 units) (j)</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5/24/2017</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227</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000" w:type="dxa"/>
            <w:vAlign w:val="bottom"/>
          </w:tcPr>
          <w:p>
            <w:pPr>
              <w:spacing w:after="0"/>
              <w:rPr>
                <w:sz w:val="11"/>
                <w:szCs w:val="11"/>
                <w:color w:val="auto"/>
              </w:rPr>
            </w:pPr>
          </w:p>
        </w:tc>
        <w:tc>
          <w:tcPr>
            <w:tcW w:w="25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5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OMC Investors, LLC (dba Ohio Medical Corporation)</w:t>
            </w:r>
          </w:p>
        </w:tc>
        <w:tc>
          <w:tcPr>
            <w:tcW w:w="186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Healthcare Products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560" w:type="dxa"/>
            <w:vAlign w:val="bottom"/>
            <w:gridSpan w:val="3"/>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12.00%/0.00%</w:t>
            </w:r>
          </w:p>
        </w:tc>
        <w:tc>
          <w:tcPr>
            <w:tcW w:w="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color w:val="auto"/>
                <w:w w:val="97"/>
              </w:rPr>
              <w:t>1/15/2016</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6/30/2022</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9,985</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10,000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0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88"/>
              </w:rPr>
              <w:t>Common Equity</w:t>
            </w:r>
          </w:p>
        </w:tc>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(5,000 units)</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w w:val="97"/>
              </w:rPr>
              <w:t>1/15/2016</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462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869</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9"/>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10,447</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10,869</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bl>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88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 (a)(b)</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Variable Index</w:t>
            </w:r>
          </w:p>
        </w:tc>
        <w:tc>
          <w:tcPr>
            <w:tcW w:w="8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Rate (e)</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5"/>
              </w:rPr>
              <w:t>Investment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Principal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5"/>
              </w:rPr>
              <w:t>Percent of</w:t>
            </w:r>
          </w:p>
        </w:tc>
      </w:tr>
      <w:tr>
        <w:trPr>
          <w:trHeight w:val="150"/>
        </w:trPr>
        <w:tc>
          <w:tcPr>
            <w:tcW w:w="3880" w:type="dxa"/>
            <w:vAlign w:val="bottom"/>
            <w:gridSpan w:val="2"/>
          </w:tcPr>
          <w:p>
            <w:pPr>
              <w:spacing w:after="0"/>
              <w:rPr>
                <w:sz w:val="20"/>
                <w:szCs w:val="20"/>
                <w:color w:val="auto"/>
              </w:rPr>
            </w:pPr>
            <w:r>
              <w:rPr>
                <w:rFonts w:ascii="Arial" w:cs="Arial" w:eastAsia="Arial" w:hAnsi="Arial"/>
                <w:sz w:val="12"/>
                <w:szCs w:val="12"/>
                <w:b w:val="1"/>
                <w:bCs w:val="1"/>
                <w:color w:val="auto"/>
              </w:rPr>
              <w:t>Investment Type (c)</w:t>
            </w:r>
          </w:p>
        </w:tc>
        <w:tc>
          <w:tcPr>
            <w:tcW w:w="1660" w:type="dxa"/>
            <w:vAlign w:val="bottom"/>
            <w:gridSpan w:val="2"/>
          </w:tcPr>
          <w:p>
            <w:pPr>
              <w:ind w:left="580"/>
              <w:spacing w:after="0"/>
              <w:rPr>
                <w:sz w:val="20"/>
                <w:szCs w:val="20"/>
                <w:color w:val="auto"/>
              </w:rPr>
            </w:pPr>
            <w:r>
              <w:rPr>
                <w:rFonts w:ascii="Arial" w:cs="Arial" w:eastAsia="Arial" w:hAnsi="Arial"/>
                <w:sz w:val="12"/>
                <w:szCs w:val="12"/>
                <w:b w:val="1"/>
                <w:bCs w:val="1"/>
                <w:color w:val="auto"/>
              </w:rPr>
              <w:t>Industry</w:t>
            </w:r>
          </w:p>
        </w:tc>
        <w:tc>
          <w:tcPr>
            <w:tcW w:w="11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Spread / Floor (d)</w:t>
            </w:r>
          </w:p>
        </w:tc>
        <w:tc>
          <w:tcPr>
            <w:tcW w:w="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Cash/PIK</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Date (f)</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Maturity</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Amount</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Cost</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Value (g)</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0"/>
              </w:rPr>
              <w:t>Net Assets</w:t>
            </w:r>
          </w:p>
        </w:tc>
      </w:tr>
      <w:tr>
        <w:trPr>
          <w:trHeight w:val="122"/>
        </w:trPr>
        <w:tc>
          <w:tcPr>
            <w:tcW w:w="1220" w:type="dxa"/>
            <w:vAlign w:val="bottom"/>
            <w:tcBorders>
              <w:top w:val="single" w:sz="8" w:color="auto"/>
            </w:tcBorders>
            <w:shd w:val="clear" w:color="auto" w:fill="CCEEFF"/>
          </w:tcPr>
          <w:p>
            <w:pPr>
              <w:spacing w:after="0"/>
              <w:rPr>
                <w:sz w:val="10"/>
                <w:szCs w:val="10"/>
                <w:color w:val="auto"/>
              </w:rPr>
            </w:pPr>
          </w:p>
        </w:tc>
        <w:tc>
          <w:tcPr>
            <w:tcW w:w="266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r>
      <w:tr>
        <w:trPr>
          <w:trHeight w:val="135"/>
        </w:trPr>
        <w:tc>
          <w:tcPr>
            <w:tcW w:w="388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Palisade Company, LLC</w:t>
            </w:r>
          </w:p>
        </w:tc>
        <w:tc>
          <w:tcPr>
            <w:tcW w:w="1660" w:type="dxa"/>
            <w:vAlign w:val="bottom"/>
            <w:gridSpan w:val="2"/>
          </w:tcPr>
          <w:p>
            <w:pPr>
              <w:spacing w:after="0" w:line="135" w:lineRule="exact"/>
              <w:rPr>
                <w:sz w:val="20"/>
                <w:szCs w:val="20"/>
                <w:color w:val="auto"/>
              </w:rPr>
            </w:pPr>
            <w:r>
              <w:rPr>
                <w:rFonts w:ascii="Arial" w:cs="Arial" w:eastAsia="Arial" w:hAnsi="Arial"/>
                <w:sz w:val="12"/>
                <w:szCs w:val="12"/>
                <w:color w:val="auto"/>
                <w:w w:val="93"/>
              </w:rPr>
              <w:t>Information Technology Services</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(50 shares)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11/15/2018</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630</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Palmetto Moon,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Retail</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11.50%/2.50%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11/3/2016</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86"/>
              </w:rPr>
              <w:t>10/31/2021</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4,779</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4,773</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4,779</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(499 units)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11/3/2016</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494</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159</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5,267</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4,938</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Pool &amp; Electrical Products,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Specialty Distribution</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87"/>
              </w:rPr>
              <w:t>11.75%/0.00%</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89"/>
              </w:rPr>
              <w:t>10/28/2020</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7"/>
              </w:rPr>
              <w:t>4/28/2027</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12,000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11,883</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11,883</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(15,000 units) (h)(j)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10/28/2020</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1,500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13,383</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13,383</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Power Grid Components, Inc.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Specialty Distribution</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11.00%/1.00%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4/12/2018</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7"/>
              </w:rPr>
              <w:t>12/2/2025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22,433</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22,357</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22,433</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Equity (392 shares)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4/12/2018</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392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509</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(48 shares)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12/2/2019</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48</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63</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(10,622 shares)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4/12/2018</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462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740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23,259</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23,745</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6%</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Prime AE Group, Inc.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Business Services</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color w:val="auto"/>
                <w:w w:val="92"/>
              </w:rPr>
              <w:t>(L + 6.25%)</w:t>
            </w: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 (2.00%)</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8.25%/0.00%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89"/>
              </w:rPr>
              <w:t>11/25/2019</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86"/>
              </w:rPr>
              <w:t>11/25/2024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6,833</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6,683</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6,833</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Preferred Equity (500,000 shares)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11/25/2019</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566</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7,183</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7,399</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Revenue Management Solutions,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3"/>
              </w:rPr>
              <w:t>Information Technology Services</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(113 shares)</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1/4/2017</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1,125</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3,081</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135"/>
        </w:trPr>
        <w:tc>
          <w:tcPr>
            <w:tcW w:w="12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Rhino Assembly Company, LLC</w:t>
            </w:r>
          </w:p>
        </w:tc>
        <w:tc>
          <w:tcPr>
            <w:tcW w:w="1660" w:type="dxa"/>
            <w:vAlign w:val="bottom"/>
            <w:gridSpan w:val="2"/>
          </w:tcPr>
          <w:p>
            <w:pPr>
              <w:spacing w:after="0" w:line="135" w:lineRule="exact"/>
              <w:rPr>
                <w:sz w:val="20"/>
                <w:szCs w:val="20"/>
                <w:color w:val="auto"/>
              </w:rPr>
            </w:pPr>
            <w:r>
              <w:rPr>
                <w:rFonts w:ascii="Arial" w:cs="Arial" w:eastAsia="Arial" w:hAnsi="Arial"/>
                <w:sz w:val="12"/>
                <w:szCs w:val="12"/>
                <w:color w:val="auto"/>
              </w:rPr>
              <w:t>Specialty Distribution</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4"/>
              </w:rPr>
              <w:t>12.00%/1.50%</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8/11/2017</w:t>
            </w: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7"/>
              </w:rPr>
              <w:t>2/11/2023</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10,682</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10,655</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10,682</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Delayed Draw Commitment ($875 unfunded commitment) (i)(j)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12.00%/1.00%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8/11/2017</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7"/>
              </w:rPr>
              <w:t>5/17/2022</w:t>
            </w:r>
          </w:p>
        </w:tc>
        <w:tc>
          <w:tcPr>
            <w:tcW w:w="580" w:type="dxa"/>
            <w:vAlign w:val="bottom"/>
            <w:gridSpan w:val="2"/>
          </w:tcPr>
          <w:p>
            <w:pPr>
              <w:ind w:left="30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56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(Class A Units) (8,864 units) (h)(j)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8/11/2017</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944</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629</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(Units N/A) (h)(j)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89"/>
              </w:rPr>
              <w:t>12/10/2020</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136</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137</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(Class F Units) (355 units) (h)(j)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12/10/2020</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11,735</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11,448</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Road Safety Services, Inc.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Business Services</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11.25%/1.50%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9/18/2018</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7"/>
              </w:rPr>
              <w:t>3/18/2024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10,379</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10,351</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10,379</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(655 units)</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9/18/2018</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621</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882</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10,972</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11,261</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Rohrer Corporation</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Packaging</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Subordinated Debt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10.50%/1.00%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10/1/2018</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4/1/2024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14,017</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13,976</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14,017</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(400 shares)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7/18/2016</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780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1,591</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14,756</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15,608</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Routeware, Inc.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3"/>
              </w:rPr>
              <w:t>Information Technology Services</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(k)(aa)</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w w:val="92"/>
              </w:rPr>
              <w:t>(L + 7.00%) / (1.75%)</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8.75%/0.00%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2/7/2020</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2/7/2025</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14,888</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14,814</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14,888</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w:t>
            </w:r>
          </w:p>
        </w:tc>
      </w:tr>
      <w:tr>
        <w:trPr>
          <w:trHeight w:val="135"/>
        </w:trPr>
        <w:tc>
          <w:tcPr>
            <w:tcW w:w="12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SES Investors, LLC (dba SES Foam)</w:t>
            </w:r>
          </w:p>
        </w:tc>
        <w:tc>
          <w:tcPr>
            <w:tcW w:w="1660" w:type="dxa"/>
            <w:vAlign w:val="bottom"/>
            <w:gridSpan w:val="2"/>
          </w:tcPr>
          <w:p>
            <w:pPr>
              <w:spacing w:after="0" w:line="135" w:lineRule="exact"/>
              <w:rPr>
                <w:sz w:val="20"/>
                <w:szCs w:val="20"/>
                <w:color w:val="auto"/>
              </w:rPr>
            </w:pPr>
            <w:r>
              <w:rPr>
                <w:rFonts w:ascii="Arial" w:cs="Arial" w:eastAsia="Arial" w:hAnsi="Arial"/>
                <w:sz w:val="12"/>
                <w:szCs w:val="12"/>
                <w:color w:val="auto"/>
                <w:w w:val="94"/>
              </w:rPr>
              <w:t>Building Products Manufacturing</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4"/>
              </w:rPr>
              <w:t>13.00%/0.00%</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9/8/2016</w:t>
            </w: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86"/>
              </w:rPr>
              <w:t>12/29/2022</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997</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(6,000 units) (h)(j)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9/8/2016</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537</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1,869</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1,534</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2,869</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w:t>
            </w:r>
          </w:p>
        </w:tc>
      </w:tr>
      <w:tr>
        <w:trPr>
          <w:trHeight w:val="135"/>
        </w:trPr>
        <w:tc>
          <w:tcPr>
            <w:tcW w:w="388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Software Technology, LLC</w:t>
            </w:r>
          </w:p>
        </w:tc>
        <w:tc>
          <w:tcPr>
            <w:tcW w:w="1660" w:type="dxa"/>
            <w:vAlign w:val="bottom"/>
            <w:gridSpan w:val="2"/>
          </w:tcPr>
          <w:p>
            <w:pPr>
              <w:spacing w:after="0" w:line="135" w:lineRule="exact"/>
              <w:rPr>
                <w:sz w:val="20"/>
                <w:szCs w:val="20"/>
                <w:color w:val="auto"/>
              </w:rPr>
            </w:pPr>
            <w:r>
              <w:rPr>
                <w:rFonts w:ascii="Arial" w:cs="Arial" w:eastAsia="Arial" w:hAnsi="Arial"/>
                <w:sz w:val="12"/>
                <w:szCs w:val="12"/>
                <w:color w:val="auto"/>
                <w:w w:val="93"/>
              </w:rPr>
              <w:t>Information Technology Services</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Subordinated Debt (k)</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4"/>
              </w:rPr>
              <w:t>11.00%/0.00%</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12/23/2016</w:t>
            </w: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7"/>
              </w:rPr>
              <w:t>6/23/2023</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10,000</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9,980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10,000</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(6 shares)</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89"/>
              </w:rPr>
              <w:t>12/23/2016</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646</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942</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10,626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10,942</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w:t>
            </w:r>
          </w:p>
        </w:tc>
      </w:tr>
      <w:tr>
        <w:trPr>
          <w:trHeight w:val="135"/>
        </w:trPr>
        <w:tc>
          <w:tcPr>
            <w:tcW w:w="388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Specialized Elevator Services Holdings, LLC</w:t>
            </w:r>
          </w:p>
        </w:tc>
        <w:tc>
          <w:tcPr>
            <w:tcW w:w="1660" w:type="dxa"/>
            <w:vAlign w:val="bottom"/>
            <w:gridSpan w:val="2"/>
          </w:tcPr>
          <w:p>
            <w:pPr>
              <w:spacing w:after="0" w:line="135" w:lineRule="exact"/>
              <w:rPr>
                <w:sz w:val="20"/>
                <w:szCs w:val="20"/>
                <w:color w:val="auto"/>
              </w:rPr>
            </w:pPr>
            <w:r>
              <w:rPr>
                <w:rFonts w:ascii="Arial" w:cs="Arial" w:eastAsia="Arial" w:hAnsi="Arial"/>
                <w:sz w:val="12"/>
                <w:szCs w:val="12"/>
                <w:color w:val="auto"/>
              </w:rPr>
              <w:t>Business Services</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First Lien Debt (j)(y)</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(L + 5.25%)</w:t>
            </w: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4"/>
              </w:rPr>
              <w:t>/ (2.00%)</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7.25%/0.00%</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5/7/2019</w:t>
            </w: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5/3/2024</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12,889</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12,782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12,889</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(596 units)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5/8/2019</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596</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647</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2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92"/>
              </w:rPr>
              <w:t>13,378</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13,536</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w:t>
            </w:r>
          </w:p>
        </w:tc>
      </w:tr>
      <w:tr>
        <w:trPr>
          <w:trHeight w:val="135"/>
        </w:trPr>
        <w:tc>
          <w:tcPr>
            <w:tcW w:w="388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SpendMend LLC</w:t>
            </w:r>
          </w:p>
        </w:tc>
        <w:tc>
          <w:tcPr>
            <w:tcW w:w="1660" w:type="dxa"/>
            <w:vAlign w:val="bottom"/>
            <w:gridSpan w:val="2"/>
          </w:tcPr>
          <w:p>
            <w:pPr>
              <w:spacing w:after="0" w:line="135" w:lineRule="exact"/>
              <w:rPr>
                <w:sz w:val="20"/>
                <w:szCs w:val="20"/>
                <w:color w:val="auto"/>
              </w:rPr>
            </w:pPr>
            <w:r>
              <w:rPr>
                <w:rFonts w:ascii="Arial" w:cs="Arial" w:eastAsia="Arial" w:hAnsi="Arial"/>
                <w:sz w:val="12"/>
                <w:szCs w:val="12"/>
                <w:color w:val="auto"/>
              </w:rPr>
              <w:t>Business Services</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(1,000,000 units)</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1/8/2018</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972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1,915</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TransGo,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Component Manufacturing</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Common Equity (500 units)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2/28/2017</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474</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996</w:t>
            </w: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0%</w:t>
            </w:r>
          </w:p>
        </w:tc>
      </w:tr>
      <w:tr>
        <w:trPr>
          <w:trHeight w:val="135"/>
        </w:trPr>
        <w:tc>
          <w:tcPr>
            <w:tcW w:w="122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spacing w:after="0" w:line="135" w:lineRule="exact"/>
              <w:rPr>
                <w:sz w:val="20"/>
                <w:szCs w:val="20"/>
                <w:color w:val="auto"/>
              </w:rPr>
            </w:pPr>
            <w:r>
              <w:rPr>
                <w:rFonts w:ascii="Arial" w:cs="Arial" w:eastAsia="Arial" w:hAnsi="Arial"/>
                <w:sz w:val="12"/>
                <w:szCs w:val="12"/>
                <w:i w:val="1"/>
                <w:iCs w:val="1"/>
                <w:color w:val="auto"/>
              </w:rPr>
              <w:t>The Tranzonic Companies</w:t>
            </w:r>
          </w:p>
        </w:tc>
        <w:tc>
          <w:tcPr>
            <w:tcW w:w="1660" w:type="dxa"/>
            <w:vAlign w:val="bottom"/>
            <w:gridSpan w:val="2"/>
          </w:tcPr>
          <w:p>
            <w:pPr>
              <w:spacing w:after="0" w:line="135" w:lineRule="exact"/>
              <w:rPr>
                <w:sz w:val="20"/>
                <w:szCs w:val="20"/>
                <w:color w:val="auto"/>
              </w:rPr>
            </w:pPr>
            <w:r>
              <w:rPr>
                <w:rFonts w:ascii="Arial" w:cs="Arial" w:eastAsia="Arial" w:hAnsi="Arial"/>
                <w:sz w:val="12"/>
                <w:szCs w:val="12"/>
                <w:color w:val="auto"/>
              </w:rPr>
              <w:t>Specialty Distribution</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Subordinated Debt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4"/>
              </w:rPr>
              <w:t>10.00%/1.00%</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3/27/2018</w:t>
            </w: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97"/>
              </w:rPr>
              <w:t>3/27/2025</w:t>
            </w: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7,001</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6,959</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7,001</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(5,653 units)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3/27/2018</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565</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730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 units)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3/27/2018</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683</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7,524</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8,414</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UBEO,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Business Services</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Subordinated Debt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11.00%/0.00%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4/3/2018</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7"/>
              </w:rPr>
              <w:t>10/3/2024</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13,893</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13,814</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13,893</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(705,000 units) (h)(j)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4/3/2018</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668</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661</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14,482</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14,554</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United Biologics,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Healthcare Services</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(98,377 units) (h)(j)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4/1/2012</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1,008</w:t>
            </w:r>
          </w:p>
        </w:tc>
        <w:tc>
          <w:tcPr>
            <w:tcW w:w="56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Warrant (57,469 units) (j)(m)</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3/5/2012</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566</w:t>
            </w:r>
          </w:p>
        </w:tc>
        <w:tc>
          <w:tcPr>
            <w:tcW w:w="56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1,574</w:t>
            </w:r>
          </w:p>
        </w:tc>
        <w:tc>
          <w:tcPr>
            <w:tcW w:w="5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Virginia Tile Company,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Specialty Distribution</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8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4"/>
              </w:rPr>
              <w:t>12.25%/0.00%</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89"/>
              </w:rPr>
              <w:t>12/19/2014</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4/7/2022</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12,000</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w w:val="92"/>
              </w:rPr>
              <w:t>11,998</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12,000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Common Equity (17 units) (j)</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9"/>
              </w:rPr>
              <w:t>12/19/2014</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342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521</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12,340</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12,521</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35"/>
        </w:trPr>
        <w:tc>
          <w:tcPr>
            <w:tcW w:w="3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Western’s Smokehouse, LLC</w:t>
            </w:r>
          </w:p>
        </w:tc>
        <w:tc>
          <w:tcPr>
            <w:tcW w:w="1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Consumer Products</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8"/>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First Lien Debt (j)(ab)</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2"/>
                <w:szCs w:val="12"/>
                <w:color w:val="auto"/>
                <w:w w:val="92"/>
              </w:rPr>
              <w:t>(L + 6.50%) / (1.25%)</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7.75%/0.00%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2/28/2020</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w w:val="86"/>
              </w:rPr>
              <w:t>12/23/2024</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10,000</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9,876</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10,000</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bl>
    <w:p>
      <w:pPr>
        <w:spacing w:after="0" w:line="121"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2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Variable Index</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Investment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Principal</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68"/>
        </w:trPr>
        <w:tc>
          <w:tcPr>
            <w:tcW w:w="1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Investment Type (c)</w:t>
            </w:r>
          </w:p>
        </w:tc>
        <w:tc>
          <w:tcPr>
            <w:tcW w:w="1800" w:type="dxa"/>
            <w:vAlign w:val="bottom"/>
          </w:tcPr>
          <w:p>
            <w:pPr>
              <w:spacing w:after="0"/>
              <w:rPr>
                <w:sz w:val="14"/>
                <w:szCs w:val="14"/>
                <w:color w:val="auto"/>
              </w:rPr>
            </w:pPr>
          </w:p>
        </w:tc>
        <w:tc>
          <w:tcPr>
            <w:tcW w:w="1820" w:type="dxa"/>
            <w:vAlign w:val="bottom"/>
            <w:gridSpan w:val="2"/>
          </w:tcPr>
          <w:p>
            <w:pPr>
              <w:ind w:left="640"/>
              <w:spacing w:after="0"/>
              <w:rPr>
                <w:sz w:val="20"/>
                <w:szCs w:val="20"/>
                <w:color w:val="auto"/>
              </w:rPr>
            </w:pPr>
            <w:r>
              <w:rPr>
                <w:rFonts w:ascii="Arial" w:cs="Arial" w:eastAsia="Arial" w:hAnsi="Arial"/>
                <w:sz w:val="13"/>
                <w:szCs w:val="13"/>
                <w:b w:val="1"/>
                <w:bCs w:val="1"/>
                <w:color w:val="auto"/>
              </w:rPr>
              <w:t>Industry</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Spread / Floor (d)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Date (f)</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Maturity</w:t>
            </w: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3"/>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2"/>
        </w:trPr>
        <w:tc>
          <w:tcPr>
            <w:tcW w:w="31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Wheel Pros, Inc.</w:t>
            </w:r>
          </w:p>
        </w:tc>
        <w:tc>
          <w:tcPr>
            <w:tcW w:w="17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Specialty Distribution</w:t>
            </w: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(L + 9.00%) / (1.00%)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w w:val="87"/>
              </w:rPr>
              <w:t>10.00%/0.00%</w:t>
            </w:r>
          </w:p>
        </w:tc>
        <w:tc>
          <w:tcPr>
            <w:tcW w:w="70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2"/>
              </w:rPr>
              <w:t>11/10/2020</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6"/>
              </w:rPr>
              <w:t>11/10/2028</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20,000</w:t>
            </w:r>
          </w:p>
        </w:tc>
        <w:tc>
          <w:tcPr>
            <w:tcW w:w="5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19,411</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19,411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(347,222 units) (j)</w:t>
            </w: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5/15/2019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301</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1,031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19,712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20,442</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Transportation services</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(L + 8.00%) / (1.00%)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w w:val="93"/>
              </w:rPr>
              <w:t>9.00%/0.00%</w:t>
            </w:r>
          </w:p>
        </w:tc>
        <w:tc>
          <w:tcPr>
            <w:tcW w:w="7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2/27/2017</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2/3/2025</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20,000</w:t>
            </w:r>
          </w:p>
        </w:tc>
        <w:tc>
          <w:tcPr>
            <w:tcW w:w="5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19,791</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(2,000 units) (h)(j)</w:t>
            </w: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2/27/2017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1,478</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1,942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21,269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21,942</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w w:val="79"/>
              </w:rPr>
              <w:t>$</w:t>
            </w:r>
            <w:r>
              <w:rPr>
                <w:rFonts w:ascii="Arial" w:cs="Arial" w:eastAsia="Arial" w:hAnsi="Arial"/>
                <w:sz w:val="13"/>
                <w:szCs w:val="13"/>
                <w:color w:val="auto"/>
                <w:w w:val="79"/>
              </w:rPr>
              <w:t xml:space="preserve"> 622,222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u w:val="single" w:color="auto"/>
                <w:color w:val="auto"/>
                <w:w w:val="93"/>
              </w:rPr>
              <w:t>$</w:t>
            </w:r>
            <w:r>
              <w:rPr>
                <w:rFonts w:ascii="Arial" w:cs="Arial" w:eastAsia="Arial" w:hAnsi="Arial"/>
                <w:sz w:val="13"/>
                <w:szCs w:val="13"/>
                <w:color w:val="auto"/>
                <w:w w:val="93"/>
              </w:rPr>
              <w:t xml:space="preserve"> 633,222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line="20" w:lineRule="exact"/>
              <w:rPr>
                <w:sz w:val="1"/>
                <w:szCs w:val="1"/>
                <w:color w:val="auto"/>
              </w:rPr>
            </w:pPr>
          </w:p>
        </w:tc>
      </w:tr>
      <w:tr>
        <w:trPr>
          <w:trHeight w:val="129"/>
        </w:trPr>
        <w:tc>
          <w:tcPr>
            <w:tcW w:w="312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w w:val="79"/>
              </w:rPr>
              <w:t>$</w:t>
            </w:r>
            <w:r>
              <w:rPr>
                <w:rFonts w:ascii="Arial" w:cs="Arial" w:eastAsia="Arial" w:hAnsi="Arial"/>
                <w:sz w:val="13"/>
                <w:szCs w:val="13"/>
                <w:color w:val="auto"/>
                <w:w w:val="79"/>
              </w:rPr>
              <w:t xml:space="preserve"> 687,027</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w w:val="79"/>
              </w:rPr>
              <w:t>$</w:t>
            </w:r>
            <w:r>
              <w:rPr>
                <w:rFonts w:ascii="Arial" w:cs="Arial" w:eastAsia="Arial" w:hAnsi="Arial"/>
                <w:sz w:val="13"/>
                <w:szCs w:val="13"/>
                <w:color w:val="auto"/>
                <w:w w:val="79"/>
              </w:rPr>
              <w:t xml:space="preserve"> 742,869</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ind w:left="540" w:right="140" w:hanging="424"/>
        <w:spacing w:after="0" w:line="238" w:lineRule="auto"/>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2020.</w:t>
      </w:r>
    </w:p>
    <w:p>
      <w:pPr>
        <w:ind w:left="540" w:right="1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December 31, 2020. Generally, payment-in-kind interest can be paid-in-kind or all in cash.</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ind w:left="540" w:right="2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ind w:left="540" w:right="4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2020. The Company is earning 0.50% interest on the unfunded balance of the commitment. The interest rate disclosed represents the rate which will be earned if the commitment is funded.</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40" w:right="240" w:hanging="424"/>
        <w:spacing w:after="0" w:line="238" w:lineRule="auto"/>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40" w:right="10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540" w:right="1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was on PIK-only non-accrual status as of December 31, 2020, meaning the Company has ceased recognizing PIK interest income on the investment.</w:t>
      </w:r>
    </w:p>
    <w:p>
      <w:pPr>
        <w:ind w:left="5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Warrant entitles the Company to purchase 4.79% of the outstanding principal of Junior Subordinated Notes prior to exercise, and is non-income producing.</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5.92%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14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left="540" w:right="60" w:hanging="424"/>
        <w:spacing w:after="0" w:line="221"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20"/>
        <w:spacing w:after="0"/>
        <w:tabs>
          <w:tab w:leader="none" w:pos="520" w:val="left"/>
        </w:tabs>
        <w:rPr>
          <w:sz w:val="20"/>
          <w:szCs w:val="20"/>
          <w:color w:val="auto"/>
        </w:rPr>
      </w:pPr>
      <w:r>
        <w:rPr>
          <w:rFonts w:ascii="Arial" w:cs="Arial" w:eastAsia="Arial" w:hAnsi="Arial"/>
          <w:sz w:val="13"/>
          <w:szCs w:val="13"/>
          <w:color w:val="auto"/>
        </w:rPr>
        <w:t>(ab)</w:t>
        <w:tab/>
        <w:t>In addition to the interest earned based on the stated interest rate of this security, the Company is entitled to receive an additional interest amount of 2.95% on its “last out” tranche of</w:t>
      </w:r>
    </w:p>
    <w:p>
      <w:pPr>
        <w:ind w:left="540"/>
        <w:spacing w:after="0"/>
        <w:rPr>
          <w:sz w:val="20"/>
          <w:szCs w:val="20"/>
          <w:color w:val="auto"/>
        </w:rPr>
      </w:pPr>
      <w:r>
        <w:rPr>
          <w:rFonts w:ascii="Arial" w:cs="Arial" w:eastAsia="Arial" w:hAnsi="Arial"/>
          <w:sz w:val="13"/>
          <w:szCs w:val="13"/>
          <w:color w:val="auto"/>
        </w:rPr>
        <w:t>the portfolio company’s senior term debt, which was previously syndicated into “first out” and “last out” tranches, whereby the “first out” tranche will have priority as to the “last out”</w:t>
      </w:r>
    </w:p>
    <w:p>
      <w:pPr>
        <w:ind w:left="540"/>
        <w:spacing w:after="0" w:line="221" w:lineRule="auto"/>
        <w:rPr>
          <w:sz w:val="20"/>
          <w:szCs w:val="20"/>
          <w:color w:val="auto"/>
        </w:rPr>
      </w:pPr>
      <w:r>
        <w:rPr>
          <w:rFonts w:ascii="Arial" w:cs="Arial" w:eastAsia="Arial" w:hAnsi="Arial"/>
          <w:sz w:val="14"/>
          <w:szCs w:val="14"/>
          <w:color w:val="auto"/>
        </w:rPr>
        <w:t>tranche with respect to payments of principal, interest and any other amounts due thereunder.</w:t>
      </w:r>
    </w:p>
    <w:p>
      <w:pPr>
        <w:ind w:left="120"/>
        <w:spacing w:after="0"/>
        <w:tabs>
          <w:tab w:leader="none" w:pos="520" w:val="left"/>
        </w:tabs>
        <w:rPr>
          <w:sz w:val="20"/>
          <w:szCs w:val="20"/>
          <w:color w:val="auto"/>
        </w:rPr>
      </w:pPr>
      <w:r>
        <w:rPr>
          <w:rFonts w:ascii="Arial" w:cs="Arial" w:eastAsia="Arial" w:hAnsi="Arial"/>
          <w:sz w:val="13"/>
          <w:szCs w:val="13"/>
          <w:color w:val="auto"/>
        </w:rPr>
        <w:t>(ac)</w:t>
        <w:tab/>
        <w:t>The disclosed commitment represents the unfunded amount as of December 31, 2020. The Company is earning 1.00% interest on the unfunded balance of the commitment. The</w:t>
      </w:r>
    </w:p>
    <w:p>
      <w:pPr>
        <w:ind w:left="540"/>
        <w:spacing w:after="0" w:line="221" w:lineRule="auto"/>
        <w:rPr>
          <w:sz w:val="20"/>
          <w:szCs w:val="20"/>
          <w:color w:val="auto"/>
        </w:rPr>
      </w:pPr>
      <w:r>
        <w:rPr>
          <w:rFonts w:ascii="Arial" w:cs="Arial" w:eastAsia="Arial" w:hAnsi="Arial"/>
          <w:sz w:val="14"/>
          <w:szCs w:val="14"/>
          <w:color w:val="auto"/>
        </w:rPr>
        <w:t>interest rate disclosed represents the rate earned on the outstanding, funded balance of the commitment.</w:t>
      </w:r>
    </w:p>
    <w:p>
      <w:pPr>
        <w:ind w:left="120"/>
        <w:spacing w:after="0"/>
        <w:tabs>
          <w:tab w:leader="none" w:pos="520" w:val="left"/>
        </w:tabs>
        <w:rPr>
          <w:sz w:val="20"/>
          <w:szCs w:val="20"/>
          <w:color w:val="auto"/>
        </w:rPr>
      </w:pPr>
      <w:r>
        <w:rPr>
          <w:rFonts w:ascii="Arial" w:cs="Arial" w:eastAsia="Arial" w:hAnsi="Arial"/>
          <w:sz w:val="13"/>
          <w:szCs w:val="13"/>
          <w:color w:val="auto"/>
        </w:rPr>
        <w:t>(ad)</w:t>
        <w:tab/>
        <w:t>In addition to the interest earned based on the stated interest rate of this security, the Company is entitled to receive an additional interest amount of 3.33% on its “last out” tranche of</w:t>
      </w:r>
    </w:p>
    <w:p>
      <w:pPr>
        <w:ind w:left="540"/>
        <w:spacing w:after="0"/>
        <w:rPr>
          <w:sz w:val="20"/>
          <w:szCs w:val="20"/>
          <w:color w:val="auto"/>
        </w:rPr>
      </w:pPr>
      <w:r>
        <w:rPr>
          <w:rFonts w:ascii="Arial" w:cs="Arial" w:eastAsia="Arial" w:hAnsi="Arial"/>
          <w:sz w:val="13"/>
          <w:szCs w:val="13"/>
          <w:color w:val="auto"/>
        </w:rPr>
        <w:t>the portfolio company’s senior term debt, which was previously syndicated into “first out” and “last out” tranches, whereby the “first out” tranche will have priority as to the “last out”</w:t>
      </w:r>
    </w:p>
    <w:p>
      <w:pPr>
        <w:ind w:left="540"/>
        <w:spacing w:after="0" w:line="221" w:lineRule="auto"/>
        <w:rPr>
          <w:sz w:val="20"/>
          <w:szCs w:val="20"/>
          <w:color w:val="auto"/>
        </w:rPr>
      </w:pPr>
      <w:r>
        <w:rPr>
          <w:rFonts w:ascii="Arial" w:cs="Arial" w:eastAsia="Arial" w:hAnsi="Arial"/>
          <w:sz w:val="14"/>
          <w:szCs w:val="14"/>
          <w:color w:val="auto"/>
        </w:rPr>
        <w:t>tranche with respect to payments of principal, interest and any other amounts due thereunder.</w:t>
      </w:r>
    </w:p>
    <w:p>
      <w:pPr>
        <w:ind w:left="120"/>
        <w:spacing w:after="0"/>
        <w:tabs>
          <w:tab w:leader="none" w:pos="520" w:val="left"/>
        </w:tabs>
        <w:rPr>
          <w:sz w:val="20"/>
          <w:szCs w:val="20"/>
          <w:color w:val="auto"/>
        </w:rPr>
      </w:pPr>
      <w:r>
        <w:rPr>
          <w:rFonts w:ascii="Arial" w:cs="Arial" w:eastAsia="Arial" w:hAnsi="Arial"/>
          <w:sz w:val="13"/>
          <w:szCs w:val="13"/>
          <w:color w:val="auto"/>
        </w:rPr>
        <w:t>(ae)</w:t>
        <w:tab/>
        <w:t>In addition to the interest earned based on the stated interest rate of this security, the Company is entitled to receive an additional interest amount of 3.31% on its “last out” tranche of</w:t>
      </w:r>
    </w:p>
    <w:p>
      <w:pPr>
        <w:ind w:left="540"/>
        <w:spacing w:after="0"/>
        <w:rPr>
          <w:sz w:val="20"/>
          <w:szCs w:val="20"/>
          <w:color w:val="auto"/>
        </w:rPr>
      </w:pPr>
      <w:r>
        <w:rPr>
          <w:rFonts w:ascii="Arial" w:cs="Arial" w:eastAsia="Arial" w:hAnsi="Arial"/>
          <w:sz w:val="13"/>
          <w:szCs w:val="13"/>
          <w:color w:val="auto"/>
        </w:rPr>
        <w:t>the portfolio company’s senior term debt, which was previously syndicated into “first out” and “last out” tranches, whereby the “first out” tranche will have priority as to the “last out”</w:t>
      </w:r>
    </w:p>
    <w:p>
      <w:pPr>
        <w:ind w:left="540"/>
        <w:spacing w:after="0" w:line="221" w:lineRule="auto"/>
        <w:rPr>
          <w:sz w:val="20"/>
          <w:szCs w:val="20"/>
          <w:color w:val="auto"/>
        </w:rPr>
      </w:pPr>
      <w:r>
        <w:rPr>
          <w:rFonts w:ascii="Arial" w:cs="Arial" w:eastAsia="Arial" w:hAnsi="Arial"/>
          <w:sz w:val="14"/>
          <w:szCs w:val="14"/>
          <w:color w:val="auto"/>
        </w:rPr>
        <w:t>tranche with respect to payments of principal, interest and any other amounts due thereunder.</w:t>
      </w:r>
    </w:p>
    <w:p>
      <w:pPr>
        <w:ind w:left="120"/>
        <w:spacing w:after="0"/>
        <w:tabs>
          <w:tab w:leader="none" w:pos="520" w:val="left"/>
        </w:tabs>
        <w:rPr>
          <w:sz w:val="20"/>
          <w:szCs w:val="20"/>
          <w:color w:val="auto"/>
        </w:rPr>
      </w:pPr>
      <w:r>
        <w:rPr>
          <w:rFonts w:ascii="Arial" w:cs="Arial" w:eastAsia="Arial" w:hAnsi="Arial"/>
          <w:sz w:val="13"/>
          <w:szCs w:val="13"/>
          <w:color w:val="auto"/>
        </w:rPr>
        <w:t>(af)</w:t>
      </w:r>
      <w:r>
        <w:rPr>
          <w:sz w:val="20"/>
          <w:szCs w:val="20"/>
          <w:color w:val="auto"/>
        </w:rPr>
        <w:tab/>
      </w:r>
      <w:r>
        <w:rPr>
          <w:rFonts w:ascii="Arial" w:cs="Arial" w:eastAsia="Arial" w:hAnsi="Arial"/>
          <w:sz w:val="13"/>
          <w:szCs w:val="13"/>
          <w:color w:val="auto"/>
        </w:rPr>
        <w:t>In addition to the interest earned based on the stated interest rate of this security, the Company is entitled to receive an additional interest amount of 4.03% on its “last out” tranche of</w:t>
      </w:r>
    </w:p>
    <w:p>
      <w:pPr>
        <w:ind w:left="540"/>
        <w:spacing w:after="0"/>
        <w:rPr>
          <w:sz w:val="20"/>
          <w:szCs w:val="20"/>
          <w:color w:val="auto"/>
        </w:rPr>
      </w:pPr>
      <w:r>
        <w:rPr>
          <w:rFonts w:ascii="Arial" w:cs="Arial" w:eastAsia="Arial" w:hAnsi="Arial"/>
          <w:sz w:val="13"/>
          <w:szCs w:val="13"/>
          <w:color w:val="auto"/>
        </w:rPr>
        <w:t>the portfolio company’s senior term debt, which was previously syndicated into “first out” and “last out” tranches, whereby the “first out” tranche will have priority as to the “last out”</w:t>
      </w:r>
    </w:p>
    <w:p>
      <w:pPr>
        <w:ind w:left="540"/>
        <w:spacing w:after="0"/>
        <w:rPr>
          <w:sz w:val="20"/>
          <w:szCs w:val="20"/>
          <w:color w:val="auto"/>
        </w:rPr>
      </w:pPr>
      <w:r>
        <w:rPr>
          <w:rFonts w:ascii="Arial" w:cs="Arial" w:eastAsia="Arial" w:hAnsi="Arial"/>
          <w:sz w:val="14"/>
          <w:szCs w:val="14"/>
          <w:color w:val="auto"/>
        </w:rPr>
        <w:t>tranche with respect to payments of principal, interest and any other amounts due thereunder.</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140"/>
          </w:cols>
          <w:pgMar w:left="320" w:top="459" w:right="439" w:bottom="952"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59" w:right="439" w:bottom="952"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6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two or more SBICs under common control, the maximum amount of outstanding SBA debentures cannot exceed $350,000.</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Basis of presentation: The accompanying consolidated financial statements of the Company have been prepared in accordance with generally accepted accounting principles in the United States of America (“GAAP”) pursuant to the requirements for reporting on Form 10-Q, Accounting Standards Codification (“ASC”) 946, Financial Services – Investment Companies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2020.</w:t>
      </w:r>
    </w:p>
    <w:p>
      <w:pPr>
        <w:spacing w:after="0" w:line="19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2" w:lineRule="exact"/>
        <w:rPr>
          <w:sz w:val="20"/>
          <w:szCs w:val="20"/>
          <w:color w:val="auto"/>
        </w:rPr>
      </w:pPr>
    </w:p>
    <w:p>
      <w:pPr>
        <w:ind w:left="1540" w:right="40" w:hanging="331"/>
        <w:spacing w:after="0" w:line="29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Market risk - </w:t>
      </w:r>
      <w:r>
        <w:rPr>
          <w:rFonts w:ascii="Arial" w:cs="Arial" w:eastAsia="Arial" w:hAnsi="Arial"/>
          <w:sz w:val="16"/>
          <w:szCs w:val="16"/>
          <w:color w:val="auto"/>
        </w:rPr>
        <w:t>In contrast to investment-grade bonds (the market prices of which change primarily as a reaction to changes in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w:t>
      </w:r>
    </w:p>
    <w:p>
      <w:pPr>
        <w:sectPr>
          <w:pgSz w:w="11900" w:h="16838" w:orient="portrait"/>
          <w:cols w:equalWidth="0" w:num="1">
            <w:col w:w="11080"/>
          </w:cols>
          <w:pgMar w:left="320" w:top="459" w:right="499" w:bottom="1440" w:gutter="0" w:footer="0" w:header="0"/>
        </w:sectPr>
      </w:pP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80"/>
          </w:cols>
          <w:pgMar w:left="320" w:top="459" w:right="4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540" w:right="240"/>
        <w:spacing w:after="0" w:line="263" w:lineRule="auto"/>
        <w:rPr>
          <w:sz w:val="20"/>
          <w:szCs w:val="20"/>
          <w:color w:val="auto"/>
        </w:rPr>
      </w:pPr>
      <w:r>
        <w:rPr>
          <w:rFonts w:ascii="Arial" w:cs="Arial" w:eastAsia="Arial" w:hAnsi="Arial"/>
          <w:sz w:val="18"/>
          <w:szCs w:val="18"/>
          <w:color w:val="auto"/>
        </w:rPr>
        <w:t>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89" w:lineRule="exact"/>
        <w:rPr>
          <w:sz w:val="20"/>
          <w:szCs w:val="20"/>
          <w:color w:val="auto"/>
        </w:rPr>
      </w:pPr>
    </w:p>
    <w:p>
      <w:pPr>
        <w:ind w:left="154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agreements with the Company. Issues of high-yield debt securities in which the Company invests are more likely to default on interest or principal than are issues of investment-grade securities.</w:t>
      </w:r>
    </w:p>
    <w:p>
      <w:pPr>
        <w:spacing w:after="0" w:line="89" w:lineRule="exact"/>
        <w:rPr>
          <w:rFonts w:ascii="Arial" w:cs="Arial" w:eastAsia="Arial" w:hAnsi="Arial"/>
          <w:sz w:val="18"/>
          <w:szCs w:val="18"/>
          <w:color w:val="auto"/>
        </w:rPr>
      </w:pPr>
    </w:p>
    <w:p>
      <w:pPr>
        <w:ind w:left="1540" w:right="46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price (given the lack of an established market).</w:t>
      </w:r>
    </w:p>
    <w:p>
      <w:pPr>
        <w:spacing w:after="0" w:line="7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interest-bearing financial instrument.</w:t>
      </w:r>
    </w:p>
    <w:p>
      <w:pPr>
        <w:spacing w:after="0" w:line="75" w:lineRule="exact"/>
        <w:rPr>
          <w:rFonts w:ascii="Arial" w:cs="Arial" w:eastAsia="Arial" w:hAnsi="Arial"/>
          <w:sz w:val="18"/>
          <w:szCs w:val="18"/>
          <w:color w:val="auto"/>
        </w:rPr>
      </w:pPr>
    </w:p>
    <w:p>
      <w:pPr>
        <w:ind w:left="1540" w:hanging="331"/>
        <w:spacing w:after="0" w:line="311"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Prepayment risk - </w:t>
      </w:r>
      <w:r>
        <w:rPr>
          <w:rFonts w:ascii="Arial" w:cs="Arial" w:eastAsia="Arial" w:hAnsi="Arial"/>
          <w:sz w:val="16"/>
          <w:szCs w:val="16"/>
          <w:color w:val="auto"/>
        </w:rPr>
        <w:t>Certain of the Company’s debt investments allow for prepayment of principal without penalty. Downward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54" w:lineRule="exact"/>
        <w:rPr>
          <w:rFonts w:ascii="Arial" w:cs="Arial" w:eastAsia="Arial" w:hAnsi="Arial"/>
          <w:sz w:val="16"/>
          <w:szCs w:val="16"/>
          <w:color w:val="auto"/>
        </w:rPr>
      </w:pPr>
    </w:p>
    <w:p>
      <w:pPr>
        <w:ind w:left="1540" w:right="10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SBA debentures, the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 xml:space="preserve">Realized losses on extinguishment of debt: </w:t>
      </w:r>
      <w:r>
        <w:rPr>
          <w:rFonts w:ascii="Arial" w:cs="Arial" w:eastAsia="Arial" w:hAnsi="Arial"/>
          <w:sz w:val="18"/>
          <w:szCs w:val="18"/>
          <w:color w:val="auto"/>
        </w:rPr>
        <w:t>Upon the repayment of debt obligations which are deemed to be extinguishments, the difference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principal amount due at maturity, adjusted for any unamortized deferred financing costs, is recognized as a loss (i.e., the unamortized deferred financing costs are recognized as a loss upon extinguishment of the underlying debt obligation). There is no change in historical net increase in net assets resulting from operations due to this change in presentation.</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88"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i w:val="1"/>
          <w:iCs w:val="1"/>
          <w:color w:val="auto"/>
        </w:rPr>
        <w:t xml:space="preserve">Realized gains or losses and unrealized appreciation or depreciation on investments: </w:t>
      </w:r>
      <w:r>
        <w:rPr>
          <w:rFonts w:ascii="Arial" w:cs="Arial" w:eastAsia="Arial" w:hAnsi="Arial"/>
          <w:sz w:val="16"/>
          <w:szCs w:val="16"/>
          <w:color w:val="auto"/>
        </w:rPr>
        <w:t>Realized gains or losses on investments are recorded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or disposition of a portfolio investment and are calculated as the difference between the net proceeds from the sale or disposition and the</w:t>
      </w:r>
    </w:p>
    <w:p>
      <w:pPr>
        <w:sectPr>
          <w:pgSz w:w="11900" w:h="16838" w:orient="portrait"/>
          <w:cols w:equalWidth="0" w:num="1">
            <w:col w:w="11120"/>
          </w:cols>
          <w:pgMar w:left="320" w:top="459" w:right="459" w:bottom="1440" w:gutter="0" w:footer="0" w:header="0"/>
        </w:sectPr>
      </w:pP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are recorded on the accrual basis to the extent that the Company expects to collect</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i w:val="1"/>
          <w:iCs w:val="1"/>
          <w:color w:val="auto"/>
        </w:rPr>
        <w:t xml:space="preserve">PIK income: </w:t>
      </w:r>
      <w:r>
        <w:rPr>
          <w:rFonts w:ascii="Arial" w:cs="Arial" w:eastAsia="Arial" w:hAnsi="Arial"/>
          <w:sz w:val="18"/>
          <w:szCs w:val="18"/>
          <w:color w:val="auto"/>
        </w:rPr>
        <w:t>Certain of the Company’s investments contain a payment-in-kind (“PIK”) income provision. The PIK income, computed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2"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Transaction fees earned in connection with the Company’s investments are recognized as fee income and are generally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statements of operations. Currently management services fees are a component of fee income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96"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i w:val="1"/>
          <w:iCs w:val="1"/>
          <w:color w:val="auto"/>
        </w:rPr>
        <w:t xml:space="preserve">Partial loan and equity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w:t>
      </w:r>
    </w:p>
    <w:p>
      <w:pPr>
        <w:sectPr>
          <w:pgSz w:w="11900" w:h="16838" w:orient="portrait"/>
          <w:cols w:equalWidth="0" w:num="1">
            <w:col w:w="11120"/>
          </w:cols>
          <w:pgMar w:left="320" w:top="459" w:right="45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consolidated statements of assets and liabilities and the proceeds recorded as a secured borrowing until the definition is met. Management has determined that all participations, assignments and other partial loan or equity sale transactions entered into by the Company have met the definition of a participating interest. Accordingly, the Company uses sale treatment in accounting for such transactions.</w:t>
      </w:r>
    </w:p>
    <w:p>
      <w:pPr>
        <w:spacing w:after="0" w:line="16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4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2021 and December 31, 2020. The Company’s tax returns are generally subject to examination by U.S. federal and most state tax authorities for a period of three years from the date the respective returns are filed, and, accordingly, the Company’s 2017 through 2019 tax years remain subject to examination.</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6"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w:t>
      </w:r>
    </w:p>
    <w:p>
      <w:pPr>
        <w:sectPr>
          <w:pgSz w:w="11900" w:h="16838" w:orient="portrait"/>
          <w:cols w:equalWidth="0" w:num="1">
            <w:col w:w="11120"/>
          </w:cols>
          <w:pgMar w:left="320" w:top="459" w:right="45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months ended March 31, 2021 and 2020,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utilizing the weighted average shares outstanding for the period. Net asset value per share is calculated using the number of shares outstanding as of the end of the period.</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months ended March 31, 2021. During the three months ended March 31, 2020, the Company repurchased 25,719 shares of common stock on the open market for $268. Refer to Note 8 for additional information concerning stock repurchases.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 Rule 1-02(w)(2) Update: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however the Company elected to early adopt this rule change as of December 31, 2020. The adoption of this guidance did not have a material impact on the Company’s Consolidated Financial Statements.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 Regulation S-K Update: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As of March 31, 2021, the Company had active investments in 67 portfolio companies and residual investments in four portfolio companies that have sold their underlying operations. The aggregate fair value of the total portfolio was $711,884 and the weighted average effective yield on the Company’s debt investments was 12.3% as of such date. As of March 31, 2021, the Company held equity investments in 87.3% of its portfolio companies and the weighted average fully diluted equity ownership in those portfolio companies was 5.3%. The weighted average fully diluted equity ownership was computed using the fully diluted equity ownership for equity investments (including warrants) at cost as of March 31, 2021.</w:t>
      </w:r>
    </w:p>
    <w:p>
      <w:pPr>
        <w:spacing w:after="0" w:line="16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As of December 31, 2020, the Company had active investments in 66 portfolio companies and residual investments in three portfolio companies that have sold their underlying operations. The aggregate fair value of the total portfolio was $742,869 and the weighted average effective yield on the Company’s debt investments was 12.2% as of such date. As of December 31, 2020, the Company held equity investments in 88.4% of its portfolio companies and the weighted average fully diluted equity ownership in those portfolio companies was 5.8%. The weighted average fully diluted equity ownership was computed using the fully diluted equity ownership for equity investments (including warrants) at cost as of December 31, 2020.</w:t>
      </w:r>
    </w:p>
    <w:p>
      <w:pPr>
        <w:spacing w:after="0" w:line="16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March 31, 2021 and December 31, 2020, including accretion of OID and debt investment origination fees, but excluding investments on non-accrual status, if any.</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Purchases of debt and equity investments for the three months ended March 31, 2021 and 2020 totaled $63,107 and $68,192, respectively. Proceeds from sales and repayments, including principal, return of capital distributions and realized gains, of portfolio investments for the three months ended March 31, 2021 and 2020 totaled $98,565 and $73,772,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5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620" w:type="dxa"/>
            <w:vAlign w:val="bottom"/>
            <w:gridSpan w:val="4"/>
          </w:tcPr>
          <w:p>
            <w:pPr>
              <w:jc w:val="right"/>
              <w:ind w:right="588"/>
              <w:spacing w:after="0" w:line="119" w:lineRule="exact"/>
              <w:rPr>
                <w:sz w:val="20"/>
                <w:szCs w:val="20"/>
                <w:color w:val="auto"/>
              </w:rPr>
            </w:pPr>
            <w:r>
              <w:rPr>
                <w:rFonts w:ascii="Arial" w:cs="Arial" w:eastAsia="Arial" w:hAnsi="Arial"/>
                <w:sz w:val="13"/>
                <w:szCs w:val="13"/>
                <w:b w:val="1"/>
                <w:bCs w:val="1"/>
                <w:color w:val="auto"/>
              </w:rPr>
              <w:t>March 31,</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$295,546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$332,154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$309,579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$341,947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Subordinated Debt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99,834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107,911</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99,358</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15.1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107,343</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r>
              <w:rPr>
                <w:rFonts w:ascii="Arial" w:cs="Arial" w:eastAsia="Arial" w:hAnsi="Arial"/>
                <w:sz w:val="15"/>
                <w:szCs w:val="15"/>
                <w:color w:val="auto"/>
              </w:rPr>
              <w:t>(1)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195,673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187,353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195,261</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184,585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118,179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112,836</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49,229</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49,958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3,194</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4"/>
              </w:rPr>
              <w:t>$ 711,884</w:t>
            </w:r>
          </w:p>
        </w:tc>
        <w:tc>
          <w:tcPr>
            <w:tcW w:w="16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$742,869</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$656,621</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$687,027</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0</wp:posOffset>
            </wp:positionV>
            <wp:extent cx="39001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00170" cy="26035"/>
                    </a:xfrm>
                    <a:prstGeom prst="rect">
                      <a:avLst/>
                    </a:prstGeom>
                    <a:noFill/>
                  </pic:spPr>
                </pic:pic>
              </a:graphicData>
            </a:graphic>
          </wp:anchor>
        </w:drawing>
      </w:r>
    </w:p>
    <w:p>
      <w:pPr>
        <w:spacing w:after="0" w:line="14" w:lineRule="exact"/>
        <w:rPr>
          <w:sz w:val="20"/>
          <w:szCs w:val="20"/>
          <w:color w:val="auto"/>
        </w:rPr>
      </w:pPr>
    </w:p>
    <w:p>
      <w:pPr>
        <w:ind w:left="540" w:right="720" w:hanging="424"/>
        <w:spacing w:after="0" w:line="253"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unitranche investments, which account for 18.6% and 20.1% of our portfolio on a fair value and cost basis as of March 31, 2021, respectively. Includes unitranche investments, which account for 17.3% and 18.4% of our portfolio on a fair value and cost basis as of December 31, 2020, respectively.</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investments made by the Company as of March 31, 2021 and December 31, 2020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62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620" w:type="dxa"/>
            <w:vAlign w:val="bottom"/>
            <w:gridSpan w:val="4"/>
          </w:tcPr>
          <w:p>
            <w:pPr>
              <w:jc w:val="right"/>
              <w:ind w:right="588"/>
              <w:spacing w:after="0" w:line="119" w:lineRule="exact"/>
              <w:rPr>
                <w:sz w:val="20"/>
                <w:szCs w:val="20"/>
                <w:color w:val="auto"/>
              </w:rPr>
            </w:pPr>
            <w:r>
              <w:rPr>
                <w:rFonts w:ascii="Arial" w:cs="Arial" w:eastAsia="Arial" w:hAnsi="Arial"/>
                <w:sz w:val="13"/>
                <w:szCs w:val="13"/>
                <w:b w:val="1"/>
                <w:bCs w:val="1"/>
                <w:color w:val="auto"/>
              </w:rPr>
              <w:t>March 31,</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$179,123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$225,745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$141,691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$189,560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172,972</w:t>
            </w:r>
          </w:p>
        </w:tc>
        <w:tc>
          <w:tcPr>
            <w:tcW w:w="1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24.3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153,291</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145,692</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22.2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129,974</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148,540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123,268</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156,766</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127,833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97,654</w:t>
            </w:r>
          </w:p>
        </w:tc>
        <w:tc>
          <w:tcPr>
            <w:tcW w:w="1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108,673</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94,363</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14.4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109,221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131,892</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118,109</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130,439</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711,884</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742,869</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656,621</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687,027</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1540"/>
              <w:spacing w:after="0"/>
              <w:rPr>
                <w:sz w:val="20"/>
                <w:szCs w:val="20"/>
                <w:color w:val="auto"/>
              </w:rPr>
            </w:pPr>
            <w:r>
              <w:rPr>
                <w:rFonts w:ascii="Arial" w:cs="Arial" w:eastAsia="Arial" w:hAnsi="Arial"/>
                <w:sz w:val="14"/>
                <w:szCs w:val="14"/>
                <w:b w:val="1"/>
                <w:bCs w:val="1"/>
                <w:color w:val="auto"/>
              </w:rPr>
              <w:t>By Type</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4"/>
                <w:szCs w:val="14"/>
                <w:b w:val="1"/>
                <w:bCs w:val="1"/>
                <w:color w:val="auto"/>
              </w:rPr>
              <w:t>By Geographic Region</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9"/>
              </w:rPr>
              <w:t>March 31,</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March 31,</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8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Subordinated Debt</w:t>
            </w:r>
          </w:p>
        </w:tc>
        <w:tc>
          <w:tcPr>
            <w:tcW w:w="2560" w:type="dxa"/>
            <w:vAlign w:val="bottom"/>
            <w:gridSpan w:val="3"/>
          </w:tcPr>
          <w:p>
            <w:pPr>
              <w:jc w:val="right"/>
              <w:ind w:right="460"/>
              <w:spacing w:after="0"/>
              <w:rPr>
                <w:sz w:val="20"/>
                <w:szCs w:val="20"/>
                <w:color w:val="auto"/>
              </w:rPr>
            </w:pPr>
            <w:r>
              <w:rPr>
                <w:rFonts w:ascii="Arial" w:cs="Arial" w:eastAsia="Arial" w:hAnsi="Arial"/>
                <w:sz w:val="18"/>
                <w:szCs w:val="18"/>
                <w:color w:val="auto"/>
              </w:rPr>
              <w:t>24.2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26.3</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Southeast</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41.9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Northeast</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Equity</w:t>
            </w:r>
          </w:p>
        </w:tc>
        <w:tc>
          <w:tcPr>
            <w:tcW w:w="2560" w:type="dxa"/>
            <w:vAlign w:val="bottom"/>
            <w:gridSpan w:val="3"/>
          </w:tcPr>
          <w:p>
            <w:pPr>
              <w:jc w:val="right"/>
              <w:ind w:right="460"/>
              <w:spacing w:after="0"/>
              <w:rPr>
                <w:sz w:val="20"/>
                <w:szCs w:val="20"/>
                <w:color w:val="auto"/>
              </w:rPr>
            </w:pPr>
            <w:r>
              <w:rPr>
                <w:rFonts w:ascii="Arial" w:cs="Arial" w:eastAsia="Arial" w:hAnsi="Arial"/>
                <w:sz w:val="18"/>
                <w:szCs w:val="18"/>
                <w:color w:val="auto"/>
              </w:rPr>
              <w:t>28.6</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West</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23.6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Southwest</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w:t>
            </w:r>
          </w:p>
        </w:tc>
        <w:tc>
          <w:tcPr>
            <w:tcW w:w="18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172.4%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180.9%</w:t>
            </w:r>
          </w:p>
        </w:tc>
        <w:tc>
          <w:tcPr>
            <w:tcW w:w="1440" w:type="dxa"/>
            <w:vAlign w:val="bottom"/>
            <w:gridSpan w:val="2"/>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172.4%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As of March 31, 2021 and December 31, 2020, the Company had no portfolio company investments that represented more than 10% of the total investment portfolio on a fair value or cost basis. As of March 31, 2021 and December 31, 2020, the Company had no portfolio company investments that represented more than 5% of our total assets.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and December 31, 2020, the Company had debt investments in one portfolio company on non-accrual status: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Pr>
          <w:p>
            <w:pPr>
              <w:spacing w:after="0"/>
              <w:rPr>
                <w:sz w:val="14"/>
                <w:szCs w:val="14"/>
                <w:color w:val="auto"/>
              </w:rPr>
            </w:pPr>
          </w:p>
        </w:tc>
        <w:tc>
          <w:tcPr>
            <w:tcW w:w="14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980" w:type="dxa"/>
            <w:vAlign w:val="bottom"/>
            <w:gridSpan w:val="2"/>
          </w:tcPr>
          <w:p>
            <w:pPr>
              <w:jc w:val="center"/>
              <w:ind w:right="404"/>
              <w:spacing w:after="0" w:line="119"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2"/>
            <w:vMerge w:val="restart"/>
          </w:tcPr>
          <w:p>
            <w:pPr>
              <w:jc w:val="center"/>
              <w:ind w:right="404"/>
              <w:spacing w:after="0"/>
              <w:rPr>
                <w:sz w:val="20"/>
                <w:szCs w:val="20"/>
                <w:color w:val="auto"/>
              </w:rPr>
            </w:pPr>
            <w:r>
              <w:rPr>
                <w:rFonts w:ascii="Arial" w:cs="Arial" w:eastAsia="Arial" w:hAnsi="Arial"/>
                <w:sz w:val="14"/>
                <w:szCs w:val="14"/>
                <w:b w:val="1"/>
                <w:bCs w:val="1"/>
                <w:color w:val="auto"/>
                <w:w w:val="89"/>
              </w:rPr>
              <w:t>Cost</w:t>
            </w:r>
          </w:p>
        </w:tc>
        <w:tc>
          <w:tcPr>
            <w:tcW w:w="980" w:type="dxa"/>
            <w:vAlign w:val="bottom"/>
            <w:gridSpan w:val="2"/>
          </w:tcPr>
          <w:p>
            <w:pPr>
              <w:jc w:val="center"/>
              <w:ind w:right="404"/>
              <w:spacing w:after="0" w:line="119" w:lineRule="exact"/>
              <w:rPr>
                <w:sz w:val="20"/>
                <w:szCs w:val="20"/>
                <w:color w:val="auto"/>
              </w:rPr>
            </w:pPr>
            <w:r>
              <w:rPr>
                <w:rFonts w:ascii="Arial" w:cs="Arial" w:eastAsia="Arial" w:hAnsi="Arial"/>
                <w:sz w:val="13"/>
                <w:szCs w:val="13"/>
                <w:b w:val="1"/>
                <w:bCs w:val="1"/>
                <w:color w:val="auto"/>
              </w:rPr>
              <w:t>Fair</w:t>
            </w:r>
          </w:p>
        </w:tc>
        <w:tc>
          <w:tcPr>
            <w:tcW w:w="720" w:type="dxa"/>
            <w:vAlign w:val="bottom"/>
            <w:gridSpan w:val="2"/>
            <w:vMerge w:val="restart"/>
          </w:tcPr>
          <w:p>
            <w:pPr>
              <w:jc w:val="center"/>
              <w:ind w:right="164"/>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58"/>
        </w:trPr>
        <w:tc>
          <w:tcPr>
            <w:tcW w:w="6440" w:type="dxa"/>
            <w:vAlign w:val="bottom"/>
            <w:gridSpan w:val="2"/>
            <w:vMerge w:val="continue"/>
          </w:tcPr>
          <w:p>
            <w:pPr>
              <w:spacing w:after="0"/>
              <w:rPr>
                <w:sz w:val="13"/>
                <w:szCs w:val="13"/>
                <w:color w:val="auto"/>
              </w:rPr>
            </w:pPr>
          </w:p>
        </w:tc>
        <w:tc>
          <w:tcPr>
            <w:tcW w:w="980" w:type="dxa"/>
            <w:vAlign w:val="bottom"/>
            <w:gridSpan w:val="2"/>
          </w:tcPr>
          <w:p>
            <w:pPr>
              <w:jc w:val="center"/>
              <w:ind w:right="404"/>
              <w:spacing w:after="0" w:line="158"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vMerge w:val="continue"/>
          </w:tcPr>
          <w:p>
            <w:pPr>
              <w:spacing w:after="0"/>
              <w:rPr>
                <w:sz w:val="13"/>
                <w:szCs w:val="13"/>
                <w:color w:val="auto"/>
              </w:rPr>
            </w:pPr>
          </w:p>
        </w:tc>
        <w:tc>
          <w:tcPr>
            <w:tcW w:w="980" w:type="dxa"/>
            <w:vAlign w:val="bottom"/>
            <w:gridSpan w:val="2"/>
          </w:tcPr>
          <w:p>
            <w:pPr>
              <w:jc w:val="center"/>
              <w:ind w:right="424"/>
              <w:spacing w:after="0" w:line="158" w:lineRule="exact"/>
              <w:rPr>
                <w:sz w:val="20"/>
                <w:szCs w:val="20"/>
                <w:color w:val="auto"/>
              </w:rPr>
            </w:pPr>
            <w:r>
              <w:rPr>
                <w:rFonts w:ascii="Arial" w:cs="Arial" w:eastAsia="Arial" w:hAnsi="Arial"/>
                <w:sz w:val="14"/>
                <w:szCs w:val="14"/>
                <w:b w:val="1"/>
                <w:bCs w:val="1"/>
                <w:color w:val="auto"/>
                <w:w w:val="96"/>
              </w:rPr>
              <w:t>Value</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EBL, LLC (EbLens)</w:t>
            </w: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5,709</w:t>
            </w:r>
          </w:p>
        </w:tc>
        <w:tc>
          <w:tcPr>
            <w:tcW w:w="4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87"/>
              </w:rPr>
              <w:t>(1)</w:t>
            </w: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9,218</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87"/>
              </w:rPr>
              <w:t>(1)</w:t>
            </w: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5,454</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6"/>
              </w:rPr>
              <w:t>(1)</w:t>
            </w:r>
          </w:p>
        </w:tc>
        <w:tc>
          <w:tcPr>
            <w:tcW w:w="5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9,214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24"/>
        </w:trPr>
        <w:tc>
          <w:tcPr>
            <w:tcW w:w="6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$5,709</w:t>
            </w:r>
          </w:p>
        </w:tc>
        <w:tc>
          <w:tcPr>
            <w:tcW w:w="4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$9,218</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$5,454</w:t>
            </w:r>
          </w:p>
        </w:tc>
        <w:tc>
          <w:tcPr>
            <w:tcW w:w="4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$9,214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16510</wp:posOffset>
            </wp:positionV>
            <wp:extent cx="317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16510</wp:posOffset>
            </wp:positionV>
            <wp:extent cx="317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16510</wp:posOffset>
            </wp:positionV>
            <wp:extent cx="317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16510</wp:posOffset>
            </wp:positionV>
            <wp:extent cx="316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4"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Portfolio company was on PIK-only on non-accrual status at period end, meaning the Company has ceased recognizing PIK interest income on the investment.</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2020 and any additions and reductions made to such investments during the three months ended March 31, 2021, the ending fair value as of March 31, 2021, and the total investment income earned on such investments during the period.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99"/>
              </w:rPr>
              <w:t>March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10"/>
          </w:tcPr>
          <w:p>
            <w:pPr>
              <w:ind w:left="180"/>
              <w:spacing w:after="0"/>
              <w:rPr>
                <w:sz w:val="20"/>
                <w:szCs w:val="20"/>
                <w:color w:val="auto"/>
              </w:rPr>
            </w:pPr>
            <w:r>
              <w:rPr>
                <w:rFonts w:ascii="Arial" w:cs="Arial" w:eastAsia="Arial" w:hAnsi="Arial"/>
                <w:sz w:val="13"/>
                <w:szCs w:val="13"/>
                <w:b w:val="1"/>
                <w:bCs w:val="1"/>
                <w:color w:val="auto"/>
                <w:w w:val="95"/>
              </w:rPr>
              <w:t>Three Months Ended March 31, 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2"/>
              </w:rPr>
              <w:t>Net</w:t>
            </w:r>
          </w:p>
        </w:tc>
        <w:tc>
          <w:tcPr>
            <w:tcW w:w="8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Net Change in</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Payment-in-</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9"/>
              </w:rPr>
              <w:t>2021 Principal</w:t>
            </w:r>
          </w:p>
        </w:tc>
        <w:tc>
          <w:tcPr>
            <w:tcW w:w="80" w:type="dxa"/>
            <w:vAlign w:val="bottom"/>
          </w:tcPr>
          <w:p>
            <w:pPr>
              <w:spacing w:after="0"/>
              <w:rPr>
                <w:sz w:val="11"/>
                <w:szCs w:val="11"/>
                <w:color w:val="auto"/>
              </w:rPr>
            </w:pPr>
          </w:p>
        </w:tc>
        <w:tc>
          <w:tcPr>
            <w:tcW w:w="8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Realized</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kind</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b w:val="1"/>
                <w:bCs w:val="1"/>
                <w:color w:val="auto"/>
                <w:w w:val="89"/>
              </w:rPr>
              <w:t xml:space="preserve">Portfolio Company </w:t>
            </w:r>
            <w:r>
              <w:rPr>
                <w:rFonts w:ascii="Arial" w:cs="Arial" w:eastAsia="Arial" w:hAnsi="Arial"/>
                <w:sz w:val="10"/>
                <w:szCs w:val="10"/>
                <w:b w:val="1"/>
                <w:bCs w:val="1"/>
                <w:color w:val="auto"/>
                <w:w w:val="89"/>
              </w:rPr>
              <w:t>(1)</w:t>
            </w:r>
          </w:p>
        </w:tc>
        <w:tc>
          <w:tcPr>
            <w:tcW w:w="16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7"/>
              </w:rPr>
              <w:t>Amount - Debt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5"/>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2021 Fair</w:t>
            </w:r>
          </w:p>
        </w:tc>
        <w:tc>
          <w:tcPr>
            <w:tcW w:w="6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Gains</w:t>
            </w:r>
          </w:p>
        </w:tc>
        <w:tc>
          <w:tcPr>
            <w:tcW w:w="880" w:type="dxa"/>
            <w:vAlign w:val="bottom"/>
            <w:gridSpan w:val="3"/>
          </w:tcPr>
          <w:p>
            <w:pPr>
              <w:jc w:val="right"/>
              <w:ind w:right="140"/>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40" w:type="dxa"/>
            <w:vAlign w:val="bottom"/>
          </w:tcPr>
          <w:p>
            <w:pPr>
              <w:spacing w:after="0"/>
              <w:rPr>
                <w:sz w:val="11"/>
                <w:szCs w:val="11"/>
                <w:color w:val="auto"/>
              </w:rPr>
            </w:pPr>
          </w:p>
        </w:tc>
        <w:tc>
          <w:tcPr>
            <w:tcW w:w="5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Interest</w:t>
            </w:r>
          </w:p>
        </w:tc>
        <w:tc>
          <w:tcPr>
            <w:tcW w:w="5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Dividend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Fee</w:t>
            </w:r>
          </w:p>
        </w:tc>
        <w:tc>
          <w:tcPr>
            <w:tcW w:w="0" w:type="dxa"/>
            <w:vAlign w:val="bottom"/>
          </w:tcPr>
          <w:p>
            <w:pPr>
              <w:spacing w:after="0"/>
              <w:rPr>
                <w:sz w:val="1"/>
                <w:szCs w:val="1"/>
                <w:color w:val="auto"/>
              </w:rPr>
            </w:pPr>
          </w:p>
        </w:tc>
      </w:tr>
      <w:tr>
        <w:trPr>
          <w:trHeight w:val="160"/>
        </w:trPr>
        <w:tc>
          <w:tcPr>
            <w:tcW w:w="1200" w:type="dxa"/>
            <w:vAlign w:val="bottom"/>
            <w:tcBorders>
              <w:bottom w:val="single" w:sz="8" w:color="auto"/>
            </w:tcBorders>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ind w:right="100"/>
              <w:spacing w:after="0" w:line="140" w:lineRule="exact"/>
              <w:rPr>
                <w:sz w:val="20"/>
                <w:szCs w:val="20"/>
                <w:color w:val="auto"/>
              </w:rPr>
            </w:pPr>
            <w:r>
              <w:rPr>
                <w:rFonts w:ascii="Arial" w:cs="Arial" w:eastAsia="Arial" w:hAnsi="Arial"/>
                <w:sz w:val="13"/>
                <w:szCs w:val="13"/>
                <w:b w:val="1"/>
                <w:bCs w:val="1"/>
                <w:color w:val="auto"/>
                <w:w w:val="84"/>
              </w:rPr>
              <w:t>Investments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Fair Value</w:t>
            </w:r>
          </w:p>
        </w:tc>
        <w:tc>
          <w:tcPr>
            <w:tcW w:w="7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4"/>
              </w:rPr>
              <w:t xml:space="preserve">Additions </w:t>
            </w:r>
            <w:r>
              <w:rPr>
                <w:rFonts w:ascii="Arial" w:cs="Arial" w:eastAsia="Arial" w:hAnsi="Arial"/>
                <w:sz w:val="10"/>
                <w:szCs w:val="10"/>
                <w:b w:val="1"/>
                <w:bCs w:val="1"/>
                <w:color w:val="auto"/>
                <w:w w:val="94"/>
              </w:rPr>
              <w:t>(2)</w:t>
            </w:r>
          </w:p>
        </w:tc>
        <w:tc>
          <w:tcPr>
            <w:tcW w:w="60" w:type="dxa"/>
            <w:vAlign w:val="bottom"/>
          </w:tcPr>
          <w:p>
            <w:pPr>
              <w:spacing w:after="0"/>
              <w:rPr>
                <w:sz w:val="13"/>
                <w:szCs w:val="13"/>
                <w:color w:val="auto"/>
              </w:rPr>
            </w:pPr>
          </w:p>
        </w:tc>
        <w:tc>
          <w:tcPr>
            <w:tcW w:w="8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6"/>
              </w:rPr>
              <w:t xml:space="preserve">Reductions </w:t>
            </w:r>
            <w:r>
              <w:rPr>
                <w:rFonts w:ascii="Arial" w:cs="Arial" w:eastAsia="Arial" w:hAnsi="Arial"/>
                <w:sz w:val="10"/>
                <w:szCs w:val="10"/>
                <w:b w:val="1"/>
                <w:bCs w:val="1"/>
                <w:color w:val="auto"/>
                <w:w w:val="96"/>
              </w:rPr>
              <w:t>(3)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w w:val="92"/>
              </w:rPr>
              <w:t>Value</w:t>
            </w:r>
          </w:p>
        </w:tc>
        <w:tc>
          <w:tcPr>
            <w:tcW w:w="70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8"/>
              </w:rPr>
              <w:t xml:space="preserve">(Losses) </w:t>
            </w:r>
            <w:r>
              <w:rPr>
                <w:rFonts w:ascii="Arial" w:cs="Arial" w:eastAsia="Arial" w:hAnsi="Arial"/>
                <w:sz w:val="10"/>
                <w:szCs w:val="10"/>
                <w:b w:val="1"/>
                <w:bCs w:val="1"/>
                <w:color w:val="auto"/>
                <w:w w:val="98"/>
              </w:rPr>
              <w:t>(4)</w:t>
            </w:r>
          </w:p>
        </w:tc>
        <w:tc>
          <w:tcPr>
            <w:tcW w:w="88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8"/>
              </w:rPr>
              <w:t>(Depreciation)</w:t>
            </w:r>
          </w:p>
        </w:tc>
        <w:tc>
          <w:tcPr>
            <w:tcW w:w="40" w:type="dxa"/>
            <w:vAlign w:val="bottom"/>
          </w:tcPr>
          <w:p>
            <w:pPr>
              <w:spacing w:after="0"/>
              <w:rPr>
                <w:sz w:val="13"/>
                <w:szCs w:val="13"/>
                <w:color w:val="auto"/>
              </w:rPr>
            </w:pPr>
          </w:p>
        </w:tc>
        <w:tc>
          <w:tcPr>
            <w:tcW w:w="5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6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7"/>
              </w:rPr>
              <w:t>Income</w:t>
            </w:r>
          </w:p>
        </w:tc>
        <w:tc>
          <w:tcPr>
            <w:tcW w:w="50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3"/>
                <w:szCs w:val="13"/>
                <w:color w:val="auto"/>
              </w:rPr>
            </w:pPr>
          </w:p>
        </w:tc>
        <w:tc>
          <w:tcPr>
            <w:tcW w:w="4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08"/>
        </w:trPr>
        <w:tc>
          <w:tcPr>
            <w:tcW w:w="28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Control Investments</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gridSpan w:val="2"/>
          </w:tcPr>
          <w:p>
            <w:pPr>
              <w:spacing w:after="0" w:line="121" w:lineRule="exact"/>
              <w:rPr>
                <w:sz w:val="20"/>
                <w:szCs w:val="20"/>
                <w:color w:val="auto"/>
              </w:rPr>
            </w:pPr>
            <w:r>
              <w:rPr>
                <w:rFonts w:ascii="Arial" w:cs="Arial" w:eastAsia="Arial" w:hAnsi="Arial"/>
                <w:sz w:val="13"/>
                <w:szCs w:val="13"/>
                <w:color w:val="auto"/>
              </w:rPr>
              <w:t>Spectra A&amp;D Acquisition, Inc. (fka FDS Avionics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120"/>
              <w:spacing w:after="0"/>
              <w:rPr>
                <w:sz w:val="20"/>
                <w:szCs w:val="20"/>
                <w:color w:val="auto"/>
              </w:rPr>
            </w:pPr>
            <w:r>
              <w:rPr>
                <w:rFonts w:ascii="Arial" w:cs="Arial" w:eastAsia="Arial" w:hAnsi="Arial"/>
                <w:sz w:val="13"/>
                <w:szCs w:val="13"/>
                <w:color w:val="auto"/>
              </w:rPr>
              <w:t>Corp.)</w:t>
            </w:r>
            <w:r>
              <w:rPr>
                <w:rFonts w:ascii="Arial" w:cs="Arial" w:eastAsia="Arial" w:hAnsi="Arial"/>
                <w:sz w:val="10"/>
                <w:szCs w:val="10"/>
                <w:color w:val="auto"/>
              </w:rPr>
              <w:t>(5)</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7,391</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1,986</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(9,377)</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957</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1,028</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80" w:type="dxa"/>
            <w:vAlign w:val="bottom"/>
            <w:gridSpan w:val="2"/>
          </w:tcPr>
          <w:p>
            <w:pPr>
              <w:ind w:left="14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2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GreenFiber, LLC</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24,784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20,862</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1,841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22,566</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341</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8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24,784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28,253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22,566</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3"/>
                <w:szCs w:val="13"/>
                <w:color w:val="auto"/>
                <w:w w:val="73"/>
              </w:rPr>
              <w:t>957</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892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color w:val="auto"/>
                <w:w w:val="73"/>
              </w:rPr>
              <w:t>593</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3"/>
                <w:szCs w:val="13"/>
                <w:color w:val="auto"/>
                <w:w w:val="82"/>
              </w:rPr>
              <w:t>341</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w w:val="82"/>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Affiliate Investments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line="135" w:lineRule="exact"/>
              <w:rPr>
                <w:sz w:val="20"/>
                <w:szCs w:val="20"/>
                <w:color w:val="auto"/>
              </w:rPr>
            </w:pPr>
            <w:r>
              <w:rPr>
                <w:rFonts w:ascii="Arial" w:cs="Arial" w:eastAsia="Arial" w:hAnsi="Arial"/>
                <w:sz w:val="13"/>
                <w:szCs w:val="13"/>
                <w:color w:val="auto"/>
              </w:rPr>
              <w:t>FAR Research Inc.</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ind w:left="120"/>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Fiber Materials, Inc.</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line="135" w:lineRule="exact"/>
              <w:rPr>
                <w:sz w:val="20"/>
                <w:szCs w:val="20"/>
                <w:color w:val="auto"/>
              </w:rPr>
            </w:pPr>
            <w:r>
              <w:rPr>
                <w:rFonts w:ascii="Arial" w:cs="Arial" w:eastAsia="Arial" w:hAnsi="Arial"/>
                <w:sz w:val="13"/>
                <w:szCs w:val="13"/>
                <w:color w:val="auto"/>
              </w:rPr>
              <w:t>Medsurant Holdings, LLC</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8,031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10,960</w:t>
            </w: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10,973</w:t>
            </w:r>
          </w:p>
        </w:tc>
        <w:tc>
          <w:tcPr>
            <w:tcW w:w="60" w:type="dxa"/>
            <w:vAlign w:val="bottom"/>
          </w:tcPr>
          <w:p>
            <w:pPr>
              <w:spacing w:after="0"/>
              <w:rPr>
                <w:sz w:val="11"/>
                <w:szCs w:val="11"/>
                <w:color w:val="auto"/>
              </w:rPr>
            </w:pPr>
          </w:p>
        </w:tc>
        <w:tc>
          <w:tcPr>
            <w:tcW w:w="64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281</w:t>
            </w:r>
          </w:p>
        </w:tc>
        <w:tc>
          <w:tcPr>
            <w:tcW w:w="100" w:type="dxa"/>
            <w:vAlign w:val="bottom"/>
          </w:tcPr>
          <w:p>
            <w:pPr>
              <w:spacing w:after="0"/>
              <w:rPr>
                <w:sz w:val="11"/>
                <w:szCs w:val="11"/>
                <w:color w:val="auto"/>
              </w:rPr>
            </w:pP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Mirage Trailers LLC</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6,492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6,494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1,275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7,769</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1,188</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81</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2"/>
          </w:tcPr>
          <w:p>
            <w:pPr>
              <w:spacing w:after="0" w:line="135" w:lineRule="exact"/>
              <w:rPr>
                <w:sz w:val="20"/>
                <w:szCs w:val="20"/>
                <w:color w:val="auto"/>
              </w:rPr>
            </w:pPr>
            <w:r>
              <w:rPr>
                <w:rFonts w:ascii="Arial" w:cs="Arial" w:eastAsia="Arial" w:hAnsi="Arial"/>
                <w:sz w:val="13"/>
                <w:szCs w:val="13"/>
                <w:color w:val="auto"/>
              </w:rPr>
              <w:t>Pfanstiehl, Inc.</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33,505</w:t>
            </w: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513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34,018</w:t>
            </w:r>
          </w:p>
        </w:tc>
        <w:tc>
          <w:tcPr>
            <w:tcW w:w="60" w:type="dxa"/>
            <w:vAlign w:val="bottom"/>
          </w:tcPr>
          <w:p>
            <w:pPr>
              <w:spacing w:after="0"/>
              <w:rPr>
                <w:sz w:val="11"/>
                <w:szCs w:val="11"/>
                <w:color w:val="auto"/>
              </w:rPr>
            </w:pPr>
          </w:p>
        </w:tc>
        <w:tc>
          <w:tcPr>
            <w:tcW w:w="64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514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Pinnergy, Ltd.</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20,589</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20,895</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880" w:type="dxa"/>
            <w:vAlign w:val="bottom"/>
            <w:gridSpan w:val="2"/>
          </w:tcPr>
          <w:p>
            <w:pPr>
              <w:spacing w:after="0" w:line="121" w:lineRule="exact"/>
              <w:rPr>
                <w:sz w:val="20"/>
                <w:szCs w:val="20"/>
                <w:color w:val="auto"/>
              </w:rPr>
            </w:pPr>
            <w:r>
              <w:rPr>
                <w:rFonts w:ascii="Arial" w:cs="Arial" w:eastAsia="Arial" w:hAnsi="Arial"/>
                <w:sz w:val="13"/>
                <w:szCs w:val="13"/>
                <w:color w:val="auto"/>
              </w:rPr>
              <w:t>Spectra A&amp;D Acquisition, Inc. (fka FDS Avionics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120"/>
              <w:spacing w:after="0"/>
              <w:rPr>
                <w:sz w:val="20"/>
                <w:szCs w:val="20"/>
                <w:color w:val="auto"/>
              </w:rPr>
            </w:pPr>
            <w:r>
              <w:rPr>
                <w:rFonts w:ascii="Arial" w:cs="Arial" w:eastAsia="Arial" w:hAnsi="Arial"/>
                <w:sz w:val="13"/>
                <w:szCs w:val="13"/>
                <w:color w:val="auto"/>
              </w:rPr>
              <w:t>Corp.)</w:t>
            </w:r>
            <w:r>
              <w:rPr>
                <w:rFonts w:ascii="Arial" w:cs="Arial" w:eastAsia="Arial" w:hAnsi="Arial"/>
                <w:sz w:val="10"/>
                <w:szCs w:val="10"/>
                <w:color w:val="auto"/>
              </w:rPr>
              <w:t>(5)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8,000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12,241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12,182</w:t>
            </w:r>
          </w:p>
        </w:tc>
        <w:tc>
          <w:tcPr>
            <w:tcW w:w="60" w:type="dxa"/>
            <w:vAlign w:val="bottom"/>
          </w:tcPr>
          <w:p>
            <w:pPr>
              <w:spacing w:after="0"/>
              <w:rPr>
                <w:sz w:val="12"/>
                <w:szCs w:val="12"/>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2"/>
                <w:szCs w:val="12"/>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ind w:left="12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21"/>
        </w:trPr>
        <w:tc>
          <w:tcPr>
            <w:tcW w:w="28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Steward Holding LLC (dba Steward Advanced</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Materials)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9,777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10,107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8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Affiliate Investments</w:t>
            </w: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30,335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81,394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96,014</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3,952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color w:val="auto"/>
                <w:w w:val="73"/>
              </w:rPr>
              <w:t>848</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111</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w w:val="82"/>
              </w:rPr>
              <w:t>183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ind w:left="540" w:right="220" w:hanging="424"/>
        <w:spacing w:after="0" w:line="221"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540" w:right="140" w:hanging="424"/>
        <w:spacing w:after="0" w:line="221"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ind w:left="540" w:right="40" w:hanging="424"/>
        <w:spacing w:after="0" w:line="221"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540" w:hanging="424"/>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Portfolio company was transferred to Affiliate investments from Control investments during the three months ended March 31, 2021.</w:t>
      </w:r>
    </w:p>
    <w:p>
      <w:pPr>
        <w:spacing w:after="0" w:line="196"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table below represents the fair value of control and affiliate investments as of December 31, 2019 and any additions and reductions made to such investments during the year ended December 31, 2020, including the total investment income earned on such investments during the period.</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9"/>
          </w:tcPr>
          <w:p>
            <w:pPr>
              <w:ind w:left="380"/>
              <w:spacing w:after="0"/>
              <w:rPr>
                <w:sz w:val="20"/>
                <w:szCs w:val="20"/>
                <w:color w:val="auto"/>
              </w:rPr>
            </w:pPr>
            <w:r>
              <w:rPr>
                <w:rFonts w:ascii="Arial" w:cs="Arial" w:eastAsia="Arial" w:hAnsi="Arial"/>
                <w:sz w:val="13"/>
                <w:szCs w:val="13"/>
                <w:b w:val="1"/>
                <w:bCs w:val="1"/>
                <w:color w:val="auto"/>
                <w:w w:val="94"/>
              </w:rPr>
              <w:t>Year Ended December 31, 2020</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2"/>
              </w:rPr>
              <w:t>Net</w:t>
            </w:r>
          </w:p>
        </w:tc>
        <w:tc>
          <w:tcPr>
            <w:tcW w:w="60" w:type="dxa"/>
            <w:vAlign w:val="bottom"/>
          </w:tcPr>
          <w:p>
            <w:pPr>
              <w:spacing w:after="0"/>
              <w:rPr>
                <w:sz w:val="9"/>
                <w:szCs w:val="9"/>
                <w:color w:val="auto"/>
              </w:rPr>
            </w:pPr>
          </w:p>
        </w:tc>
        <w:tc>
          <w:tcPr>
            <w:tcW w:w="900" w:type="dxa"/>
            <w:vAlign w:val="bottom"/>
            <w:gridSpan w:val="3"/>
          </w:tcPr>
          <w:p>
            <w:pPr>
              <w:jc w:val="center"/>
              <w:ind w:right="140"/>
              <w:spacing w:after="0" w:line="110" w:lineRule="exact"/>
              <w:rPr>
                <w:sz w:val="20"/>
                <w:szCs w:val="20"/>
                <w:color w:val="auto"/>
              </w:rPr>
            </w:pPr>
            <w:r>
              <w:rPr>
                <w:rFonts w:ascii="Arial" w:cs="Arial" w:eastAsia="Arial" w:hAnsi="Arial"/>
                <w:sz w:val="12"/>
                <w:szCs w:val="12"/>
                <w:b w:val="1"/>
                <w:bCs w:val="1"/>
                <w:color w:val="auto"/>
                <w:w w:val="94"/>
              </w:rPr>
              <w:t>Net Change in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Payment-in-</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2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2020 Principal</w:t>
            </w: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kind</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0"/>
                <w:szCs w:val="10"/>
                <w:b w:val="1"/>
                <w:bCs w:val="1"/>
                <w:color w:val="auto"/>
              </w:rPr>
              <w:t>(1)</w:t>
            </w:r>
          </w:p>
        </w:tc>
        <w:tc>
          <w:tcPr>
            <w:tcW w:w="92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Amount - Debt</w:t>
            </w:r>
          </w:p>
        </w:tc>
        <w:tc>
          <w:tcPr>
            <w:tcW w:w="60" w:type="dxa"/>
            <w:vAlign w:val="bottom"/>
          </w:tcPr>
          <w:p>
            <w:pPr>
              <w:spacing w:after="0"/>
              <w:rPr>
                <w:sz w:val="11"/>
                <w:szCs w:val="11"/>
                <w:color w:val="auto"/>
              </w:rPr>
            </w:pPr>
          </w:p>
        </w:tc>
        <w:tc>
          <w:tcPr>
            <w:tcW w:w="6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1"/>
                <w:szCs w:val="11"/>
                <w:color w:val="auto"/>
              </w:rPr>
            </w:pPr>
          </w:p>
        </w:tc>
        <w:tc>
          <w:tcPr>
            <w:tcW w:w="78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2"/>
              </w:rPr>
              <w:t>2020 Fair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Gains</w:t>
            </w:r>
          </w:p>
        </w:tc>
        <w:tc>
          <w:tcPr>
            <w:tcW w:w="60" w:type="dxa"/>
            <w:vAlign w:val="bottom"/>
          </w:tcPr>
          <w:p>
            <w:pPr>
              <w:spacing w:after="0"/>
              <w:rPr>
                <w:sz w:val="11"/>
                <w:szCs w:val="11"/>
                <w:color w:val="auto"/>
              </w:rPr>
            </w:pP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80" w:type="dxa"/>
            <w:vAlign w:val="bottom"/>
          </w:tcPr>
          <w:p>
            <w:pPr>
              <w:spacing w:after="0"/>
              <w:rPr>
                <w:sz w:val="11"/>
                <w:szCs w:val="11"/>
                <w:color w:val="auto"/>
              </w:rPr>
            </w:pPr>
          </w:p>
        </w:tc>
        <w:tc>
          <w:tcPr>
            <w:tcW w:w="5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Interest</w:t>
            </w: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Dividend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Fee</w:t>
            </w:r>
          </w:p>
        </w:tc>
        <w:tc>
          <w:tcPr>
            <w:tcW w:w="0" w:type="dxa"/>
            <w:vAlign w:val="bottom"/>
          </w:tcPr>
          <w:p>
            <w:pPr>
              <w:spacing w:after="0"/>
              <w:rPr>
                <w:sz w:val="1"/>
                <w:szCs w:val="1"/>
                <w:color w:val="auto"/>
              </w:rPr>
            </w:pPr>
          </w:p>
        </w:tc>
      </w:tr>
      <w:tr>
        <w:trPr>
          <w:trHeight w:val="160"/>
        </w:trPr>
        <w:tc>
          <w:tcPr>
            <w:tcW w:w="2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Investments</w:t>
            </w:r>
          </w:p>
        </w:tc>
        <w:tc>
          <w:tcPr>
            <w:tcW w:w="60" w:type="dxa"/>
            <w:vAlign w:val="bottom"/>
          </w:tcPr>
          <w:p>
            <w:pPr>
              <w:spacing w:after="0"/>
              <w:rPr>
                <w:sz w:val="13"/>
                <w:szCs w:val="13"/>
                <w:color w:val="auto"/>
              </w:rPr>
            </w:pPr>
          </w:p>
        </w:tc>
        <w:tc>
          <w:tcPr>
            <w:tcW w:w="7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3"/>
                <w:szCs w:val="13"/>
                <w:color w:val="auto"/>
              </w:rPr>
            </w:pPr>
          </w:p>
        </w:tc>
        <w:tc>
          <w:tcPr>
            <w:tcW w:w="80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10"/>
                <w:szCs w:val="10"/>
                <w:b w:val="1"/>
                <w:bCs w:val="1"/>
                <w:color w:val="auto"/>
              </w:rPr>
              <w:t>(2)</w:t>
            </w:r>
          </w:p>
        </w:tc>
        <w:tc>
          <w:tcPr>
            <w:tcW w:w="9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 xml:space="preserve">Reductions </w:t>
            </w:r>
            <w:r>
              <w:rPr>
                <w:rFonts w:ascii="Arial" w:cs="Arial" w:eastAsia="Arial" w:hAnsi="Arial"/>
                <w:sz w:val="10"/>
                <w:szCs w:val="10"/>
                <w:b w:val="1"/>
                <w:bCs w:val="1"/>
                <w:color w:val="auto"/>
              </w:rPr>
              <w:t>(3)</w:t>
            </w:r>
          </w:p>
        </w:tc>
        <w:tc>
          <w:tcPr>
            <w:tcW w:w="80" w:type="dxa"/>
            <w:vAlign w:val="bottom"/>
          </w:tcPr>
          <w:p>
            <w:pPr>
              <w:spacing w:after="0"/>
              <w:rPr>
                <w:sz w:val="13"/>
                <w:szCs w:val="13"/>
                <w:color w:val="auto"/>
              </w:rPr>
            </w:pPr>
          </w:p>
        </w:tc>
        <w:tc>
          <w:tcPr>
            <w:tcW w:w="720" w:type="dxa"/>
            <w:vAlign w:val="bottom"/>
            <w:gridSpan w:val="2"/>
          </w:tcPr>
          <w:p>
            <w:pPr>
              <w:jc w:val="right"/>
              <w:ind w:right="280"/>
              <w:spacing w:after="0" w:line="140" w:lineRule="exact"/>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3"/>
                <w:szCs w:val="13"/>
                <w:color w:val="auto"/>
              </w:rPr>
            </w:pPr>
          </w:p>
        </w:tc>
        <w:tc>
          <w:tcPr>
            <w:tcW w:w="66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89"/>
              </w:rPr>
              <w:t xml:space="preserve">(Losses) </w:t>
            </w:r>
            <w:r>
              <w:rPr>
                <w:rFonts w:ascii="Arial" w:cs="Arial" w:eastAsia="Arial" w:hAnsi="Arial"/>
                <w:sz w:val="10"/>
                <w:szCs w:val="10"/>
                <w:b w:val="1"/>
                <w:bCs w:val="1"/>
                <w:color w:val="auto"/>
                <w:w w:val="89"/>
              </w:rPr>
              <w:t>(4)</w:t>
            </w:r>
          </w:p>
        </w:tc>
        <w:tc>
          <w:tcPr>
            <w:tcW w:w="60" w:type="dxa"/>
            <w:vAlign w:val="bottom"/>
          </w:tcPr>
          <w:p>
            <w:pPr>
              <w:spacing w:after="0"/>
              <w:rPr>
                <w:sz w:val="13"/>
                <w:szCs w:val="13"/>
                <w:color w:val="auto"/>
              </w:rPr>
            </w:pPr>
          </w:p>
        </w:tc>
        <w:tc>
          <w:tcPr>
            <w:tcW w:w="900" w:type="dxa"/>
            <w:vAlign w:val="bottom"/>
            <w:gridSpan w:val="3"/>
          </w:tcPr>
          <w:p>
            <w:pPr>
              <w:jc w:val="center"/>
              <w:ind w:right="140"/>
              <w:spacing w:after="0" w:line="140" w:lineRule="exact"/>
              <w:rPr>
                <w:sz w:val="20"/>
                <w:szCs w:val="20"/>
                <w:color w:val="auto"/>
              </w:rPr>
            </w:pPr>
            <w:r>
              <w:rPr>
                <w:rFonts w:ascii="Arial" w:cs="Arial" w:eastAsia="Arial" w:hAnsi="Arial"/>
                <w:sz w:val="13"/>
                <w:szCs w:val="13"/>
                <w:b w:val="1"/>
                <w:bCs w:val="1"/>
                <w:color w:val="auto"/>
                <w:w w:val="86"/>
              </w:rPr>
              <w:t>(Depreciation)</w:t>
            </w:r>
          </w:p>
        </w:tc>
        <w:tc>
          <w:tcPr>
            <w:tcW w:w="80" w:type="dxa"/>
            <w:vAlign w:val="bottom"/>
          </w:tcPr>
          <w:p>
            <w:pPr>
              <w:spacing w:after="0"/>
              <w:rPr>
                <w:sz w:val="13"/>
                <w:szCs w:val="13"/>
                <w:color w:val="auto"/>
              </w:rPr>
            </w:pPr>
          </w:p>
        </w:tc>
        <w:tc>
          <w:tcPr>
            <w:tcW w:w="5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6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7"/>
              </w:rPr>
              <w:t>Income</w:t>
            </w:r>
          </w:p>
        </w:tc>
        <w:tc>
          <w:tcPr>
            <w:tcW w:w="56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13"/>
                <w:szCs w:val="13"/>
                <w:color w:val="auto"/>
              </w:rPr>
            </w:pPr>
          </w:p>
        </w:tc>
        <w:tc>
          <w:tcPr>
            <w:tcW w:w="4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09"/>
        </w:trPr>
        <w:tc>
          <w:tcPr>
            <w:tcW w:w="11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b w:val="1"/>
                <w:bCs w:val="1"/>
                <w:color w:val="auto"/>
                <w:w w:val="99"/>
              </w:rPr>
              <w:t>Control Investments</w:t>
            </w:r>
          </w:p>
        </w:tc>
        <w:tc>
          <w:tcPr>
            <w:tcW w:w="14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3"/>
                <w:szCs w:val="13"/>
                <w:color w:val="auto"/>
                <w:w w:val="92"/>
              </w:rPr>
              <w:t>FDS Avionics Corp. (dba Fight Display Systems)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5,122</w:t>
            </w: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5,403</w:t>
            </w: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1,988</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7,391</w:t>
            </w:r>
          </w:p>
        </w:tc>
        <w:tc>
          <w:tcPr>
            <w:tcW w:w="12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1,545</w:t>
            </w: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298</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442</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GreenFiber, LLC</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22,943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16,417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5,830</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(1,385)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20,862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(363)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1,591</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1,306</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6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7,818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(1,385)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1,889</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1,748</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Affiliate Investments</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3"/>
                <w:szCs w:val="13"/>
                <w:color w:val="auto"/>
              </w:rPr>
              <w:t>FAR Research Inc.</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ind w:left="5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w:t>
            </w: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12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Fiber Materials, Inc.</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10,449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9,681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(20,089)</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9,681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354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3"/>
                <w:szCs w:val="13"/>
                <w:color w:val="auto"/>
              </w:rPr>
              <w:t>Medsurant Holdings, LLC</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8,031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16,980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1,721</w:t>
            </w: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(7,741)</w:t>
            </w: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10,960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1,145</w:t>
            </w:r>
          </w:p>
        </w:tc>
        <w:tc>
          <w:tcPr>
            <w:tcW w:w="100" w:type="dxa"/>
            <w:vAlign w:val="bottom"/>
          </w:tcPr>
          <w:p>
            <w:pPr>
              <w:spacing w:after="0"/>
              <w:rPr>
                <w:sz w:val="11"/>
                <w:szCs w:val="11"/>
                <w:color w:val="auto"/>
              </w:rPr>
            </w:pP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Microbiology Research Associates, Inc.</w:t>
            </w:r>
            <w:r>
              <w:rPr>
                <w:rFonts w:ascii="Arial" w:cs="Arial" w:eastAsia="Arial" w:hAnsi="Arial"/>
                <w:sz w:val="10"/>
                <w:szCs w:val="10"/>
                <w:color w:val="auto"/>
              </w:rPr>
              <w:t>(5)</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11,611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(11,632)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3"/>
                <w:szCs w:val="13"/>
                <w:color w:val="auto"/>
              </w:rPr>
              <w:t>Mirage Trailers LLC</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7,218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235</w:t>
            </w: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(959)</w:t>
            </w: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6,494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718</w:t>
            </w:r>
          </w:p>
        </w:tc>
        <w:tc>
          <w:tcPr>
            <w:tcW w:w="100" w:type="dxa"/>
            <w:vAlign w:val="bottom"/>
          </w:tcPr>
          <w:p>
            <w:pPr>
              <w:spacing w:after="0"/>
              <w:rPr>
                <w:sz w:val="11"/>
                <w:szCs w:val="11"/>
                <w:color w:val="auto"/>
              </w:rPr>
            </w:pP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159</w:t>
            </w:r>
          </w:p>
        </w:tc>
        <w:tc>
          <w:tcPr>
            <w:tcW w:w="180" w:type="dxa"/>
            <w:vAlign w:val="bottom"/>
          </w:tcPr>
          <w:p>
            <w:pPr>
              <w:spacing w:after="0"/>
              <w:rPr>
                <w:sz w:val="11"/>
                <w:szCs w:val="11"/>
                <w:color w:val="auto"/>
              </w:rPr>
            </w:pPr>
          </w:p>
        </w:tc>
        <w:tc>
          <w:tcPr>
            <w:tcW w:w="38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Pfanstiehl, Inc.</w:t>
            </w: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32,822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20,128</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(19,445)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33,505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12,812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7,309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3"/>
                <w:szCs w:val="13"/>
                <w:color w:val="auto"/>
              </w:rPr>
              <w:t>Pinnergy, Ltd.</w:t>
            </w:r>
          </w:p>
        </w:tc>
        <w:tc>
          <w:tcPr>
            <w:tcW w:w="60" w:type="dxa"/>
            <w:vAlign w:val="bottom"/>
          </w:tcPr>
          <w:p>
            <w:pPr>
              <w:spacing w:after="0"/>
              <w:rPr>
                <w:sz w:val="11"/>
                <w:szCs w:val="11"/>
                <w:color w:val="auto"/>
              </w:rPr>
            </w:pPr>
          </w:p>
        </w:tc>
        <w:tc>
          <w:tcPr>
            <w:tcW w:w="860" w:type="dxa"/>
            <w:vAlign w:val="bottom"/>
            <w:gridSpan w:val="3"/>
          </w:tcPr>
          <w:p>
            <w:pPr>
              <w:ind w:left="5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32,978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301</w:t>
            </w: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(12,690)</w:t>
            </w: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20,589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301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Steward Holding LLC (dba Steward Advanced</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Materials)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9,469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117</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2"/>
        </w:trPr>
        <w:tc>
          <w:tcPr>
            <w:tcW w:w="26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Affiliate Investments</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22,224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121,555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32,395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(72,556)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81,394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24,508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(15,669)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3,511</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3"/>
                <w:szCs w:val="13"/>
                <w:color w:val="auto"/>
                <w:w w:val="82"/>
              </w:rPr>
              <w:t>287</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w w:val="82"/>
              </w:rPr>
              <w:t>837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w w:val="82"/>
              </w:rPr>
              <w:t>120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 and if the investment is income producing is disclosed in the consolidated schedule of investments.</w:t>
      </w:r>
    </w:p>
    <w:p>
      <w:pPr>
        <w:ind w:left="540" w:right="220" w:hanging="424"/>
        <w:spacing w:after="0" w:line="221"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540" w:right="140" w:hanging="424"/>
        <w:spacing w:after="0" w:line="221"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ind w:left="540" w:right="40" w:hanging="424"/>
        <w:spacing w:after="0" w:line="221"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540" w:hanging="424"/>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Portfolio company was transferred to Non-control/Non-affiliate investments from Affiliate investments during the twelve months ended December 31, 2020.</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ectPr>
          <w:pgSz w:w="11900" w:h="16838" w:orient="portrait"/>
          <w:cols w:equalWidth="0" w:num="1">
            <w:col w:w="11140"/>
          </w:cols>
          <w:pgMar w:left="320" w:top="459" w:right="439" w:bottom="21"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40"/>
          </w:cols>
          <w:pgMar w:left="320" w:top="459" w:right="439" w:bottom="21"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8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080" w:right="3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2" w:lineRule="exact"/>
        <w:rPr>
          <w:rFonts w:ascii="Arial" w:cs="Arial" w:eastAsia="Arial" w:hAnsi="Arial"/>
          <w:sz w:val="17"/>
          <w:szCs w:val="17"/>
          <w:color w:val="auto"/>
        </w:rPr>
      </w:pPr>
    </w:p>
    <w:p>
      <w:pPr>
        <w:ind w:left="1080" w:right="20" w:hanging="424"/>
        <w:spacing w:after="0" w:line="272"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8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9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w:t>
      </w:r>
    </w:p>
    <w:p>
      <w:pPr>
        <w:sectPr>
          <w:pgSz w:w="11900" w:h="16838" w:orient="portrait"/>
          <w:cols w:equalWidth="0" w:num="1">
            <w:col w:w="11120"/>
          </w:cols>
          <w:pgMar w:left="320" w:top="459" w:right="45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87" w:lineRule="exact"/>
        <w:rPr>
          <w:sz w:val="20"/>
          <w:szCs w:val="20"/>
          <w:color w:val="auto"/>
        </w:rPr>
      </w:pPr>
    </w:p>
    <w:p>
      <w:pPr>
        <w:ind w:left="120" w:right="460" w:firstLine="440"/>
        <w:spacing w:after="0" w:line="272"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7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three months ended March 31, 2021 and 2020.</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three months ended March 31, 2021 and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Second Lien</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Subordinated</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First Lien</w:t>
            </w:r>
          </w:p>
        </w:tc>
        <w:tc>
          <w:tcPr>
            <w:tcW w:w="100" w:type="dxa"/>
            <w:vAlign w:val="bottom"/>
          </w:tcPr>
          <w:p>
            <w:pPr>
              <w:spacing w:after="0"/>
              <w:rPr>
                <w:sz w:val="14"/>
                <w:szCs w:val="1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4"/>
                <w:szCs w:val="14"/>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Debt</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$ 383,077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140,843</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$108,327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126,564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$766,919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29,419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1,862</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31,377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(18,819)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(49,529)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(2,319)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(74,590)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45,940</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68,192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(11,706)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(41,982)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(4,491)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(73,772)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March 31, 2020</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$ 373,560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140,188</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137,307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$ 332,154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$187,353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112,836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2,615</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$742,869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(4,240)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36,900</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63,107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(40,403)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(24,039)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(98,565)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March 31, 2021</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$ 295,546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99,834</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195,673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118,179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711,884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Net change in unrealized appreciation/(depreciation) of $1,018 and ($73,964) for the three months ended March 31, 2021 and 2020, was attributable to Level 3 investments held at March 31, 2021 and 2020, respectively.</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March 31, 2021 and December 31, 2020. The tables are not intended to be all-inclusive, but instead capture the significant unobservable inputs relevant to the Company’s determination of fair values.</w:t>
      </w:r>
    </w:p>
    <w:p>
      <w:pPr>
        <w:sectPr>
          <w:pgSz w:w="11900" w:h="16838" w:orient="portrait"/>
          <w:cols w:equalWidth="0" w:num="1">
            <w:col w:w="11140"/>
          </w:cols>
          <w:pgMar w:left="320" w:top="459" w:right="43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40"/>
          </w:cols>
          <w:pgMar w:left="32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2"/>
                <w:szCs w:val="12"/>
                <w:color w:val="auto"/>
              </w:rPr>
            </w:pPr>
          </w:p>
        </w:tc>
        <w:tc>
          <w:tcPr>
            <w:tcW w:w="26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Valuation Techniques</w:t>
            </w: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Pr>
          <w:p>
            <w:pPr>
              <w:spacing w:after="0"/>
              <w:rPr>
                <w:sz w:val="12"/>
                <w:szCs w:val="12"/>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Range (weighted average)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60"/>
              <w:spacing w:after="0"/>
              <w:rPr>
                <w:sz w:val="20"/>
                <w:szCs w:val="20"/>
                <w:color w:val="auto"/>
              </w:rPr>
            </w:pPr>
            <w:r>
              <w:rPr>
                <w:rFonts w:ascii="Arial" w:cs="Arial" w:eastAsia="Arial" w:hAnsi="Arial"/>
                <w:sz w:val="18"/>
                <w:szCs w:val="18"/>
                <w:color w:val="auto"/>
              </w:rPr>
              <w:t>Second Lien Debt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274,891</w:t>
            </w: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Discounted cash flow</w:t>
            </w:r>
          </w:p>
        </w:tc>
        <w:tc>
          <w:tcPr>
            <w:tcW w:w="2520" w:type="dxa"/>
            <w:vAlign w:val="bottom"/>
          </w:tcPr>
          <w:p>
            <w:pPr>
              <w:spacing w:after="0"/>
              <w:rPr>
                <w:sz w:val="20"/>
                <w:szCs w:val="20"/>
                <w:color w:val="auto"/>
              </w:rPr>
            </w:pPr>
            <w:r>
              <w:rPr>
                <w:rFonts w:ascii="Arial" w:cs="Arial" w:eastAsia="Arial" w:hAnsi="Arial"/>
                <w:sz w:val="18"/>
                <w:szCs w:val="18"/>
                <w:color w:val="auto"/>
                <w:w w:val="95"/>
              </w:rPr>
              <w:t>Weighted average cost of capital</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9.3% - 26.4% (14.8%)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w:t>
            </w:r>
          </w:p>
        </w:tc>
        <w:tc>
          <w:tcPr>
            <w:tcW w:w="2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4.4x</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- 4.4x (4.4x)</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14,945</w:t>
            </w: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Asset Coverage</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1.1x</w:t>
            </w:r>
          </w:p>
        </w:tc>
        <w:tc>
          <w:tcPr>
            <w:tcW w:w="1460" w:type="dxa"/>
            <w:vAlign w:val="bottom"/>
          </w:tcPr>
          <w:p>
            <w:pPr>
              <w:ind w:left="20"/>
              <w:spacing w:after="0"/>
              <w:rPr>
                <w:sz w:val="20"/>
                <w:szCs w:val="20"/>
                <w:color w:val="auto"/>
              </w:rPr>
            </w:pPr>
            <w:r>
              <w:rPr>
                <w:rFonts w:ascii="Arial" w:cs="Arial" w:eastAsia="Arial" w:hAnsi="Arial"/>
                <w:sz w:val="18"/>
                <w:szCs w:val="18"/>
                <w:color w:val="auto"/>
              </w:rPr>
              <w:t>- 1.2x (1.2x)</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Subordinated Debt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99,834</w:t>
            </w:r>
          </w:p>
        </w:tc>
        <w:tc>
          <w:tcPr>
            <w:tcW w:w="2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Discounted cash flow</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cost of capital</w:t>
            </w:r>
          </w:p>
        </w:tc>
        <w:tc>
          <w:tcPr>
            <w:tcW w:w="1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11.5% - 13.0% (11.8%)</w:t>
            </w:r>
          </w:p>
        </w:tc>
        <w:tc>
          <w:tcPr>
            <w:tcW w:w="0" w:type="dxa"/>
            <w:vAlign w:val="bottom"/>
          </w:tcPr>
          <w:p>
            <w:pPr>
              <w:spacing w:after="0"/>
              <w:rPr>
                <w:sz w:val="1"/>
                <w:szCs w:val="1"/>
                <w:color w:val="auto"/>
              </w:rPr>
            </w:pPr>
          </w:p>
        </w:tc>
      </w:tr>
      <w:tr>
        <w:trPr>
          <w:trHeight w:val="216"/>
        </w:trPr>
        <w:tc>
          <w:tcPr>
            <w:tcW w:w="2960" w:type="dxa"/>
            <w:vAlign w:val="bottom"/>
          </w:tcPr>
          <w:p>
            <w:pPr>
              <w:ind w:left="460"/>
              <w:spacing w:after="0"/>
              <w:rPr>
                <w:sz w:val="20"/>
                <w:szCs w:val="20"/>
                <w:color w:val="auto"/>
              </w:rPr>
            </w:pPr>
            <w:r>
              <w:rPr>
                <w:rFonts w:ascii="Arial" w:cs="Arial" w:eastAsia="Arial" w:hAnsi="Arial"/>
                <w:sz w:val="18"/>
                <w:szCs w:val="18"/>
                <w:color w:val="auto"/>
              </w:rPr>
              <w:t>First Lien Debt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195,673</w:t>
            </w: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Discounted cash flow</w:t>
            </w:r>
          </w:p>
        </w:tc>
        <w:tc>
          <w:tcPr>
            <w:tcW w:w="2520" w:type="dxa"/>
            <w:vAlign w:val="bottom"/>
          </w:tcPr>
          <w:p>
            <w:pPr>
              <w:spacing w:after="0"/>
              <w:rPr>
                <w:sz w:val="20"/>
                <w:szCs w:val="20"/>
                <w:color w:val="auto"/>
              </w:rPr>
            </w:pPr>
            <w:r>
              <w:rPr>
                <w:rFonts w:ascii="Arial" w:cs="Arial" w:eastAsia="Arial" w:hAnsi="Arial"/>
                <w:sz w:val="18"/>
                <w:szCs w:val="18"/>
                <w:color w:val="auto"/>
                <w:w w:val="95"/>
              </w:rPr>
              <w:t>Weighted average cost of capital</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6.9% - 16.4% (10.6%)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60"/>
              <w:spacing w:after="0"/>
              <w:rPr>
                <w:sz w:val="20"/>
                <w:szCs w:val="20"/>
                <w:color w:val="auto"/>
              </w:rPr>
            </w:pPr>
            <w:r>
              <w:rPr>
                <w:rFonts w:ascii="Arial" w:cs="Arial" w:eastAsia="Arial" w:hAnsi="Arial"/>
                <w:sz w:val="18"/>
                <w:szCs w:val="18"/>
                <w:color w:val="auto"/>
              </w:rPr>
              <w:t>Equity</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118,179</w:t>
            </w: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EBITDA multiples</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4.4x</w:t>
            </w:r>
          </w:p>
        </w:tc>
        <w:tc>
          <w:tcPr>
            <w:tcW w:w="1460" w:type="dxa"/>
            <w:vAlign w:val="bottom"/>
          </w:tcPr>
          <w:p>
            <w:pPr>
              <w:ind w:left="20"/>
              <w:spacing w:after="0"/>
              <w:rPr>
                <w:sz w:val="20"/>
                <w:szCs w:val="20"/>
                <w:color w:val="auto"/>
              </w:rPr>
            </w:pPr>
            <w:r>
              <w:rPr>
                <w:rFonts w:ascii="Arial" w:cs="Arial" w:eastAsia="Arial" w:hAnsi="Arial"/>
                <w:sz w:val="18"/>
                <w:szCs w:val="18"/>
                <w:color w:val="auto"/>
              </w:rPr>
              <w:t>- 15.3x (7.5x)</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Warrants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w:t>
            </w:r>
          </w:p>
        </w:tc>
        <w:tc>
          <w:tcPr>
            <w:tcW w:w="2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4.5x</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- 7.0x (6.6x)</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26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Valuation Techniques</w:t>
            </w: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Pr>
          <w:p>
            <w:pPr>
              <w:spacing w:after="0"/>
              <w:rPr>
                <w:sz w:val="12"/>
                <w:szCs w:val="12"/>
                <w:color w:val="auto"/>
              </w:rPr>
            </w:pPr>
          </w:p>
        </w:tc>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Range (weighted average)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60"/>
              <w:spacing w:after="0"/>
              <w:rPr>
                <w:sz w:val="20"/>
                <w:szCs w:val="20"/>
                <w:color w:val="auto"/>
              </w:rPr>
            </w:pPr>
            <w:r>
              <w:rPr>
                <w:rFonts w:ascii="Arial" w:cs="Arial" w:eastAsia="Arial" w:hAnsi="Arial"/>
                <w:sz w:val="18"/>
                <w:szCs w:val="18"/>
                <w:color w:val="auto"/>
              </w:rPr>
              <w:t>Second Lien Debt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  306,405</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rPr>
              <w:t>Discounted cash flow</w:t>
            </w:r>
          </w:p>
        </w:tc>
        <w:tc>
          <w:tcPr>
            <w:tcW w:w="2520" w:type="dxa"/>
            <w:vAlign w:val="bottom"/>
          </w:tcPr>
          <w:p>
            <w:pPr>
              <w:spacing w:after="0"/>
              <w:rPr>
                <w:sz w:val="20"/>
                <w:szCs w:val="20"/>
                <w:color w:val="auto"/>
              </w:rPr>
            </w:pPr>
            <w:r>
              <w:rPr>
                <w:rFonts w:ascii="Arial" w:cs="Arial" w:eastAsia="Arial" w:hAnsi="Arial"/>
                <w:sz w:val="18"/>
                <w:szCs w:val="18"/>
                <w:color w:val="auto"/>
                <w:w w:val="95"/>
              </w:rPr>
              <w:t>Weighted average cost of capital</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w w:val="97"/>
              </w:rPr>
              <w:t>9.3% - 27.0% (14.0%)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5,454</w:t>
            </w:r>
          </w:p>
        </w:tc>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3.9x</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- 3.9x (3.9x)</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5,123</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Revenue multiples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2.1x</w:t>
            </w:r>
          </w:p>
        </w:tc>
        <w:tc>
          <w:tcPr>
            <w:tcW w:w="1420" w:type="dxa"/>
            <w:vAlign w:val="bottom"/>
          </w:tcPr>
          <w:p>
            <w:pPr>
              <w:ind w:left="40"/>
              <w:spacing w:after="0"/>
              <w:rPr>
                <w:sz w:val="20"/>
                <w:szCs w:val="20"/>
                <w:color w:val="auto"/>
              </w:rPr>
            </w:pPr>
            <w:r>
              <w:rPr>
                <w:rFonts w:ascii="Arial" w:cs="Arial" w:eastAsia="Arial" w:hAnsi="Arial"/>
                <w:sz w:val="18"/>
                <w:szCs w:val="18"/>
                <w:color w:val="auto"/>
              </w:rPr>
              <w:t>- 2.1x (2.1x)</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15,172</w:t>
            </w:r>
          </w:p>
        </w:tc>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Asset Coverage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1.2x</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- 1.2x (1.2x)</w:t>
            </w:r>
          </w:p>
        </w:tc>
        <w:tc>
          <w:tcPr>
            <w:tcW w:w="0" w:type="dxa"/>
            <w:vAlign w:val="bottom"/>
          </w:tcPr>
          <w:p>
            <w:pPr>
              <w:spacing w:after="0"/>
              <w:rPr>
                <w:sz w:val="1"/>
                <w:szCs w:val="1"/>
                <w:color w:val="auto"/>
              </w:rPr>
            </w:pPr>
          </w:p>
        </w:tc>
      </w:tr>
      <w:tr>
        <w:trPr>
          <w:trHeight w:val="216"/>
        </w:trPr>
        <w:tc>
          <w:tcPr>
            <w:tcW w:w="2960" w:type="dxa"/>
            <w:vAlign w:val="bottom"/>
          </w:tcPr>
          <w:p>
            <w:pPr>
              <w:ind w:left="460"/>
              <w:spacing w:after="0"/>
              <w:rPr>
                <w:sz w:val="20"/>
                <w:szCs w:val="20"/>
                <w:color w:val="auto"/>
              </w:rPr>
            </w:pPr>
            <w:r>
              <w:rPr>
                <w:rFonts w:ascii="Arial" w:cs="Arial" w:eastAsia="Arial" w:hAnsi="Arial"/>
                <w:sz w:val="18"/>
                <w:szCs w:val="18"/>
                <w:color w:val="auto"/>
              </w:rPr>
              <w:t>Subordinated Debt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107,911</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rPr>
              <w:t>Discounted cash flow</w:t>
            </w:r>
          </w:p>
        </w:tc>
        <w:tc>
          <w:tcPr>
            <w:tcW w:w="2520" w:type="dxa"/>
            <w:vAlign w:val="bottom"/>
          </w:tcPr>
          <w:p>
            <w:pPr>
              <w:spacing w:after="0"/>
              <w:rPr>
                <w:sz w:val="20"/>
                <w:szCs w:val="20"/>
                <w:color w:val="auto"/>
              </w:rPr>
            </w:pPr>
            <w:r>
              <w:rPr>
                <w:rFonts w:ascii="Arial" w:cs="Arial" w:eastAsia="Arial" w:hAnsi="Arial"/>
                <w:sz w:val="18"/>
                <w:szCs w:val="18"/>
                <w:color w:val="auto"/>
                <w:w w:val="95"/>
              </w:rPr>
              <w:t>Weighted average cost of capital</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w w:val="92"/>
              </w:rPr>
              <w:t>11.5% - 12.0% (11.7%)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First Lien Debt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183,238</w:t>
            </w:r>
          </w:p>
        </w:tc>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Discounted cash flow</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cost of capital</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6.8% - 16.3% (10.3%)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4,115</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Asset Coverage</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1.8x</w:t>
            </w:r>
          </w:p>
        </w:tc>
        <w:tc>
          <w:tcPr>
            <w:tcW w:w="1420" w:type="dxa"/>
            <w:vAlign w:val="bottom"/>
          </w:tcPr>
          <w:p>
            <w:pPr>
              <w:ind w:left="40"/>
              <w:spacing w:after="0"/>
              <w:rPr>
                <w:sz w:val="20"/>
                <w:szCs w:val="20"/>
                <w:color w:val="auto"/>
              </w:rPr>
            </w:pPr>
            <w:r>
              <w:rPr>
                <w:rFonts w:ascii="Arial" w:cs="Arial" w:eastAsia="Arial" w:hAnsi="Arial"/>
                <w:sz w:val="18"/>
                <w:szCs w:val="18"/>
                <w:color w:val="auto"/>
              </w:rPr>
              <w:t>- 1.8x (1.8x)</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60"/>
              <w:spacing w:after="0"/>
              <w:rPr>
                <w:sz w:val="20"/>
                <w:szCs w:val="20"/>
                <w:color w:val="auto"/>
              </w:rPr>
            </w:pPr>
            <w:r>
              <w:rPr>
                <w:rFonts w:ascii="Arial" w:cs="Arial" w:eastAsia="Arial" w:hAnsi="Arial"/>
                <w:sz w:val="18"/>
                <w:szCs w:val="18"/>
                <w:color w:val="auto"/>
              </w:rPr>
              <w:t>Equity</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110,568</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3.9x</w:t>
            </w:r>
          </w:p>
        </w:tc>
        <w:tc>
          <w:tcPr>
            <w:tcW w:w="1420" w:type="dxa"/>
            <w:vAlign w:val="bottom"/>
          </w:tcPr>
          <w:p>
            <w:pPr>
              <w:ind w:left="40"/>
              <w:spacing w:after="0"/>
              <w:rPr>
                <w:sz w:val="20"/>
                <w:szCs w:val="20"/>
                <w:color w:val="auto"/>
              </w:rPr>
            </w:pPr>
            <w:r>
              <w:rPr>
                <w:rFonts w:ascii="Arial" w:cs="Arial" w:eastAsia="Arial" w:hAnsi="Arial"/>
                <w:sz w:val="18"/>
                <w:szCs w:val="18"/>
                <w:color w:val="auto"/>
              </w:rPr>
              <w:t>- 15.3x (8.1x)</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2,268</w:t>
            </w:r>
          </w:p>
        </w:tc>
        <w:tc>
          <w:tcPr>
            <w:tcW w:w="2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 multiples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2.1x</w:t>
            </w:r>
          </w:p>
        </w:tc>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- 2.1x (2.1x)</w:t>
            </w:r>
          </w:p>
        </w:tc>
        <w:tc>
          <w:tcPr>
            <w:tcW w:w="0" w:type="dxa"/>
            <w:vAlign w:val="bottom"/>
          </w:tcPr>
          <w:p>
            <w:pPr>
              <w:spacing w:after="0"/>
              <w:rPr>
                <w:sz w:val="1"/>
                <w:szCs w:val="1"/>
                <w:color w:val="auto"/>
              </w:rPr>
            </w:pPr>
          </w:p>
        </w:tc>
      </w:tr>
      <w:tr>
        <w:trPr>
          <w:trHeight w:val="230"/>
        </w:trPr>
        <w:tc>
          <w:tcPr>
            <w:tcW w:w="2960" w:type="dxa"/>
            <w:vAlign w:val="bottom"/>
          </w:tcPr>
          <w:p>
            <w:pPr>
              <w:ind w:left="460"/>
              <w:spacing w:after="0"/>
              <w:rPr>
                <w:sz w:val="20"/>
                <w:szCs w:val="20"/>
                <w:color w:val="auto"/>
              </w:rPr>
            </w:pPr>
            <w:r>
              <w:rPr>
                <w:rFonts w:ascii="Arial" w:cs="Arial" w:eastAsia="Arial" w:hAnsi="Arial"/>
                <w:sz w:val="18"/>
                <w:szCs w:val="18"/>
                <w:color w:val="auto"/>
              </w:rPr>
              <w:t>Warrants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2,615</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rPr>
              <w:t>Enterprise value</w:t>
            </w:r>
          </w:p>
        </w:tc>
        <w:tc>
          <w:tcPr>
            <w:tcW w:w="2520" w:type="dxa"/>
            <w:vAlign w:val="bottom"/>
          </w:tcPr>
          <w:p>
            <w:pPr>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4.5x</w:t>
            </w:r>
          </w:p>
        </w:tc>
        <w:tc>
          <w:tcPr>
            <w:tcW w:w="1420" w:type="dxa"/>
            <w:vAlign w:val="bottom"/>
          </w:tcPr>
          <w:p>
            <w:pPr>
              <w:ind w:left="40"/>
              <w:spacing w:after="0"/>
              <w:rPr>
                <w:sz w:val="20"/>
                <w:szCs w:val="20"/>
                <w:color w:val="auto"/>
              </w:rPr>
            </w:pPr>
            <w:r>
              <w:rPr>
                <w:rFonts w:ascii="Arial" w:cs="Arial" w:eastAsia="Arial" w:hAnsi="Arial"/>
                <w:sz w:val="18"/>
                <w:szCs w:val="18"/>
                <w:color w:val="auto"/>
              </w:rPr>
              <w:t>- 6.5x (6.2x)</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25"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Notes (as defined in Note 6) are recorded at their respective carrying values.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summarize the carrying value and fair value of the Company’s debt obligations as of March 31, 2021 and December 31,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133,800</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$133,800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$147,000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15,000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5"/>
                <w:szCs w:val="15"/>
                <w:color w:val="auto"/>
              </w:rPr>
              <w:t>(4)</w:t>
            </w: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19,000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19,312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69,000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November 2024 Notes </w:t>
            </w:r>
            <w:r>
              <w:rPr>
                <w:rFonts w:ascii="Arial" w:cs="Arial" w:eastAsia="Arial" w:hAnsi="Arial"/>
                <w:sz w:val="15"/>
                <w:szCs w:val="15"/>
                <w:color w:val="auto"/>
              </w:rPr>
              <w:t>(4)</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63,250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64,996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63,250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2026 Notes </w:t>
            </w: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125,000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125,302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125,000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356,050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358,410</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454,250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456,754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jc w:val="both"/>
        <w:ind w:left="540" w:right="12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9" w:lineRule="exact"/>
        <w:rPr>
          <w:rFonts w:ascii="Arial" w:cs="Arial" w:eastAsia="Arial" w:hAnsi="Arial"/>
          <w:sz w:val="18"/>
          <w:szCs w:val="18"/>
          <w:color w:val="auto"/>
        </w:rPr>
      </w:pPr>
    </w:p>
    <w:p>
      <w:pPr>
        <w:ind w:left="540" w:right="520" w:hanging="424"/>
        <w:spacing w:after="0" w:line="26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value of the 2026 Notes is estimated by discounting the remaining payments using current market rates for similar instruments and considering such factors as the legal maturity date, which are Level 3 inputs under ASC Topic 820.</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March 31, 2021 and December 31, 2020.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Valuation Inputs</w:t>
            </w:r>
          </w:p>
        </w:tc>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16"/>
              <w:spacing w:after="0" w:line="158"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540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84,308</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184,754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5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274,102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272,000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358,410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456,754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4,</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Board approved the renewal of the Investment Advisory Agreement through June 20, 2021.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was $3,176 for the three months ended March 31, 2021, and $3,272 for the three months ended March 31, 2020, respectively. As of March 31, 2021 and December 31, 2020, the base management fee payable was $3,176 and $3,244, respectively.</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ectPr>
          <w:pgSz w:w="11900" w:h="16838" w:orient="portrait"/>
          <w:cols w:equalWidth="0" w:num="1">
            <w:col w:w="11100"/>
          </w:cols>
          <w:pgMar w:left="320" w:top="459" w:right="479" w:bottom="1440"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00"/>
          </w:cols>
          <w:pgMar w:left="32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197"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53"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3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$2,669 for the three months ended March 31, 2021, and $1,855 for the three months ended March 31, 2020, respectively. As of March 31, 2021 and December 31, 2020, the income incentive fee payable was $2,669 and $2,610, respectively.</w:t>
      </w:r>
    </w:p>
    <w:p>
      <w:pPr>
        <w:spacing w:after="0" w:line="187"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March 31, 2021 and December 31, 2020,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March 31, 2021 was $348.</w:t>
      </w:r>
    </w:p>
    <w:p>
      <w:pPr>
        <w:spacing w:after="0" w:line="19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1" w:lineRule="exact"/>
        <w:rPr>
          <w:sz w:val="20"/>
          <w:szCs w:val="20"/>
          <w:color w:val="auto"/>
        </w:rPr>
      </w:pPr>
    </w:p>
    <w:p>
      <w:pPr>
        <w:ind w:left="120" w:right="80" w:hanging="4"/>
        <w:spacing w:after="0" w:line="25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three months ended March 31, 2021 was $91, and $(8,878) for the three months ended March 31, 2020. As of March 31, 2021 and December 31, 2020, the accrued capital gains incentive fee payable was $11,122 and $11,031, respectively.</w:t>
      </w:r>
    </w:p>
    <w:p>
      <w:pPr>
        <w:spacing w:after="0" w:line="193"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w:t>
      </w:r>
    </w:p>
    <w:p>
      <w:pPr>
        <w:sectPr>
          <w:pgSz w:w="11900" w:h="16838" w:orient="portrait"/>
          <w:cols w:equalWidth="0" w:num="1">
            <w:col w:w="11120"/>
          </w:cols>
          <w:pgMar w:left="320" w:top="459" w:right="45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46"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i w:val="1"/>
          <w:iCs w:val="1"/>
          <w:color w:val="auto"/>
        </w:rPr>
        <w:t xml:space="preserve">Administration Agreement: </w:t>
      </w:r>
      <w:r>
        <w:rPr>
          <w:rFonts w:ascii="Arial" w:cs="Arial" w:eastAsia="Arial" w:hAnsi="Arial"/>
          <w:sz w:val="16"/>
          <w:szCs w:val="16"/>
          <w:color w:val="auto"/>
        </w:rPr>
        <w:t>The Company also entered into an administration agreement (the “Administration Agreement”) with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 On June 4, 2020, the Board approved the renewal of the Administration Agreement through June 20, 2021.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Administration Agreement, administrative service expenses for the three months ended March 31, 2021 were $413, and $466 for the three months ended March 31, 2020. As of March 31, 2021 and December 31, 2020, the accrued administrative service expense payable was $214 and $593, respectively.</w:t>
      </w:r>
    </w:p>
    <w:p>
      <w:pPr>
        <w:spacing w:after="0" w:line="16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Fidus Equity Fund I, L.P.</w:t>
      </w:r>
      <w:r>
        <w:rPr>
          <w:rFonts w:ascii="Arial" w:cs="Arial" w:eastAsia="Arial" w:hAnsi="Arial"/>
          <w:sz w:val="17"/>
          <w:szCs w:val="17"/>
          <w:color w:val="auto"/>
        </w:rPr>
        <w:t>: On February 25, 2020, the Company entered into a Limited Partnership Agreement (the “Agreement”) with Fidus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Fund I, L.P. (“FEF I”). Pursuant to the Agreement, the Company will serve as the General Partner of FEF I. Owned by third-party investors, FEF I was formed to purchase 50% of select equity investments from the Company. On February 25, 2020, the Company sold 50% of its equity investments in 20 portfolio companies to FEF I and received net proceeds of $35,903, resulting in a realized gain, net of estimated taxes, of $20,404. The Company will not receive any fees from FEF I for any services provided in its capacity as the General Partner of FEF I.</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On June 16, 2014, FIC entered into a senior secured revolving credit agreement (the “Credit Facility”) with ING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81" w:lineRule="exact"/>
        <w:rPr>
          <w:sz w:val="20"/>
          <w:szCs w:val="20"/>
          <w:color w:val="auto"/>
        </w:rPr>
      </w:pPr>
    </w:p>
    <w:p>
      <w:pPr>
        <w:ind w:left="120" w:right="20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60" w:hanging="4"/>
        <w:spacing w:after="0" w:line="292" w:lineRule="auto"/>
        <w:tabs>
          <w:tab w:leader="none" w:pos="4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2021 and December 31, 2020, the Company was in compliance in all material respect with the terms of the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2021 and December 31, 2020, approved and unused SBA debenture commitments were $5,500 and $11,500,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and December 31, 2020, the Company’s issued and outstanding SBA debentures mature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Pooling</w:t>
            </w:r>
          </w:p>
        </w:tc>
        <w:tc>
          <w:tcPr>
            <w:tcW w:w="2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4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2"/>
              </w:rPr>
              <w:t>Fixed</w:t>
            </w:r>
          </w:p>
        </w:tc>
        <w:tc>
          <w:tcPr>
            <w:tcW w:w="20" w:type="dxa"/>
            <w:vAlign w:val="bottom"/>
          </w:tcPr>
          <w:p>
            <w:pPr>
              <w:spacing w:after="0"/>
              <w:rPr>
                <w:sz w:val="14"/>
                <w:szCs w:val="14"/>
                <w:color w:val="auto"/>
              </w:rPr>
            </w:pPr>
          </w:p>
        </w:tc>
        <w:tc>
          <w:tcPr>
            <w:tcW w:w="2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2460" w:type="dxa"/>
            <w:vAlign w:val="bottom"/>
            <w:gridSpan w:val="2"/>
          </w:tcPr>
          <w:p>
            <w:pPr>
              <w:jc w:val="center"/>
              <w:ind w:right="1980"/>
              <w:spacing w:after="0" w:line="149"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2"/>
                <w:szCs w:val="12"/>
                <w:b w:val="1"/>
                <w:bCs w:val="1"/>
                <w:color w:val="auto"/>
              </w:rPr>
              <w:t>(1)</w:t>
            </w:r>
          </w:p>
        </w:tc>
        <w:tc>
          <w:tcPr>
            <w:tcW w:w="18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Date</w:t>
            </w:r>
          </w:p>
        </w:tc>
        <w:tc>
          <w:tcPr>
            <w:tcW w:w="18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3/25/2015</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3/1/2025</w:t>
            </w:r>
          </w:p>
        </w:tc>
        <w:tc>
          <w:tcPr>
            <w:tcW w:w="18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8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60"/>
              <w:spacing w:after="0"/>
              <w:rPr>
                <w:sz w:val="20"/>
                <w:szCs w:val="20"/>
                <w:color w:val="auto"/>
              </w:rPr>
            </w:pPr>
            <w:r>
              <w:rPr>
                <w:rFonts w:ascii="Arial" w:cs="Arial" w:eastAsia="Arial" w:hAnsi="Arial"/>
                <w:sz w:val="18"/>
                <w:szCs w:val="18"/>
                <w:color w:val="auto"/>
              </w:rPr>
              <w:t>9/23/2015</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9/1/2025</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3.571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jc w:val="right"/>
              <w:ind w:right="184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3/23/2016</w:t>
            </w: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3/1/2026</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620" w:type="dxa"/>
            <w:vAlign w:val="bottom"/>
            <w:gridSpan w:val="2"/>
          </w:tcPr>
          <w:p>
            <w:pPr>
              <w:ind w:left="60"/>
              <w:spacing w:after="0"/>
              <w:rPr>
                <w:sz w:val="20"/>
                <w:szCs w:val="20"/>
                <w:color w:val="auto"/>
              </w:rPr>
            </w:pPr>
            <w:r>
              <w:rPr>
                <w:rFonts w:ascii="Arial" w:cs="Arial" w:eastAsia="Arial" w:hAnsi="Arial"/>
                <w:sz w:val="18"/>
                <w:szCs w:val="18"/>
                <w:color w:val="auto"/>
              </w:rPr>
              <w:t>3/23/2016</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3/1/2026</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3.249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jc w:val="right"/>
              <w:ind w:right="1840"/>
              <w:spacing w:after="0"/>
              <w:rPr>
                <w:sz w:val="20"/>
                <w:szCs w:val="20"/>
                <w:color w:val="auto"/>
              </w:rPr>
            </w:pPr>
            <w:r>
              <w:rPr>
                <w:rFonts w:ascii="Arial" w:cs="Arial" w:eastAsia="Arial" w:hAnsi="Arial"/>
                <w:sz w:val="18"/>
                <w:szCs w:val="18"/>
                <w:color w:val="auto"/>
              </w:rPr>
              <w:t>21,800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9/21/2016</w:t>
            </w: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9/1/2026</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2.793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8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620" w:type="dxa"/>
            <w:vAlign w:val="bottom"/>
            <w:gridSpan w:val="2"/>
          </w:tcPr>
          <w:p>
            <w:pPr>
              <w:ind w:left="60"/>
              <w:spacing w:after="0"/>
              <w:rPr>
                <w:sz w:val="20"/>
                <w:szCs w:val="20"/>
                <w:color w:val="auto"/>
              </w:rPr>
            </w:pPr>
            <w:r>
              <w:rPr>
                <w:rFonts w:ascii="Arial" w:cs="Arial" w:eastAsia="Arial" w:hAnsi="Arial"/>
                <w:sz w:val="18"/>
                <w:szCs w:val="18"/>
                <w:color w:val="auto"/>
              </w:rPr>
              <w:t>3/29/2017</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3/1/2027</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3.587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jc w:val="right"/>
              <w:ind w:right="184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9/20/2017</w:t>
            </w: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9/1/2027</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620" w:type="dxa"/>
            <w:vAlign w:val="bottom"/>
            <w:gridSpan w:val="2"/>
          </w:tcPr>
          <w:p>
            <w:pPr>
              <w:ind w:left="60"/>
              <w:spacing w:after="0"/>
              <w:rPr>
                <w:sz w:val="20"/>
                <w:szCs w:val="20"/>
                <w:color w:val="auto"/>
              </w:rPr>
            </w:pPr>
            <w:r>
              <w:rPr>
                <w:rFonts w:ascii="Arial" w:cs="Arial" w:eastAsia="Arial" w:hAnsi="Arial"/>
                <w:sz w:val="18"/>
                <w:szCs w:val="18"/>
                <w:color w:val="auto"/>
              </w:rPr>
              <w:t>9/20/2017</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9/1/2027</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3.190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jc w:val="right"/>
              <w:ind w:right="1840"/>
              <w:spacing w:after="0"/>
              <w:rPr>
                <w:sz w:val="20"/>
                <w:szCs w:val="20"/>
                <w:color w:val="auto"/>
              </w:rPr>
            </w:pPr>
            <w:r>
              <w:rPr>
                <w:rFonts w:ascii="Arial" w:cs="Arial" w:eastAsia="Arial" w:hAnsi="Arial"/>
                <w:sz w:val="18"/>
                <w:szCs w:val="18"/>
                <w:color w:val="auto"/>
              </w:rPr>
              <w:t>33,000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3/21/2018</w:t>
            </w: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3/1/2028</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3.859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620" w:type="dxa"/>
            <w:vAlign w:val="bottom"/>
            <w:gridSpan w:val="2"/>
          </w:tcPr>
          <w:p>
            <w:pPr>
              <w:ind w:left="60"/>
              <w:spacing w:after="0"/>
              <w:rPr>
                <w:sz w:val="20"/>
                <w:szCs w:val="20"/>
                <w:color w:val="auto"/>
              </w:rPr>
            </w:pPr>
            <w:r>
              <w:rPr>
                <w:rFonts w:ascii="Arial" w:cs="Arial" w:eastAsia="Arial" w:hAnsi="Arial"/>
                <w:sz w:val="18"/>
                <w:szCs w:val="18"/>
                <w:color w:val="auto"/>
              </w:rPr>
              <w:t>3/21/2018</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3/1/2028</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9/25/2019</w:t>
            </w: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9/1/2029</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620" w:type="dxa"/>
            <w:vAlign w:val="bottom"/>
            <w:gridSpan w:val="2"/>
          </w:tcPr>
          <w:p>
            <w:pPr>
              <w:ind w:left="60"/>
              <w:spacing w:after="0"/>
              <w:rPr>
                <w:sz w:val="20"/>
                <w:szCs w:val="20"/>
                <w:color w:val="auto"/>
              </w:rPr>
            </w:pPr>
            <w:r>
              <w:rPr>
                <w:rFonts w:ascii="Arial" w:cs="Arial" w:eastAsia="Arial" w:hAnsi="Arial"/>
                <w:sz w:val="18"/>
                <w:szCs w:val="18"/>
                <w:color w:val="auto"/>
              </w:rPr>
              <w:t>3/25/2020</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3/1/2030</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2.172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w:t>
            </w:r>
          </w:p>
        </w:tc>
        <w:tc>
          <w:tcPr>
            <w:tcW w:w="1820" w:type="dxa"/>
            <w:vAlign w:val="bottom"/>
            <w:shd w:val="clear" w:color="auto" w:fill="CCEEFF"/>
          </w:tcPr>
          <w:p>
            <w:pPr>
              <w:spacing w:after="0"/>
              <w:rPr>
                <w:sz w:val="18"/>
                <w:szCs w:val="18"/>
                <w:color w:val="auto"/>
              </w:rPr>
            </w:pP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w:t>
            </w:r>
          </w:p>
        </w:tc>
        <w:tc>
          <w:tcPr>
            <w:tcW w:w="1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gridSpan w:val="2"/>
          </w:tcPr>
          <w:p>
            <w:pPr>
              <w:ind w:left="60"/>
              <w:spacing w:after="0"/>
              <w:rPr>
                <w:sz w:val="20"/>
                <w:szCs w:val="20"/>
                <w:color w:val="auto"/>
              </w:rPr>
            </w:pPr>
            <w:r>
              <w:rPr>
                <w:rFonts w:ascii="Arial" w:cs="Arial" w:eastAsia="Arial" w:hAnsi="Arial"/>
                <w:sz w:val="18"/>
                <w:szCs w:val="18"/>
                <w:color w:val="auto"/>
                <w:w w:val="92"/>
              </w:rPr>
              <w:t>Total outstanding SBA debentures</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133,800</w:t>
            </w:r>
          </w:p>
        </w:tc>
        <w:tc>
          <w:tcPr>
            <w:tcW w:w="20" w:type="dxa"/>
            <w:vAlign w:val="bottom"/>
            <w:tcBorders>
              <w:bottom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00" w:hanging="424"/>
        <w:spacing w:after="0" w:line="25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 w:lineRule="exact"/>
        <w:rPr>
          <w:rFonts w:ascii="Arial" w:cs="Arial" w:eastAsia="Arial" w:hAnsi="Arial"/>
          <w:sz w:val="18"/>
          <w:szCs w:val="18"/>
          <w:color w:val="auto"/>
        </w:rPr>
      </w:pPr>
    </w:p>
    <w:p>
      <w:pPr>
        <w:jc w:val="both"/>
        <w:ind w:left="540" w:right="100" w:hanging="424"/>
        <w:spacing w:after="0" w:line="255"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issued $6,000 in SBA debentures which will pool in September 2021. Until the pooling date, the debentures bear interest at a fixed rate interim interest rate of 0.60%. The Company expects the current interim interest rate will reset to a higher long-term fixed rate on the pooling date.</w:t>
      </w:r>
    </w:p>
    <w:p>
      <w:pPr>
        <w:spacing w:after="0" w:line="19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i w:val="1"/>
          <w:iCs w:val="1"/>
          <w:color w:val="auto"/>
        </w:rPr>
        <w:t xml:space="preserve">Notes: </w:t>
      </w:r>
      <w:r>
        <w:rPr>
          <w:rFonts w:ascii="Arial" w:cs="Arial" w:eastAsia="Arial" w:hAnsi="Arial"/>
          <w:sz w:val="17"/>
          <w:szCs w:val="17"/>
          <w:color w:val="auto"/>
        </w:rPr>
        <w:t>On February 2, 2018, the Company closed the public offering of approximately $43,478 in aggregate principal amount of its 5.875% notes</w:t>
      </w:r>
      <w:r>
        <w:rPr>
          <w:rFonts w:ascii="Arial" w:cs="Arial" w:eastAsia="Arial" w:hAnsi="Arial"/>
          <w:sz w:val="17"/>
          <w:szCs w:val="17"/>
          <w:i w:val="1"/>
          <w:iCs w:val="1"/>
          <w:color w:val="auto"/>
        </w:rPr>
        <w:t xml:space="preserve"> </w:t>
      </w:r>
      <w:r>
        <w:rPr>
          <w:rFonts w:ascii="Arial" w:cs="Arial" w:eastAsia="Arial" w:hAnsi="Arial"/>
          <w:sz w:val="17"/>
          <w:szCs w:val="17"/>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7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January 19, 2021, the Company redeemed $50,000 of the aggregate principal amount on the 2023 Notes, resulting in a realized loss on extinguishment of debt of approximately $794.</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w:t>
      </w:r>
    </w:p>
    <w:p>
      <w:pPr>
        <w:sectPr>
          <w:pgSz w:w="11900" w:h="16838" w:orient="portrait"/>
          <w:cols w:equalWidth="0" w:num="1">
            <w:col w:w="11140"/>
          </w:cols>
          <w:pgMar w:left="320" w:top="459" w:right="439" w:bottom="1440" w:gutter="0" w:footer="0" w:header="0"/>
        </w:sectPr>
      </w:pP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On February 16, 2021, the Company redeemed $50,000 of the $69,000 aggregate principal amount on the February 2024 Notes, resulting in a realized loss on extinguishment of debt of approximately $1,081.</w:t>
      </w:r>
    </w:p>
    <w:p>
      <w:pPr>
        <w:spacing w:after="0" w:line="170" w:lineRule="exact"/>
        <w:rPr>
          <w:sz w:val="20"/>
          <w:szCs w:val="20"/>
          <w:color w:val="auto"/>
        </w:rPr>
      </w:pPr>
    </w:p>
    <w:p>
      <w:pPr>
        <w:jc w:val="both"/>
        <w:ind w:left="120" w:right="200" w:firstLine="440"/>
        <w:spacing w:after="0" w:line="275" w:lineRule="auto"/>
        <w:rPr>
          <w:sz w:val="20"/>
          <w:szCs w:val="20"/>
          <w:color w:val="auto"/>
        </w:rPr>
      </w:pPr>
      <w:r>
        <w:rPr>
          <w:rFonts w:ascii="Arial" w:cs="Arial" w:eastAsia="Arial" w:hAnsi="Arial"/>
          <w:sz w:val="17"/>
          <w:szCs w:val="17"/>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w:t>
      </w:r>
    </w:p>
    <w:p>
      <w:pPr>
        <w:spacing w:after="0" w:line="17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w:t>
      </w:r>
    </w:p>
    <w:p>
      <w:pPr>
        <w:spacing w:after="0" w:line="18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On December 23, 2020, the Company closed the offering of approximately $125,000 in aggregate principal amount of its 4.75% notes due 2026, or the “2026 Notes” (collectively with the Public Notes, the “Notes”). The total net proceeds to the Company from the 2026 Notes after deducting underwriting discounts of approximately $2,500 and estimated offering expenses of $400, were approximately $122,100.</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2026 Notes will mature on January 31, 2026 and bear interest at a rate of 4.75%. The 2026 Notes may be redeemed in whole or in part at any time or from time to time at our option subject to a make whole provision if redeemed more than three months prior to maturity. Interest on the 2026 Notes is payable on January 31 and July 31 of each year, beginning July 31, 2021. The Company does not intend to list the 2026 Notes on any securities exchange or automated dealer quotation system.</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March 31, 2021, the aggregate amount outstanding of the senior securities issued by the Company was $222,250, for which our asset coverage was 285.8%. The SBA-guaranteed debentures are not subject to the asset coverage requirements of the 1940 Act as a result of exemptive relief granted to us by the SEC effective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Interest and fees related to the Company’s debt for the three months ended March 31, 2021 and 2020 which are included in interest and financing expenses on the consolidated statements of operations,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right"/>
              <w:ind w:right="393"/>
              <w:spacing w:after="0"/>
              <w:rPr>
                <w:sz w:val="20"/>
                <w:szCs w:val="20"/>
                <w:color w:val="auto"/>
              </w:rPr>
            </w:pPr>
            <w:r>
              <w:rPr>
                <w:rFonts w:ascii="Arial" w:cs="Arial" w:eastAsia="Arial" w:hAnsi="Arial"/>
                <w:sz w:val="14"/>
                <w:szCs w:val="14"/>
                <w:b w:val="1"/>
                <w:bCs w:val="1"/>
                <w:color w:val="auto"/>
              </w:rPr>
              <w:t>Three Months Ended March 31, 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Three Months Ended March 31, 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7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SBA</w:t>
            </w:r>
          </w:p>
        </w:tc>
        <w:tc>
          <w:tcPr>
            <w:tcW w:w="7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debentures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1,133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$3,116</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$4,611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$2,619</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$4,410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341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326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5,194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4,960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w w:val="94"/>
              </w:rPr>
              <w:t>Weighted average stated interest rate, period end</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4.117%</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5.055%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3.855%</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5.749%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 rate, period end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0.500%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During the three months ended March 31, 2021 and 2020, the Company prepaid $19,200 and $7,000 of SBA debentures, respectively, which were scheduled to mature on dates ranging from 2025 to 2028 and 2024 to 2028, respectively. As a result of the prepayments, the Company recognized realized losses on extinguishment of debt of $305 and $125, respectively, equal to the write-off of the related unamortized deferred financing costs, during the three months ended March 31, 2021 and 2020.</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Notes as of March 31, 2021 and December 31, 2020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84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2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SBA</w:t>
            </w:r>
          </w:p>
        </w:tc>
        <w:tc>
          <w:tcPr>
            <w:tcW w:w="74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4,112</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3,238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Notes underwriting discounts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6,468</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7,968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Notes debt issue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 deferred financing costs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3,238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16,644</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9,547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(2,301)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(2,870)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(8,325)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(7,501)</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937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6,956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Notes liabilities on the consolidated statements of assets and liabilities. The following table summarizes the outstanding debt net of unamortized deferred financing costs as of March 31, 2021 and December 31,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0"/>
                <w:szCs w:val="10"/>
                <w:color w:val="auto"/>
              </w:rPr>
            </w:pPr>
          </w:p>
        </w:tc>
        <w:tc>
          <w:tcPr>
            <w:tcW w:w="74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900" w:type="dxa"/>
            <w:vAlign w:val="bottom"/>
            <w:gridSpan w:val="4"/>
          </w:tcPr>
          <w:p>
            <w:pPr>
              <w:jc w:val="right"/>
              <w:ind w:right="420"/>
              <w:spacing w:after="0" w:line="119" w:lineRule="exact"/>
              <w:rPr>
                <w:sz w:val="20"/>
                <w:szCs w:val="20"/>
                <w:color w:val="auto"/>
              </w:rPr>
            </w:pPr>
            <w:r>
              <w:rPr>
                <w:rFonts w:ascii="Arial" w:cs="Arial" w:eastAsia="Arial" w:hAnsi="Arial"/>
                <w:sz w:val="13"/>
                <w:szCs w:val="13"/>
                <w:b w:val="1"/>
                <w:bCs w:val="1"/>
                <w:color w:val="auto"/>
              </w:rPr>
              <w:t>SBA</w:t>
            </w:r>
          </w:p>
        </w:tc>
        <w:tc>
          <w:tcPr>
            <w:tcW w:w="6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Credit</w:t>
            </w:r>
          </w:p>
        </w:tc>
        <w:tc>
          <w:tcPr>
            <w:tcW w:w="140" w:type="dxa"/>
            <w:vAlign w:val="bottom"/>
          </w:tcPr>
          <w:p>
            <w:pPr>
              <w:spacing w:after="0"/>
              <w:rPr>
                <w:sz w:val="10"/>
                <w:szCs w:val="10"/>
                <w:color w:val="auto"/>
              </w:rPr>
            </w:pPr>
          </w:p>
        </w:tc>
        <w:tc>
          <w:tcPr>
            <w:tcW w:w="680" w:type="dxa"/>
            <w:vAlign w:val="bottom"/>
            <w:gridSpan w:val="4"/>
            <w:vMerge w:val="restart"/>
          </w:tcPr>
          <w:p>
            <w:pPr>
              <w:jc w:val="right"/>
              <w:ind w:right="9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debentures</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7"/>
              </w:rPr>
              <w:t>debentures</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Facility</w:t>
            </w:r>
          </w:p>
        </w:tc>
        <w:tc>
          <w:tcPr>
            <w:tcW w:w="14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$133,800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$207,250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$356,050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$147,000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$307,250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$454,250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Less: unamortized deferred financing costs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(2,708)</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(937)</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(8,319)</w:t>
            </w:r>
          </w:p>
        </w:tc>
        <w:tc>
          <w:tcPr>
            <w:tcW w:w="6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(2,996)</w:t>
            </w:r>
          </w:p>
        </w:tc>
        <w:tc>
          <w:tcPr>
            <w:tcW w:w="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1"/>
              </w:rPr>
              <w:t>(6,956)</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131,092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14,063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202,576</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347,731</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144,004</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(1,048)</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300,294</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443,250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80" w:type="dxa"/>
            <w:vAlign w:val="bottom"/>
            <w:gridSpan w:val="16"/>
          </w:tcPr>
          <w:p>
            <w:pPr>
              <w:ind w:left="440"/>
              <w:spacing w:after="0"/>
              <w:rPr>
                <w:sz w:val="20"/>
                <w:szCs w:val="20"/>
                <w:color w:val="auto"/>
              </w:rPr>
            </w:pPr>
            <w:r>
              <w:rPr>
                <w:rFonts w:ascii="Arial" w:cs="Arial" w:eastAsia="Arial" w:hAnsi="Arial"/>
                <w:sz w:val="18"/>
                <w:szCs w:val="18"/>
                <w:color w:val="auto"/>
                <w:w w:val="98"/>
              </w:rPr>
              <w:t xml:space="preserve">As of March 31, 2021, the Company’s debt liabilities are scheduled to mature as follows </w:t>
            </w:r>
            <w:r>
              <w:rPr>
                <w:rFonts w:ascii="Arial" w:cs="Arial" w:eastAsia="Arial" w:hAnsi="Arial"/>
                <w:sz w:val="15"/>
                <w:szCs w:val="15"/>
                <w:color w:val="auto"/>
                <w:w w:val="98"/>
              </w:rPr>
              <w:t>(1)</w:t>
            </w:r>
            <w:r>
              <w:rPr>
                <w:rFonts w:ascii="Arial" w:cs="Arial" w:eastAsia="Arial" w:hAnsi="Arial"/>
                <w:sz w:val="18"/>
                <w:szCs w:val="18"/>
                <w:color w:val="auto"/>
                <w:w w:val="98"/>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40" w:type="dxa"/>
            <w:vAlign w:val="bottom"/>
            <w:vMerge w:val="restart"/>
          </w:tcPr>
          <w:p>
            <w:pPr>
              <w:spacing w:after="0"/>
              <w:rPr>
                <w:sz w:val="24"/>
                <w:szCs w:val="2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336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SBA</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Credit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5"/>
              </w:rPr>
              <w:t>debentures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3"/>
          </w:tcPr>
          <w:p>
            <w:pPr>
              <w:jc w:val="right"/>
              <w:ind w:right="120"/>
              <w:spacing w:after="0" w:line="158" w:lineRule="exact"/>
              <w:rPr>
                <w:sz w:val="20"/>
                <w:szCs w:val="20"/>
                <w:color w:val="auto"/>
              </w:rPr>
            </w:pPr>
            <w:r>
              <w:rPr>
                <w:rFonts w:ascii="Arial" w:cs="Arial" w:eastAsia="Arial" w:hAnsi="Arial"/>
                <w:sz w:val="14"/>
                <w:szCs w:val="14"/>
                <w:b w:val="1"/>
                <w:bCs w:val="1"/>
                <w:color w:val="auto"/>
              </w:rPr>
              <w:t>Facility</w:t>
            </w:r>
          </w:p>
        </w:tc>
        <w:tc>
          <w:tcPr>
            <w:tcW w:w="280" w:type="dxa"/>
            <w:vAlign w:val="bottom"/>
          </w:tcPr>
          <w:p>
            <w:pPr>
              <w:spacing w:after="0"/>
              <w:rPr>
                <w:sz w:val="15"/>
                <w:szCs w:val="15"/>
                <w:color w:val="auto"/>
              </w:rPr>
            </w:pPr>
          </w:p>
        </w:tc>
        <w:tc>
          <w:tcPr>
            <w:tcW w:w="720" w:type="dxa"/>
            <w:vAlign w:val="bottom"/>
            <w:gridSpan w:val="5"/>
          </w:tcPr>
          <w:p>
            <w:pPr>
              <w:jc w:val="right"/>
              <w:ind w:right="200"/>
              <w:spacing w:after="0" w:line="158" w:lineRule="exact"/>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5"/>
          </w:tcPr>
          <w:p>
            <w:pPr>
              <w:jc w:val="right"/>
              <w:ind w:right="700"/>
              <w:spacing w:after="0" w:line="15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660" w:type="dxa"/>
            <w:vAlign w:val="bottom"/>
            <w:tcBorders>
              <w:top w:val="single" w:sz="8" w:color="CCEEFF"/>
            </w:tcBorders>
            <w:gridSpan w:val="2"/>
            <w:shd w:val="clear" w:color="auto" w:fill="CCEEFF"/>
          </w:tcPr>
          <w:p>
            <w:pPr>
              <w:jc w:val="center"/>
              <w:ind w:right="2940"/>
              <w:spacing w:after="0" w:line="203" w:lineRule="exact"/>
              <w:rPr>
                <w:sz w:val="20"/>
                <w:szCs w:val="20"/>
                <w:color w:val="auto"/>
              </w:rPr>
            </w:pPr>
            <w:r>
              <w:rPr>
                <w:rFonts w:ascii="Arial" w:cs="Arial" w:eastAsia="Arial" w:hAnsi="Arial"/>
                <w:sz w:val="18"/>
                <w:szCs w:val="18"/>
                <w:color w:val="auto"/>
                <w:w w:val="89"/>
              </w:rPr>
              <w:t>2021</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Borders>
              <w:left w:val="single" w:sz="8" w:color="CCEEFF"/>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color w:val="auto"/>
                <w:w w:val="89"/>
              </w:rPr>
              <w:t>2022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shd w:val="clear" w:color="auto" w:fill="CCEEFF"/>
          </w:tcPr>
          <w:p>
            <w:pPr>
              <w:jc w:val="center"/>
              <w:ind w:right="2940"/>
              <w:spacing w:after="0"/>
              <w:rPr>
                <w:sz w:val="20"/>
                <w:szCs w:val="20"/>
                <w:color w:val="auto"/>
              </w:rPr>
            </w:pPr>
            <w:r>
              <w:rPr>
                <w:rFonts w:ascii="Arial" w:cs="Arial" w:eastAsia="Arial" w:hAnsi="Arial"/>
                <w:sz w:val="18"/>
                <w:szCs w:val="18"/>
                <w:color w:val="auto"/>
                <w:w w:val="89"/>
              </w:rPr>
              <w:t>2023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15,000</w:t>
            </w:r>
          </w:p>
        </w:tc>
        <w:tc>
          <w:tcPr>
            <w:tcW w:w="38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color w:val="auto"/>
                <w:w w:val="89"/>
              </w:rPr>
              <w:t>2024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6"/>
          </w:tcPr>
          <w:p>
            <w:pPr>
              <w:jc w:val="right"/>
              <w:ind w:right="40"/>
              <w:spacing w:after="0"/>
              <w:rPr>
                <w:sz w:val="20"/>
                <w:szCs w:val="20"/>
                <w:color w:val="auto"/>
              </w:rPr>
            </w:pPr>
            <w:r>
              <w:rPr>
                <w:rFonts w:ascii="Arial" w:cs="Arial" w:eastAsia="Arial" w:hAnsi="Arial"/>
                <w:sz w:val="18"/>
                <w:szCs w:val="18"/>
                <w:color w:val="auto"/>
              </w:rPr>
              <w:t>82,250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82,250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shd w:val="clear" w:color="auto" w:fill="CCEEFF"/>
          </w:tcPr>
          <w:p>
            <w:pPr>
              <w:jc w:val="center"/>
              <w:ind w:right="2940"/>
              <w:spacing w:after="0"/>
              <w:rPr>
                <w:sz w:val="20"/>
                <w:szCs w:val="20"/>
                <w:color w:val="auto"/>
              </w:rPr>
            </w:pPr>
            <w:r>
              <w:rPr>
                <w:rFonts w:ascii="Arial" w:cs="Arial" w:eastAsia="Arial" w:hAnsi="Arial"/>
                <w:sz w:val="18"/>
                <w:szCs w:val="18"/>
                <w:color w:val="auto"/>
                <w:w w:val="89"/>
              </w:rPr>
              <w:t>2025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37,500</w:t>
            </w:r>
          </w:p>
        </w:tc>
        <w:tc>
          <w:tcPr>
            <w:tcW w:w="38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tcPr>
          <w:p>
            <w:pPr>
              <w:jc w:val="center"/>
              <w:ind w:right="2900"/>
              <w:spacing w:after="0"/>
              <w:rPr>
                <w:sz w:val="20"/>
                <w:szCs w:val="20"/>
                <w:color w:val="auto"/>
              </w:rPr>
            </w:pPr>
            <w:r>
              <w:rPr>
                <w:rFonts w:ascii="Arial" w:cs="Arial" w:eastAsia="Arial" w:hAnsi="Arial"/>
                <w:sz w:val="18"/>
                <w:szCs w:val="18"/>
                <w:color w:val="auto"/>
                <w:w w:val="91"/>
              </w:rPr>
              <w:t>Thereafter</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96,300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6"/>
          </w:tcPr>
          <w:p>
            <w:pPr>
              <w:jc w:val="right"/>
              <w:ind w:right="40"/>
              <w:spacing w:after="0"/>
              <w:rPr>
                <w:sz w:val="20"/>
                <w:szCs w:val="20"/>
                <w:color w:val="auto"/>
              </w:rPr>
            </w:pPr>
            <w:r>
              <w:rPr>
                <w:rFonts w:ascii="Arial" w:cs="Arial" w:eastAsia="Arial" w:hAnsi="Arial"/>
                <w:sz w:val="18"/>
                <w:szCs w:val="18"/>
                <w:color w:val="auto"/>
              </w:rPr>
              <w:t>125,000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221,300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shd w:val="clear" w:color="auto" w:fill="CCEEFF"/>
          </w:tcPr>
          <w:p>
            <w:pPr>
              <w:jc w:val="center"/>
              <w:ind w:right="2940"/>
              <w:spacing w:after="0"/>
              <w:rPr>
                <w:sz w:val="20"/>
                <w:szCs w:val="20"/>
                <w:color w:val="auto"/>
              </w:rPr>
            </w:pPr>
            <w:r>
              <w:rPr>
                <w:rFonts w:ascii="Arial" w:cs="Arial" w:eastAsia="Arial" w:hAnsi="Arial"/>
                <w:sz w:val="18"/>
                <w:szCs w:val="18"/>
                <w:color w:val="auto"/>
                <w:w w:val="89"/>
              </w:rPr>
              <w:t>Total</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133,800</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w:t>
            </w:r>
          </w:p>
        </w:tc>
        <w:tc>
          <w:tcPr>
            <w:tcW w:w="10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207,250</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356,050</w:t>
            </w:r>
          </w:p>
        </w:tc>
        <w:tc>
          <w:tcPr>
            <w:tcW w:w="38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40" w:hanging="424"/>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jc w:val="both"/>
        <w:ind w:left="120" w:right="700" w:firstLine="440"/>
        <w:spacing w:after="0" w:line="263"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$7,589 and $5,645 as of March 31, 2021 and December 31, 2020, respectively. Such outstanding commitments are summarized in the following table: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7"/>
          </w:tcPr>
          <w:p>
            <w:pPr>
              <w:ind w:left="440"/>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7"/>
          </w:tcPr>
          <w:p>
            <w:pPr>
              <w:ind w:left="34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396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8"/>
              <w:spacing w:after="0" w:line="133" w:lineRule="exact"/>
              <w:rPr>
                <w:sz w:val="20"/>
                <w:szCs w:val="20"/>
                <w:color w:val="auto"/>
              </w:rPr>
            </w:pPr>
            <w:r>
              <w:rPr>
                <w:rFonts w:ascii="Arial" w:cs="Arial" w:eastAsia="Arial" w:hAnsi="Arial"/>
                <w:sz w:val="14"/>
                <w:szCs w:val="14"/>
                <w:b w:val="1"/>
                <w:bCs w:val="1"/>
                <w:color w:val="auto"/>
                <w:w w:val="94"/>
              </w:rPr>
              <w:t>Unfunded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8"/>
              <w:spacing w:after="0" w:line="133" w:lineRule="exact"/>
              <w:rPr>
                <w:sz w:val="20"/>
                <w:szCs w:val="20"/>
                <w:color w:val="auto"/>
              </w:rPr>
            </w:pPr>
            <w:r>
              <w:rPr>
                <w:rFonts w:ascii="Arial" w:cs="Arial" w:eastAsia="Arial" w:hAnsi="Arial"/>
                <w:sz w:val="14"/>
                <w:szCs w:val="14"/>
                <w:b w:val="1"/>
                <w:bCs w:val="1"/>
                <w:color w:val="auto"/>
                <w:w w:val="94"/>
              </w:rPr>
              <w:t>Unfunded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Commitment</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Commitment</w:t>
            </w:r>
          </w:p>
        </w:tc>
        <w:tc>
          <w:tcPr>
            <w:tcW w:w="500" w:type="dxa"/>
            <w:vAlign w:val="bottom"/>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Commitment</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Commitment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9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4,000</w:t>
            </w: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550</w:t>
            </w:r>
          </w:p>
        </w:tc>
        <w:tc>
          <w:tcPr>
            <w:tcW w:w="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4,000</w:t>
            </w: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1,050</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CRS Solutions Holdings, LLC (dba CRS Texas) - Common Equity (Units)</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Elements Brands, LLC - Revolving Loan</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838</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2,852</w:t>
            </w: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w w:val="95"/>
              </w:rPr>
              <w:t>(1)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149"/>
        </w:trPr>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Spectra A&amp;D Acquisition, Inc. (fka FDS Avionics Corp.) - Revolving Loan</w:t>
            </w:r>
          </w:p>
        </w:tc>
        <w:tc>
          <w:tcPr>
            <w:tcW w:w="160" w:type="dxa"/>
            <w:vAlign w:val="bottom"/>
          </w:tcPr>
          <w:p>
            <w:pPr>
              <w:spacing w:after="0"/>
              <w:rPr>
                <w:sz w:val="12"/>
                <w:szCs w:val="12"/>
                <w:color w:val="auto"/>
              </w:rPr>
            </w:pP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Wonderware Holdings, LLC (dba CORE Business Technologies) - Delayed Draw Term Loan</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Xeeva, Inc. - Delayed Draw Term Loan</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13,373</w:t>
            </w:r>
          </w:p>
        </w:tc>
        <w:tc>
          <w:tcPr>
            <w:tcW w:w="3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7,589</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10,977</w:t>
            </w:r>
          </w:p>
        </w:tc>
        <w:tc>
          <w:tcPr>
            <w:tcW w:w="3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5,645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22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9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Cumulative</w:t>
            </w:r>
          </w:p>
        </w:tc>
        <w:tc>
          <w:tcPr>
            <w:tcW w:w="300" w:type="dxa"/>
            <w:vAlign w:val="bottom"/>
          </w:tcPr>
          <w:p>
            <w:pPr>
              <w:spacing w:after="0"/>
              <w:rPr>
                <w:sz w:val="14"/>
                <w:szCs w:val="14"/>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 Gross</w:t>
            </w:r>
          </w:p>
        </w:tc>
        <w:tc>
          <w:tcPr>
            <w:tcW w:w="28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Cumulative Underwriting Fees and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24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Commissions and Offering</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4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1"/>
              </w:rPr>
              <w:t>Number of Shares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Proceeds</w:t>
            </w:r>
          </w:p>
        </w:tc>
        <w:tc>
          <w:tcPr>
            <w:tcW w:w="180" w:type="dxa"/>
            <w:vAlign w:val="bottom"/>
          </w:tcPr>
          <w:p>
            <w:pPr>
              <w:spacing w:after="0"/>
              <w:rPr>
                <w:sz w:val="15"/>
                <w:szCs w:val="15"/>
                <w:color w:val="auto"/>
              </w:rPr>
            </w:pPr>
          </w:p>
        </w:tc>
        <w:tc>
          <w:tcPr>
            <w:tcW w:w="264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86"/>
              </w:rPr>
              <w:t xml:space="preserve">Costs </w:t>
            </w:r>
            <w:r>
              <w:rPr>
                <w:rFonts w:ascii="Arial" w:cs="Arial" w:eastAsia="Arial" w:hAnsi="Arial"/>
                <w:sz w:val="12"/>
                <w:szCs w:val="12"/>
                <w:b w:val="1"/>
                <w:bCs w:val="1"/>
                <w:color w:val="auto"/>
                <w:w w:val="86"/>
              </w:rPr>
              <w:t>(1)</w:t>
            </w:r>
          </w:p>
        </w:tc>
        <w:tc>
          <w:tcPr>
            <w:tcW w:w="100" w:type="dxa"/>
            <w:vAlign w:val="bottom"/>
          </w:tcPr>
          <w:p>
            <w:pPr>
              <w:spacing w:after="0"/>
              <w:rPr>
                <w:sz w:val="15"/>
                <w:szCs w:val="15"/>
                <w:color w:val="auto"/>
              </w:rPr>
            </w:pPr>
          </w:p>
        </w:tc>
        <w:tc>
          <w:tcPr>
            <w:tcW w:w="10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Cumulative since IPO</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14,388,414</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236,597</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8,989</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80" w:hanging="424"/>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7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No shares have been issued for the three months ended March 31, 2021 and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ATM Program</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three months ended March 31,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As described in Note 2, the Company has a Stock Repurchase Program under which the Company may acquire up to $5,000 of its outstanding common stock. The Company did not make any repurchases of common stock during the three months ended March 31, 2021. During the three months ended March 31, 2020, the Company repurchased 25,719 shares of common stock, on the open market for $268. The Company’s NAV per share</w:t>
      </w:r>
    </w:p>
    <w:p>
      <w:pPr>
        <w:sectPr>
          <w:pgSz w:w="11900" w:h="16838" w:orient="portrait"/>
          <w:cols w:equalWidth="0" w:num="1">
            <w:col w:w="11140"/>
          </w:cols>
          <w:pgMar w:left="320" w:top="459" w:right="439" w:bottom="358" w:gutter="0" w:footer="0" w:header="0"/>
        </w:sectPr>
      </w:pP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40"/>
          </w:cols>
          <w:pgMar w:left="320" w:top="459" w:right="439" w:bottom="358"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increased by approximately $0.01 for the three months ended March 31, 2020, as a result of the share repurchases. The following table summarizes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share repurchases under the Stock Repurchase Program for the three months ended March 31, 2021 and 2020:</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89"/>
              </w:rPr>
              <w:t>Repurchases of Common Stock</w:t>
            </w:r>
          </w:p>
        </w:tc>
        <w:tc>
          <w:tcPr>
            <w:tcW w:w="38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8"/>
        </w:trPr>
        <w:tc>
          <w:tcPr>
            <w:tcW w:w="192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Number of shares repurchased</w:t>
            </w: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40"/>
              <w:spacing w:after="0" w:line="13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25,719</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Cost of shares repurchased, including commissions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8"/>
        </w:trPr>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price per share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48"/>
        </w:trPr>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 at prior quarter end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48"/>
        </w:trPr>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discount to net asset value at quarter end prior to repurchases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N/A</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24,437,400 shares of common stock outstanding as of March 31, 2021 and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three months ended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DRIP</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Record</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Payment</w:t>
            </w:r>
          </w:p>
        </w:tc>
        <w:tc>
          <w:tcPr>
            <w:tcW w:w="20" w:type="dxa"/>
            <w:vAlign w:val="bottom"/>
          </w:tcPr>
          <w:p>
            <w:pPr>
              <w:spacing w:after="0"/>
              <w:rPr>
                <w:sz w:val="12"/>
                <w:szCs w:val="12"/>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DRIP</w:t>
            </w:r>
          </w:p>
        </w:tc>
        <w:tc>
          <w:tcPr>
            <w:tcW w:w="4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2"/>
                <w:szCs w:val="12"/>
                <w:color w:val="auto"/>
              </w:rPr>
            </w:pPr>
          </w:p>
        </w:tc>
        <w:tc>
          <w:tcPr>
            <w:tcW w:w="42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89"/>
              </w:rPr>
              <w:t>Issue</w:t>
            </w:r>
          </w:p>
        </w:tc>
        <w:tc>
          <w:tcPr>
            <w:tcW w:w="0" w:type="dxa"/>
            <w:vAlign w:val="bottom"/>
          </w:tcPr>
          <w:p>
            <w:pPr>
              <w:spacing w:after="0"/>
              <w:rPr>
                <w:sz w:val="1"/>
                <w:szCs w:val="1"/>
                <w:color w:val="auto"/>
              </w:rPr>
            </w:pPr>
          </w:p>
        </w:tc>
      </w:tr>
      <w:tr>
        <w:trPr>
          <w:trHeight w:val="162"/>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Declared</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1"/>
              </w:rPr>
              <w:t>Per Share</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2019:</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1/31/2019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3/8/2019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3/22/2019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9,541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(3)</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4/29/2019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6/21/2019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7/29/2019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9/6/2019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9/20/2019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9,541</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10/29/2019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12/6/2019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12/20/2019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10/29/2019 (1)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12/6/2019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12/20/2019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39,141</w:t>
            </w:r>
          </w:p>
        </w:tc>
        <w:tc>
          <w:tcPr>
            <w:tcW w:w="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2020:</w:t>
            </w: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2/14/2020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3/13/2020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3/27/2020</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(3)</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4/29/2020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6/12/2020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6/26/2020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7,331</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8/03/2020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9/11/2020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9/25/2020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10/26/2020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12/4/2020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12/18/2020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7,331</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10/26/2020 (2)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12/4/2020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12/18/2020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2/09/2021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3/12/2021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3/26/2021</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7,575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7,575</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(3)</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2/09/2021 (2)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3/12/2021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3/26/2021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Supplemental dividend</w:t>
      </w:r>
    </w:p>
    <w:p>
      <w:pPr>
        <w:spacing w:after="0" w:line="9" w:lineRule="exact"/>
        <w:rPr>
          <w:rFonts w:ascii="Arial" w:cs="Arial" w:eastAsia="Arial" w:hAnsi="Arial"/>
          <w:sz w:val="18"/>
          <w:szCs w:val="18"/>
          <w:color w:val="auto"/>
        </w:rPr>
      </w:pPr>
    </w:p>
    <w:p>
      <w:pPr>
        <w:jc w:val="both"/>
        <w:ind w:left="540" w:right="120" w:hanging="424"/>
        <w:spacing w:after="0" w:line="277"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the three months ended March 31, 2021 and the years ended December 31, 2020 and 2019,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2019:</w:t>
            </w: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gridSpan w:val="3"/>
            <w:vMerge w:val="continue"/>
          </w:tcPr>
          <w:p>
            <w:pPr>
              <w:spacing w:after="0"/>
              <w:rPr>
                <w:sz w:val="13"/>
                <w:szCs w:val="13"/>
                <w:color w:val="auto"/>
              </w:rPr>
            </w:pPr>
          </w:p>
        </w:tc>
        <w:tc>
          <w:tcPr>
            <w:tcW w:w="21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and Reissued</w:t>
            </w:r>
          </w:p>
        </w:tc>
        <w:tc>
          <w:tcPr>
            <w:tcW w:w="52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March 31, 2019</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April 1, 2019 through June 30, 2019</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14,067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October 1, 2019 through December 31, 2019</w:t>
            </w:r>
          </w:p>
        </w:tc>
        <w:tc>
          <w:tcPr>
            <w:tcW w:w="1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68,736</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4"/>
                <w:szCs w:val="1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2020:</w:t>
            </w: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16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2140" w:type="dxa"/>
            <w:vAlign w:val="bottom"/>
            <w:gridSpan w:val="2"/>
          </w:tcPr>
          <w:p>
            <w:pPr>
              <w:jc w:val="center"/>
              <w:ind w:left="1237"/>
              <w:spacing w:after="0" w:line="158" w:lineRule="exact"/>
              <w:rPr>
                <w:sz w:val="20"/>
                <w:szCs w:val="20"/>
                <w:color w:val="auto"/>
              </w:rPr>
            </w:pPr>
            <w:r>
              <w:rPr>
                <w:rFonts w:ascii="Arial" w:cs="Arial" w:eastAsia="Arial" w:hAnsi="Arial"/>
                <w:sz w:val="14"/>
                <w:szCs w:val="14"/>
                <w:b w:val="1"/>
                <w:bCs w:val="1"/>
                <w:color w:val="auto"/>
                <w:w w:val="90"/>
              </w:rPr>
              <w:t>and Reissued</w:t>
            </w:r>
          </w:p>
        </w:tc>
        <w:tc>
          <w:tcPr>
            <w:tcW w:w="520" w:type="dxa"/>
            <w:vAlign w:val="bottom"/>
          </w:tcPr>
          <w:p>
            <w:pPr>
              <w:spacing w:after="0"/>
              <w:rPr>
                <w:sz w:val="13"/>
                <w:szCs w:val="13"/>
                <w:color w:val="auto"/>
              </w:rPr>
            </w:pPr>
          </w:p>
        </w:tc>
        <w:tc>
          <w:tcPr>
            <w:tcW w:w="6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left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 through March 31, 2020</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31,586</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7.58</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April 1, 2020 through June 30, 2020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21,904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2020 through September 30, 2020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October 1, 2020 through December 31, 2020</w:t>
            </w:r>
          </w:p>
        </w:tc>
        <w:tc>
          <w:tcPr>
            <w:tcW w:w="1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20,222</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102,583</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16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2140" w:type="dxa"/>
            <w:vAlign w:val="bottom"/>
            <w:gridSpan w:val="2"/>
          </w:tcPr>
          <w:p>
            <w:pPr>
              <w:jc w:val="center"/>
              <w:ind w:left="1237"/>
              <w:spacing w:after="0" w:line="158" w:lineRule="exact"/>
              <w:rPr>
                <w:sz w:val="20"/>
                <w:szCs w:val="20"/>
                <w:color w:val="auto"/>
              </w:rPr>
            </w:pPr>
            <w:r>
              <w:rPr>
                <w:rFonts w:ascii="Arial" w:cs="Arial" w:eastAsia="Arial" w:hAnsi="Arial"/>
                <w:sz w:val="14"/>
                <w:szCs w:val="14"/>
                <w:b w:val="1"/>
                <w:bCs w:val="1"/>
                <w:color w:val="auto"/>
                <w:w w:val="90"/>
              </w:rPr>
              <w:t>and Reissued</w:t>
            </w:r>
          </w:p>
        </w:tc>
        <w:tc>
          <w:tcPr>
            <w:tcW w:w="520" w:type="dxa"/>
            <w:vAlign w:val="bottom"/>
          </w:tcPr>
          <w:p>
            <w:pPr>
              <w:spacing w:after="0"/>
              <w:rPr>
                <w:sz w:val="13"/>
                <w:szCs w:val="13"/>
                <w:color w:val="auto"/>
              </w:rPr>
            </w:pPr>
          </w:p>
        </w:tc>
        <w:tc>
          <w:tcPr>
            <w:tcW w:w="6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2021 through March 31, 2021</w:t>
            </w:r>
          </w:p>
        </w:tc>
        <w:tc>
          <w:tcPr>
            <w:tcW w:w="13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15,562</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15.62</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15,562</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schedule of financial highlights for the three months ended March 31, 2021 and 2020: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Net realized gain (loss) on investments, net of tax (provision)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8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at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24,437,400</w:t>
            </w: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24,437,400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24,437,400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24,457,634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413,012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375,534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411,886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393,922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Ratios to average net assets: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(2)(4)(9)</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(8)</w:t>
            </w:r>
          </w:p>
        </w:tc>
        <w:tc>
          <w:tcPr>
            <w:tcW w:w="8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Supplemental Data:</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405,150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369,250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16.58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jc w:val="both"/>
        <w:ind w:left="540" w:hanging="424"/>
        <w:spacing w:after="0" w:line="277"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320" w:top="459" w:right="5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40" w:right="40" w:hanging="424"/>
        <w:spacing w:after="0" w:line="25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and the income tax provision (benefit) captions as presented on the consolidated statements of operations.</w:t>
      </w:r>
    </w:p>
    <w:p>
      <w:pPr>
        <w:spacing w:after="0" w:line="1" w:lineRule="exact"/>
        <w:rPr>
          <w:rFonts w:ascii="Arial" w:cs="Arial" w:eastAsia="Arial" w:hAnsi="Arial"/>
          <w:sz w:val="18"/>
          <w:szCs w:val="18"/>
          <w:color w:val="auto"/>
        </w:rPr>
      </w:pPr>
    </w:p>
    <w:p>
      <w:pPr>
        <w:ind w:left="540" w:right="46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540" w:right="22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54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89"/>
              </w:rPr>
              <w:t>Ratio to average net assets:</w:t>
            </w:r>
          </w:p>
        </w:tc>
        <w:tc>
          <w:tcPr>
            <w:tcW w:w="3920" w:type="dxa"/>
            <w:vAlign w:val="bottom"/>
            <w:vMerge w:val="restart"/>
          </w:tcPr>
          <w:p>
            <w:pPr>
              <w:spacing w:after="0"/>
              <w:rPr>
                <w:sz w:val="14"/>
                <w:szCs w:val="14"/>
                <w:color w:val="auto"/>
              </w:rPr>
            </w:pPr>
          </w:p>
        </w:tc>
        <w:tc>
          <w:tcPr>
            <w:tcW w:w="2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auto"/>
            </w:tcBorders>
            <w:vMerge w:val="continue"/>
          </w:tcPr>
          <w:p>
            <w:pPr>
              <w:spacing w:after="0"/>
              <w:rPr>
                <w:sz w:val="11"/>
                <w:szCs w:val="11"/>
                <w:color w:val="auto"/>
              </w:rPr>
            </w:pPr>
          </w:p>
        </w:tc>
        <w:tc>
          <w:tcPr>
            <w:tcW w:w="3920" w:type="dxa"/>
            <w:vAlign w:val="bottom"/>
            <w:vMerge w:val="continue"/>
          </w:tcPr>
          <w:p>
            <w:pPr>
              <w:spacing w:after="0"/>
              <w:rPr>
                <w:sz w:val="11"/>
                <w:szCs w:val="11"/>
                <w:color w:val="auto"/>
              </w:rPr>
            </w:pPr>
          </w:p>
        </w:tc>
        <w:tc>
          <w:tcPr>
            <w:tcW w:w="74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(2)</w:t>
            </w: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880"/>
              <w:spacing w:after="0" w:line="203" w:lineRule="exact"/>
              <w:rPr>
                <w:sz w:val="20"/>
                <w:szCs w:val="20"/>
                <w:color w:val="auto"/>
              </w:rPr>
            </w:pPr>
            <w:r>
              <w:rPr>
                <w:rFonts w:ascii="Arial" w:cs="Arial" w:eastAsia="Arial" w:hAnsi="Arial"/>
                <w:sz w:val="18"/>
                <w:szCs w:val="18"/>
                <w:color w:val="auto"/>
              </w:rPr>
              <w:t>9.2%</w:t>
            </w: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 xml:space="preserve">Incentive fee </w:t>
            </w:r>
            <w:r>
              <w:rPr>
                <w:rFonts w:ascii="Arial" w:cs="Arial" w:eastAsia="Arial" w:hAnsi="Arial"/>
                <w:sz w:val="15"/>
                <w:szCs w:val="15"/>
                <w:color w:val="auto"/>
              </w:rPr>
              <w:t>(2)</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(2)(4)</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April 1, 2021, the Company invested $11,000 in first lien debt of Winona Foods, Inc., a leading provider of natural and processed cheese products, sauces, and plant-based alternatives.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April 1, 2021, the Company invested $5,500 in first lien debt and $1,000 in common equity of Level Education Group, LLC (dba CE4Less), a leading provider of online continuing education for mental health and nursing professionals.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April 5, 2021, the Company exited its debt investment in The Kyjen Company, LLC (dba Outward Hound). The Company received payment in full of $15,005 on its second lien debt, which includes a prepayment fee.</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On April 5, 2021, the Company invested $25,500 in first lien debt and common equity, and made a commitment up to $2,000 of additional first lien debt of ISI PSG Holdings, LLC (dba Incentive Solutions, Inc.), a tech-enabled incentive rewards and digital marketing firm that facilitates and optimizes its clients’ indirect sales channel strategies.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April 14, 2021, the Company exited its debt investment in Medsurant Holdings, LLC. The Company received payment in full of $8,031 on its second lien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April 29, 2021, the Company exited its debt investment in Virginia Tile Company, LLC. The Company received payment in full of $12,000 on its second lien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May 3, 2021, the Board declared a base quarterly dividend of $0.31 per share and a supplemental dividend of $0.08 per share payable June 28, 2021 to stockholders of record as of June 14,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Subsequent to March 31, 2021, the global outbreak of the coronavirus (“COVID-19”) pandemic, and the related effect on the U.S. and global economies, has continued to have adverse consequences for the business operations of some of the Company’s portfolio companies.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2020, filed with the SEC on February 25, 2021. The information contained in this section should also be read in conjunction with our unaudited consolidated financial statements and related notes thereto appearing elsewhere in this quarterly report on Form 10-Q.</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21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COVID-19 pandemic thereon;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pandemics or other serious public health events, such as the recent global outbreak of COVID-19;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 and the impact of the COVID-19 pandemic thereon;</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the Investment Advisor to locate suitable investments for us and to monitor and administer our investments and the impacts of the COVID-19 pandemic thereon;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investment advisor to attract and retain highly talented professionals;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operate as a BDC, a SBIC and a RIC;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of any investments in portfolio companies, particularly those having no liquid trading market;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11" w:lineRule="exact"/>
        <w:rPr>
          <w:sz w:val="20"/>
          <w:szCs w:val="20"/>
          <w:color w:val="auto"/>
        </w:rPr>
      </w:pPr>
    </w:p>
    <w:p>
      <w:pPr>
        <w:ind w:left="1080" w:right="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current COVID-19 pandemic,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COVID-19 pandemic, could impair our lending and investment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risks, uncertainties and other factors we identify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2020, elsewhere in this Quarterly Report on Form 10-Q and in our other filings with the SEC.</w:t>
      </w:r>
    </w:p>
    <w:p>
      <w:pPr>
        <w:sectPr>
          <w:pgSz w:w="11900" w:h="16838" w:orient="portrait"/>
          <w:cols w:equalWidth="0" w:num="1">
            <w:col w:w="11100"/>
          </w:cols>
          <w:pgMar w:left="320" w:top="459" w:right="479" w:bottom="804" w:gutter="0" w:footer="0" w:header="0"/>
        </w:sectPr>
      </w:pP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00"/>
          </w:cols>
          <w:pgMar w:left="320" w:top="459" w:right="479" w:bottom="804"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Item 1.A –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contained in our Annual Report on Form 10-K for the year ended December 31, 2020, filed with the SEC on February 25, 2021. You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place undue reliance on these forward-looking statements, which apply only as of the date of this Quarterly Report on Form 10-Q.</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 FIC has elected to be treated as business development company, or BDC, under the 1940 Act and our investment activities are managed by Fidus Investment Advisors, our investment advisor, and supervised by the Board, a majority of whom are independent of us. On March 29, 2013, we commenced operations of a wholly-owned subsidiary, Fund II. On April 18, 2018, we commenced operations of another wholly-owned subsidiary, Fund III. Fund II and Fund III are collectively referred to as the “Funds.”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8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restricting travel and hospitality, and temporarily closing or limiting operations at many corporate offices, retail stores, restaurants, fitness clubs and manufacturing facilities and factories in affected jurisdictions.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COVID-19. Nevertheless, COVID-19 presents material uncertainty and risks with respect to the underlying value of the Company’s portfolio companies, the Company’s business, financial condition, results of operations and cash flows, such as the potential negative impact to financing arrangements, company decisions to delay, defer and/or modify the character of dividends in order to preserve liquidity, increased costs of operations, changes in law and/or regulation, and uncertainty regarding government and regulatory policy.</w:t>
      </w:r>
    </w:p>
    <w:p>
      <w:pPr>
        <w:spacing w:after="0" w:line="17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have evaluated subsequent events from April 1, 2021 to May 6, 2021. However, as the discussion in this Item 2. Management’s Discussion and Analysis of Financial Condition and Results of Operations relates to the Company’s financial statements for the year ended December 31, 2020, the analysis contained herein may not fully account for impacts relating to the COVID-19 pandemic. In that regard, for example, as of March 31, 2021, the Company valued its portfolio investments in conformity with GAAP based on the facts and circumstances known by the Company at that time, or reasonably expected to be known at that time. Due to the overall volatility that the COVID-19 pandemic has caused during the months that followed March 31, 2021, any valuations conducted now or in the future in conformity with GAAP could result in a lower fair value of our portfolio. The potential impact to our results going forward will depend to a large extent on future developments and new information that may emerge regarding the duration and severity of COVID-19 and the actions taken by authorities and other entities to contain the coronavirus or treat its impact, all of which are beyond our control. Accordingly, the Company cannot predict the extent to which its financial condition and results of operations will be affected at this time.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6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 Second lien</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 lien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Equity Securities</w:t>
      </w:r>
      <w:r>
        <w:rPr>
          <w:rFonts w:ascii="Arial" w:cs="Arial" w:eastAsia="Arial" w:hAnsi="Arial"/>
          <w:sz w:val="16"/>
          <w:szCs w:val="16"/>
          <w:color w:val="auto"/>
        </w:rPr>
        <w:t>. Our equity securities typically consist of either a direct minority equity investment in common or preferred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connection with these equity interests, which may include demand and “piggyback” registration rights. Our equity investments typically are made in connection with debt investments to the same portfolio companies.</w:t>
      </w:r>
    </w:p>
    <w:p>
      <w:pPr>
        <w:spacing w:after="0" w:line="17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82"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the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ectPr>
          <w:pgSz w:w="11900" w:h="16838" w:orient="portrait"/>
          <w:cols w:equalWidth="0" w:num="1">
            <w:col w:w="11140"/>
          </w:cols>
          <w:pgMar w:left="320" w:top="459" w:right="43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4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reasonably incurred by us or the Investment Advisor in connection with administering our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During the three months ended March 31, 2021 and 2020, we invested $63.1 million and $68.2 million, respectively, in debt and equity investments including four and three new portfolio companies, respectively. During the three months ended March 31, 2021 and 2020, we received proceeds from sales or repayments, including principal, return of capital dividends and net realized gains (losses), of $98.6 million and $73.8 million, respectively, including exits of three and one portfolio companies, respectively. The following table summarizes investment purchases and sales and repayments of investments by type for the three months ended March 31, 2021 and 2020 (dollars in millions).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7"/>
          </w:tcPr>
          <w:p>
            <w:pPr>
              <w:spacing w:after="0"/>
              <w:rPr>
                <w:sz w:val="20"/>
                <w:szCs w:val="20"/>
                <w:color w:val="auto"/>
              </w:rPr>
            </w:pPr>
            <w:r>
              <w:rPr>
                <w:rFonts w:ascii="Arial" w:cs="Arial" w:eastAsia="Arial" w:hAnsi="Arial"/>
                <w:sz w:val="14"/>
                <w:szCs w:val="14"/>
                <w:b w:val="1"/>
                <w:bCs w:val="1"/>
                <w:color w:val="auto"/>
                <w:w w:val="85"/>
              </w:rPr>
              <w:t>Purchases of Investments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1"/>
              </w:rPr>
              <w:t>Sales and Repayments of Investments</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9"/>
          </w:tcPr>
          <w:p>
            <w:pPr>
              <w:jc w:val="right"/>
              <w:ind w:right="44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right"/>
              <w:ind w:right="27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$20.0</w:t>
            </w: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$40.4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$ 11.7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Subordinated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16.0</w:t>
            </w: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25.4</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24.0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36.9</w:t>
            </w: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6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5.9</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7.7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42.0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63.1</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68.2</w:t>
            </w:r>
          </w:p>
        </w:tc>
        <w:tc>
          <w:tcPr>
            <w:tcW w:w="16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8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98.6</w:t>
            </w:r>
          </w:p>
        </w:tc>
        <w:tc>
          <w:tcPr>
            <w:tcW w:w="160" w:type="dxa"/>
            <w:vAlign w:val="bottom"/>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73.8</w:t>
            </w:r>
          </w:p>
        </w:tc>
        <w:tc>
          <w:tcPr>
            <w:tcW w:w="16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640" w:hanging="424"/>
        <w:spacing w:after="0" w:line="263"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Three Months Ended March 31, 2021 and 2020, includes unitranche securities, which account for 43.6% and 49.8% of purchases, respectively. For the Three Months Ended March 31, 2021 and 2020, includes unitranche securities, which account for 22.1% and 0.5% of repayments, respectively.</w:t>
      </w:r>
    </w:p>
    <w:p>
      <w:pPr>
        <w:spacing w:after="0" w:line="184"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color w:val="auto"/>
        </w:rPr>
        <w:t>As of March 31, 2021, the fair value of our investment portfolio totaled $711.9 million and consisted of 67 active portfolio companies and four portfolio companies that have sold their underlying operations. As of March 31, 2021, 22 portfolio companies’ debt investments bore interest at a variable rate, which represented $219.7 million, or 37.2%, of our debt investment portfolio on a fair value basis, and the remainder of our debt investment portfolio was comprised of fixed rate investments. Overall, the portfolio had net unrealized appreciation of $55.3 million as of March 31, 2021. As of March 31, 2021, our average active portfolio company investment at amortized cost was $9.8 million, which excludes investments in the four portfolio companies that have sold their underlying operations.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of December 31, 2020, the fair value of our investment portfolio totaled $742.9 million and consisted of 66 active portfolio companies and three portfolio companies that have sold their underlying operations. As of December 31, 2020, 22 portfolio companies’ debt investments bore interest at a variable rate, which represented $230.9 million, or 36.8%, of our debt investment portfolio on a fair value basis, and the remainder of our debt investment portfolio was comprised of fixed rate investments. Overall, the portfolio had net unrealized appreciation of $55.8 million as of December 31, 2020. As of December 31, 2020, our average active portfolio company investment at amortized cost was $10.4 million, which excludes investments in the three portfolio companies that have sold their underlying operations.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weighted average yield on debt investments as of March 31, 2021 and December 31, 2020 was 12.3% and 12.2%,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4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$295.5</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$332.2</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$309.5</w:t>
            </w:r>
          </w:p>
        </w:tc>
        <w:tc>
          <w:tcPr>
            <w:tcW w:w="760" w:type="dxa"/>
            <w:vAlign w:val="bottom"/>
            <w:tcBorders>
              <w:lef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$341.9</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Subordinated Debt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107.9</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15.1</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107.3</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r>
              <w:rPr>
                <w:rFonts w:ascii="Arial" w:cs="Arial" w:eastAsia="Arial" w:hAnsi="Arial"/>
                <w:sz w:val="15"/>
                <w:szCs w:val="15"/>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195.3</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29.7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184.6</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112.8</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711.9</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656.6</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60" w:hanging="424"/>
        <w:spacing w:after="0" w:line="26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unitranche investments, which account for 18.6% and 20.1% of our portfolio on a fair value and cost basis as of March 31, 2021, respectively. Includes unitranche investments, which account for 17.3% and 18.4% of our portfolio on a fair value and cost basis as of December 31, 2020, respectively.</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All investments made by us as of March 31, 2021 and December 31, 2020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42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$179.1</w:t>
            </w:r>
          </w:p>
        </w:tc>
        <w:tc>
          <w:tcPr>
            <w:tcW w:w="7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$225.7</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$141.6</w:t>
            </w:r>
          </w:p>
        </w:tc>
        <w:tc>
          <w:tcPr>
            <w:tcW w:w="760" w:type="dxa"/>
            <w:vAlign w:val="bottom"/>
            <w:tcBorders>
              <w:lef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$189.6</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Southeast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173.0</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153.3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145.7</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22.2</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130.0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w:t>
            </w: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123.3</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156.8</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West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108.7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94.4</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14.4</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109.2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131.9</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130.4</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711.9</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656.6</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500" w:type="dxa"/>
            <w:vAlign w:val="bottom"/>
          </w:tcPr>
          <w:p>
            <w:pPr>
              <w:jc w:val="right"/>
              <w:ind w:right="215"/>
              <w:spacing w:after="0"/>
              <w:rPr>
                <w:sz w:val="20"/>
                <w:szCs w:val="20"/>
                <w:color w:val="auto"/>
              </w:rPr>
            </w:pPr>
            <w:r>
              <w:rPr>
                <w:rFonts w:ascii="Arial" w:cs="Arial" w:eastAsia="Arial" w:hAnsi="Arial"/>
                <w:sz w:val="18"/>
                <w:szCs w:val="18"/>
                <w:color w:val="auto"/>
                <w:w w:val="89"/>
              </w:rPr>
              <w:t>44</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Services</w:t>
            </w:r>
          </w:p>
        </w:tc>
        <w:tc>
          <w:tcPr>
            <w:tcW w:w="1340" w:type="dxa"/>
            <w:vAlign w:val="bottom"/>
            <w:gridSpan w:val="3"/>
            <w:shd w:val="clear" w:color="auto" w:fill="CCEEFF"/>
          </w:tcPr>
          <w:p>
            <w:pPr>
              <w:jc w:val="right"/>
              <w:ind w:right="465"/>
              <w:spacing w:after="0"/>
              <w:rPr>
                <w:sz w:val="20"/>
                <w:szCs w:val="20"/>
                <w:color w:val="auto"/>
              </w:rPr>
            </w:pPr>
            <w:r>
              <w:rPr>
                <w:rFonts w:ascii="Arial" w:cs="Arial" w:eastAsia="Arial" w:hAnsi="Arial"/>
                <w:sz w:val="18"/>
                <w:szCs w:val="18"/>
                <w:color w:val="auto"/>
              </w:rPr>
              <w:t>14.3%</w:t>
            </w:r>
          </w:p>
        </w:tc>
        <w:tc>
          <w:tcPr>
            <w:tcW w:w="152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12.8%</w:t>
            </w:r>
          </w:p>
        </w:tc>
        <w:tc>
          <w:tcPr>
            <w:tcW w:w="9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14.8%</w:t>
            </w: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Specialty Distribution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Healthcare Products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Aerospace &amp; Defense Manufacturing</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Healthcare Services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Promotional Products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Oil &amp; Gas Services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Utilities: Services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Oil &amp; Gas Distribution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Industrial Cleaning &amp; Coatings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Utility Equipment Manufacturing</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Vending Equipment Manufacturing</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Restaurants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tcPr>
          <w:p>
            <w:pPr>
              <w:jc w:val="right"/>
              <w:ind w:right="405"/>
              <w:spacing w:after="0"/>
              <w:rPr>
                <w:sz w:val="20"/>
                <w:szCs w:val="20"/>
                <w:color w:val="auto"/>
              </w:rPr>
            </w:pPr>
            <w:r>
              <w:rPr>
                <w:rFonts w:ascii="Arial" w:cs="Arial" w:eastAsia="Arial" w:hAnsi="Arial"/>
                <w:sz w:val="15"/>
                <w:szCs w:val="15"/>
                <w:color w:val="auto"/>
                <w:w w:val="97"/>
              </w:rPr>
              <w:t>(1)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tcPr>
          <w:p>
            <w:pPr>
              <w:jc w:val="right"/>
              <w:ind w:right="404"/>
              <w:spacing w:after="0"/>
              <w:rPr>
                <w:sz w:val="20"/>
                <w:szCs w:val="20"/>
                <w:color w:val="auto"/>
              </w:rPr>
            </w:pPr>
            <w:r>
              <w:rPr>
                <w:rFonts w:ascii="Arial" w:cs="Arial" w:eastAsia="Arial" w:hAnsi="Arial"/>
                <w:sz w:val="15"/>
                <w:szCs w:val="15"/>
                <w:color w:val="auto"/>
                <w:w w:val="97"/>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Specialty Chemicals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97"/>
              </w:rPr>
              <w:t>(1)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97"/>
              </w:rPr>
              <w:t>(1)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Packaging</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3"/>
            <w:shd w:val="clear" w:color="auto" w:fill="CCEEFF"/>
          </w:tcPr>
          <w:p>
            <w:pPr>
              <w:jc w:val="right"/>
              <w:ind w:right="465"/>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100.0%</w:t>
            </w:r>
          </w:p>
        </w:tc>
        <w:tc>
          <w:tcPr>
            <w:tcW w:w="9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100.0%</w:t>
            </w:r>
          </w:p>
        </w:tc>
        <w:tc>
          <w:tcPr>
            <w:tcW w:w="1520" w:type="dxa"/>
            <w:vAlign w:val="bottom"/>
            <w:gridSpan w:val="4"/>
            <w:shd w:val="clear" w:color="auto" w:fill="CCEEFF"/>
          </w:tcPr>
          <w:p>
            <w:pPr>
              <w:jc w:val="right"/>
              <w:ind w:right="4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9" w:lineRule="exact"/>
        <w:rPr>
          <w:sz w:val="20"/>
          <w:szCs w:val="20"/>
          <w:color w:val="auto"/>
        </w:rPr>
      </w:pPr>
    </w:p>
    <w:p>
      <w:pPr>
        <w:ind w:left="1080" w:right="26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9"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9"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and cost as of March 31, 2021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(dollars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Investment Rating</w:t>
            </w:r>
          </w:p>
        </w:tc>
        <w:tc>
          <w:tcPr>
            <w:tcW w:w="4260" w:type="dxa"/>
            <w:vAlign w:val="bottom"/>
          </w:tcPr>
          <w:p>
            <w:pPr>
              <w:spacing w:after="0"/>
              <w:rPr>
                <w:sz w:val="11"/>
                <w:szCs w:val="11"/>
                <w:color w:val="auto"/>
              </w:rPr>
            </w:pPr>
          </w:p>
        </w:tc>
        <w:tc>
          <w:tcPr>
            <w:tcW w:w="1420" w:type="dxa"/>
            <w:vAlign w:val="bottom"/>
            <w:gridSpan w:val="5"/>
          </w:tcPr>
          <w:p>
            <w:pPr>
              <w:jc w:val="center"/>
              <w:ind w:right="300"/>
              <w:spacing w:after="0" w:line="133"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3"/>
          </w:tcPr>
          <w:p>
            <w:pPr>
              <w:jc w:val="right"/>
              <w:ind w:right="50"/>
              <w:spacing w:after="0" w:line="133"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tcPr>
          <w:p>
            <w:pPr>
              <w:jc w:val="center"/>
              <w:ind w:right="328"/>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02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140" w:type="dxa"/>
            <w:vAlign w:val="bottom"/>
            <w:tcBorders>
              <w:bottom w:val="single" w:sz="8" w:color="auto"/>
            </w:tcBorders>
            <w:vMerge w:val="continue"/>
          </w:tcPr>
          <w:p>
            <w:pPr>
              <w:spacing w:after="0"/>
              <w:rPr>
                <w:sz w:val="13"/>
                <w:szCs w:val="13"/>
                <w:color w:val="auto"/>
              </w:rPr>
            </w:pPr>
          </w:p>
        </w:tc>
        <w:tc>
          <w:tcPr>
            <w:tcW w:w="492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vMerge w:val="restart"/>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shd w:val="clear" w:color="auto" w:fill="CCEEFF"/>
          </w:tcPr>
          <w:p>
            <w:pPr>
              <w:spacing w:after="0"/>
              <w:rPr>
                <w:sz w:val="17"/>
                <w:szCs w:val="17"/>
                <w:color w:val="auto"/>
              </w:rPr>
            </w:pPr>
          </w:p>
        </w:tc>
        <w:tc>
          <w:tcPr>
            <w:tcW w:w="426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$114.7</w:t>
            </w:r>
          </w:p>
        </w:tc>
        <w:tc>
          <w:tcPr>
            <w:tcW w:w="14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16.1%</w:t>
            </w:r>
          </w:p>
        </w:tc>
        <w:tc>
          <w:tcPr>
            <w:tcW w:w="6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7"/>
              </w:rPr>
              <w:t>$109.3</w:t>
            </w:r>
          </w:p>
        </w:tc>
        <w:tc>
          <w:tcPr>
            <w:tcW w:w="78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41.6</w:t>
            </w:r>
          </w:p>
        </w:tc>
        <w:tc>
          <w:tcPr>
            <w:tcW w:w="760" w:type="dxa"/>
            <w:vAlign w:val="bottom"/>
            <w:tcBorders>
              <w:left w:val="single" w:sz="8" w:color="CCEEFF"/>
            </w:tcBorders>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38.7</w:t>
            </w: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780" w:type="dxa"/>
            <w:vAlign w:val="bottom"/>
            <w:gridSpan w:val="3"/>
          </w:tcPr>
          <w:p>
            <w:pPr>
              <w:jc w:val="right"/>
              <w:ind w:right="20"/>
              <w:spacing w:after="0"/>
              <w:rPr>
                <w:sz w:val="20"/>
                <w:szCs w:val="20"/>
                <w:color w:val="auto"/>
              </w:rPr>
            </w:pPr>
            <w:r>
              <w:rPr>
                <w:rFonts w:ascii="Arial" w:cs="Arial" w:eastAsia="Arial" w:hAnsi="Arial"/>
                <w:sz w:val="18"/>
                <w:szCs w:val="18"/>
                <w:color w:val="auto"/>
              </w:rPr>
              <w:t>519.1</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72.9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544.4</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514.9</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537.6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78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780" w:type="dxa"/>
            <w:vAlign w:val="bottom"/>
            <w:tcBorders>
              <w:lef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4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711.9</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656.6</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687.0</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March 31, 2021 and December 31, 2020 was 2.0 and 2.0, respectively, on a fair value basis and 2.1 and 2.2, respectively, on a cost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2021 and December 31, 2020, we had debt investments in one portfolio company on non-accrual status, (dollars in millions):</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60" w:type="dxa"/>
            <w:vAlign w:val="bottom"/>
            <w:gridSpan w:val="5"/>
          </w:tcPr>
          <w:p>
            <w:pPr>
              <w:jc w:val="center"/>
              <w:ind w:right="404"/>
              <w:spacing w:after="0"/>
              <w:rPr>
                <w:sz w:val="20"/>
                <w:szCs w:val="20"/>
                <w:color w:val="auto"/>
              </w:rPr>
            </w:pPr>
            <w:r>
              <w:rPr>
                <w:rFonts w:ascii="Arial" w:cs="Arial" w:eastAsia="Arial" w:hAnsi="Arial"/>
                <w:sz w:val="14"/>
                <w:szCs w:val="14"/>
                <w:b w:val="1"/>
                <w:bCs w:val="1"/>
                <w:color w:val="auto"/>
                <w:w w:val="95"/>
              </w:rPr>
              <w:t>March 31,</w:t>
            </w:r>
          </w:p>
        </w:tc>
        <w:tc>
          <w:tcPr>
            <w:tcW w:w="1380" w:type="dxa"/>
            <w:vAlign w:val="bottom"/>
            <w:gridSpan w:val="4"/>
          </w:tcPr>
          <w:p>
            <w:pPr>
              <w:jc w:val="center"/>
              <w:ind w:right="14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84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2"/>
          </w:tcPr>
          <w:p>
            <w:pPr>
              <w:jc w:val="center"/>
              <w:ind w:right="424"/>
              <w:spacing w:after="0" w:line="133"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80" w:type="dxa"/>
            <w:vAlign w:val="bottom"/>
            <w:gridSpan w:val="2"/>
            <w:vMerge w:val="continue"/>
          </w:tcPr>
          <w:p>
            <w:pPr>
              <w:spacing w:after="0"/>
              <w:rPr>
                <w:sz w:val="13"/>
                <w:szCs w:val="13"/>
                <w:color w:val="auto"/>
              </w:rPr>
            </w:pPr>
          </w:p>
        </w:tc>
        <w:tc>
          <w:tcPr>
            <w:tcW w:w="8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Cost</w:t>
            </w:r>
          </w:p>
        </w:tc>
        <w:tc>
          <w:tcPr>
            <w:tcW w:w="840" w:type="dxa"/>
            <w:vAlign w:val="bottom"/>
            <w:gridSpan w:val="2"/>
          </w:tcPr>
          <w:p>
            <w:pPr>
              <w:jc w:val="center"/>
              <w:ind w:right="424"/>
              <w:spacing w:after="0" w:line="158" w:lineRule="exact"/>
              <w:rPr>
                <w:sz w:val="20"/>
                <w:szCs w:val="20"/>
                <w:color w:val="auto"/>
              </w:rPr>
            </w:pPr>
            <w:r>
              <w:rPr>
                <w:rFonts w:ascii="Arial" w:cs="Arial" w:eastAsia="Arial" w:hAnsi="Arial"/>
                <w:sz w:val="14"/>
                <w:szCs w:val="14"/>
                <w:b w:val="1"/>
                <w:bCs w:val="1"/>
                <w:color w:val="auto"/>
                <w:w w:val="90"/>
              </w:rPr>
              <w:t>Value</w:t>
            </w:r>
          </w:p>
        </w:tc>
        <w:tc>
          <w:tcPr>
            <w:tcW w:w="5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EBL, LLC (EbLens)</w:t>
            </w:r>
          </w:p>
        </w:tc>
        <w:tc>
          <w:tcPr>
            <w:tcW w:w="36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$ 5.7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87"/>
              </w:rPr>
              <w:t>(1)</w:t>
            </w:r>
          </w:p>
        </w:tc>
        <w:tc>
          <w:tcPr>
            <w:tcW w:w="32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87"/>
              </w:rPr>
              <w:t>(1)</w:t>
            </w:r>
          </w:p>
        </w:tc>
        <w:tc>
          <w:tcPr>
            <w:tcW w:w="34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$ 5.5</w:t>
            </w:r>
          </w:p>
        </w:tc>
        <w:tc>
          <w:tcPr>
            <w:tcW w:w="5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87"/>
              </w:rPr>
              <w:t>(1)</w:t>
            </w:r>
          </w:p>
        </w:tc>
        <w:tc>
          <w:tcPr>
            <w:tcW w:w="32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$ 5.7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w:t>
            </w:r>
          </w:p>
        </w:tc>
        <w:tc>
          <w:tcPr>
            <w:tcW w:w="500" w:type="dxa"/>
            <w:vAlign w:val="bottom"/>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$ 5.5</w:t>
            </w:r>
          </w:p>
        </w:tc>
        <w:tc>
          <w:tcPr>
            <w:tcW w:w="50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summary of the changes in total investment income for the three months ended March 31, 2021 as compared to the same period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(dollars in millions):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vMerge w:val="restart"/>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2021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2020</w:t>
            </w:r>
          </w:p>
        </w:tc>
        <w:tc>
          <w:tcPr>
            <w:tcW w:w="4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Fee income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23.3</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jc w:val="both"/>
        <w:ind w:left="120" w:right="820" w:firstLine="440"/>
        <w:spacing w:after="0" w:line="263" w:lineRule="auto"/>
        <w:rPr>
          <w:sz w:val="20"/>
          <w:szCs w:val="20"/>
          <w:color w:val="auto"/>
        </w:rPr>
      </w:pPr>
      <w:r>
        <w:rPr>
          <w:rFonts w:ascii="Arial" w:cs="Arial" w:eastAsia="Arial" w:hAnsi="Arial"/>
          <w:sz w:val="18"/>
          <w:szCs w:val="18"/>
          <w:color w:val="auto"/>
        </w:rPr>
        <w:t>For the three months ended March 31, 2021, total investment income was $23.3 million, an increase of $3.3 million or 16.5%, from the $20.0 million of total investment income for the three months ended March 31, 2020. As reflected in the table above, the increase is primarily attributable to the following:</w:t>
      </w:r>
    </w:p>
    <w:p>
      <w:pPr>
        <w:spacing w:after="0" w:line="89" w:lineRule="exact"/>
        <w:rPr>
          <w:sz w:val="20"/>
          <w:szCs w:val="20"/>
          <w:color w:val="auto"/>
        </w:rPr>
      </w:pPr>
    </w:p>
    <w:p>
      <w:pPr>
        <w:ind w:left="1080" w:right="6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$1.8 million increase in fee income resulting from an increase in prepayment and amendment fees, partially offset by a decrease in origination fees, during 2021 as compared to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1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$1.5 million increase in total interest income (which includes a $0.1 million decrease in payment-in-kind interest income) resulting from accelerated closing fee and OID amortization from prepayments and higher weighted average yield on debt investment balances outstanding, partially offset by a decrease in average debt investment balances outstanding, during 2021 as compared to 2020.</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March 31, 2021 as compared to the same period in 2020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vMerge w:val="restart"/>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0" w:type="dxa"/>
            <w:vAlign w:val="bottom"/>
            <w:tcBorders>
              <w:lef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Base management fee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Incentive fee (reversal) - capital gains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For the three months ended March 31, 2021, total expenses, including income tax provision, were $12.2 million, an increase of $9.6 million or 375.8%, from the $2.6 million of total expenses for the three months ended March 31, 2020. As reflected in the table above, changes across periods were primarily attributable to the following:</w:t>
      </w:r>
    </w:p>
    <w:p>
      <w:pPr>
        <w:spacing w:after="0" w:line="89" w:lineRule="exact"/>
        <w:rPr>
          <w:sz w:val="20"/>
          <w:szCs w:val="20"/>
          <w:color w:val="auto"/>
        </w:rPr>
      </w:pPr>
    </w:p>
    <w:p>
      <w:pPr>
        <w:ind w:left="1080" w:hanging="424"/>
        <w:spacing w:after="0" w:line="30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$9.0 million increase in the capital gains incentive fee due to a $44.8 million increase in net gain on investments (net realized gains (losses), plus net change in unrealized appreciation (depreciation) on investments, plus realized losses on extinguishment of debt during 2021 as compared to the same period in 2020. The reversal in the capital gains incentive fee accrued for the three months ended March 31, 2020 was primarily driven by COVID related write-downs across the portfolio due to fair value calibration to public company multiples.</w:t>
      </w:r>
    </w:p>
    <w:p>
      <w:pPr>
        <w:spacing w:after="0" w:line="62"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$0.8 million net increase in the income incentive fee due to a $3.5 million increase in pre-incentive fee net investment income during 2021 as compared to the same period in 2020.</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$0.3 million increase in interest and financing expenses due to an increase in average borrowings outstanding during 2021 as compared to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$0.2 million decrease in base management fee due to lower average total assets during 2021 as compared to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$0.2 million decrease in professional fees due to decreased legal, audit and tax compliance costs during 2021 as compared to 2020.</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Net investment income decreased by $(6.3) million, or (36.4)%, to $11.1 million during the three months ended March 31, 2021 as compared to the same period in 2020, as a result of the $9.6 million increase in total expenses and income tax provision, partially offset by the $3.3 increase in total investment income.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three months ended March 31, 2021, the total net realized gain/(loss) on investments, before income tax (provision)/benefit, was</w:t>
      </w:r>
    </w:p>
    <w:p>
      <w:pPr>
        <w:spacing w:after="0" w:line="35"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$3.2 million. There was no income tax (provision) benefit from realized gains on investments for the three months ended March 31, 2021. Significant realized gains (losses) for the three months ended March 31, 2021 are summarized below (dollars in millions):</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4"/>
                <w:szCs w:val="14"/>
                <w:color w:val="auto"/>
              </w:rPr>
            </w:pPr>
          </w:p>
        </w:tc>
        <w:tc>
          <w:tcPr>
            <w:tcW w:w="34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5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Net Realized</w:t>
            </w:r>
          </w:p>
        </w:tc>
        <w:tc>
          <w:tcPr>
            <w:tcW w:w="0" w:type="dxa"/>
            <w:vAlign w:val="bottom"/>
          </w:tcPr>
          <w:p>
            <w:pPr>
              <w:spacing w:after="0"/>
              <w:rPr>
                <w:sz w:val="1"/>
                <w:szCs w:val="1"/>
                <w:color w:val="auto"/>
              </w:rPr>
            </w:pPr>
          </w:p>
        </w:tc>
      </w:tr>
      <w:tr>
        <w:trPr>
          <w:trHeight w:val="158"/>
        </w:trPr>
        <w:tc>
          <w:tcPr>
            <w:tcW w:w="41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152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Software Technology, LLC</w:t>
            </w:r>
          </w:p>
        </w:tc>
        <w:tc>
          <w:tcPr>
            <w:tcW w:w="180" w:type="dxa"/>
            <w:vAlign w:val="bottom"/>
            <w:shd w:val="clear" w:color="auto" w:fill="CCEEFF"/>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Exit of portfolio company</w:t>
            </w: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3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Rohrer Corporation</w:t>
            </w:r>
          </w:p>
        </w:tc>
        <w:tc>
          <w:tcPr>
            <w:tcW w:w="36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Exit of portfolio company</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Spectra A&amp;D Acquisition, Inc. (fka FDS Avionics Corp.)</w:t>
            </w:r>
          </w:p>
        </w:tc>
        <w:tc>
          <w:tcPr>
            <w:tcW w:w="3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Sale of portfolio company</w:t>
            </w: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18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Income tax provision from realized gains on investments</w:t>
            </w:r>
          </w:p>
        </w:tc>
        <w:tc>
          <w:tcPr>
            <w:tcW w:w="1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Net realized gain (loss), net of income tax provision, on investments</w:t>
            </w:r>
          </w:p>
        </w:tc>
        <w:tc>
          <w:tcPr>
            <w:tcW w:w="18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For the three months ended March 31, 2020, the total net realized gain/(loss) on investments, before income tax (provision)/benefit, was</w:t>
      </w:r>
    </w:p>
    <w:p>
      <w:pPr>
        <w:spacing w:after="0" w:line="23"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$31.4 million. Income tax (provision) benefit from realized gains on investments was $(1.1) for the three months ended March 31, 2020. Significant realized gains (losses) for the three months ended March 31, 2020 are summarized below (dollars in millions):</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27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394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Net Realized</w:t>
            </w: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102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90"/>
        </w:trPr>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Pfanstiehl, Inc.</w:t>
            </w:r>
          </w:p>
        </w:tc>
        <w:tc>
          <w:tcPr>
            <w:tcW w:w="32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Sold 50% of equity investment</w:t>
            </w:r>
          </w:p>
        </w:tc>
        <w:tc>
          <w:tcPr>
            <w:tcW w:w="4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rPr>
                <w:sz w:val="20"/>
                <w:szCs w:val="20"/>
                <w:color w:val="auto"/>
              </w:rPr>
            </w:pPr>
            <w:r>
              <w:rPr>
                <w:rFonts w:ascii="Arial" w:cs="Arial" w:eastAsia="Arial" w:hAnsi="Arial"/>
                <w:sz w:val="16"/>
                <w:szCs w:val="16"/>
                <w:color w:val="auto"/>
              </w:rPr>
              <w:t>Fiber Materials, Inc.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Sale of portfolio company</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Medsurant Holdings, LLC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Revenue Management Solutions, LLC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Worldwide Express Operations, LLC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Gurobi Optimization, LLC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Hub Acquisition Sub, LLC (dba Hub Pen)</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Midwest Transit Equipment, Inc.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Pugh Lubricants, LLC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Microbiology Research Associates, Inc.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Control Scan, Inc.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Alzheimer’s Research and Treatment Center, LLC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BCM One Group Holdings, Inc.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Software Technology, LLC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LNG Indy, LLC (dba Kinetrex Energy)</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Wheel Pros, Inc.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Allied 100 Group, Inc.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Restaurant Finance Co, LLC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Escrow distribution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Marco Group International OpCo, LLC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New Era Technology, Inc.</w:t>
            </w:r>
          </w:p>
        </w:tc>
        <w:tc>
          <w:tcPr>
            <w:tcW w:w="4260" w:type="dxa"/>
            <w:vAlign w:val="bottom"/>
            <w:gridSpan w:val="3"/>
          </w:tcPr>
          <w:p>
            <w:pPr>
              <w:ind w:left="320"/>
              <w:spacing w:after="0"/>
              <w:rPr>
                <w:sz w:val="20"/>
                <w:szCs w:val="20"/>
                <w:color w:val="auto"/>
              </w:rPr>
            </w:pPr>
            <w:r>
              <w:rPr>
                <w:rFonts w:ascii="Arial" w:cs="Arial" w:eastAsia="Arial" w:hAnsi="Arial"/>
                <w:sz w:val="16"/>
                <w:szCs w:val="16"/>
                <w:color w:val="auto"/>
              </w:rPr>
              <w:t>Escrow distribution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Palisade Company, LLC</w:t>
            </w:r>
          </w:p>
        </w:tc>
        <w:tc>
          <w:tcPr>
            <w:tcW w:w="42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Sold 50% of equity investment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Net realized gain (loss) on investments</w:t>
            </w:r>
          </w:p>
        </w:tc>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Income tax provision from realized gains on investments</w:t>
            </w:r>
          </w:p>
        </w:tc>
        <w:tc>
          <w:tcPr>
            <w:tcW w:w="3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( 1.1)</w:t>
            </w:r>
          </w:p>
        </w:tc>
        <w:tc>
          <w:tcPr>
            <w:tcW w:w="0" w:type="dxa"/>
            <w:vAlign w:val="bottom"/>
          </w:tcPr>
          <w:p>
            <w:pPr>
              <w:spacing w:after="0"/>
              <w:rPr>
                <w:sz w:val="1"/>
                <w:szCs w:val="1"/>
                <w:color w:val="auto"/>
              </w:rPr>
            </w:pPr>
          </w:p>
        </w:tc>
      </w:tr>
      <w:tr>
        <w:trPr>
          <w:trHeight w:val="20"/>
        </w:trPr>
        <w:tc>
          <w:tcPr>
            <w:tcW w:w="8240" w:type="dxa"/>
            <w:vAlign w:val="bottom"/>
            <w:gridSpan w:val="5"/>
            <w:vMerge w:val="restart"/>
          </w:tcPr>
          <w:p>
            <w:pPr>
              <w:spacing w:after="0"/>
              <w:rPr>
                <w:sz w:val="20"/>
                <w:szCs w:val="20"/>
                <w:color w:val="auto"/>
              </w:rPr>
            </w:pPr>
            <w:r>
              <w:rPr>
                <w:rFonts w:ascii="Arial" w:cs="Arial" w:eastAsia="Arial" w:hAnsi="Arial"/>
                <w:sz w:val="16"/>
                <w:szCs w:val="16"/>
                <w:color w:val="auto"/>
              </w:rPr>
              <w:t>Net realized gain (loss), net of income tax provision, on investments</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40" w:type="dxa"/>
            <w:vAlign w:val="bottom"/>
            <w:gridSpan w:val="5"/>
            <w:vMerge w:val="continue"/>
          </w:tcPr>
          <w:p>
            <w:pPr>
              <w:spacing w:after="0"/>
              <w:rPr>
                <w:sz w:val="17"/>
                <w:szCs w:val="17"/>
                <w:color w:val="auto"/>
              </w:rPr>
            </w:pPr>
          </w:p>
        </w:tc>
        <w:tc>
          <w:tcPr>
            <w:tcW w:w="3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320" w:top="459" w:right="6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During the three months ended March 31, 2021 and 2020, we recorded a net change in unrealized appreciation (depreciation) on investments attributable to the following (dollars in millions):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gridSpan w:val="7"/>
          </w:tcPr>
          <w:p>
            <w:pPr>
              <w:jc w:val="center"/>
              <w:ind w:right="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 Appreciation (Depreciation)</w:t>
            </w:r>
          </w:p>
        </w:tc>
        <w:tc>
          <w:tcPr>
            <w:tcW w:w="100" w:type="dxa"/>
            <w:vAlign w:val="bottom"/>
          </w:tcPr>
          <w:p>
            <w:pPr>
              <w:spacing w:after="0"/>
              <w:rPr>
                <w:sz w:val="14"/>
                <w:szCs w:val="14"/>
                <w:color w:val="auto"/>
              </w:rPr>
            </w:pPr>
          </w:p>
        </w:tc>
        <w:tc>
          <w:tcPr>
            <w:tcW w:w="1440" w:type="dxa"/>
            <w:vAlign w:val="bottom"/>
            <w:gridSpan w:val="6"/>
          </w:tcPr>
          <w:p>
            <w:pPr>
              <w:jc w:val="center"/>
              <w:ind w:right="101"/>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29"/>
        </w:trPr>
        <w:tc>
          <w:tcPr>
            <w:tcW w:w="682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w:t>
            </w:r>
          </w:p>
        </w:tc>
        <w:tc>
          <w:tcPr>
            <w:tcW w:w="3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76"/>
              </w:rPr>
              <w:t>(30.0)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10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w w:val="97"/>
              </w:rPr>
              <w:t>(22.7)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(21.9)</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7"/>
              </w:rPr>
              <w:t>(74.6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Net increase (decrease) in net assets resulting from operations during the three months ended March 31, 2021 and 2020 was $11.5 million and ($27.0) million, respectively, as a result of the events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As of March 31, 2021, we had $60.2 million in cash and cash equivalents and our net assets totaled $413.0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three months ended March 31, 2021, we repaid $19.2 million of SBA debentures which would have matured during the period September 1, 2025 through March 1, 2028. Our remaining outstanding SBA debentures continue to mature in 2025 and subsequent years through 2031, which will require repayment on or before the respective maturity dates.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the three months ended March 31, 2021, we experienced a net decrease in cash and cash equivalents in the amount of $64.1 million. During that period, we received proceeds of $43.5 million of cash for operating activities, which included proceeds received from sales and repayments of investments of $98.6 million, which were partially offset by the funding of $63.1 million of investments. During the same period, we received proceeds of $15.0 million from borrowings under our Credit Facility, made principal payments of $100.0 million on outstanding notes, made repayments of SBA debentures of $19.2 million; which were partially offset by proceeds from the issuances of SBA debentures of $6.0 million, paid cash dividends paid to stockholders of $9.3 million, and made payment of deferred financing costs related to our debt financings of $0.1 million.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Funds are licensed SBICs, and have the ability to issue debentures guaranteed by the SBA at favorable interest rates. Under the Small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Investment Act and the SBA rules applicable to SBICs, an SBIC can have outstanding at any time debentures guaranteed by the SBA in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up to twice its regulatory capital. The SBA regulations currently limit the amount that is available to be borrowed by any SBIC and guaranteed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 the SBA to 300.0% of an SBIC’s regulatory capital or $175.0 million, whichever is less. For two or more SBICs under common control,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maximum amount of outstanding SBA debentures cannot exceed $350.0 million. SBA debentures have fixed interest rates that approximate prevailing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10-year Treasury Note rates plus a spread and have a maturity of ten years with interest payable semi-annually. The principal amount of the SBA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debentures is not required to be paid before maturity but may be pre-paid at any time. As of March 31, 2021, Fund II and Fund III had $114.3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$19.5 million of outstanding SBA debentures, respectively. Subject to SBA regulatory requirements and approval, Fund III may access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$155.5 million of additional SBA debentures under the SBIC debenture program. For more information on the SBA debentures, please refer to Note 6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consolidated financial statements.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June 2014, we entered into the Credit Facility to provide additional funding for our investment and operational activities. On April 24, 2019, we entered into the Amended Credit Agreement, which amends, restates, and replaces the Credit Facility. On June 26, 2020, the Company amended the Amended Credit Agreement, however the material terms were unchanged. Among other revisions, the amendment to the Amended Credit Agreement</w:t>
      </w:r>
    </w:p>
    <w:p>
      <w:pPr>
        <w:sectPr>
          <w:pgSz w:w="11900" w:h="16838" w:orient="portrait"/>
          <w:cols w:equalWidth="0" w:num="1">
            <w:col w:w="11120"/>
          </w:cols>
          <w:pgMar w:left="320" w:top="459" w:right="459" w:bottom="1440" w:gutter="0" w:footer="0" w:header="0"/>
        </w:sectPr>
      </w:pP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9" w:right="4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100" w:hanging="4"/>
        <w:spacing w:after="0" w:line="292" w:lineRule="auto"/>
        <w:tabs>
          <w:tab w:leader="none" w:pos="4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portfolio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2021, we were in compliance with all covenants of the Credit Facility and there were $15.0 million of borrowings outstanding under the Credit Facility.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w:t>
      </w:r>
    </w:p>
    <w:p>
      <w:pPr>
        <w:spacing w:after="0" w:line="165"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On January 19, 2021, we redeemed $50.0 million of the aggregate principal amount on the 2023 Notes, resulting in a realized loss on extinguishment of debt of approximately $0.8 million.</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8, 2019, we closed the public offering of approximately $60.0 million in aggregate principal amount of our 6.000% notes due 2024, or the “2024 Notes”. On February 19, 2019, the underwriters exercised their option to purchase an additional $9.0 million in aggregate principal of the 2024 Notes. The total net proceeds to us from the 2024 Notes, including the exercise of the underwriters’ option, after deducting underwriting discounts of approximately $2.1 million and offering expenses of $0.4 million, were approximately $66.5 million.</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2024 Notes will mature on February 15, 2024 and bear interest at a rate of 6.000%. The 2024 Notes may be redeemed in whole or in part at any time or from time to time at our option on or after February 15, 2021. Interest on the 2024 Notes is payable quarterly on February 15, May 15, August 15 and November 15 of each year, beginning May 15, 2019. The 2024 Notes are listed on the NASDAQ Global Select Market under the trading symbol “FDUSZ.”</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February 16, 2021, we redeemed $50.0 million of the $69.0 million aggregate principal amount on the February 2024 Notes, resulting in a realized loss on extinguishment of debt of approximately $1.1 million. As of March 31, 2021, the outstanding principal balance of the 2024 Notes was $19.0 million.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offering expenses of $0.3 million, were approximately $61.1 million.</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March 31, 2021, the outstanding principal balance of the November 2024 Notes was approximately $63.3 million.</w:t>
      </w:r>
    </w:p>
    <w:p>
      <w:pPr>
        <w:spacing w:after="0" w:line="188"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On December 23, 2020, we closed the offering of approximately $125.0 million in aggregate principal amount of our 4.75% notes due 2026, or the “2026 Notes” (collectively with the Public Notes, the “Notes”). The total net proceeds to us from the 2026 Notes after deducting underwriting discounts of approximately $2.5 million and estimated offering expenses of $0.4 million, were approximately $122.1 million.</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2026 Notes will mature on January 31, 2026 and bear interest at a rate of 4.75%. The 2026 Notes may be redeemed in whole or in part at any time or from time to time at our option subject to a make whole provision if redeemed more than three months prior to maturity. Interest on the 2026 Notes is payable on January 31 and July 31 of each year, beginning July 31, 2021. We do not intend to list the 2026 Notes on any securities exchange or automated dealer quotation system.</w:t>
      </w:r>
    </w:p>
    <w:p>
      <w:pPr>
        <w:spacing w:after="0" w:line="187"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8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As of March 31, 2021, the weighted average stated interest rates for our SBA debentures, Notes, and the Credit Facility were 3.102%, 5.055%, and 4.117% respectively. As of March 31, 2021, we had $85.0 million of unutilized commitment under our Credit Facility, and we were subject to a 1.088% fee on such amount. As of March 31, 2021, the weighted average stated interest rate on total debt outstanding was 4.282%.</w:t>
      </w:r>
    </w:p>
    <w:p>
      <w:pPr>
        <w:spacing w:after="0" w:line="14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SEC to allow us to exclude any indebtedness guaranteed by the SBA and issued by the Funds from the 150.0% asset coverage requirements, which, in turn, will enable us to fund more investments with debt capital.</w:t>
      </w:r>
    </w:p>
    <w:p>
      <w:pPr>
        <w:spacing w:after="0" w:line="16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4, 2020, our stockholders voted to allow us to sell or otherwise issue common stock at a price below net asset value per share for a period of one year ending on the earlier of June 4, 2021 or the date of our 2021 Annual Meeting of Stockholders. We expect to present to our stockholders a similar proposal at our 2021 Annual Meeting of Stockholders. Our stockholders specified that the cumulative number of shares sold in each offering during the one-year period ending on the earlier of June 4, 2021 or the date of our 2021 Annual Meeting of Stockholders may not exceed 25.0% of our outstanding common stock immediately prior to each such sale.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we cannot assure that any shares will be repurchased under the Stock</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Repurchase Program. The Stock Repurchase Program may be suspended, extended, modified or discontinued at any time. We did not make any repurchases of common stock during the three months ended March 31, 2021. During the three months ended March 31, 2020, we repurchased 25,719 shares of common stock on the open market for $0.3 million. Refer to Note 8 to our consolidated financial statements for additional information concerning stock repurchases.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the Board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080" w:right="3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2" w:lineRule="exact"/>
        <w:rPr>
          <w:rFonts w:ascii="Arial" w:cs="Arial" w:eastAsia="Arial" w:hAnsi="Arial"/>
          <w:sz w:val="17"/>
          <w:szCs w:val="17"/>
          <w:color w:val="auto"/>
        </w:rPr>
      </w:pPr>
    </w:p>
    <w:p>
      <w:pPr>
        <w:ind w:left="1080" w:right="20" w:hanging="424"/>
        <w:spacing w:after="0" w:line="26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The Board consulted with the independent valuation firm(s) in arriving at our determination of fair value for 11 and 12 of our portfolio company investments representing 27.3% and 25.8% of the total portfolio investments at fair value (exclusive of new portfolio company investments made during the three months ended March 31, 2021 and December 31, 2020, respectively) as of March 31, 2021 and December 31, 2020, respectively;</w:t>
      </w:r>
    </w:p>
    <w:p>
      <w:pPr>
        <w:spacing w:after="0" w:line="90"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discusses the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ectPr>
          <w:pgSz w:w="11900" w:h="16838" w:orient="portrait"/>
          <w:cols w:equalWidth="0" w:num="1">
            <w:col w:w="11120"/>
          </w:cols>
          <w:pgMar w:left="320" w:top="459" w:right="459" w:bottom="1440" w:gutter="0" w:footer="0" w:header="0"/>
        </w:sectPr>
      </w:pP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9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i w:val="1"/>
          <w:iCs w:val="1"/>
          <w:color w:val="auto"/>
        </w:rPr>
        <w:t xml:space="preserve">PIK income. </w:t>
      </w:r>
      <w:r>
        <w:rPr>
          <w:rFonts w:ascii="Arial" w:cs="Arial" w:eastAsia="Arial" w:hAnsi="Arial"/>
          <w:sz w:val="16"/>
          <w:szCs w:val="16"/>
          <w:color w:val="auto"/>
        </w:rPr>
        <w:t>Certain of our investments contain a PIK income provision. The PIK income, computed at the contractual rate specified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Partial loan and equity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Management has determined that all participations, assignments and other partial loan or equity sale transactions entered into by the Company have met the definition of a participating interest. Accordingly, the Company uses sale treatment in accounting for such transactions.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Rule 1-02(w)(2) Update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however the Company elected to early adopt this rule change as of December 31, 2020. The adoption of this guidance did not have a material impact on the Company’s Consolidated Financial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Regulation S-K Update</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$7.6 and 5.6 million as of March 31, 2021 and December 31, 2020, respectively. Such outstanding commitments are summarized in the following table (dollars in millions):</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Unfunded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Unfunded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5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93"/>
              </w:rPr>
              <w:t>Commitment</w:t>
            </w: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60" w:type="dxa"/>
            <w:vAlign w:val="bottom"/>
          </w:tcPr>
          <w:p>
            <w:pPr>
              <w:spacing w:after="0"/>
              <w:rPr>
                <w:sz w:val="13"/>
                <w:szCs w:val="13"/>
                <w:color w:val="auto"/>
              </w:rPr>
            </w:pP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ind w:left="560"/>
              <w:spacing w:after="0" w:line="135" w:lineRule="exact"/>
              <w:rPr>
                <w:sz w:val="20"/>
                <w:szCs w:val="20"/>
                <w:color w:val="auto"/>
              </w:rPr>
            </w:pPr>
            <w:r>
              <w:rPr>
                <w:rFonts w:ascii="Arial" w:cs="Arial" w:eastAsia="Arial" w:hAnsi="Arial"/>
                <w:sz w:val="14"/>
                <w:szCs w:val="14"/>
                <w:color w:val="auto"/>
                <w:w w:val="81"/>
              </w:rPr>
              <w:t>0.5</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60"/>
              <w:spacing w:after="0" w:line="135" w:lineRule="exact"/>
              <w:rPr>
                <w:sz w:val="20"/>
                <w:szCs w:val="20"/>
                <w:color w:val="auto"/>
              </w:rPr>
            </w:pPr>
            <w:r>
              <w:rPr>
                <w:rFonts w:ascii="Arial" w:cs="Arial" w:eastAsia="Arial" w:hAnsi="Arial"/>
                <w:sz w:val="14"/>
                <w:szCs w:val="14"/>
                <w:color w:val="auto"/>
                <w:w w:val="81"/>
              </w:rPr>
              <w:t>1.0</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CRS Solutions Holdings, LLC (dba CRS Texas) - Common Equity (Units)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Elements Brands, LLC - Revolving Loan</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0.9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4"/>
              </w:rPr>
              <w:t xml:space="preserve">2.9 </w:t>
            </w:r>
            <w:r>
              <w:rPr>
                <w:rFonts w:ascii="Arial" w:cs="Arial" w:eastAsia="Arial" w:hAnsi="Arial"/>
                <w:sz w:val="12"/>
                <w:szCs w:val="12"/>
                <w:color w:val="auto"/>
                <w:w w:val="94"/>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Spectra A&amp;D Acquisition, Inc. (fka FDS Avionics Corp.) - Revolving Loan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Wonderware Holdings, LLC (dba CORE Business Technologies) - Delayed Draw Term Loan</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Xeeva, Inc. - Delayed Draw Term Loan</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0.4</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w w:val="81"/>
              </w:rPr>
              <w:t>0.4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6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7.6</w:t>
            </w: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0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1540" w:hanging="331"/>
        <w:spacing w:after="0" w:line="259" w:lineRule="auto"/>
        <w:tabs>
          <w:tab w:leader="none" w:pos="18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hanging="331"/>
        <w:spacing w:after="0" w:line="255" w:lineRule="auto"/>
        <w:tabs>
          <w:tab w:leader="none" w:pos="18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In May 2015, Fidus Investment Advisors entered into a combination with Fidus Partners, LLC (the “Combination”), by which members of Fidus Investment Advisors and Fidus Partners, LLC (“Partners”) contributed all of their respective membership interest in Fidus Investment Advisors and Partners to a newly formed limited liability company, Fidus Group Holdings, LLC (“Holdings”). As a result, Fidus Investment Advisors is a wholly-owned subsidiary of Holdings, which is a limited liability company organized under the laws of Delaware.</w:t>
      </w:r>
    </w:p>
    <w:p>
      <w:pPr>
        <w:spacing w:after="0" w:line="97" w:lineRule="exact"/>
        <w:rPr>
          <w:rFonts w:ascii="Arial" w:cs="Arial" w:eastAsia="Arial" w:hAnsi="Arial"/>
          <w:sz w:val="18"/>
          <w:szCs w:val="18"/>
          <w:color w:val="auto"/>
        </w:rPr>
      </w:pPr>
    </w:p>
    <w:p>
      <w:pPr>
        <w:ind w:left="1540" w:right="540" w:hanging="331"/>
        <w:spacing w:after="0" w:line="342" w:lineRule="auto"/>
        <w:tabs>
          <w:tab w:leader="none" w:pos="18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29" w:lineRule="exact"/>
        <w:rPr>
          <w:rFonts w:ascii="Arial" w:cs="Arial" w:eastAsia="Arial" w:hAnsi="Arial"/>
          <w:sz w:val="16"/>
          <w:szCs w:val="16"/>
          <w:color w:val="auto"/>
        </w:rPr>
      </w:pPr>
    </w:p>
    <w:p>
      <w:pPr>
        <w:ind w:left="1800" w:hanging="591"/>
        <w:spacing w:after="0"/>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entered into a license agreement with Fidus Partners, LLC, pursuant to which Fidus Partners, LLC has granted us a</w:t>
      </w:r>
    </w:p>
    <w:p>
      <w:pPr>
        <w:spacing w:after="0" w:line="3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non-exclusive, royalty-free license to use the name “Fidus.”</w:t>
      </w:r>
    </w:p>
    <w:p>
      <w:pPr>
        <w:spacing w:after="0" w:line="116" w:lineRule="exact"/>
        <w:rPr>
          <w:sz w:val="20"/>
          <w:szCs w:val="20"/>
          <w:color w:val="auto"/>
        </w:rPr>
      </w:pPr>
    </w:p>
    <w:p>
      <w:pPr>
        <w:ind w:left="1540" w:right="40" w:hanging="331"/>
        <w:spacing w:after="0" w:line="255" w:lineRule="auto"/>
        <w:tabs>
          <w:tab w:leader="none" w:pos="18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While we may co-invest with investment entities managed by the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6"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April 1, 2021, we invested $11.0 million in first lien debt of Winona Foods, Inc., a leading provider of natural and processed cheese products, sauces, and plant-based alternatives.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April 1, 2021, we invested $5.5 million in first lien debt and $1.0 million in common equity of Level Education Group, LLC (dba CE4Less), a leading provider of online continuing education for mental health and nursing professionals.</w:t>
      </w:r>
    </w:p>
    <w:p>
      <w:pPr>
        <w:spacing w:after="0" w:line="170"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On April 5, 2021, we exited our debt investment in The Kyjen Company, LLC (dba Outward Hound). We received payment in full of $15.0 million on our second lien debt, which includes a prepayment fee.</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On April 5, 2021, we invested $25.5 million in first lien debt and common equity, and made a commitment up to $2.0 million of additional first lien debt of ISI PSG Holdings, LLC (dba Incentive Solutions, Inc.), a tech-enabled incentive rewards and digital marketing firm that facilitates and optimizes its clients’ indirect sales channel strategies.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14, 2021, we exited our debt investment in Medsurant Holdings, LLC. We received payment in full of $8.0 million on our second lien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April 29, 2021, we exited our debt investment in Virginia Tile Company, LLC. We received payment in full of $12.0 million on our second lien debt.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May 3, 2021, our Board declared a base quarterly dividend of $0.31 per share and a supplemental dividend of $0.08 per share payable June 28, 2021 to stockholders of record as of June 14, 2021.</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Subsequent to March 31, 2021, the global outbreak of the COVID-19 pandemic, and the related effect on the U.S. and global economies, has continued to have adverse consequences for the business operations of some of the Company’s portfolio companies.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future, our investment income may also be affected by changes in various interest rates, including LIBOR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As of March 31, 2021 and December 31, 2020, 22 and 22 portfolio company’s debt investments, respectively, bore interest at a variable rate, which represented $219.7 million and $230.9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March 31, 2021 (dollars in millions):</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Income</w:t>
            </w:r>
          </w:p>
        </w:tc>
        <w:tc>
          <w:tcPr>
            <w:tcW w:w="16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Interest Expense</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1"/>
              </w:rPr>
              <w:t>Net Increase</w:t>
            </w:r>
          </w:p>
        </w:tc>
        <w:tc>
          <w:tcPr>
            <w:tcW w:w="300" w:type="dxa"/>
            <w:vAlign w:val="bottom"/>
          </w:tcPr>
          <w:p>
            <w:pPr>
              <w:spacing w:after="0"/>
              <w:rPr>
                <w:sz w:val="14"/>
                <w:szCs w:val="14"/>
                <w:color w:val="auto"/>
              </w:rPr>
            </w:pP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1"/>
              </w:rPr>
              <w:t>Net Investment</w:t>
            </w:r>
          </w:p>
        </w:tc>
        <w:tc>
          <w:tcPr>
            <w:tcW w:w="0" w:type="dxa"/>
            <w:vAlign w:val="bottom"/>
          </w:tcPr>
          <w:p>
            <w:pPr>
              <w:spacing w:after="0"/>
              <w:rPr>
                <w:sz w:val="1"/>
                <w:szCs w:val="1"/>
                <w:color w:val="auto"/>
              </w:rPr>
            </w:pPr>
          </w:p>
        </w:tc>
      </w:tr>
      <w:tr>
        <w:trPr>
          <w:trHeight w:val="162"/>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89"/>
              </w:rPr>
              <w:t>Basis Point Increase (Decrease)</w:t>
            </w: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8"/>
              </w:rPr>
              <w:t>Increase</w:t>
            </w:r>
          </w:p>
        </w:tc>
        <w:tc>
          <w:tcPr>
            <w:tcW w:w="140" w:type="dxa"/>
            <w:vAlign w:val="bottom"/>
          </w:tcPr>
          <w:p>
            <w:pPr>
              <w:spacing w:after="0"/>
              <w:rPr>
                <w:sz w:val="14"/>
                <w:szCs w:val="14"/>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Increase</w:t>
            </w:r>
          </w:p>
        </w:tc>
        <w:tc>
          <w:tcPr>
            <w:tcW w:w="11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2500" w:type="dxa"/>
            <w:vAlign w:val="bottom"/>
          </w:tcPr>
          <w:p>
            <w:pPr>
              <w:spacing w:after="0"/>
              <w:rPr>
                <w:sz w:val="15"/>
                <w:szCs w:val="15"/>
                <w:color w:val="auto"/>
              </w:rPr>
            </w:pPr>
          </w:p>
        </w:tc>
        <w:tc>
          <w:tcPr>
            <w:tcW w:w="164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(1) (2)</w:t>
            </w:r>
          </w:p>
        </w:tc>
        <w:tc>
          <w:tcPr>
            <w:tcW w:w="140" w:type="dxa"/>
            <w:vAlign w:val="bottom"/>
          </w:tcPr>
          <w:p>
            <w:pPr>
              <w:spacing w:after="0"/>
              <w:rPr>
                <w:sz w:val="15"/>
                <w:szCs w:val="15"/>
                <w:color w:val="auto"/>
              </w:rPr>
            </w:pPr>
          </w:p>
        </w:tc>
        <w:tc>
          <w:tcPr>
            <w:tcW w:w="152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w w:val="94"/>
              </w:rPr>
              <w:t>(Decrease)</w:t>
            </w:r>
          </w:p>
        </w:tc>
        <w:tc>
          <w:tcPr>
            <w:tcW w:w="11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(Decrease)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3"/>
        </w:trPr>
        <w:tc>
          <w:tcPr>
            <w:tcW w:w="19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(200)</w:t>
            </w:r>
          </w:p>
        </w:tc>
        <w:tc>
          <w:tcPr>
            <w:tcW w:w="2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income calculated assuming three-month LIBOR rate as of March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Exchange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2021 that have materially affected, or are reasonably likely to materially affect, our internal control over financial reporting.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and the Investment Advisor is not, currently subject to any material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to other information set forth in this report, you should carefully consider the “Risk Factors” discussed in our Form 10-K for the year ended December 31, 2020 and filed with the SEC on February 25, 2021,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9940" w:type="dxa"/>
            <w:vAlign w:val="bottom"/>
            <w:gridSpan w:val="17"/>
          </w:tcPr>
          <w:p>
            <w:pPr>
              <w:spacing w:after="0"/>
              <w:rPr>
                <w:sz w:val="20"/>
                <w:szCs w:val="20"/>
                <w:color w:val="auto"/>
              </w:rPr>
            </w:pPr>
            <w:r>
              <w:rPr>
                <w:rFonts w:ascii="Arial" w:cs="Arial" w:eastAsia="Arial" w:hAnsi="Arial"/>
                <w:sz w:val="14"/>
                <w:szCs w:val="14"/>
                <w:b w:val="1"/>
                <w:bCs w:val="1"/>
                <w:color w:val="auto"/>
              </w:rPr>
              <w:t>Exhibit</w:t>
            </w:r>
          </w:p>
        </w:tc>
      </w:tr>
      <w:tr>
        <w:trPr>
          <w:trHeight w:val="169"/>
        </w:trPr>
        <w:tc>
          <w:tcPr>
            <w:tcW w:w="500" w:type="dxa"/>
            <w:vAlign w:val="bottom"/>
            <w:tcBorders>
              <w:top w:val="single" w:sz="8" w:color="auto"/>
            </w:tcBorders>
          </w:tcPr>
          <w:p>
            <w:pPr>
              <w:jc w:val="right"/>
              <w:ind w:right="93"/>
              <w:spacing w:after="0" w:line="169" w:lineRule="exact"/>
              <w:rPr>
                <w:sz w:val="20"/>
                <w:szCs w:val="20"/>
                <w:color w:val="auto"/>
              </w:rPr>
            </w:pPr>
            <w:r>
              <w:rPr>
                <w:rFonts w:ascii="Arial" w:cs="Arial" w:eastAsia="Arial" w:hAnsi="Arial"/>
                <w:sz w:val="18"/>
                <w:szCs w:val="18"/>
                <w:color w:val="auto"/>
              </w:rPr>
              <w:t>3.1</w:t>
            </w:r>
          </w:p>
        </w:tc>
        <w:tc>
          <w:tcPr>
            <w:tcW w:w="5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71"/>
              </w:rPr>
            </w:pPr>
            <w:hyperlink r:id="rId89">
              <w:r>
                <w:rPr>
                  <w:rFonts w:ascii="Arial" w:cs="Arial" w:eastAsia="Arial" w:hAnsi="Arial"/>
                  <w:sz w:val="18"/>
                  <w:szCs w:val="18"/>
                  <w:color w:val="0000EE"/>
                  <w:w w:val="71"/>
                </w:rPr>
                <w:t>Articles</w:t>
              </w:r>
            </w:hyperlink>
          </w:p>
        </w:tc>
        <w:tc>
          <w:tcPr>
            <w:tcW w:w="9380" w:type="dxa"/>
            <w:vAlign w:val="bottom"/>
            <w:tcBorders>
              <w:bottom w:val="single" w:sz="8" w:color="0000EE"/>
            </w:tcBorders>
            <w:gridSpan w:val="14"/>
          </w:tcPr>
          <w:p>
            <w:pPr>
              <w:ind w:left="160"/>
              <w:spacing w:after="0" w:line="169"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of Amendment and Restatement of the Registrant (Filed as Exhibit (a)(1) to Pre-Effective Amendment No. 2 to the Registrant’s</w:t>
              </w:r>
            </w:hyperlink>
          </w:p>
        </w:tc>
        <w:tc>
          <w:tcPr>
            <w:tcW w:w="100" w:type="dxa"/>
            <w:vAlign w:val="bottom"/>
          </w:tcPr>
          <w:p>
            <w:pPr>
              <w:spacing w:after="0"/>
              <w:rPr>
                <w:sz w:val="14"/>
                <w:szCs w:val="1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Registration Statement on Form N-2 (File No. 333-172550) filed with the U.S. Securities and Exchange Commission on April 29, 2011</w:t>
              </w:r>
            </w:hyperlink>
          </w:p>
        </w:tc>
        <w:tc>
          <w:tcPr>
            <w:tcW w:w="14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and incorporated herein by 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Bylaws of the Registrant (Filed as Exhibit (b)(1) to Pre-Effective Amendment No. 2 to the Registrant’s Registration Statement on</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Form N-2 (File No. 333-172550) filed with the U.S. Securities and Exchange Commission on April 29, 2011 and incorporated herein by</w:t>
              </w:r>
            </w:hyperlink>
          </w:p>
        </w:tc>
        <w:tc>
          <w:tcPr>
            <w:tcW w:w="12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w w:val="96"/>
              </w:rPr>
            </w:pPr>
            <w:hyperlink r:id="rId91">
              <w:r>
                <w:rPr>
                  <w:rFonts w:ascii="Arial" w:cs="Arial" w:eastAsia="Arial" w:hAnsi="Arial"/>
                  <w:sz w:val="18"/>
                  <w:szCs w:val="18"/>
                  <w:color w:val="0000EE"/>
                  <w:w w:val="96"/>
                </w:rPr>
                <w:t>Form of Stock Certificate of the Registrant (Filed as Exhibit (d) to Pre-Effective Amendment No. 2 to the Registrant’s Registration</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Statement on Form N-2 (File No. 333-172550) filed with the U.S. Securities and Exchange Commission on April 29, 2011 and</w:t>
              </w:r>
            </w:hyperlink>
          </w:p>
        </w:tc>
        <w:tc>
          <w:tcPr>
            <w:tcW w:w="280" w:type="dxa"/>
            <w:vAlign w:val="bottom"/>
            <w:tcBorders>
              <w:top w:val="single" w:sz="8" w:color="0000EE"/>
            </w:tcBorders>
            <w:gridSpan w:val="2"/>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incorporated herein by 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Chief Executive Officer Certification Pursuant to Rule 13a-14 of the Securities Exchange Act of 1934, as adopted pursuant to Section</w:t>
              </w:r>
            </w:hyperlink>
          </w:p>
        </w:tc>
        <w:tc>
          <w:tcPr>
            <w:tcW w:w="260" w:type="dxa"/>
            <w:vAlign w:val="bottom"/>
            <w:gridSpan w:val="5"/>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302 of the Sarbanes-Oxley Act of 2002.*</w:t>
              </w:r>
            </w:hyperlink>
          </w:p>
        </w:tc>
        <w:tc>
          <w:tcPr>
            <w:tcW w:w="6980" w:type="dxa"/>
            <w:vAlign w:val="bottom"/>
            <w:gridSpan w:val="9"/>
          </w:tcPr>
          <w:p>
            <w:pPr>
              <w:spacing w:after="0"/>
              <w:rPr>
                <w:sz w:val="17"/>
                <w:szCs w:val="17"/>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Chief Financial Officer Certification Pursuant to Rule 13a-14 of the Securities Exchange Act of 1934, as adopted pursuant to Section 302</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of the Sarbanes-Oxley Act of 2002.*</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pursuant to Section 1350, Chapter 63 of Title 18, United States Code, as adopted pursuant to Section 906 of the Sarbanes-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Oxley Act of 2002.*</w:t>
              </w:r>
            </w:hyperlink>
          </w:p>
        </w:tc>
        <w:tc>
          <w:tcPr>
            <w:tcW w:w="8240" w:type="dxa"/>
            <w:vAlign w:val="bottom"/>
            <w:tcBorders>
              <w:top w:val="single" w:sz="8" w:color="0000EE"/>
            </w:tcBorders>
            <w:gridSpan w:val="9"/>
          </w:tcPr>
          <w:p>
            <w:pPr>
              <w:spacing w:after="0"/>
              <w:rPr>
                <w:sz w:val="17"/>
                <w:szCs w:val="17"/>
                <w:color w:val="auto"/>
              </w:rPr>
            </w:pPr>
          </w:p>
        </w:tc>
        <w:tc>
          <w:tcPr>
            <w:tcW w:w="220" w:type="dxa"/>
            <w:vAlign w:val="bottom"/>
            <w:gridSpan w:val="4"/>
          </w:tcPr>
          <w:p>
            <w:pPr>
              <w:spacing w:after="0"/>
              <w:rPr>
                <w:sz w:val="17"/>
                <w:szCs w:val="17"/>
                <w:color w:val="auto"/>
              </w:rPr>
            </w:pPr>
          </w:p>
        </w:tc>
      </w:tr>
    </w:tbl>
    <w:p>
      <w:pPr>
        <w:spacing w:after="0" w:line="256"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380"/>
          </w:cols>
          <w:pgMar w:left="320" w:top="459" w:right="11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6,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6,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March 31, 2021,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lowerLetter"/>
      <w:start w:val="26"/>
    </w:lvl>
  </w:abstractNum>
  <w:abstractNum w:abstractNumId="4">
    <w:nsid w:val="3A95F874"/>
    <w:multiLevelType w:val="hybridMultilevel"/>
    <w:lvl w:ilvl="0">
      <w:lvlJc w:val="left"/>
      <w:lvlText w:val="(%1)"/>
      <w:numFmt w:val="lowerLetter"/>
      <w:start w:val="27"/>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lowerLetter"/>
      <w:start w:val="27"/>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lowerRoman"/>
      <w:start w:val="1"/>
    </w:lvl>
  </w:abstractNum>
  <w:abstractNum w:abstractNumId="19">
    <w:nsid w:val="77465F01"/>
    <w:multiLevelType w:val="hybridMultilevel"/>
    <w:lvl w:ilvl="0">
      <w:lvlJc w:val="left"/>
      <w:lvlText w:val="(%1)"/>
      <w:numFmt w:val="upperLetter"/>
      <w:start w:val="3"/>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4"/>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upperLetter"/>
      <w:start w:val="3"/>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89" Type="http://schemas.openxmlformats.org/officeDocument/2006/relationships/hyperlink" Target="http://www.sec.gov/Archives/edgar/data/1513363/000095012311041885/w81466a2exv99wxayx1y.htm" TargetMode="External"/><Relationship Id="rId90" Type="http://schemas.openxmlformats.org/officeDocument/2006/relationships/hyperlink" Target="http://www.sec.gov/Archives/edgar/data/1513363/000095012311041885/w81466a2exv99wxbyx1y.htm" TargetMode="External"/><Relationship Id="rId91" Type="http://schemas.openxmlformats.org/officeDocument/2006/relationships/hyperlink" Target="http://www.sec.gov/Archives/edgar/data/1513363/000095012311041885/w81466a2exv99wxd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2021-05-06T15:46:36Z</dcterms:created>
  <dcterms:modified xsi:type="dcterms:W3CDTF">2021-05-06T15:46:36Z</dcterms:modified>
</cp:coreProperties>
</file>