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line="183" w:lineRule="auto"/>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12" w:lineRule="exact"/>
        <w:rPr>
          <w:sz w:val="24"/>
          <w:szCs w:val="24"/>
          <w:color w:val="auto"/>
        </w:rPr>
      </w:pPr>
    </w:p>
    <w:p>
      <w:pPr>
        <w:ind w:left="1200" w:hanging="297"/>
        <w:spacing w:after="0"/>
        <w:tabs>
          <w:tab w:leader="none" w:pos="12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36" w:lineRule="exact"/>
        <w:rPr>
          <w:sz w:val="24"/>
          <w:szCs w:val="24"/>
          <w:color w:val="auto"/>
        </w:rPr>
      </w:pPr>
    </w:p>
    <w:p>
      <w:pPr>
        <w:ind w:left="1200" w:hanging="304"/>
        <w:spacing w:after="0"/>
        <w:tabs>
          <w:tab w:leader="none" w:pos="12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54"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640" w:type="dxa"/>
            <w:vAlign w:val="bottom"/>
            <w:tcBorders>
              <w:bottom w:val="single" w:sz="8" w:color="auto"/>
            </w:tcBorders>
          </w:tcPr>
          <w:p>
            <w:pPr>
              <w:spacing w:after="0"/>
              <w:rPr>
                <w:sz w:val="17"/>
                <w:szCs w:val="17"/>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3"/>
              </w:rPr>
              <w:t>to</w:t>
            </w:r>
          </w:p>
        </w:tc>
      </w:tr>
      <w:tr>
        <w:trPr>
          <w:trHeight w:val="277"/>
        </w:trPr>
        <w:tc>
          <w:tcPr>
            <w:tcW w:w="36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Commission file number 814-00861</w:t>
            </w:r>
          </w:p>
        </w:tc>
        <w:tc>
          <w:tcPr>
            <w:tcW w:w="200" w:type="dxa"/>
            <w:vAlign w:val="bottom"/>
          </w:tcPr>
          <w:p>
            <w:pPr>
              <w:spacing w:after="0"/>
              <w:rPr>
                <w:sz w:val="24"/>
                <w:szCs w:val="24"/>
                <w:color w:val="auto"/>
              </w:rPr>
            </w:pPr>
          </w:p>
        </w:tc>
      </w:tr>
    </w:tbl>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Fidus Investment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81" w:lineRule="exact"/>
        <w:rPr>
          <w:sz w:val="24"/>
          <w:szCs w:val="24"/>
          <w:color w:val="auto"/>
        </w:rPr>
      </w:pPr>
    </w:p>
    <w:tbl>
      <w:tblPr>
        <w:tblLayout w:type="fixed"/>
        <w:tblInd w:w="1760" w:type="dxa"/>
        <w:tblCellMar>
          <w:top w:w="0" w:type="dxa"/>
          <w:left w:w="0" w:type="dxa"/>
          <w:bottom w:w="0" w:type="dxa"/>
          <w:right w:w="0" w:type="dxa"/>
        </w:tblCellMar>
      </w:tblPr>
      <w:tr>
        <w:trPr>
          <w:trHeight w:val="207"/>
        </w:trPr>
        <w:tc>
          <w:tcPr>
            <w:tcW w:w="3000" w:type="dxa"/>
            <w:vAlign w:val="bottom"/>
          </w:tcPr>
          <w:p>
            <w:pPr>
              <w:jc w:val="center"/>
              <w:ind w:right="239"/>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3400" w:type="dxa"/>
            <w:vAlign w:val="bottom"/>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27-5017321</w:t>
            </w:r>
          </w:p>
        </w:tc>
        <w:tc>
          <w:tcPr>
            <w:tcW w:w="0" w:type="dxa"/>
            <w:vAlign w:val="bottom"/>
          </w:tcPr>
          <w:p>
            <w:pPr>
              <w:spacing w:after="0"/>
              <w:rPr>
                <w:sz w:val="1"/>
                <w:szCs w:val="1"/>
                <w:color w:val="auto"/>
              </w:rPr>
            </w:pPr>
          </w:p>
        </w:tc>
      </w:tr>
      <w:tr>
        <w:trPr>
          <w:trHeight w:val="146"/>
        </w:trPr>
        <w:tc>
          <w:tcPr>
            <w:tcW w:w="3000" w:type="dxa"/>
            <w:vAlign w:val="bottom"/>
          </w:tcPr>
          <w:p>
            <w:pPr>
              <w:jc w:val="center"/>
              <w:ind w:right="259"/>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00" w:type="dxa"/>
            <w:vAlign w:val="bottom"/>
          </w:tcPr>
          <w:p>
            <w:pPr>
              <w:jc w:val="center"/>
              <w:ind w:left="2139"/>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00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00" w:type="dxa"/>
            <w:vAlign w:val="bottom"/>
          </w:tcPr>
          <w:p>
            <w:pPr>
              <w:jc w:val="center"/>
              <w:ind w:left="2179"/>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42"/>
        </w:trPr>
        <w:tc>
          <w:tcPr>
            <w:tcW w:w="3000" w:type="dxa"/>
            <w:vAlign w:val="bottom"/>
          </w:tcPr>
          <w:p>
            <w:pPr>
              <w:jc w:val="center"/>
              <w:ind w:right="239"/>
              <w:spacing w:after="0"/>
              <w:rPr>
                <w:sz w:val="20"/>
                <w:szCs w:val="20"/>
                <w:color w:val="auto"/>
              </w:rPr>
            </w:pPr>
            <w:r>
              <w:rPr>
                <w:rFonts w:ascii="Times New Roman" w:cs="Times New Roman" w:eastAsia="Times New Roman" w:hAnsi="Times New Roman"/>
                <w:sz w:val="18"/>
                <w:szCs w:val="18"/>
                <w:b w:val="1"/>
                <w:bCs w:val="1"/>
                <w:color w:val="auto"/>
                <w:w w:val="99"/>
              </w:rPr>
              <w:t>1603 Orrington Avenue, Suite 1005</w:t>
            </w:r>
          </w:p>
        </w:tc>
        <w:tc>
          <w:tcPr>
            <w:tcW w:w="3400" w:type="dxa"/>
            <w:vAlign w:val="bottom"/>
            <w:vMerge w:val="restart"/>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60201</w:t>
            </w:r>
          </w:p>
        </w:tc>
        <w:tc>
          <w:tcPr>
            <w:tcW w:w="0" w:type="dxa"/>
            <w:vAlign w:val="bottom"/>
          </w:tcPr>
          <w:p>
            <w:pPr>
              <w:spacing w:after="0"/>
              <w:rPr>
                <w:sz w:val="1"/>
                <w:szCs w:val="1"/>
                <w:color w:val="auto"/>
              </w:rPr>
            </w:pPr>
          </w:p>
        </w:tc>
      </w:tr>
      <w:tr>
        <w:trPr>
          <w:trHeight w:val="191"/>
        </w:trPr>
        <w:tc>
          <w:tcPr>
            <w:tcW w:w="3000" w:type="dxa"/>
            <w:vAlign w:val="bottom"/>
          </w:tcPr>
          <w:p>
            <w:pPr>
              <w:jc w:val="center"/>
              <w:ind w:right="259"/>
              <w:spacing w:after="0" w:line="191" w:lineRule="exact"/>
              <w:rPr>
                <w:sz w:val="20"/>
                <w:szCs w:val="20"/>
                <w:color w:val="auto"/>
              </w:rPr>
            </w:pPr>
            <w:r>
              <w:rPr>
                <w:rFonts w:ascii="Times New Roman" w:cs="Times New Roman" w:eastAsia="Times New Roman" w:hAnsi="Times New Roman"/>
                <w:sz w:val="18"/>
                <w:szCs w:val="18"/>
                <w:b w:val="1"/>
                <w:bCs w:val="1"/>
                <w:color w:val="auto"/>
                <w:w w:val="99"/>
              </w:rPr>
              <w:t>Evanston, Illinois</w:t>
            </w:r>
          </w:p>
        </w:tc>
        <w:tc>
          <w:tcPr>
            <w:tcW w:w="3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0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00" w:type="dxa"/>
            <w:vAlign w:val="bottom"/>
          </w:tcPr>
          <w:p>
            <w:pPr>
              <w:jc w:val="center"/>
              <w:ind w:left="217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15"/>
        </w:trPr>
        <w:tc>
          <w:tcPr>
            <w:tcW w:w="3000" w:type="dxa"/>
            <w:vAlign w:val="bottom"/>
          </w:tcPr>
          <w:p>
            <w:pPr>
              <w:spacing w:after="0"/>
              <w:rPr>
                <w:sz w:val="24"/>
                <w:szCs w:val="24"/>
                <w:color w:val="auto"/>
              </w:rPr>
            </w:pPr>
          </w:p>
        </w:tc>
        <w:tc>
          <w:tcPr>
            <w:tcW w:w="3400" w:type="dxa"/>
            <w:vAlign w:val="bottom"/>
          </w:tcPr>
          <w:p>
            <w:pPr>
              <w:jc w:val="right"/>
              <w:ind w:right="1899"/>
              <w:spacing w:after="0"/>
              <w:rPr>
                <w:sz w:val="20"/>
                <w:szCs w:val="20"/>
                <w:color w:val="auto"/>
              </w:rPr>
            </w:pPr>
            <w:r>
              <w:rPr>
                <w:rFonts w:ascii="Times New Roman" w:cs="Times New Roman" w:eastAsia="Times New Roman" w:hAnsi="Times New Roman"/>
                <w:sz w:val="18"/>
                <w:szCs w:val="18"/>
                <w:b w:val="1"/>
                <w:bCs w:val="1"/>
                <w:color w:val="auto"/>
              </w:rPr>
              <w:t>(847) 859-3940</w:t>
            </w:r>
          </w:p>
        </w:tc>
        <w:tc>
          <w:tcPr>
            <w:tcW w:w="0" w:type="dxa"/>
            <w:vAlign w:val="bottom"/>
          </w:tcPr>
          <w:p>
            <w:pPr>
              <w:spacing w:after="0"/>
              <w:rPr>
                <w:sz w:val="1"/>
                <w:szCs w:val="1"/>
                <w:color w:val="auto"/>
              </w:rPr>
            </w:pPr>
          </w:p>
        </w:tc>
      </w:tr>
    </w:tbl>
    <w:p>
      <w:pPr>
        <w:ind w:left="3280"/>
        <w:spacing w:after="0" w:line="190" w:lineRule="auto"/>
        <w:rPr>
          <w:sz w:val="20"/>
          <w:szCs w:val="20"/>
          <w:color w:val="auto"/>
        </w:rPr>
      </w:pPr>
      <w:r>
        <w:rPr>
          <w:rFonts w:ascii="Times New Roman" w:cs="Times New Roman" w:eastAsia="Times New Roman" w:hAnsi="Times New Roman"/>
          <w:sz w:val="12"/>
          <w:szCs w:val="12"/>
          <w:i w:val="1"/>
          <w:iCs w:val="1"/>
          <w:color w:val="auto"/>
        </w:rPr>
        <w:t>(Registrant’s telephone number, including area code)</w:t>
      </w:r>
    </w:p>
    <w:p>
      <w:pPr>
        <w:ind w:left="4880"/>
        <w:spacing w:after="0" w:line="188" w:lineRule="auto"/>
        <w:rPr>
          <w:sz w:val="20"/>
          <w:szCs w:val="20"/>
          <w:color w:val="auto"/>
        </w:rPr>
      </w:pPr>
      <w:r>
        <w:rPr>
          <w:rFonts w:ascii="Times New Roman" w:cs="Times New Roman" w:eastAsia="Times New Roman" w:hAnsi="Times New Roman"/>
          <w:sz w:val="18"/>
          <w:szCs w:val="18"/>
          <w:color w:val="auto"/>
        </w:rPr>
        <w:t>________________</w:t>
      </w: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(Former name, former address and former fiscal year, if changed since last report)</w:t>
      </w:r>
    </w:p>
    <w:p>
      <w:pPr>
        <w:ind w:left="4940"/>
        <w:spacing w:after="0"/>
        <w:rPr>
          <w:sz w:val="20"/>
          <w:szCs w:val="20"/>
          <w:color w:val="auto"/>
        </w:rPr>
      </w:pPr>
      <w:r>
        <w:rPr>
          <w:rFonts w:ascii="Times New Roman" w:cs="Times New Roman" w:eastAsia="Times New Roman" w:hAnsi="Times New Roman"/>
          <w:sz w:val="18"/>
          <w:szCs w:val="18"/>
          <w:b w:val="1"/>
          <w:bCs w:val="1"/>
          <w:color w:val="auto"/>
        </w:rPr>
        <w:t>_______________</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1" w:lineRule="exact"/>
        <w:rPr>
          <w:sz w:val="24"/>
          <w:szCs w:val="24"/>
          <w:color w:val="auto"/>
        </w:rPr>
      </w:pPr>
    </w:p>
    <w:tbl>
      <w:tblPr>
        <w:tblLayout w:type="fixed"/>
        <w:tblInd w:w="10" w:type="dxa"/>
        <w:tblCellMar>
          <w:top w:w="0" w:type="dxa"/>
          <w:left w:w="0" w:type="dxa"/>
          <w:bottom w:w="0" w:type="dxa"/>
          <w:right w:w="0" w:type="dxa"/>
        </w:tblCellMar>
      </w:tblPr>
      <w:tr>
        <w:trPr>
          <w:trHeight w:val="270"/>
        </w:trPr>
        <w:tc>
          <w:tcPr>
            <w:tcW w:w="4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400" w:type="dxa"/>
            <w:vAlign w:val="bottom"/>
            <w:tcBorders>
              <w:top w:val="single" w:sz="8" w:color="auto"/>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94"/>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FDUS</w:t>
            </w:r>
          </w:p>
        </w:tc>
        <w:tc>
          <w:tcPr>
            <w:tcW w:w="440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184"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16" w:lineRule="exact"/>
        <w:rPr>
          <w:sz w:val="24"/>
          <w:szCs w:val="24"/>
          <w:color w:val="auto"/>
        </w:rPr>
      </w:pPr>
    </w:p>
    <w:p>
      <w:pPr>
        <w:ind w:right="6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1" w:lineRule="exact"/>
        <w:rPr>
          <w:sz w:val="24"/>
          <w:szCs w:val="24"/>
          <w:color w:val="auto"/>
        </w:rPr>
      </w:pPr>
    </w:p>
    <w:p>
      <w:pPr>
        <w:jc w:val="both"/>
        <w:ind w:firstLine="361"/>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4" w:lineRule="exact"/>
        <w:rPr>
          <w:sz w:val="24"/>
          <w:szCs w:val="24"/>
          <w:color w:val="auto"/>
        </w:rPr>
      </w:pPr>
    </w:p>
    <w:p>
      <w:pPr>
        <w:jc w:val="both"/>
        <w:ind w:right="20" w:firstLine="360"/>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50" w:lineRule="exact"/>
        <w:rPr>
          <w:sz w:val="24"/>
          <w:szCs w:val="24"/>
          <w:color w:val="auto"/>
        </w:rPr>
      </w:pPr>
    </w:p>
    <w:tbl>
      <w:tblPr>
        <w:tblLayout w:type="fixed"/>
        <w:tblInd w:w="220" w:type="dxa"/>
        <w:tblCellMar>
          <w:top w:w="0" w:type="dxa"/>
          <w:left w:w="0" w:type="dxa"/>
          <w:bottom w:w="0" w:type="dxa"/>
          <w:right w:w="0" w:type="dxa"/>
        </w:tblCellMar>
      </w:tblPr>
      <w:tr>
        <w:trPr>
          <w:trHeight w:val="207"/>
        </w:trPr>
        <w:tc>
          <w:tcPr>
            <w:tcW w:w="220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Accelerated filer</w:t>
            </w:r>
          </w:p>
        </w:tc>
        <w:tc>
          <w:tcPr>
            <w:tcW w:w="2200" w:type="dxa"/>
            <w:vAlign w:val="bottom"/>
          </w:tcPr>
          <w:p>
            <w:pPr>
              <w:jc w:val="center"/>
              <w:ind w:left="119"/>
              <w:spacing w:after="0"/>
              <w:rPr>
                <w:sz w:val="20"/>
                <w:szCs w:val="20"/>
                <w:color w:val="auto"/>
              </w:rPr>
            </w:pPr>
            <w:r>
              <w:rPr>
                <w:rFonts w:ascii="Times New Roman" w:cs="Times New Roman" w:eastAsia="Times New Roman" w:hAnsi="Times New Roman"/>
                <w:sz w:val="18"/>
                <w:szCs w:val="18"/>
                <w:color w:val="auto"/>
                <w:w w:val="99"/>
              </w:rPr>
              <w:t>Non-accelerated filer</w:t>
            </w:r>
          </w:p>
        </w:tc>
        <w:tc>
          <w:tcPr>
            <w:tcW w:w="23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Smaller reporting company</w:t>
            </w:r>
          </w:p>
        </w:tc>
        <w:tc>
          <w:tcPr>
            <w:tcW w:w="21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Emerging growth company</w:t>
            </w:r>
          </w:p>
        </w:tc>
        <w:tc>
          <w:tcPr>
            <w:tcW w:w="0" w:type="dxa"/>
            <w:vAlign w:val="bottom"/>
          </w:tcPr>
          <w:p>
            <w:pPr>
              <w:spacing w:after="0"/>
              <w:rPr>
                <w:sz w:val="1"/>
                <w:szCs w:val="1"/>
                <w:color w:val="auto"/>
              </w:rPr>
            </w:pPr>
          </w:p>
        </w:tc>
      </w:tr>
      <w:tr>
        <w:trPr>
          <w:trHeight w:val="218"/>
        </w:trPr>
        <w:tc>
          <w:tcPr>
            <w:tcW w:w="2200" w:type="dxa"/>
            <w:vAlign w:val="bottom"/>
            <w:vMerge w:val="continue"/>
          </w:tcPr>
          <w:p>
            <w:pPr>
              <w:spacing w:after="0"/>
              <w:rPr>
                <w:sz w:val="18"/>
                <w:szCs w:val="18"/>
                <w:color w:val="auto"/>
              </w:rPr>
            </w:pPr>
          </w:p>
        </w:tc>
        <w:tc>
          <w:tcPr>
            <w:tcW w:w="20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2200" w:type="dxa"/>
            <w:vAlign w:val="bottom"/>
          </w:tcPr>
          <w:p>
            <w:pPr>
              <w:jc w:val="center"/>
              <w:ind w:left="119"/>
              <w:spacing w:after="0" w:line="141" w:lineRule="exact"/>
              <w:rPr>
                <w:sz w:val="20"/>
                <w:szCs w:val="20"/>
                <w:color w:val="auto"/>
              </w:rPr>
            </w:pPr>
            <w:r>
              <w:rPr>
                <w:rFonts w:ascii="MS PGothic" w:cs="MS PGothic" w:eastAsia="MS PGothic" w:hAnsi="MS PGothic"/>
                <w:sz w:val="14"/>
                <w:szCs w:val="14"/>
                <w:color w:val="auto"/>
                <w:w w:val="85"/>
              </w:rPr>
              <w:t>☑</w:t>
            </w:r>
          </w:p>
        </w:tc>
        <w:tc>
          <w:tcPr>
            <w:tcW w:w="2340" w:type="dxa"/>
            <w:vAlign w:val="bottom"/>
          </w:tcPr>
          <w:p>
            <w:pPr>
              <w:jc w:val="center"/>
              <w:ind w:left="50"/>
              <w:spacing w:after="0" w:line="181" w:lineRule="exact"/>
              <w:rPr>
                <w:sz w:val="20"/>
                <w:szCs w:val="20"/>
                <w:color w:val="auto"/>
              </w:rPr>
            </w:pPr>
            <w:r>
              <w:rPr>
                <w:rFonts w:ascii="MS PGothic" w:cs="MS PGothic" w:eastAsia="MS PGothic" w:hAnsi="MS PGothic"/>
                <w:sz w:val="18"/>
                <w:szCs w:val="18"/>
                <w:color w:val="auto"/>
                <w:w w:val="88"/>
              </w:rPr>
              <w:t>☐</w:t>
            </w:r>
          </w:p>
        </w:tc>
        <w:tc>
          <w:tcPr>
            <w:tcW w:w="2100" w:type="dxa"/>
            <w:vAlign w:val="bottom"/>
          </w:tcPr>
          <w:p>
            <w:pPr>
              <w:jc w:val="center"/>
              <w:ind w:left="9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(Do not check if a smaller reporting company)</w:t>
      </w:r>
    </w:p>
    <w:p>
      <w:pPr>
        <w:spacing w:after="0" w:line="178" w:lineRule="exact"/>
        <w:rPr>
          <w:sz w:val="24"/>
          <w:szCs w:val="24"/>
          <w:color w:val="auto"/>
        </w:rPr>
      </w:pPr>
    </w:p>
    <w:p>
      <w:pPr>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ind w:right="2100"/>
        <w:spacing w:after="0" w:line="26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8"/>
          <w:szCs w:val="18"/>
          <w:color w:val="auto"/>
        </w:rPr>
        <w:t xml:space="preserve"> As of November 1, 2022, the Registrant had outstanding 24,437,400 shares of 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1" w:name="page2"/>
    <w:bookmarkEnd w:id="1"/>
    <w:p>
      <w:pPr>
        <w:ind w:left="4020"/>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314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56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w:t>
            </w:r>
          </w:p>
        </w:tc>
        <w:tc>
          <w:tcPr>
            <w:tcW w:w="20" w:type="dxa"/>
            <w:vAlign w:val="bottom"/>
            <w:tcBorders>
              <w:bottom w:val="single" w:sz="8" w:color="0000EE"/>
            </w:tcBorders>
          </w:tcPr>
          <w:p>
            <w:pPr>
              <w:spacing w:after="0"/>
              <w:rPr>
                <w:sz w:val="17"/>
                <w:szCs w:val="17"/>
                <w:color w:val="auto"/>
              </w:rPr>
            </w:pPr>
          </w:p>
        </w:tc>
        <w:tc>
          <w:tcPr>
            <w:tcW w:w="8080" w:type="dxa"/>
            <w:vAlign w:val="bottom"/>
            <w:gridSpan w:val="16"/>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4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Assets and Liabilities — September 30, 2022 (unaudited) and December 31, 2021</w:t>
            </w:r>
          </w:p>
        </w:tc>
        <w:tc>
          <w:tcPr>
            <w:tcW w:w="20" w:type="dxa"/>
            <w:vAlign w:val="bottom"/>
            <w:tcBorders>
              <w:bottom w:val="single" w:sz="8" w:color="0000EE"/>
            </w:tcBorders>
          </w:tcPr>
          <w:p>
            <w:pPr>
              <w:spacing w:after="0"/>
              <w:rPr>
                <w:sz w:val="17"/>
                <w:szCs w:val="17"/>
                <w:color w:val="auto"/>
              </w:rPr>
            </w:pPr>
          </w:p>
        </w:tc>
        <w:tc>
          <w:tcPr>
            <w:tcW w:w="1700" w:type="dxa"/>
            <w:vAlign w:val="bottom"/>
            <w:gridSpan w:val="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 three and nine months ended September 30, 2022 (unaudited) and 2021 (unaudited)</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00" w:type="dxa"/>
            <w:vAlign w:val="bottom"/>
            <w:tcBorders>
              <w:top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Changes in Net Assets — three and nine months ended September 30, 2022 (unaudited) and 2021</w:t>
            </w:r>
          </w:p>
        </w:tc>
        <w:tc>
          <w:tcPr>
            <w:tcW w:w="560" w:type="dxa"/>
            <w:vAlign w:val="bottom"/>
            <w:gridSpan w:val="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8"/>
              </w:rPr>
              <w:t>(unaudited)</w:t>
            </w:r>
          </w:p>
        </w:tc>
        <w:tc>
          <w:tcPr>
            <w:tcW w:w="20" w:type="dxa"/>
            <w:vAlign w:val="bottom"/>
            <w:tcBorders>
              <w:top w:val="single" w:sz="8" w:color="0000FF"/>
              <w:bottom w:val="single" w:sz="8" w:color="0000EE"/>
            </w:tcBorders>
          </w:tcPr>
          <w:p>
            <w:pPr>
              <w:spacing w:after="0"/>
              <w:rPr>
                <w:sz w:val="14"/>
                <w:szCs w:val="14"/>
                <w:color w:val="auto"/>
              </w:rPr>
            </w:pPr>
          </w:p>
        </w:tc>
        <w:tc>
          <w:tcPr>
            <w:tcW w:w="8260" w:type="dxa"/>
            <w:vAlign w:val="bottom"/>
            <w:tcBorders>
              <w:top w:val="single" w:sz="8" w:color="0000FF"/>
            </w:tcBorders>
            <w:gridSpan w:val="19"/>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 three and nine months ended September 30, 2022, (unaudited) and 2021 (unaudited)</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0" w:type="dxa"/>
            <w:vAlign w:val="bottom"/>
            <w:tcBorders>
              <w:top w:val="single" w:sz="8" w:color="0000FF"/>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Schedules of Investments — September 30, 2022 (unaudited) and December 31, 2021</w:t>
            </w:r>
          </w:p>
        </w:tc>
        <w:tc>
          <w:tcPr>
            <w:tcW w:w="2000" w:type="dxa"/>
            <w:vAlign w:val="bottom"/>
            <w:tcBorders>
              <w:top w:val="single" w:sz="8" w:color="0000FF"/>
            </w:tcBorders>
            <w:gridSpan w:val="5"/>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6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r>
              <w:rPr>
                <w:rFonts w:ascii="Times New Roman" w:cs="Times New Roman" w:eastAsia="Times New Roman" w:hAnsi="Times New Roman"/>
                <w:sz w:val="18"/>
                <w:szCs w:val="18"/>
                <w:color w:val="000000"/>
              </w:rPr>
              <w:t>.</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200" w:type="dxa"/>
            <w:vAlign w:val="bottom"/>
            <w:gridSpan w:val="8"/>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tcBorders>
              <w:right w:val="single" w:sz="8" w:color="0000EE"/>
            </w:tcBorders>
            <w:gridSpan w:val="2"/>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6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660" w:type="dxa"/>
            <w:vAlign w:val="bottom"/>
          </w:tcPr>
          <w:p>
            <w:pPr>
              <w:spacing w:after="0"/>
              <w:rPr>
                <w:sz w:val="17"/>
                <w:szCs w:val="17"/>
                <w:color w:val="auto"/>
              </w:rPr>
            </w:pPr>
          </w:p>
        </w:tc>
      </w:tr>
      <w:tr>
        <w:trPr>
          <w:trHeight w:val="196"/>
        </w:trPr>
        <w:tc>
          <w:tcPr>
            <w:tcW w:w="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34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2940" w:type="dxa"/>
            <w:vAlign w:val="bottom"/>
            <w:tcBorders>
              <w:top w:val="single" w:sz="8" w:color="0000FF"/>
            </w:tcBorders>
            <w:gridSpan w:val="3"/>
          </w:tcPr>
          <w:p>
            <w:pPr>
              <w:spacing w:after="0"/>
              <w:rPr>
                <w:sz w:val="17"/>
                <w:szCs w:val="17"/>
                <w:color w:val="auto"/>
              </w:rPr>
            </w:pPr>
          </w:p>
        </w:tc>
        <w:tc>
          <w:tcPr>
            <w:tcW w:w="3260" w:type="dxa"/>
            <w:vAlign w:val="bottom"/>
            <w:gridSpan w:val="9"/>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6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Risk Factors.</w:t>
            </w:r>
          </w:p>
        </w:tc>
        <w:tc>
          <w:tcPr>
            <w:tcW w:w="420" w:type="dxa"/>
            <w:vAlign w:val="bottom"/>
            <w:tcBorders>
              <w:top w:val="single" w:sz="8" w:color="0000FF"/>
            </w:tcBorders>
            <w:gridSpan w:val="2"/>
          </w:tcPr>
          <w:p>
            <w:pPr>
              <w:spacing w:after="0"/>
              <w:rPr>
                <w:sz w:val="17"/>
                <w:szCs w:val="17"/>
                <w:color w:val="auto"/>
              </w:rPr>
            </w:pPr>
          </w:p>
        </w:tc>
        <w:tc>
          <w:tcPr>
            <w:tcW w:w="8280" w:type="dxa"/>
            <w:vAlign w:val="bottom"/>
            <w:gridSpan w:val="18"/>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42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240" w:type="dxa"/>
            <w:vAlign w:val="bottom"/>
            <w:gridSpan w:val="10"/>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8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7280" w:type="dxa"/>
            <w:vAlign w:val="bottom"/>
            <w:gridSpan w:val="1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82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7840" w:type="dxa"/>
            <w:vAlign w:val="bottom"/>
            <w:gridSpan w:val="1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6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60" w:type="dxa"/>
            <w:vAlign w:val="bottom"/>
            <w:tcBorders>
              <w:top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8300" w:type="dxa"/>
            <w:vAlign w:val="bottom"/>
            <w:gridSpan w:val="19"/>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858"/>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6400" w:type="dxa"/>
            <w:vAlign w:val="bottom"/>
            <w:gridSpan w:val="15"/>
          </w:tcPr>
          <w:p>
            <w:pPr>
              <w:ind w:left="466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1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Assets and Liabilities</w:t>
      </w:r>
    </w:p>
    <w:p>
      <w:pPr>
        <w:ind w:left="3780"/>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7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9"/>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r>
      <w:tr>
        <w:trPr>
          <w:trHeight w:val="17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at fair value:</w:t>
            </w: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6"/>
        </w:trPr>
        <w:tc>
          <w:tcPr>
            <w:tcW w:w="7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Control investments (cost: $6,833 and $6,833, respectively)</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2,151</w:t>
            </w:r>
          </w:p>
        </w:tc>
      </w:tr>
      <w:tr>
        <w:trPr>
          <w:trHeight w:val="176"/>
        </w:trPr>
        <w:tc>
          <w:tcPr>
            <w:tcW w:w="7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Affiliate investments (cost: $55,823 and $55,519, respectively)</w:t>
            </w:r>
          </w:p>
        </w:tc>
        <w:tc>
          <w:tcPr>
            <w:tcW w:w="20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95,575</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137,284</w:t>
            </w:r>
          </w:p>
        </w:tc>
      </w:tr>
      <w:tr>
        <w:trPr>
          <w:trHeight w:val="175"/>
        </w:trPr>
        <w:tc>
          <w:tcPr>
            <w:tcW w:w="78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Non-control/non-affiliate investments (cost: $764,734 and $559,434, respectively)</w:t>
            </w:r>
          </w:p>
        </w:tc>
        <w:tc>
          <w:tcPr>
            <w:tcW w:w="20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761,339</w:t>
            </w:r>
          </w:p>
        </w:tc>
        <w:tc>
          <w:tcPr>
            <w:tcW w:w="1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579,689</w:t>
            </w:r>
          </w:p>
        </w:tc>
      </w:tr>
      <w:tr>
        <w:trPr>
          <w:trHeight w:val="16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investments, at fair value (cost: $827,390 and $621,786, respectively)</w:t>
            </w:r>
          </w:p>
        </w:tc>
        <w:tc>
          <w:tcPr>
            <w:tcW w:w="200" w:type="dxa"/>
            <w:vAlign w:val="bottom"/>
          </w:tcPr>
          <w:p>
            <w:pPr>
              <w:spacing w:after="0"/>
              <w:rPr>
                <w:sz w:val="14"/>
                <w:szCs w:val="14"/>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856,914</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719,124</w:t>
            </w:r>
          </w:p>
        </w:tc>
      </w:tr>
      <w:tr>
        <w:trPr>
          <w:trHeight w:val="175"/>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40,411</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169,417</w:t>
            </w:r>
          </w:p>
        </w:tc>
      </w:tr>
      <w:tr>
        <w:trPr>
          <w:trHeight w:val="176"/>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20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11,643</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8,231</w:t>
            </w:r>
          </w:p>
        </w:tc>
      </w:tr>
      <w:tr>
        <w:trPr>
          <w:trHeight w:val="176"/>
        </w:trPr>
        <w:tc>
          <w:tcPr>
            <w:tcW w:w="7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0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780</w:t>
            </w:r>
          </w:p>
        </w:tc>
        <w:tc>
          <w:tcPr>
            <w:tcW w:w="1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413</w:t>
            </w:r>
          </w:p>
        </w:tc>
      </w:tr>
      <w:tr>
        <w:trPr>
          <w:trHeight w:val="16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909,748</w:t>
            </w:r>
          </w:p>
        </w:tc>
        <w:tc>
          <w:tcPr>
            <w:tcW w:w="3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897,185</w:t>
            </w:r>
          </w:p>
        </w:tc>
      </w:tr>
      <w:tr>
        <w:trPr>
          <w:trHeight w:val="20"/>
        </w:trPr>
        <w:tc>
          <w:tcPr>
            <w:tcW w:w="7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78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r>
      <w:tr>
        <w:trPr>
          <w:trHeight w:val="17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debentures, net of deferred financing costs (Note 6)</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128,803</w:t>
            </w:r>
          </w:p>
        </w:tc>
        <w:tc>
          <w:tcPr>
            <w:tcW w:w="3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103,978</w:t>
            </w:r>
          </w:p>
        </w:tc>
      </w:tr>
      <w:tr>
        <w:trPr>
          <w:trHeight w:val="176"/>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Notes, net of deferred financing costs (Note 6)</w:t>
            </w:r>
          </w:p>
        </w:tc>
        <w:tc>
          <w:tcPr>
            <w:tcW w:w="2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245,847</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245,016</w:t>
            </w:r>
          </w:p>
        </w:tc>
      </w:tr>
      <w:tr>
        <w:trPr>
          <w:trHeight w:val="17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Borrowings under Credit Facility, net of deferred financing costs (Note 6)</w:t>
            </w:r>
          </w:p>
        </w:tc>
        <w:tc>
          <w:tcPr>
            <w:tcW w:w="2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(1,455 )</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(595 )</w:t>
            </w:r>
          </w:p>
        </w:tc>
      </w:tr>
      <w:tr>
        <w:trPr>
          <w:trHeight w:val="176"/>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Secured borrowings</w:t>
            </w:r>
          </w:p>
        </w:tc>
        <w:tc>
          <w:tcPr>
            <w:tcW w:w="2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16,995</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17,637</w:t>
            </w:r>
          </w:p>
        </w:tc>
      </w:tr>
      <w:tr>
        <w:trPr>
          <w:trHeight w:val="176"/>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and fees payable</w:t>
            </w:r>
          </w:p>
        </w:tc>
        <w:tc>
          <w:tcPr>
            <w:tcW w:w="20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3,043</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4,668</w:t>
            </w:r>
          </w:p>
        </w:tc>
      </w:tr>
      <w:tr>
        <w:trPr>
          <w:trHeight w:val="175"/>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Base management fee payable, net of base management fee waiver – due to affiliate</w:t>
            </w:r>
          </w:p>
        </w:tc>
        <w:tc>
          <w:tcPr>
            <w:tcW w:w="2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3,687</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3,135</w:t>
            </w:r>
          </w:p>
        </w:tc>
      </w:tr>
      <w:tr>
        <w:trPr>
          <w:trHeight w:val="176"/>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incentive fee payable – due to affiliate</w:t>
            </w:r>
          </w:p>
        </w:tc>
        <w:tc>
          <w:tcPr>
            <w:tcW w:w="20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3,047</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2,622</w:t>
            </w:r>
          </w:p>
        </w:tc>
      </w:tr>
      <w:tr>
        <w:trPr>
          <w:trHeight w:val="175"/>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Capital gains incentive fee payable – due to affiliate</w:t>
            </w:r>
          </w:p>
        </w:tc>
        <w:tc>
          <w:tcPr>
            <w:tcW w:w="2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22,498</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29,227</w:t>
            </w:r>
          </w:p>
        </w:tc>
      </w:tr>
      <w:tr>
        <w:trPr>
          <w:trHeight w:val="176"/>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Administration fee payable and other – due to affiliate</w:t>
            </w:r>
          </w:p>
        </w:tc>
        <w:tc>
          <w:tcPr>
            <w:tcW w:w="20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559</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668</w:t>
            </w:r>
          </w:p>
        </w:tc>
      </w:tr>
      <w:tr>
        <w:trPr>
          <w:trHeight w:val="175"/>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Dividends payable</w:t>
            </w:r>
          </w:p>
        </w:tc>
        <w:tc>
          <w:tcPr>
            <w:tcW w:w="2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10,508</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Taxes (receivable) payable</w:t>
            </w:r>
          </w:p>
        </w:tc>
        <w:tc>
          <w:tcPr>
            <w:tcW w:w="20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315</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2,410</w:t>
            </w:r>
          </w:p>
        </w:tc>
      </w:tr>
      <w:tr>
        <w:trPr>
          <w:trHeight w:val="175"/>
        </w:trPr>
        <w:tc>
          <w:tcPr>
            <w:tcW w:w="7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Accounts payable and other liabilities</w:t>
            </w:r>
          </w:p>
        </w:tc>
        <w:tc>
          <w:tcPr>
            <w:tcW w:w="20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1,514</w:t>
            </w:r>
          </w:p>
        </w:tc>
        <w:tc>
          <w:tcPr>
            <w:tcW w:w="1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655</w:t>
            </w:r>
          </w:p>
        </w:tc>
      </w:tr>
      <w:tr>
        <w:trPr>
          <w:trHeight w:val="16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435,361</w:t>
            </w:r>
          </w:p>
        </w:tc>
        <w:tc>
          <w:tcPr>
            <w:tcW w:w="3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409,421</w:t>
            </w:r>
          </w:p>
        </w:tc>
      </w:tr>
      <w:tr>
        <w:trPr>
          <w:trHeight w:val="169"/>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7)</w:t>
            </w:r>
          </w:p>
        </w:tc>
        <w:tc>
          <w:tcPr>
            <w:tcW w:w="200" w:type="dxa"/>
            <w:vAlign w:val="bottom"/>
            <w:tcBorders>
              <w:top w:val="single" w:sz="8" w:color="auto"/>
            </w:tcBorders>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1400" w:type="dxa"/>
            <w:vAlign w:val="bottom"/>
            <w:tcBorders>
              <w:top w:val="single" w:sz="8" w:color="auto"/>
            </w:tcBorders>
            <w:shd w:val="clear" w:color="auto" w:fill="CFF0FC"/>
          </w:tcPr>
          <w:p>
            <w:pPr>
              <w:spacing w:after="0"/>
              <w:rPr>
                <w:sz w:val="14"/>
                <w:szCs w:val="14"/>
                <w:color w:val="auto"/>
              </w:rPr>
            </w:pPr>
          </w:p>
        </w:tc>
      </w:tr>
      <w:tr>
        <w:trPr>
          <w:trHeight w:val="176"/>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Common stock, $0.001 par value (100,000,000 shares authorized, 24,437,400 and 24,437,400 shares</w:t>
            </w:r>
          </w:p>
        </w:tc>
        <w:tc>
          <w:tcPr>
            <w:tcW w:w="2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r>
      <w:tr>
        <w:trPr>
          <w:trHeight w:val="175"/>
        </w:trPr>
        <w:tc>
          <w:tcPr>
            <w:tcW w:w="7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issued and outstanding at September 30, 2022 and December 31, 2021, respectively)</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c>
          <w:tcPr>
            <w:tcW w:w="3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r>
      <w:tr>
        <w:trPr>
          <w:trHeight w:val="175"/>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361,807</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361,807</w:t>
            </w:r>
          </w:p>
        </w:tc>
      </w:tr>
      <w:tr>
        <w:trPr>
          <w:trHeight w:val="17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distributable earnings</w:t>
            </w: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112,556</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125,933</w:t>
            </w:r>
          </w:p>
        </w:tc>
      </w:tr>
      <w:tr>
        <w:trPr>
          <w:trHeight w:val="169"/>
        </w:trPr>
        <w:tc>
          <w:tcPr>
            <w:tcW w:w="7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assets</w:t>
            </w:r>
          </w:p>
        </w:tc>
        <w:tc>
          <w:tcPr>
            <w:tcW w:w="20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474,387</w:t>
            </w:r>
          </w:p>
        </w:tc>
        <w:tc>
          <w:tcPr>
            <w:tcW w:w="1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487,764</w:t>
            </w:r>
          </w:p>
        </w:tc>
      </w:tr>
      <w:tr>
        <w:trPr>
          <w:trHeight w:val="16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net assets</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909,748</w:t>
            </w:r>
          </w:p>
        </w:tc>
        <w:tc>
          <w:tcPr>
            <w:tcW w:w="16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897,185</w:t>
            </w:r>
          </w:p>
        </w:tc>
      </w:tr>
      <w:tr>
        <w:trPr>
          <w:trHeight w:val="20"/>
        </w:trPr>
        <w:tc>
          <w:tcPr>
            <w:tcW w:w="7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7840" w:type="dxa"/>
            <w:vAlign w:val="bottom"/>
            <w:tcBorders>
              <w:bottom w:val="single" w:sz="8" w:color="CFF0FC"/>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Net asset value per common share</w:t>
            </w:r>
          </w:p>
        </w:tc>
        <w:tc>
          <w:tcPr>
            <w:tcW w:w="200" w:type="dxa"/>
            <w:vAlign w:val="bottom"/>
            <w:tcBorders>
              <w:top w:val="single" w:sz="8" w:color="auto"/>
              <w:bottom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19.41</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19.96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-3248025</wp:posOffset>
            </wp:positionV>
            <wp:extent cx="94615" cy="120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4615" cy="1200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-2794000</wp:posOffset>
            </wp:positionV>
            <wp:extent cx="94615" cy="14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4615" cy="1454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-1199515</wp:posOffset>
            </wp:positionV>
            <wp:extent cx="9461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4615" cy="12890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-281940</wp:posOffset>
            </wp:positionV>
            <wp:extent cx="94615"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4615" cy="1460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946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946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 (unaudited).</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4"/>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60" w:type="dxa"/>
            <w:vAlign w:val="bottom"/>
            <w:gridSpan w:val="4"/>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69"/>
        </w:trPr>
        <w:tc>
          <w:tcPr>
            <w:tcW w:w="5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9"/>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r>
      <w:tr>
        <w:trPr>
          <w:trHeight w:val="175"/>
        </w:trPr>
        <w:tc>
          <w:tcPr>
            <w:tcW w:w="5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5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Control investments</w:t>
            </w:r>
          </w:p>
        </w:tc>
        <w:tc>
          <w:tcPr>
            <w:tcW w:w="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927</w:t>
            </w:r>
          </w:p>
        </w:tc>
        <w:tc>
          <w:tcPr>
            <w:tcW w:w="3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2,495</w:t>
            </w:r>
          </w:p>
        </w:tc>
      </w:tr>
      <w:tr>
        <w:trPr>
          <w:trHeight w:val="176"/>
        </w:trPr>
        <w:tc>
          <w:tcPr>
            <w:tcW w:w="5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Affiliate investments</w:t>
            </w:r>
          </w:p>
        </w:tc>
        <w:tc>
          <w:tcPr>
            <w:tcW w:w="26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892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2,433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2,096</w:t>
            </w:r>
          </w:p>
        </w:tc>
      </w:tr>
      <w:tr>
        <w:trPr>
          <w:trHeight w:val="175"/>
        </w:trPr>
        <w:tc>
          <w:tcPr>
            <w:tcW w:w="58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Non-control/non-affiliate investments</w:t>
            </w:r>
          </w:p>
        </w:tc>
        <w:tc>
          <w:tcPr>
            <w:tcW w:w="26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20,619</w:t>
            </w:r>
          </w:p>
        </w:tc>
        <w:tc>
          <w:tcPr>
            <w:tcW w:w="1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16,395</w:t>
            </w:r>
          </w:p>
        </w:tc>
        <w:tc>
          <w:tcPr>
            <w:tcW w:w="1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55,532</w:t>
            </w:r>
          </w:p>
        </w:tc>
        <w:tc>
          <w:tcPr>
            <w:tcW w:w="1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50,197</w:t>
            </w:r>
          </w:p>
        </w:tc>
      </w:tr>
      <w:tr>
        <w:trPr>
          <w:trHeight w:val="169"/>
        </w:trPr>
        <w:tc>
          <w:tcPr>
            <w:tcW w:w="58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interest income</w:t>
            </w:r>
          </w:p>
        </w:tc>
        <w:tc>
          <w:tcPr>
            <w:tcW w:w="26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21,511</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17,859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57,965</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54,788</w:t>
            </w:r>
          </w:p>
        </w:tc>
      </w:tr>
      <w:tr>
        <w:trPr>
          <w:trHeight w:val="176"/>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Payment-in-kind interest income</w:t>
            </w: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75"/>
        </w:trPr>
        <w:tc>
          <w:tcPr>
            <w:tcW w:w="5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Control investments</w:t>
            </w:r>
          </w:p>
        </w:tc>
        <w:tc>
          <w:tcPr>
            <w:tcW w:w="26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724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1,661</w:t>
            </w:r>
          </w:p>
        </w:tc>
      </w:tr>
      <w:tr>
        <w:trPr>
          <w:trHeight w:val="176"/>
        </w:trPr>
        <w:tc>
          <w:tcPr>
            <w:tcW w:w="5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Affiliate investments</w:t>
            </w: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281</w:t>
            </w:r>
          </w:p>
        </w:tc>
      </w:tr>
      <w:tr>
        <w:trPr>
          <w:trHeight w:val="175"/>
        </w:trPr>
        <w:tc>
          <w:tcPr>
            <w:tcW w:w="5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Non-control/non-affiliate investments</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413</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450</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1,297</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1,390</w:t>
            </w:r>
          </w:p>
        </w:tc>
      </w:tr>
      <w:tr>
        <w:trPr>
          <w:trHeight w:val="169"/>
        </w:trPr>
        <w:tc>
          <w:tcPr>
            <w:tcW w:w="58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Total payment-in-kind interest income</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413</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1,260</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1,327</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3,332</w:t>
            </w:r>
          </w:p>
        </w:tc>
      </w:tr>
      <w:tr>
        <w:trPr>
          <w:trHeight w:val="176"/>
        </w:trPr>
        <w:tc>
          <w:tcPr>
            <w:tcW w:w="5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Dividend income</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5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Control investments</w:t>
            </w: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568</w:t>
            </w:r>
          </w:p>
        </w:tc>
      </w:tr>
      <w:tr>
        <w:trPr>
          <w:trHeight w:val="176"/>
        </w:trPr>
        <w:tc>
          <w:tcPr>
            <w:tcW w:w="5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Affiliate investments</w:t>
            </w:r>
          </w:p>
        </w:tc>
        <w:tc>
          <w:tcPr>
            <w:tcW w:w="26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725</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w:t>
            </w:r>
          </w:p>
        </w:tc>
      </w:tr>
      <w:tr>
        <w:trPr>
          <w:trHeight w:val="175"/>
        </w:trPr>
        <w:tc>
          <w:tcPr>
            <w:tcW w:w="58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Non-control/non-affiliate investments</w:t>
            </w:r>
          </w:p>
        </w:tc>
        <w:tc>
          <w:tcPr>
            <w:tcW w:w="26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645</w:t>
            </w:r>
          </w:p>
        </w:tc>
        <w:tc>
          <w:tcPr>
            <w:tcW w:w="1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457</w:t>
            </w:r>
          </w:p>
        </w:tc>
        <w:tc>
          <w:tcPr>
            <w:tcW w:w="1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685</w:t>
            </w:r>
          </w:p>
        </w:tc>
        <w:tc>
          <w:tcPr>
            <w:tcW w:w="1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699</w:t>
            </w:r>
          </w:p>
        </w:tc>
      </w:tr>
      <w:tr>
        <w:trPr>
          <w:trHeight w:val="169"/>
        </w:trPr>
        <w:tc>
          <w:tcPr>
            <w:tcW w:w="58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dividend income</w:t>
            </w:r>
          </w:p>
        </w:tc>
        <w:tc>
          <w:tcPr>
            <w:tcW w:w="26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645</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1,410</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1,377</w:t>
            </w:r>
          </w:p>
        </w:tc>
      </w:tr>
      <w:tr>
        <w:trPr>
          <w:trHeight w:val="176"/>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Fee income</w:t>
            </w: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75"/>
        </w:trPr>
        <w:tc>
          <w:tcPr>
            <w:tcW w:w="5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Control investments</w:t>
            </w:r>
          </w:p>
        </w:tc>
        <w:tc>
          <w:tcPr>
            <w:tcW w:w="26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400</w:t>
            </w:r>
          </w:p>
        </w:tc>
      </w:tr>
      <w:tr>
        <w:trPr>
          <w:trHeight w:val="176"/>
        </w:trPr>
        <w:tc>
          <w:tcPr>
            <w:tcW w:w="5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Affiliate investments</w:t>
            </w: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452</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370</w:t>
            </w:r>
          </w:p>
        </w:tc>
      </w:tr>
      <w:tr>
        <w:trPr>
          <w:trHeight w:val="175"/>
        </w:trPr>
        <w:tc>
          <w:tcPr>
            <w:tcW w:w="5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Non-control/non-affiliate investments</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2,260</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1,545</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5,497</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6,071</w:t>
            </w:r>
          </w:p>
        </w:tc>
      </w:tr>
      <w:tr>
        <w:trPr>
          <w:trHeight w:val="169"/>
        </w:trPr>
        <w:tc>
          <w:tcPr>
            <w:tcW w:w="58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Total fee income</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2,415</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1,647</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5,949</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6,841</w:t>
            </w:r>
          </w:p>
        </w:tc>
      </w:tr>
      <w:tr>
        <w:trPr>
          <w:trHeight w:val="176"/>
        </w:trPr>
        <w:tc>
          <w:tcPr>
            <w:tcW w:w="5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on idle funds</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r>
      <w:tr>
        <w:trPr>
          <w:trHeight w:val="169"/>
        </w:trPr>
        <w:tc>
          <w:tcPr>
            <w:tcW w:w="5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investment income</w:t>
            </w:r>
          </w:p>
        </w:tc>
        <w:tc>
          <w:tcPr>
            <w:tcW w:w="2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24,992</w:t>
            </w:r>
          </w:p>
        </w:tc>
        <w:tc>
          <w:tcPr>
            <w:tcW w:w="12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21,229</w:t>
            </w:r>
          </w:p>
        </w:tc>
        <w:tc>
          <w:tcPr>
            <w:tcW w:w="1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66,663</w:t>
            </w:r>
          </w:p>
        </w:tc>
        <w:tc>
          <w:tcPr>
            <w:tcW w:w="12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66,345</w:t>
            </w:r>
          </w:p>
        </w:tc>
      </w:tr>
      <w:tr>
        <w:trPr>
          <w:trHeight w:val="169"/>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6"/>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Interest and financing expenses</w:t>
            </w: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4,686</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4,662</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13,737</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14,418</w:t>
            </w:r>
          </w:p>
        </w:tc>
      </w:tr>
      <w:tr>
        <w:trPr>
          <w:trHeight w:val="176"/>
        </w:trPr>
        <w:tc>
          <w:tcPr>
            <w:tcW w:w="5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Base management fee</w:t>
            </w:r>
          </w:p>
        </w:tc>
        <w:tc>
          <w:tcPr>
            <w:tcW w:w="26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3,763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3,270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10,724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9,661</w:t>
            </w:r>
          </w:p>
        </w:tc>
      </w:tr>
      <w:tr>
        <w:trPr>
          <w:trHeight w:val="175"/>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Incentive fee - income</w:t>
            </w: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3,047</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2,425</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5,283</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7,644</w:t>
            </w:r>
          </w:p>
        </w:tc>
      </w:tr>
      <w:tr>
        <w:trPr>
          <w:trHeight w:val="176"/>
        </w:trPr>
        <w:tc>
          <w:tcPr>
            <w:tcW w:w="5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Incentive fee (reversal) - capital gains</w:t>
            </w: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(258 )</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4,664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(593 )</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8,638</w:t>
            </w:r>
          </w:p>
        </w:tc>
      </w:tr>
      <w:tr>
        <w:trPr>
          <w:trHeight w:val="175"/>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Administrative service expenses</w:t>
            </w: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480</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438</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1,412</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1,281</w:t>
            </w:r>
          </w:p>
        </w:tc>
      </w:tr>
      <w:tr>
        <w:trPr>
          <w:trHeight w:val="175"/>
        </w:trPr>
        <w:tc>
          <w:tcPr>
            <w:tcW w:w="5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Professional fees</w:t>
            </w:r>
          </w:p>
        </w:tc>
        <w:tc>
          <w:tcPr>
            <w:tcW w:w="26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339</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1,546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1,482</w:t>
            </w:r>
          </w:p>
        </w:tc>
      </w:tr>
      <w:tr>
        <w:trPr>
          <w:trHeight w:val="175"/>
        </w:trPr>
        <w:tc>
          <w:tcPr>
            <w:tcW w:w="58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26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303</w:t>
            </w:r>
          </w:p>
        </w:tc>
        <w:tc>
          <w:tcPr>
            <w:tcW w:w="1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214</w:t>
            </w:r>
          </w:p>
        </w:tc>
        <w:tc>
          <w:tcPr>
            <w:tcW w:w="1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719</w:t>
            </w:r>
          </w:p>
        </w:tc>
        <w:tc>
          <w:tcPr>
            <w:tcW w:w="1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615</w:t>
            </w:r>
          </w:p>
        </w:tc>
      </w:tr>
      <w:tr>
        <w:trPr>
          <w:trHeight w:val="169"/>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expenses before base management fee waiver</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12,360</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16,180</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32,828</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43,739</w:t>
            </w:r>
          </w:p>
        </w:tc>
      </w:tr>
      <w:tr>
        <w:trPr>
          <w:trHeight w:val="169"/>
        </w:trPr>
        <w:tc>
          <w:tcPr>
            <w:tcW w:w="58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Base management fee waiver</w:t>
            </w:r>
          </w:p>
        </w:tc>
        <w:tc>
          <w:tcPr>
            <w:tcW w:w="2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(76 )</w:t>
            </w:r>
          </w:p>
        </w:tc>
        <w:tc>
          <w:tcPr>
            <w:tcW w:w="12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(69 )</w:t>
            </w:r>
          </w:p>
        </w:tc>
        <w:tc>
          <w:tcPr>
            <w:tcW w:w="1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(228 )</w:t>
            </w:r>
          </w:p>
        </w:tc>
        <w:tc>
          <w:tcPr>
            <w:tcW w:w="12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(98 )</w:t>
            </w:r>
          </w:p>
        </w:tc>
      </w:tr>
      <w:tr>
        <w:trPr>
          <w:trHeight w:val="169"/>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expenses, net of base management fee waiver</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12,284</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16,111</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32,600</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43,641</w:t>
            </w:r>
          </w:p>
        </w:tc>
      </w:tr>
      <w:tr>
        <w:trPr>
          <w:trHeight w:val="169"/>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investment income before income taxes</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12,708</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5,118</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34,063</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22,704</w:t>
            </w:r>
          </w:p>
        </w:tc>
      </w:tr>
      <w:tr>
        <w:trPr>
          <w:trHeight w:val="175"/>
        </w:trPr>
        <w:tc>
          <w:tcPr>
            <w:tcW w:w="5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32</w:t>
            </w:r>
          </w:p>
        </w:tc>
      </w:tr>
      <w:tr>
        <w:trPr>
          <w:trHeight w:val="169"/>
        </w:trPr>
        <w:tc>
          <w:tcPr>
            <w:tcW w:w="5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2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12,719</w:t>
            </w:r>
          </w:p>
        </w:tc>
        <w:tc>
          <w:tcPr>
            <w:tcW w:w="12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5,118</w:t>
            </w:r>
          </w:p>
        </w:tc>
        <w:tc>
          <w:tcPr>
            <w:tcW w:w="1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34,065</w:t>
            </w:r>
          </w:p>
        </w:tc>
        <w:tc>
          <w:tcPr>
            <w:tcW w:w="12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22,672</w:t>
            </w:r>
          </w:p>
        </w:tc>
      </w:tr>
      <w:tr>
        <w:trPr>
          <w:trHeight w:val="169"/>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realized and unrealized gains (losses) on investments: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5"/>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Net realized gains (losses):</w:t>
            </w: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75"/>
        </w:trPr>
        <w:tc>
          <w:tcPr>
            <w:tcW w:w="5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Control investments</w:t>
            </w:r>
          </w:p>
        </w:tc>
        <w:tc>
          <w:tcPr>
            <w:tcW w:w="26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407</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(990 )</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(33 )</w:t>
            </w:r>
          </w:p>
        </w:tc>
      </w:tr>
      <w:tr>
        <w:trPr>
          <w:trHeight w:val="175"/>
        </w:trPr>
        <w:tc>
          <w:tcPr>
            <w:tcW w:w="5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Affiliate investments</w:t>
            </w: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24,216</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39,840</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w:t>
            </w:r>
          </w:p>
        </w:tc>
      </w:tr>
      <w:tr>
        <w:trPr>
          <w:trHeight w:val="175"/>
        </w:trPr>
        <w:tc>
          <w:tcPr>
            <w:tcW w:w="5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Non-control/non-affiliate investments</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15,421</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9,266</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25,038</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13,675</w:t>
            </w:r>
          </w:p>
        </w:tc>
      </w:tr>
      <w:tr>
        <w:trPr>
          <w:trHeight w:val="169"/>
        </w:trPr>
        <w:tc>
          <w:tcPr>
            <w:tcW w:w="58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Total net realized gain (loss) on investments</w:t>
            </w:r>
          </w:p>
        </w:tc>
        <w:tc>
          <w:tcPr>
            <w:tcW w:w="2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40,044</w:t>
            </w:r>
          </w:p>
        </w:tc>
        <w:tc>
          <w:tcPr>
            <w:tcW w:w="12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8,306</w:t>
            </w:r>
          </w:p>
        </w:tc>
        <w:tc>
          <w:tcPr>
            <w:tcW w:w="1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65,220</w:t>
            </w:r>
          </w:p>
        </w:tc>
        <w:tc>
          <w:tcPr>
            <w:tcW w:w="12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13,672</w:t>
            </w:r>
          </w:p>
        </w:tc>
      </w:tr>
      <w:tr>
        <w:trPr>
          <w:trHeight w:val="169"/>
        </w:trPr>
        <w:tc>
          <w:tcPr>
            <w:tcW w:w="5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tax (provision) benefit from realized gains on investments</w:t>
            </w:r>
          </w:p>
        </w:tc>
        <w:tc>
          <w:tcPr>
            <w:tcW w:w="26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(121 )</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143</w:t>
            </w:r>
          </w:p>
        </w:tc>
      </w:tr>
      <w:tr>
        <w:trPr>
          <w:trHeight w:val="176"/>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Net change in unrealized appreciation (depreciation):</w:t>
            </w: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75"/>
        </w:trPr>
        <w:tc>
          <w:tcPr>
            <w:tcW w:w="5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Control investments</w:t>
            </w:r>
          </w:p>
        </w:tc>
        <w:tc>
          <w:tcPr>
            <w:tcW w:w="26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1,096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(2,151 )</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(4,889 )</w:t>
            </w:r>
          </w:p>
        </w:tc>
      </w:tr>
      <w:tr>
        <w:trPr>
          <w:trHeight w:val="175"/>
        </w:trPr>
        <w:tc>
          <w:tcPr>
            <w:tcW w:w="5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Affiliate investments</w:t>
            </w: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(21,085 )</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8,106</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(42,013 )</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24,474</w:t>
            </w:r>
          </w:p>
        </w:tc>
      </w:tr>
      <w:tr>
        <w:trPr>
          <w:trHeight w:val="175"/>
        </w:trPr>
        <w:tc>
          <w:tcPr>
            <w:tcW w:w="5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Non-control/non-affiliate investments</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(20,197 )</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6,133</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(23,650 )</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12,434</w:t>
            </w:r>
          </w:p>
        </w:tc>
      </w:tr>
      <w:tr>
        <w:trPr>
          <w:trHeight w:val="169"/>
        </w:trPr>
        <w:tc>
          <w:tcPr>
            <w:tcW w:w="58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Total net change in unrealized appreciation (depreciation) on investments</w:t>
            </w:r>
          </w:p>
        </w:tc>
        <w:tc>
          <w:tcPr>
            <w:tcW w:w="2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(41,282 )</w:t>
            </w:r>
          </w:p>
        </w:tc>
        <w:tc>
          <w:tcPr>
            <w:tcW w:w="12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15,335</w:t>
            </w:r>
          </w:p>
        </w:tc>
        <w:tc>
          <w:tcPr>
            <w:tcW w:w="1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(67,814 )</w:t>
            </w:r>
          </w:p>
        </w:tc>
        <w:tc>
          <w:tcPr>
            <w:tcW w:w="12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32,019</w:t>
            </w:r>
          </w:p>
        </w:tc>
      </w:tr>
      <w:tr>
        <w:trPr>
          <w:trHeight w:val="169"/>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gain (loss) on investments</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(1,238 )</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23,784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(2,715 )</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45,834</w:t>
            </w:r>
          </w:p>
        </w:tc>
      </w:tr>
      <w:tr>
        <w:trPr>
          <w:trHeight w:val="175"/>
        </w:trPr>
        <w:tc>
          <w:tcPr>
            <w:tcW w:w="5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Realized losses on extinguishment of debt</w:t>
            </w:r>
          </w:p>
        </w:tc>
        <w:tc>
          <w:tcPr>
            <w:tcW w:w="26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1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(460 )</w:t>
            </w:r>
          </w:p>
        </w:tc>
        <w:tc>
          <w:tcPr>
            <w:tcW w:w="1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(251 )</w:t>
            </w:r>
          </w:p>
        </w:tc>
        <w:tc>
          <w:tcPr>
            <w:tcW w:w="1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(2,640 )</w:t>
            </w:r>
          </w:p>
        </w:tc>
      </w:tr>
      <w:tr>
        <w:trPr>
          <w:trHeight w:val="169"/>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net assets resulting from operations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11,428</w:t>
            </w:r>
          </w:p>
        </w:tc>
        <w:tc>
          <w:tcPr>
            <w:tcW w:w="50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28,442</w:t>
            </w:r>
          </w:p>
        </w:tc>
        <w:tc>
          <w:tcPr>
            <w:tcW w:w="3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31,099</w:t>
            </w:r>
          </w:p>
        </w:tc>
        <w:tc>
          <w:tcPr>
            <w:tcW w:w="50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65,866</w:t>
            </w:r>
          </w:p>
        </w:tc>
      </w:tr>
      <w:tr>
        <w:trPr>
          <w:trHeight w:val="20"/>
        </w:trPr>
        <w:tc>
          <w:tcPr>
            <w:tcW w:w="5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58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Per common share data:</w:t>
            </w:r>
          </w:p>
        </w:tc>
        <w:tc>
          <w:tcPr>
            <w:tcW w:w="2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r>
      <w:tr>
        <w:trPr>
          <w:trHeight w:val="175"/>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investment income per share-basic and diluted</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0.52</w:t>
            </w:r>
          </w:p>
        </w:tc>
        <w:tc>
          <w:tcPr>
            <w:tcW w:w="120" w:type="dxa"/>
            <w:vAlign w:val="bottom"/>
          </w:tcPr>
          <w:p>
            <w:pPr>
              <w:spacing w:after="0"/>
              <w:rPr>
                <w:sz w:val="15"/>
                <w:szCs w:val="15"/>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0.21</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Pr>
          <w:p>
            <w:pPr>
              <w:spacing w:after="0"/>
              <w:rPr>
                <w:sz w:val="15"/>
                <w:szCs w:val="15"/>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0.93</w:t>
            </w:r>
          </w:p>
        </w:tc>
      </w:tr>
      <w:tr>
        <w:trPr>
          <w:trHeight w:val="20"/>
        </w:trPr>
        <w:tc>
          <w:tcPr>
            <w:tcW w:w="5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5860" w:type="dxa"/>
            <w:vAlign w:val="bottom"/>
            <w:tcBorders>
              <w:bottom w:val="single" w:sz="8" w:color="CFF0FC"/>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Net increase in net assets resulting from operations per share — basic and diluted</w:t>
            </w:r>
          </w:p>
        </w:tc>
        <w:tc>
          <w:tcPr>
            <w:tcW w:w="260" w:type="dxa"/>
            <w:vAlign w:val="bottom"/>
            <w:tcBorders>
              <w:top w:val="single" w:sz="8" w:color="auto"/>
              <w:bottom w:val="single" w:sz="8" w:color="auto"/>
            </w:tcBorders>
            <w:shd w:val="clear" w:color="auto" w:fill="CFF0FC"/>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0.47</w:t>
            </w:r>
          </w:p>
        </w:tc>
        <w:tc>
          <w:tcPr>
            <w:tcW w:w="1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jc w:val="right"/>
              <w:ind w:right="22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1.16</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1.27</w:t>
            </w:r>
          </w:p>
        </w:tc>
        <w:tc>
          <w:tcPr>
            <w:tcW w:w="1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jc w:val="right"/>
              <w:ind w:right="22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2.70</w:t>
            </w:r>
          </w:p>
        </w:tc>
      </w:tr>
      <w:tr>
        <w:trPr>
          <w:trHeight w:val="156"/>
        </w:trPr>
        <w:tc>
          <w:tcPr>
            <w:tcW w:w="586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Dividends declared per share</w:t>
            </w:r>
          </w:p>
        </w:tc>
        <w:tc>
          <w:tcPr>
            <w:tcW w:w="260" w:type="dxa"/>
            <w:vAlign w:val="bottom"/>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0.86</w:t>
            </w:r>
          </w:p>
        </w:tc>
        <w:tc>
          <w:tcPr>
            <w:tcW w:w="500" w:type="dxa"/>
            <w:vAlign w:val="bottom"/>
            <w:gridSpan w:val="2"/>
          </w:tcPr>
          <w:p>
            <w:pPr>
              <w:jc w:val="right"/>
              <w:ind w:right="228"/>
              <w:spacing w:after="0" w:line="15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0.42</w:t>
            </w:r>
          </w:p>
        </w:tc>
        <w:tc>
          <w:tcPr>
            <w:tcW w:w="360" w:type="dxa"/>
            <w:vAlign w:val="bottom"/>
            <w:gridSpan w:val="2"/>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1.82</w:t>
            </w:r>
          </w:p>
        </w:tc>
        <w:tc>
          <w:tcPr>
            <w:tcW w:w="500" w:type="dxa"/>
            <w:vAlign w:val="bottom"/>
            <w:gridSpan w:val="2"/>
          </w:tcPr>
          <w:p>
            <w:pPr>
              <w:jc w:val="right"/>
              <w:ind w:right="228"/>
              <w:spacing w:after="0" w:line="15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1.19</w:t>
            </w:r>
          </w:p>
        </w:tc>
      </w:tr>
      <w:tr>
        <w:trPr>
          <w:trHeight w:val="20"/>
        </w:trPr>
        <w:tc>
          <w:tcPr>
            <w:tcW w:w="5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860" w:type="dxa"/>
            <w:vAlign w:val="bottom"/>
            <w:tcBorders>
              <w:bottom w:val="single" w:sz="8" w:color="CFF0FC"/>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Weighted average number of shares outstanding — basic and diluted</w:t>
            </w:r>
          </w:p>
        </w:tc>
        <w:tc>
          <w:tcPr>
            <w:tcW w:w="2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24,437,400</w:t>
            </w:r>
          </w:p>
        </w:tc>
        <w:tc>
          <w:tcPr>
            <w:tcW w:w="1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24,437,400</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24,437,400</w:t>
            </w:r>
          </w:p>
        </w:tc>
        <w:tc>
          <w:tcPr>
            <w:tcW w:w="1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24,437,400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-6068695</wp:posOffset>
            </wp:positionV>
            <wp:extent cx="77470"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-6068695</wp:posOffset>
            </wp:positionV>
            <wp:extent cx="68580"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-6068695</wp:posOffset>
            </wp:positionV>
            <wp:extent cx="68580" cy="120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-4937125</wp:posOffset>
            </wp:positionV>
            <wp:extent cx="77470"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-4937125</wp:posOffset>
            </wp:positionV>
            <wp:extent cx="68580"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-4937125</wp:posOffset>
            </wp:positionV>
            <wp:extent cx="6858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-4019550</wp:posOffset>
            </wp:positionV>
            <wp:extent cx="7747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-4019550</wp:posOffset>
            </wp:positionV>
            <wp:extent cx="6858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-4019550</wp:posOffset>
            </wp:positionV>
            <wp:extent cx="68580"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-3119755</wp:posOffset>
            </wp:positionV>
            <wp:extent cx="7747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-3119755</wp:posOffset>
            </wp:positionV>
            <wp:extent cx="6858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-3119755</wp:posOffset>
            </wp:positionV>
            <wp:extent cx="6858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-2879725</wp:posOffset>
            </wp:positionV>
            <wp:extent cx="7747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-2879725</wp:posOffset>
            </wp:positionV>
            <wp:extent cx="6858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-2879725</wp:posOffset>
            </wp:positionV>
            <wp:extent cx="6858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-2407920</wp:posOffset>
            </wp:positionV>
            <wp:extent cx="77470"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-2407920</wp:posOffset>
            </wp:positionV>
            <wp:extent cx="68580"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-2407920</wp:posOffset>
            </wp:positionV>
            <wp:extent cx="68580"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-1722120</wp:posOffset>
            </wp:positionV>
            <wp:extent cx="77470" cy="120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-1722120</wp:posOffset>
            </wp:positionV>
            <wp:extent cx="68580" cy="120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-1722120</wp:posOffset>
            </wp:positionV>
            <wp:extent cx="68580" cy="120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-1036320</wp:posOffset>
            </wp:positionV>
            <wp:extent cx="77470" cy="1200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-1036320</wp:posOffset>
            </wp:positionV>
            <wp:extent cx="68580"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-1036320</wp:posOffset>
            </wp:positionV>
            <wp:extent cx="68580" cy="120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-805180</wp:posOffset>
            </wp:positionV>
            <wp:extent cx="7747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-805180</wp:posOffset>
            </wp:positionV>
            <wp:extent cx="6858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-805180</wp:posOffset>
            </wp:positionV>
            <wp:extent cx="6858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-299085</wp:posOffset>
            </wp:positionV>
            <wp:extent cx="1800225"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00225" cy="16256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-24765</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 (unaudited).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4" w:name="page5"/>
    <w:bookmarkEnd w:id="4"/>
    <w:p>
      <w:pPr>
        <w:ind w:left="4020"/>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Net Assets (unaudited)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Pr>
          <w:p>
            <w:pPr>
              <w:spacing w:after="0"/>
              <w:rPr>
                <w:sz w:val="18"/>
                <w:szCs w:val="18"/>
                <w:color w:val="auto"/>
              </w:rPr>
            </w:pPr>
          </w:p>
        </w:tc>
        <w:tc>
          <w:tcPr>
            <w:tcW w:w="2640" w:type="dxa"/>
            <w:vAlign w:val="bottom"/>
            <w:tcBorders>
              <w:bottom w:val="single" w:sz="8" w:color="auto"/>
            </w:tcBorders>
            <w:gridSpan w:val="3"/>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460" w:type="dxa"/>
            <w:vAlign w:val="bottom"/>
          </w:tcPr>
          <w:p>
            <w:pPr>
              <w:spacing w:after="0"/>
              <w:rPr>
                <w:sz w:val="14"/>
                <w:szCs w:val="14"/>
                <w:color w:val="auto"/>
              </w:rPr>
            </w:pPr>
          </w:p>
        </w:tc>
        <w:tc>
          <w:tcPr>
            <w:tcW w:w="14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4"/>
                <w:szCs w:val="14"/>
                <w:color w:val="auto"/>
              </w:rPr>
            </w:pPr>
          </w:p>
        </w:tc>
        <w:tc>
          <w:tcPr>
            <w:tcW w:w="10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Par</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distributable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 net</w:t>
            </w:r>
          </w:p>
        </w:tc>
        <w:tc>
          <w:tcPr>
            <w:tcW w:w="0" w:type="dxa"/>
            <w:vAlign w:val="bottom"/>
          </w:tcPr>
          <w:p>
            <w:pPr>
              <w:spacing w:after="0"/>
              <w:rPr>
                <w:sz w:val="1"/>
                <w:szCs w:val="1"/>
                <w:color w:val="auto"/>
              </w:rPr>
            </w:pPr>
          </w:p>
        </w:tc>
      </w:tr>
      <w:tr>
        <w:trPr>
          <w:trHeight w:val="207"/>
        </w:trPr>
        <w:tc>
          <w:tcPr>
            <w:tcW w:w="3460" w:type="dxa"/>
            <w:vAlign w:val="bottom"/>
          </w:tcPr>
          <w:p>
            <w:pPr>
              <w:spacing w:after="0"/>
              <w:rPr>
                <w:sz w:val="18"/>
                <w:szCs w:val="18"/>
                <w:color w:val="auto"/>
              </w:rPr>
            </w:pPr>
          </w:p>
        </w:tc>
        <w:tc>
          <w:tcPr>
            <w:tcW w:w="14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8"/>
                <w:szCs w:val="18"/>
                <w:color w:val="auto"/>
              </w:rPr>
            </w:pPr>
          </w:p>
        </w:tc>
        <w:tc>
          <w:tcPr>
            <w:tcW w:w="10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76"/>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2020</w:t>
            </w:r>
          </w:p>
        </w:tc>
        <w:tc>
          <w:tcPr>
            <w:tcW w:w="14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24,437,400</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9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363,751</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46,985</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410,760</w:t>
            </w:r>
          </w:p>
        </w:tc>
        <w:tc>
          <w:tcPr>
            <w:tcW w:w="0" w:type="dxa"/>
            <w:vAlign w:val="bottom"/>
          </w:tcPr>
          <w:p>
            <w:pPr>
              <w:spacing w:after="0"/>
              <w:rPr>
                <w:sz w:val="1"/>
                <w:szCs w:val="1"/>
                <w:color w:val="auto"/>
              </w:rPr>
            </w:pPr>
          </w:p>
        </w:tc>
      </w:tr>
      <w:tr>
        <w:trPr>
          <w:trHeight w:val="17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investment income</w:t>
            </w:r>
          </w:p>
        </w:tc>
        <w:tc>
          <w:tcPr>
            <w:tcW w:w="14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11,081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11,081</w:t>
            </w:r>
          </w:p>
        </w:tc>
        <w:tc>
          <w:tcPr>
            <w:tcW w:w="0" w:type="dxa"/>
            <w:vAlign w:val="bottom"/>
          </w:tcPr>
          <w:p>
            <w:pPr>
              <w:spacing w:after="0"/>
              <w:rPr>
                <w:sz w:val="1"/>
                <w:szCs w:val="1"/>
                <w:color w:val="auto"/>
              </w:rPr>
            </w:pPr>
          </w:p>
        </w:tc>
      </w:tr>
      <w:tr>
        <w:trPr>
          <w:trHeight w:val="176"/>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realized gain (loss) on investments, net of taxes</w:t>
            </w:r>
          </w:p>
        </w:tc>
        <w:tc>
          <w:tcPr>
            <w:tcW w:w="14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3,216</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3,216</w:t>
            </w:r>
          </w:p>
        </w:tc>
        <w:tc>
          <w:tcPr>
            <w:tcW w:w="0" w:type="dxa"/>
            <w:vAlign w:val="bottom"/>
          </w:tcPr>
          <w:p>
            <w:pPr>
              <w:spacing w:after="0"/>
              <w:rPr>
                <w:sz w:val="1"/>
                <w:szCs w:val="1"/>
                <w:color w:val="auto"/>
              </w:rPr>
            </w:pPr>
          </w:p>
        </w:tc>
      </w:tr>
      <w:tr>
        <w:trPr>
          <w:trHeight w:val="139"/>
        </w:trPr>
        <w:tc>
          <w:tcPr>
            <w:tcW w:w="34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Net unrealized appreciation (depreciation) on</w:t>
            </w:r>
          </w:p>
        </w:tc>
        <w:tc>
          <w:tcPr>
            <w:tcW w:w="14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(579 )</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(579 )</w:t>
            </w:r>
          </w:p>
        </w:tc>
        <w:tc>
          <w:tcPr>
            <w:tcW w:w="0" w:type="dxa"/>
            <w:vAlign w:val="bottom"/>
          </w:tcPr>
          <w:p>
            <w:pPr>
              <w:spacing w:after="0"/>
              <w:rPr>
                <w:sz w:val="1"/>
                <w:szCs w:val="1"/>
                <w:color w:val="auto"/>
              </w:rPr>
            </w:pPr>
          </w:p>
        </w:tc>
      </w:tr>
      <w:tr>
        <w:trPr>
          <w:trHeight w:val="18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14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Realized losses on extinguishment of debt</w:t>
            </w:r>
          </w:p>
        </w:tc>
        <w:tc>
          <w:tcPr>
            <w:tcW w:w="14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(2,180 )</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(2,180 )</w:t>
            </w:r>
          </w:p>
        </w:tc>
        <w:tc>
          <w:tcPr>
            <w:tcW w:w="0" w:type="dxa"/>
            <w:vAlign w:val="bottom"/>
          </w:tcPr>
          <w:p>
            <w:pPr>
              <w:spacing w:after="0"/>
              <w:rPr>
                <w:sz w:val="1"/>
                <w:szCs w:val="1"/>
                <w:color w:val="auto"/>
              </w:rPr>
            </w:pPr>
          </w:p>
        </w:tc>
      </w:tr>
      <w:tr>
        <w:trPr>
          <w:trHeight w:val="176"/>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14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(9,286 )</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(9,286 )</w:t>
            </w:r>
          </w:p>
        </w:tc>
        <w:tc>
          <w:tcPr>
            <w:tcW w:w="0" w:type="dxa"/>
            <w:vAlign w:val="bottom"/>
          </w:tcPr>
          <w:p>
            <w:pPr>
              <w:spacing w:after="0"/>
              <w:rPr>
                <w:sz w:val="1"/>
                <w:szCs w:val="1"/>
                <w:color w:val="auto"/>
              </w:rPr>
            </w:pPr>
          </w:p>
        </w:tc>
      </w:tr>
      <w:tr>
        <w:trPr>
          <w:trHeight w:val="214"/>
        </w:trPr>
        <w:tc>
          <w:tcPr>
            <w:tcW w:w="3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March 31, 2021</w:t>
            </w:r>
          </w:p>
        </w:tc>
        <w:tc>
          <w:tcPr>
            <w:tcW w:w="14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24,437,400</w:t>
            </w:r>
          </w:p>
        </w:tc>
        <w:tc>
          <w:tcPr>
            <w:tcW w:w="14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9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363,751</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49,237</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413,012</w:t>
            </w:r>
          </w:p>
        </w:tc>
        <w:tc>
          <w:tcPr>
            <w:tcW w:w="0" w:type="dxa"/>
            <w:vAlign w:val="bottom"/>
          </w:tcPr>
          <w:p>
            <w:pPr>
              <w:spacing w:after="0"/>
              <w:rPr>
                <w:sz w:val="1"/>
                <w:szCs w:val="1"/>
                <w:color w:val="auto"/>
              </w:rPr>
            </w:pPr>
          </w:p>
        </w:tc>
      </w:tr>
      <w:tr>
        <w:trPr>
          <w:trHeight w:val="156"/>
        </w:trPr>
        <w:tc>
          <w:tcPr>
            <w:tcW w:w="3460" w:type="dxa"/>
            <w:vAlign w:val="bottom"/>
            <w:tcBorders>
              <w:top w:val="single" w:sz="8" w:color="CFF0FC"/>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Net investment income</w:t>
            </w:r>
          </w:p>
        </w:tc>
        <w:tc>
          <w:tcPr>
            <w:tcW w:w="1440" w:type="dxa"/>
            <w:vAlign w:val="bottom"/>
            <w:tcBorders>
              <w:top w:val="single" w:sz="8" w:color="auto"/>
            </w:tcBorders>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6,473</w:t>
            </w:r>
          </w:p>
        </w:tc>
        <w:tc>
          <w:tcPr>
            <w:tcW w:w="12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6,473</w:t>
            </w:r>
          </w:p>
        </w:tc>
        <w:tc>
          <w:tcPr>
            <w:tcW w:w="0" w:type="dxa"/>
            <w:vAlign w:val="bottom"/>
          </w:tcPr>
          <w:p>
            <w:pPr>
              <w:spacing w:after="0"/>
              <w:rPr>
                <w:sz w:val="1"/>
                <w:szCs w:val="1"/>
                <w:color w:val="auto"/>
              </w:rPr>
            </w:pPr>
          </w:p>
        </w:tc>
      </w:tr>
      <w:tr>
        <w:trPr>
          <w:trHeight w:val="175"/>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realized gain (loss) on investments, net of taxes</w:t>
            </w:r>
          </w:p>
        </w:tc>
        <w:tc>
          <w:tcPr>
            <w:tcW w:w="14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2,150</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2,150</w:t>
            </w:r>
          </w:p>
        </w:tc>
        <w:tc>
          <w:tcPr>
            <w:tcW w:w="0" w:type="dxa"/>
            <w:vAlign w:val="bottom"/>
          </w:tcPr>
          <w:p>
            <w:pPr>
              <w:spacing w:after="0"/>
              <w:rPr>
                <w:sz w:val="1"/>
                <w:szCs w:val="1"/>
                <w:color w:val="auto"/>
              </w:rPr>
            </w:pPr>
          </w:p>
        </w:tc>
      </w:tr>
      <w:tr>
        <w:trPr>
          <w:trHeight w:val="139"/>
        </w:trPr>
        <w:tc>
          <w:tcPr>
            <w:tcW w:w="34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Net unrealized appreciation (depreciation) on</w:t>
            </w:r>
          </w:p>
        </w:tc>
        <w:tc>
          <w:tcPr>
            <w:tcW w:w="14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17,263</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17,263</w:t>
            </w:r>
          </w:p>
        </w:tc>
        <w:tc>
          <w:tcPr>
            <w:tcW w:w="0" w:type="dxa"/>
            <w:vAlign w:val="bottom"/>
          </w:tcPr>
          <w:p>
            <w:pPr>
              <w:spacing w:after="0"/>
              <w:rPr>
                <w:sz w:val="1"/>
                <w:szCs w:val="1"/>
                <w:color w:val="auto"/>
              </w:rPr>
            </w:pPr>
          </w:p>
        </w:tc>
      </w:tr>
      <w:tr>
        <w:trPr>
          <w:trHeight w:val="18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14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Realized losses on extinguishment of debt</w:t>
            </w:r>
          </w:p>
        </w:tc>
        <w:tc>
          <w:tcPr>
            <w:tcW w:w="14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14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(9,531 )</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(9,531 )</w:t>
            </w:r>
          </w:p>
        </w:tc>
        <w:tc>
          <w:tcPr>
            <w:tcW w:w="0" w:type="dxa"/>
            <w:vAlign w:val="bottom"/>
          </w:tcPr>
          <w:p>
            <w:pPr>
              <w:spacing w:after="0"/>
              <w:rPr>
                <w:sz w:val="1"/>
                <w:szCs w:val="1"/>
                <w:color w:val="auto"/>
              </w:rPr>
            </w:pPr>
          </w:p>
        </w:tc>
      </w:tr>
      <w:tr>
        <w:trPr>
          <w:trHeight w:val="209"/>
        </w:trPr>
        <w:tc>
          <w:tcPr>
            <w:tcW w:w="3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June 30, 2021</w:t>
            </w:r>
          </w:p>
        </w:tc>
        <w:tc>
          <w:tcPr>
            <w:tcW w:w="14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24,437,400</w:t>
            </w:r>
          </w:p>
        </w:tc>
        <w:tc>
          <w:tcPr>
            <w:tcW w:w="14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9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363,751</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65,592</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429,367</w:t>
            </w:r>
          </w:p>
        </w:tc>
        <w:tc>
          <w:tcPr>
            <w:tcW w:w="0" w:type="dxa"/>
            <w:vAlign w:val="bottom"/>
          </w:tcPr>
          <w:p>
            <w:pPr>
              <w:spacing w:after="0"/>
              <w:rPr>
                <w:sz w:val="1"/>
                <w:szCs w:val="1"/>
                <w:color w:val="auto"/>
              </w:rPr>
            </w:pPr>
          </w:p>
        </w:tc>
      </w:tr>
      <w:tr>
        <w:trPr>
          <w:trHeight w:val="156"/>
        </w:trPr>
        <w:tc>
          <w:tcPr>
            <w:tcW w:w="346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Net investment income</w:t>
            </w:r>
          </w:p>
        </w:tc>
        <w:tc>
          <w:tcPr>
            <w:tcW w:w="1440" w:type="dxa"/>
            <w:vAlign w:val="bottom"/>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5,118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5,118</w:t>
            </w:r>
          </w:p>
        </w:tc>
        <w:tc>
          <w:tcPr>
            <w:tcW w:w="0" w:type="dxa"/>
            <w:vAlign w:val="bottom"/>
          </w:tcPr>
          <w:p>
            <w:pPr>
              <w:spacing w:after="0"/>
              <w:rPr>
                <w:sz w:val="1"/>
                <w:szCs w:val="1"/>
                <w:color w:val="auto"/>
              </w:rPr>
            </w:pPr>
          </w:p>
        </w:tc>
      </w:tr>
      <w:tr>
        <w:trPr>
          <w:trHeight w:val="176"/>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realized gain (loss) on investments, net of taxes</w:t>
            </w:r>
          </w:p>
        </w:tc>
        <w:tc>
          <w:tcPr>
            <w:tcW w:w="14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8,449</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8,449</w:t>
            </w:r>
          </w:p>
        </w:tc>
        <w:tc>
          <w:tcPr>
            <w:tcW w:w="0" w:type="dxa"/>
            <w:vAlign w:val="bottom"/>
          </w:tcPr>
          <w:p>
            <w:pPr>
              <w:spacing w:after="0"/>
              <w:rPr>
                <w:sz w:val="1"/>
                <w:szCs w:val="1"/>
                <w:color w:val="auto"/>
              </w:rPr>
            </w:pPr>
          </w:p>
        </w:tc>
      </w:tr>
      <w:tr>
        <w:trPr>
          <w:trHeight w:val="139"/>
        </w:trPr>
        <w:tc>
          <w:tcPr>
            <w:tcW w:w="34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Net unrealized appreciation (depreciation) on</w:t>
            </w:r>
          </w:p>
        </w:tc>
        <w:tc>
          <w:tcPr>
            <w:tcW w:w="14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15,335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15,335</w:t>
            </w:r>
          </w:p>
        </w:tc>
        <w:tc>
          <w:tcPr>
            <w:tcW w:w="0" w:type="dxa"/>
            <w:vAlign w:val="bottom"/>
          </w:tcPr>
          <w:p>
            <w:pPr>
              <w:spacing w:after="0"/>
              <w:rPr>
                <w:sz w:val="1"/>
                <w:szCs w:val="1"/>
                <w:color w:val="auto"/>
              </w:rPr>
            </w:pPr>
          </w:p>
        </w:tc>
      </w:tr>
      <w:tr>
        <w:trPr>
          <w:trHeight w:val="18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14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Realized losses on extinguishment of debt</w:t>
            </w:r>
          </w:p>
        </w:tc>
        <w:tc>
          <w:tcPr>
            <w:tcW w:w="14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(460 )</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(460 )</w:t>
            </w:r>
          </w:p>
        </w:tc>
        <w:tc>
          <w:tcPr>
            <w:tcW w:w="0" w:type="dxa"/>
            <w:vAlign w:val="bottom"/>
          </w:tcPr>
          <w:p>
            <w:pPr>
              <w:spacing w:after="0"/>
              <w:rPr>
                <w:sz w:val="1"/>
                <w:szCs w:val="1"/>
                <w:color w:val="auto"/>
              </w:rPr>
            </w:pPr>
          </w:p>
        </w:tc>
      </w:tr>
      <w:tr>
        <w:trPr>
          <w:trHeight w:val="176"/>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14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(10,264 )</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(10,264 )</w:t>
            </w:r>
          </w:p>
        </w:tc>
        <w:tc>
          <w:tcPr>
            <w:tcW w:w="0" w:type="dxa"/>
            <w:vAlign w:val="bottom"/>
          </w:tcPr>
          <w:p>
            <w:pPr>
              <w:spacing w:after="0"/>
              <w:rPr>
                <w:sz w:val="1"/>
                <w:szCs w:val="1"/>
                <w:color w:val="auto"/>
              </w:rPr>
            </w:pPr>
          </w:p>
        </w:tc>
      </w:tr>
      <w:tr>
        <w:trPr>
          <w:trHeight w:val="209"/>
        </w:trPr>
        <w:tc>
          <w:tcPr>
            <w:tcW w:w="3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September 30, 2021</w:t>
            </w:r>
          </w:p>
        </w:tc>
        <w:tc>
          <w:tcPr>
            <w:tcW w:w="14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24,437,400</w:t>
            </w:r>
          </w:p>
        </w:tc>
        <w:tc>
          <w:tcPr>
            <w:tcW w:w="14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9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363,751</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83,770</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447,545</w:t>
            </w:r>
          </w:p>
        </w:tc>
        <w:tc>
          <w:tcPr>
            <w:tcW w:w="0" w:type="dxa"/>
            <w:vAlign w:val="bottom"/>
          </w:tcPr>
          <w:p>
            <w:pPr>
              <w:spacing w:after="0"/>
              <w:rPr>
                <w:sz w:val="1"/>
                <w:szCs w:val="1"/>
                <w:color w:val="auto"/>
              </w:rPr>
            </w:pPr>
          </w:p>
        </w:tc>
      </w:tr>
      <w:tr>
        <w:trPr>
          <w:trHeight w:val="156"/>
        </w:trPr>
        <w:tc>
          <w:tcPr>
            <w:tcW w:w="346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Balances at December 31, 2021</w:t>
            </w:r>
          </w:p>
        </w:tc>
        <w:tc>
          <w:tcPr>
            <w:tcW w:w="1440" w:type="dxa"/>
            <w:vAlign w:val="bottom"/>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24,437,400</w:t>
            </w:r>
          </w:p>
        </w:tc>
        <w:tc>
          <w:tcPr>
            <w:tcW w:w="1200" w:type="dxa"/>
            <w:vAlign w:val="bottom"/>
            <w:gridSpan w:val="2"/>
          </w:tcPr>
          <w:p>
            <w:pPr>
              <w:jc w:val="right"/>
              <w:ind w:right="9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24</w:t>
            </w:r>
          </w:p>
        </w:tc>
        <w:tc>
          <w:tcPr>
            <w:tcW w:w="340" w:type="dxa"/>
            <w:vAlign w:val="bottom"/>
            <w:gridSpan w:val="2"/>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361,807</w:t>
            </w:r>
          </w:p>
        </w:tc>
        <w:tc>
          <w:tcPr>
            <w:tcW w:w="340" w:type="dxa"/>
            <w:vAlign w:val="bottom"/>
            <w:gridSpan w:val="2"/>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125,933</w:t>
            </w:r>
          </w:p>
        </w:tc>
        <w:tc>
          <w:tcPr>
            <w:tcW w:w="340" w:type="dxa"/>
            <w:vAlign w:val="bottom"/>
            <w:gridSpan w:val="2"/>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487,764</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Net investment income</w:t>
            </w:r>
          </w:p>
        </w:tc>
        <w:tc>
          <w:tcPr>
            <w:tcW w:w="1440" w:type="dxa"/>
            <w:vAlign w:val="bottom"/>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10,338</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10,338</w:t>
            </w:r>
          </w:p>
        </w:tc>
        <w:tc>
          <w:tcPr>
            <w:tcW w:w="0" w:type="dxa"/>
            <w:vAlign w:val="bottom"/>
          </w:tcPr>
          <w:p>
            <w:pPr>
              <w:spacing w:after="0"/>
              <w:rPr>
                <w:sz w:val="1"/>
                <w:szCs w:val="1"/>
                <w:color w:val="auto"/>
              </w:rPr>
            </w:pPr>
          </w:p>
        </w:tc>
      </w:tr>
      <w:tr>
        <w:trPr>
          <w:trHeight w:val="17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gain (loss) on investments, net of taxes</w:t>
            </w:r>
          </w:p>
        </w:tc>
        <w:tc>
          <w:tcPr>
            <w:tcW w:w="14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6,869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6,869</w:t>
            </w:r>
          </w:p>
        </w:tc>
        <w:tc>
          <w:tcPr>
            <w:tcW w:w="0" w:type="dxa"/>
            <w:vAlign w:val="bottom"/>
          </w:tcPr>
          <w:p>
            <w:pPr>
              <w:spacing w:after="0"/>
              <w:rPr>
                <w:sz w:val="1"/>
                <w:szCs w:val="1"/>
                <w:color w:val="auto"/>
              </w:rPr>
            </w:pPr>
          </w:p>
        </w:tc>
      </w:tr>
      <w:tr>
        <w:trPr>
          <w:trHeight w:val="139"/>
        </w:trPr>
        <w:tc>
          <w:tcPr>
            <w:tcW w:w="34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Net unrealized appreciation (depreciation) on</w:t>
            </w:r>
          </w:p>
        </w:tc>
        <w:tc>
          <w:tcPr>
            <w:tcW w:w="144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4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(5,319 )</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(5,319 )</w:t>
            </w:r>
          </w:p>
        </w:tc>
        <w:tc>
          <w:tcPr>
            <w:tcW w:w="0" w:type="dxa"/>
            <w:vAlign w:val="bottom"/>
          </w:tcPr>
          <w:p>
            <w:pPr>
              <w:spacing w:after="0"/>
              <w:rPr>
                <w:sz w:val="1"/>
                <w:szCs w:val="1"/>
                <w:color w:val="auto"/>
              </w:rPr>
            </w:pPr>
          </w:p>
        </w:tc>
      </w:tr>
      <w:tr>
        <w:trPr>
          <w:trHeight w:val="185"/>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144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46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4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8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Realized losses on extinguishment of debt</w:t>
            </w:r>
          </w:p>
        </w:tc>
        <w:tc>
          <w:tcPr>
            <w:tcW w:w="14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(198 )</w:t>
            </w:r>
          </w:p>
        </w:tc>
        <w:tc>
          <w:tcPr>
            <w:tcW w:w="0" w:type="dxa"/>
            <w:vAlign w:val="bottom"/>
          </w:tcPr>
          <w:p>
            <w:pPr>
              <w:spacing w:after="0"/>
              <w:rPr>
                <w:sz w:val="1"/>
                <w:szCs w:val="1"/>
                <w:color w:val="auto"/>
              </w:rPr>
            </w:pPr>
          </w:p>
        </w:tc>
      </w:tr>
      <w:tr>
        <w:trPr>
          <w:trHeight w:val="175"/>
        </w:trPr>
        <w:tc>
          <w:tcPr>
            <w:tcW w:w="3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14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(12,952 )</w:t>
            </w: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(12,952 )</w:t>
            </w:r>
          </w:p>
        </w:tc>
        <w:tc>
          <w:tcPr>
            <w:tcW w:w="0" w:type="dxa"/>
            <w:vAlign w:val="bottom"/>
          </w:tcPr>
          <w:p>
            <w:pPr>
              <w:spacing w:after="0"/>
              <w:rPr>
                <w:sz w:val="1"/>
                <w:szCs w:val="1"/>
                <w:color w:val="auto"/>
              </w:rPr>
            </w:pPr>
          </w:p>
        </w:tc>
      </w:tr>
      <w:tr>
        <w:trPr>
          <w:trHeight w:val="169"/>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March 31, 2022</w:t>
            </w:r>
          </w:p>
        </w:tc>
        <w:tc>
          <w:tcPr>
            <w:tcW w:w="14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24,437,400</w:t>
            </w:r>
          </w:p>
        </w:tc>
        <w:tc>
          <w:tcPr>
            <w:tcW w:w="1200" w:type="dxa"/>
            <w:vAlign w:val="bottom"/>
            <w:gridSpan w:val="2"/>
          </w:tcPr>
          <w:p>
            <w:pPr>
              <w:jc w:val="right"/>
              <w:ind w:right="9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361,807</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124,671</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486,502</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Net investment income</w:t>
            </w:r>
          </w:p>
        </w:tc>
        <w:tc>
          <w:tcPr>
            <w:tcW w:w="1440" w:type="dxa"/>
            <w:vAlign w:val="bottom"/>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11,008</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11,008</w:t>
            </w:r>
          </w:p>
        </w:tc>
        <w:tc>
          <w:tcPr>
            <w:tcW w:w="0" w:type="dxa"/>
            <w:vAlign w:val="bottom"/>
          </w:tcPr>
          <w:p>
            <w:pPr>
              <w:spacing w:after="0"/>
              <w:rPr>
                <w:sz w:val="1"/>
                <w:szCs w:val="1"/>
                <w:color w:val="auto"/>
              </w:rPr>
            </w:pPr>
          </w:p>
        </w:tc>
      </w:tr>
      <w:tr>
        <w:trPr>
          <w:trHeight w:val="17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gain (loss) on investments, net of taxes</w:t>
            </w:r>
          </w:p>
        </w:tc>
        <w:tc>
          <w:tcPr>
            <w:tcW w:w="14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18,186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18,186</w:t>
            </w:r>
          </w:p>
        </w:tc>
        <w:tc>
          <w:tcPr>
            <w:tcW w:w="0" w:type="dxa"/>
            <w:vAlign w:val="bottom"/>
          </w:tcPr>
          <w:p>
            <w:pPr>
              <w:spacing w:after="0"/>
              <w:rPr>
                <w:sz w:val="1"/>
                <w:szCs w:val="1"/>
                <w:color w:val="auto"/>
              </w:rPr>
            </w:pPr>
          </w:p>
        </w:tc>
      </w:tr>
      <w:tr>
        <w:trPr>
          <w:trHeight w:val="139"/>
        </w:trPr>
        <w:tc>
          <w:tcPr>
            <w:tcW w:w="34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Net unrealized appreciation (depreciation) on</w:t>
            </w:r>
          </w:p>
        </w:tc>
        <w:tc>
          <w:tcPr>
            <w:tcW w:w="144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4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(21,213 )</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(21,213 )</w:t>
            </w:r>
          </w:p>
        </w:tc>
        <w:tc>
          <w:tcPr>
            <w:tcW w:w="0" w:type="dxa"/>
            <w:vAlign w:val="bottom"/>
          </w:tcPr>
          <w:p>
            <w:pPr>
              <w:spacing w:after="0"/>
              <w:rPr>
                <w:sz w:val="1"/>
                <w:szCs w:val="1"/>
                <w:color w:val="auto"/>
              </w:rPr>
            </w:pPr>
          </w:p>
        </w:tc>
      </w:tr>
      <w:tr>
        <w:trPr>
          <w:trHeight w:val="185"/>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144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46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4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8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Realized losses on extinguishment of debt</w:t>
            </w:r>
          </w:p>
        </w:tc>
        <w:tc>
          <w:tcPr>
            <w:tcW w:w="14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14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(10,508 )</w:t>
            </w: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(10,508 )</w:t>
            </w:r>
          </w:p>
        </w:tc>
        <w:tc>
          <w:tcPr>
            <w:tcW w:w="0" w:type="dxa"/>
            <w:vAlign w:val="bottom"/>
          </w:tcPr>
          <w:p>
            <w:pPr>
              <w:spacing w:after="0"/>
              <w:rPr>
                <w:sz w:val="1"/>
                <w:szCs w:val="1"/>
                <w:color w:val="auto"/>
              </w:rPr>
            </w:pPr>
          </w:p>
        </w:tc>
      </w:tr>
      <w:tr>
        <w:trPr>
          <w:trHeight w:val="169"/>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June 30, 2022</w:t>
            </w:r>
          </w:p>
        </w:tc>
        <w:tc>
          <w:tcPr>
            <w:tcW w:w="14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24,437,400</w:t>
            </w:r>
          </w:p>
        </w:tc>
        <w:tc>
          <w:tcPr>
            <w:tcW w:w="1200" w:type="dxa"/>
            <w:vAlign w:val="bottom"/>
            <w:gridSpan w:val="2"/>
          </w:tcPr>
          <w:p>
            <w:pPr>
              <w:jc w:val="right"/>
              <w:ind w:right="9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361,807</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122,144</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483,975</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Net investment income</w:t>
            </w:r>
          </w:p>
        </w:tc>
        <w:tc>
          <w:tcPr>
            <w:tcW w:w="1440" w:type="dxa"/>
            <w:vAlign w:val="bottom"/>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12,719</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12,719</w:t>
            </w:r>
          </w:p>
        </w:tc>
        <w:tc>
          <w:tcPr>
            <w:tcW w:w="0" w:type="dxa"/>
            <w:vAlign w:val="bottom"/>
          </w:tcPr>
          <w:p>
            <w:pPr>
              <w:spacing w:after="0"/>
              <w:rPr>
                <w:sz w:val="1"/>
                <w:szCs w:val="1"/>
                <w:color w:val="auto"/>
              </w:rPr>
            </w:pPr>
          </w:p>
        </w:tc>
      </w:tr>
      <w:tr>
        <w:trPr>
          <w:trHeight w:val="17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gain (loss) on investments, net of taxes</w:t>
            </w:r>
          </w:p>
        </w:tc>
        <w:tc>
          <w:tcPr>
            <w:tcW w:w="14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40,044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40,044</w:t>
            </w:r>
          </w:p>
        </w:tc>
        <w:tc>
          <w:tcPr>
            <w:tcW w:w="0" w:type="dxa"/>
            <w:vAlign w:val="bottom"/>
          </w:tcPr>
          <w:p>
            <w:pPr>
              <w:spacing w:after="0"/>
              <w:rPr>
                <w:sz w:val="1"/>
                <w:szCs w:val="1"/>
                <w:color w:val="auto"/>
              </w:rPr>
            </w:pPr>
          </w:p>
        </w:tc>
      </w:tr>
      <w:tr>
        <w:trPr>
          <w:trHeight w:val="139"/>
        </w:trPr>
        <w:tc>
          <w:tcPr>
            <w:tcW w:w="34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Net unrealized appreciation (depreciation) on</w:t>
            </w:r>
          </w:p>
        </w:tc>
        <w:tc>
          <w:tcPr>
            <w:tcW w:w="144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4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(41,282 )</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(41,282 )</w:t>
            </w:r>
          </w:p>
        </w:tc>
        <w:tc>
          <w:tcPr>
            <w:tcW w:w="0" w:type="dxa"/>
            <w:vAlign w:val="bottom"/>
          </w:tcPr>
          <w:p>
            <w:pPr>
              <w:spacing w:after="0"/>
              <w:rPr>
                <w:sz w:val="1"/>
                <w:szCs w:val="1"/>
                <w:color w:val="auto"/>
              </w:rPr>
            </w:pPr>
          </w:p>
        </w:tc>
      </w:tr>
      <w:tr>
        <w:trPr>
          <w:trHeight w:val="185"/>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144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46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4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8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Realized losses on extinguishment of debt</w:t>
            </w:r>
          </w:p>
        </w:tc>
        <w:tc>
          <w:tcPr>
            <w:tcW w:w="14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0" w:type="dxa"/>
            <w:vAlign w:val="bottom"/>
          </w:tcPr>
          <w:p>
            <w:pPr>
              <w:spacing w:after="0"/>
              <w:rPr>
                <w:sz w:val="1"/>
                <w:szCs w:val="1"/>
                <w:color w:val="auto"/>
              </w:rPr>
            </w:pPr>
          </w:p>
        </w:tc>
      </w:tr>
      <w:tr>
        <w:trPr>
          <w:trHeight w:val="175"/>
        </w:trPr>
        <w:tc>
          <w:tcPr>
            <w:tcW w:w="3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14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(21,016 )</w:t>
            </w: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(21,016 )</w:t>
            </w:r>
          </w:p>
        </w:tc>
        <w:tc>
          <w:tcPr>
            <w:tcW w:w="0" w:type="dxa"/>
            <w:vAlign w:val="bottom"/>
          </w:tcPr>
          <w:p>
            <w:pPr>
              <w:spacing w:after="0"/>
              <w:rPr>
                <w:sz w:val="1"/>
                <w:szCs w:val="1"/>
                <w:color w:val="auto"/>
              </w:rPr>
            </w:pPr>
          </w:p>
        </w:tc>
      </w:tr>
      <w:tr>
        <w:trPr>
          <w:trHeight w:val="169"/>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September 30, 2022</w:t>
            </w:r>
          </w:p>
        </w:tc>
        <w:tc>
          <w:tcPr>
            <w:tcW w:w="14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24,437,400</w:t>
            </w:r>
          </w:p>
        </w:tc>
        <w:tc>
          <w:tcPr>
            <w:tcW w:w="1200" w:type="dxa"/>
            <w:vAlign w:val="bottom"/>
            <w:gridSpan w:val="2"/>
          </w:tcPr>
          <w:p>
            <w:pPr>
              <w:jc w:val="right"/>
              <w:ind w:right="9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361,807</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112,556</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474,387</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-4148455</wp:posOffset>
            </wp:positionV>
            <wp:extent cx="317182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71825" cy="13716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-3350895</wp:posOffset>
            </wp:positionV>
            <wp:extent cx="317182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71825" cy="13716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-2553970</wp:posOffset>
            </wp:positionV>
            <wp:extent cx="3171825"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71825" cy="16319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-1739265</wp:posOffset>
            </wp:positionV>
            <wp:extent cx="9398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3980" cy="14605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-1739265</wp:posOffset>
            </wp:positionV>
            <wp:extent cx="85725"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-1739265</wp:posOffset>
            </wp:positionV>
            <wp:extent cx="85725"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-1739265</wp:posOffset>
            </wp:positionV>
            <wp:extent cx="76835"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-942340</wp:posOffset>
            </wp:positionV>
            <wp:extent cx="9398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-942340</wp:posOffset>
            </wp:positionV>
            <wp:extent cx="85725"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-942340</wp:posOffset>
            </wp:positionV>
            <wp:extent cx="85725"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-942340</wp:posOffset>
            </wp:positionV>
            <wp:extent cx="76835"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-144780</wp:posOffset>
            </wp:positionV>
            <wp:extent cx="93980" cy="2571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3980" cy="25717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-144780</wp:posOffset>
            </wp:positionV>
            <wp:extent cx="85725" cy="2571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25717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-144780</wp:posOffset>
            </wp:positionV>
            <wp:extent cx="85725" cy="2571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25717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-144780</wp:posOffset>
            </wp:positionV>
            <wp:extent cx="76835" cy="2571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257175"/>
                    </a:xfrm>
                    <a:prstGeom prst="rect">
                      <a:avLst/>
                    </a:prstGeom>
                    <a:noFill/>
                  </pic:spPr>
                </pic:pic>
              </a:graphicData>
            </a:graphic>
          </wp:anchor>
        </w:drawing>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 (unaudited).</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gridSpan w:val="6"/>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84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8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8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31,099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65,866</w:t>
            </w:r>
          </w:p>
        </w:tc>
        <w:tc>
          <w:tcPr>
            <w:tcW w:w="100" w:type="dxa"/>
            <w:vAlign w:val="bottom"/>
          </w:tcPr>
          <w:p>
            <w:pPr>
              <w:spacing w:after="0"/>
              <w:rPr>
                <w:sz w:val="15"/>
                <w:szCs w:val="15"/>
                <w:color w:val="auto"/>
              </w:rPr>
            </w:pPr>
          </w:p>
        </w:tc>
      </w:tr>
      <w:tr>
        <w:trPr>
          <w:trHeight w:val="175"/>
        </w:trPr>
        <w:tc>
          <w:tcPr>
            <w:tcW w:w="8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increase (decrease) in net assets resulting from operations to net cash provided by (used for) operating activities:</w:t>
            </w: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8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change in unrealized (appreciation) depreciation on investments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(32,019 )</w:t>
            </w:r>
          </w:p>
        </w:tc>
      </w:tr>
      <w:tr>
        <w:trPr>
          <w:trHeight w:val="176"/>
        </w:trPr>
        <w:tc>
          <w:tcPr>
            <w:tcW w:w="84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1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(65,220 )</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(13,672 )</w:t>
            </w:r>
          </w:p>
        </w:tc>
      </w:tr>
      <w:tr>
        <w:trPr>
          <w:trHeight w:val="175"/>
        </w:trPr>
        <w:tc>
          <w:tcPr>
            <w:tcW w:w="8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Interest and dividend income paid-in-kind</w:t>
            </w:r>
          </w:p>
        </w:tc>
        <w:tc>
          <w:tcPr>
            <w:tcW w:w="18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(1,327 )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(3,437 )</w:t>
            </w:r>
          </w:p>
        </w:tc>
      </w:tr>
      <w:tr>
        <w:trPr>
          <w:trHeight w:val="176"/>
        </w:trPr>
        <w:tc>
          <w:tcPr>
            <w:tcW w:w="84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Accretion of original issue discount</w:t>
            </w:r>
          </w:p>
        </w:tc>
        <w:tc>
          <w:tcPr>
            <w:tcW w:w="1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(137 )</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(734 )</w:t>
            </w:r>
          </w:p>
        </w:tc>
      </w:tr>
      <w:tr>
        <w:trPr>
          <w:trHeight w:val="175"/>
        </w:trPr>
        <w:tc>
          <w:tcPr>
            <w:tcW w:w="8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Accretion of loan origination fees</w:t>
            </w:r>
          </w:p>
        </w:tc>
        <w:tc>
          <w:tcPr>
            <w:tcW w:w="18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(1,094 )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(1,832 )</w:t>
            </w:r>
          </w:p>
        </w:tc>
      </w:tr>
      <w:tr>
        <w:trPr>
          <w:trHeight w:val="176"/>
        </w:trPr>
        <w:tc>
          <w:tcPr>
            <w:tcW w:w="84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Purchase of investments</w:t>
            </w:r>
          </w:p>
        </w:tc>
        <w:tc>
          <w:tcPr>
            <w:tcW w:w="1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(267,950 )</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(245,546 )</w:t>
            </w:r>
          </w:p>
        </w:tc>
      </w:tr>
      <w:tr>
        <w:trPr>
          <w:trHeight w:val="176"/>
        </w:trPr>
        <w:tc>
          <w:tcPr>
            <w:tcW w:w="8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sales and repayments of investments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128,255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319,036</w:t>
            </w:r>
          </w:p>
        </w:tc>
        <w:tc>
          <w:tcPr>
            <w:tcW w:w="100" w:type="dxa"/>
            <w:vAlign w:val="bottom"/>
          </w:tcPr>
          <w:p>
            <w:pPr>
              <w:spacing w:after="0"/>
              <w:rPr>
                <w:sz w:val="15"/>
                <w:szCs w:val="15"/>
                <w:color w:val="auto"/>
              </w:rPr>
            </w:pPr>
          </w:p>
        </w:tc>
      </w:tr>
      <w:tr>
        <w:trPr>
          <w:trHeight w:val="175"/>
        </w:trPr>
        <w:tc>
          <w:tcPr>
            <w:tcW w:w="84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Proceeds from loan origination fees</w:t>
            </w: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1,869</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1,949</w:t>
            </w:r>
          </w:p>
        </w:tc>
        <w:tc>
          <w:tcPr>
            <w:tcW w:w="100" w:type="dxa"/>
            <w:vAlign w:val="bottom"/>
            <w:shd w:val="clear" w:color="auto" w:fill="CFF0FC"/>
          </w:tcPr>
          <w:p>
            <w:pPr>
              <w:spacing w:after="0"/>
              <w:rPr>
                <w:sz w:val="15"/>
                <w:szCs w:val="15"/>
                <w:color w:val="auto"/>
              </w:rPr>
            </w:pPr>
          </w:p>
        </w:tc>
      </w:tr>
      <w:tr>
        <w:trPr>
          <w:trHeight w:val="176"/>
        </w:trPr>
        <w:tc>
          <w:tcPr>
            <w:tcW w:w="8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Realized losses on extinguishment of debt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2,640</w:t>
            </w:r>
          </w:p>
        </w:tc>
        <w:tc>
          <w:tcPr>
            <w:tcW w:w="100" w:type="dxa"/>
            <w:vAlign w:val="bottom"/>
          </w:tcPr>
          <w:p>
            <w:pPr>
              <w:spacing w:after="0"/>
              <w:rPr>
                <w:sz w:val="15"/>
                <w:szCs w:val="15"/>
                <w:color w:val="auto"/>
              </w:rPr>
            </w:pPr>
          </w:p>
        </w:tc>
      </w:tr>
      <w:tr>
        <w:trPr>
          <w:trHeight w:val="175"/>
        </w:trPr>
        <w:tc>
          <w:tcPr>
            <w:tcW w:w="84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1,588</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1,655</w:t>
            </w:r>
          </w:p>
        </w:tc>
        <w:tc>
          <w:tcPr>
            <w:tcW w:w="100" w:type="dxa"/>
            <w:vAlign w:val="bottom"/>
            <w:shd w:val="clear" w:color="auto" w:fill="CFF0FC"/>
          </w:tcPr>
          <w:p>
            <w:pPr>
              <w:spacing w:after="0"/>
              <w:rPr>
                <w:sz w:val="15"/>
                <w:szCs w:val="15"/>
                <w:color w:val="auto"/>
              </w:rPr>
            </w:pPr>
          </w:p>
        </w:tc>
      </w:tr>
      <w:tr>
        <w:trPr>
          <w:trHeight w:val="176"/>
        </w:trPr>
        <w:tc>
          <w:tcPr>
            <w:tcW w:w="8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84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Interest receivable</w:t>
            </w:r>
          </w:p>
        </w:tc>
        <w:tc>
          <w:tcPr>
            <w:tcW w:w="1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(3,412 )</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(698 )</w:t>
            </w:r>
          </w:p>
        </w:tc>
      </w:tr>
      <w:tr>
        <w:trPr>
          <w:trHeight w:val="176"/>
        </w:trPr>
        <w:tc>
          <w:tcPr>
            <w:tcW w:w="84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8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(367 )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(504 )</w:t>
            </w:r>
          </w:p>
        </w:tc>
      </w:tr>
      <w:tr>
        <w:trPr>
          <w:trHeight w:val="176"/>
        </w:trPr>
        <w:tc>
          <w:tcPr>
            <w:tcW w:w="84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Accrued interest and fees payable</w:t>
            </w:r>
          </w:p>
        </w:tc>
        <w:tc>
          <w:tcPr>
            <w:tcW w:w="1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(1,625 )</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(1,298 )</w:t>
            </w:r>
          </w:p>
        </w:tc>
      </w:tr>
      <w:tr>
        <w:trPr>
          <w:trHeight w:val="175"/>
        </w:trPr>
        <w:tc>
          <w:tcPr>
            <w:tcW w:w="84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Base management fee payable, net of base management fee waiver – due to affiliate</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(43 )</w:t>
            </w:r>
          </w:p>
        </w:tc>
      </w:tr>
      <w:tr>
        <w:trPr>
          <w:trHeight w:val="176"/>
        </w:trPr>
        <w:tc>
          <w:tcPr>
            <w:tcW w:w="84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Income incentive fee payable – due to affiliate</w:t>
            </w: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(185 )</w:t>
            </w:r>
          </w:p>
        </w:tc>
      </w:tr>
      <w:tr>
        <w:trPr>
          <w:trHeight w:val="175"/>
        </w:trPr>
        <w:tc>
          <w:tcPr>
            <w:tcW w:w="84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Capital gains incentive fee (reversal) – due to (from) affiliate</w:t>
            </w:r>
          </w:p>
        </w:tc>
        <w:tc>
          <w:tcPr>
            <w:tcW w:w="18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(6,729 )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8,638</w:t>
            </w:r>
          </w:p>
        </w:tc>
        <w:tc>
          <w:tcPr>
            <w:tcW w:w="100" w:type="dxa"/>
            <w:vAlign w:val="bottom"/>
          </w:tcPr>
          <w:p>
            <w:pPr>
              <w:spacing w:after="0"/>
              <w:rPr>
                <w:sz w:val="15"/>
                <w:szCs w:val="15"/>
                <w:color w:val="auto"/>
              </w:rPr>
            </w:pPr>
          </w:p>
        </w:tc>
      </w:tr>
      <w:tr>
        <w:trPr>
          <w:trHeight w:val="176"/>
        </w:trPr>
        <w:tc>
          <w:tcPr>
            <w:tcW w:w="84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Administration fee payable and other – due to affiliate</w:t>
            </w:r>
          </w:p>
        </w:tc>
        <w:tc>
          <w:tcPr>
            <w:tcW w:w="1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(109 )</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76"/>
        </w:trPr>
        <w:tc>
          <w:tcPr>
            <w:tcW w:w="84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Taxes payable</w:t>
            </w:r>
          </w:p>
        </w:tc>
        <w:tc>
          <w:tcPr>
            <w:tcW w:w="18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(2,095 )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(1,158 )</w:t>
            </w:r>
          </w:p>
        </w:tc>
      </w:tr>
      <w:tr>
        <w:trPr>
          <w:trHeight w:val="175"/>
        </w:trPr>
        <w:tc>
          <w:tcPr>
            <w:tcW w:w="84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Accounts payable and other liabilities</w:t>
            </w:r>
          </w:p>
        </w:tc>
        <w:tc>
          <w:tcPr>
            <w:tcW w:w="18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842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Net cash provided by (used for) operating activities</w:t>
            </w:r>
          </w:p>
        </w:tc>
        <w:tc>
          <w:tcPr>
            <w:tcW w:w="1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(117,353 )</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98,870</w:t>
            </w:r>
          </w:p>
        </w:tc>
        <w:tc>
          <w:tcPr>
            <w:tcW w:w="100" w:type="dxa"/>
            <w:vAlign w:val="bottom"/>
          </w:tcPr>
          <w:p>
            <w:pPr>
              <w:spacing w:after="0"/>
              <w:rPr>
                <w:sz w:val="14"/>
                <w:szCs w:val="14"/>
                <w:color w:val="auto"/>
              </w:rPr>
            </w:pPr>
          </w:p>
        </w:tc>
      </w:tr>
      <w:tr>
        <w:trPr>
          <w:trHeight w:val="169"/>
        </w:trPr>
        <w:tc>
          <w:tcPr>
            <w:tcW w:w="8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8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8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received from SBA debentures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11,500</w:t>
            </w:r>
          </w:p>
        </w:tc>
        <w:tc>
          <w:tcPr>
            <w:tcW w:w="100" w:type="dxa"/>
            <w:vAlign w:val="bottom"/>
          </w:tcPr>
          <w:p>
            <w:pPr>
              <w:spacing w:after="0"/>
              <w:rPr>
                <w:sz w:val="15"/>
                <w:szCs w:val="15"/>
                <w:color w:val="auto"/>
              </w:rPr>
            </w:pPr>
          </w:p>
        </w:tc>
      </w:tr>
      <w:tr>
        <w:trPr>
          <w:trHeight w:val="176"/>
        </w:trPr>
        <w:tc>
          <w:tcPr>
            <w:tcW w:w="84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Repayments of SBA debentures</w:t>
            </w:r>
          </w:p>
        </w:tc>
        <w:tc>
          <w:tcPr>
            <w:tcW w:w="1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(30,000 )</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(63,500 )</w:t>
            </w:r>
          </w:p>
        </w:tc>
      </w:tr>
      <w:tr>
        <w:trPr>
          <w:trHeight w:val="175"/>
        </w:trPr>
        <w:tc>
          <w:tcPr>
            <w:tcW w:w="8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Principal payments on Notes</w:t>
            </w:r>
          </w:p>
        </w:tc>
        <w:tc>
          <w:tcPr>
            <w:tcW w:w="180" w:type="dxa"/>
            <w:vAlign w:val="bottom"/>
          </w:tcPr>
          <w:p>
            <w:pPr>
              <w:spacing w:after="0"/>
              <w:rPr>
                <w:sz w:val="15"/>
                <w:szCs w:val="15"/>
                <w:color w:val="auto"/>
              </w:rPr>
            </w:pP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(100,000 )</w:t>
            </w:r>
          </w:p>
        </w:tc>
      </w:tr>
      <w:tr>
        <w:trPr>
          <w:trHeight w:val="175"/>
        </w:trPr>
        <w:tc>
          <w:tcPr>
            <w:tcW w:w="84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Proceeds received from (repayments of) borrowings under Credit Facility, net</w:t>
            </w:r>
          </w:p>
        </w:tc>
        <w:tc>
          <w:tcPr>
            <w:tcW w:w="180" w:type="dxa"/>
            <w:vAlign w:val="bottom"/>
            <w:shd w:val="clear" w:color="auto" w:fill="CFF0FC"/>
          </w:tcPr>
          <w:p>
            <w:pPr>
              <w:spacing w:after="0"/>
              <w:rPr>
                <w:sz w:val="15"/>
                <w:szCs w:val="15"/>
                <w:color w:val="auto"/>
              </w:rPr>
            </w:pPr>
          </w:p>
        </w:tc>
        <w:tc>
          <w:tcPr>
            <w:tcW w:w="12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shd w:val="clear" w:color="auto" w:fill="CFF0FC"/>
          </w:tcPr>
          <w:p>
            <w:pPr>
              <w:spacing w:after="0"/>
              <w:rPr>
                <w:sz w:val="15"/>
                <w:szCs w:val="15"/>
                <w:color w:val="auto"/>
              </w:rPr>
            </w:pPr>
          </w:p>
        </w:tc>
      </w:tr>
      <w:tr>
        <w:trPr>
          <w:trHeight w:val="175"/>
        </w:trPr>
        <w:tc>
          <w:tcPr>
            <w:tcW w:w="8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received from (repayments of) Secured Borrowings, net</w:t>
            </w:r>
          </w:p>
        </w:tc>
        <w:tc>
          <w:tcPr>
            <w:tcW w:w="18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(642 )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17,746</w:t>
            </w:r>
          </w:p>
        </w:tc>
        <w:tc>
          <w:tcPr>
            <w:tcW w:w="100" w:type="dxa"/>
            <w:vAlign w:val="bottom"/>
          </w:tcPr>
          <w:p>
            <w:pPr>
              <w:spacing w:after="0"/>
              <w:rPr>
                <w:sz w:val="15"/>
                <w:szCs w:val="15"/>
                <w:color w:val="auto"/>
              </w:rPr>
            </w:pPr>
          </w:p>
        </w:tc>
      </w:tr>
      <w:tr>
        <w:trPr>
          <w:trHeight w:val="175"/>
        </w:trPr>
        <w:tc>
          <w:tcPr>
            <w:tcW w:w="84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Payment of deferred financing costs</w:t>
            </w:r>
          </w:p>
        </w:tc>
        <w:tc>
          <w:tcPr>
            <w:tcW w:w="1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(3,043 )</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(1,031 )</w:t>
            </w:r>
          </w:p>
        </w:tc>
      </w:tr>
      <w:tr>
        <w:trPr>
          <w:trHeight w:val="176"/>
        </w:trPr>
        <w:tc>
          <w:tcPr>
            <w:tcW w:w="8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Dividends paid to stockholders, including expenses</w:t>
            </w:r>
          </w:p>
        </w:tc>
        <w:tc>
          <w:tcPr>
            <w:tcW w:w="18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(33,968 )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(29,081 )</w:t>
            </w:r>
          </w:p>
        </w:tc>
      </w:tr>
      <w:tr>
        <w:trPr>
          <w:trHeight w:val="169"/>
        </w:trPr>
        <w:tc>
          <w:tcPr>
            <w:tcW w:w="842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4"/>
                <w:szCs w:val="14"/>
                <w:b w:val="1"/>
                <w:bCs w:val="1"/>
                <w:color w:val="auto"/>
              </w:rPr>
              <w:t>Net cash provided by (used for) financing activities</w:t>
            </w: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(11,653</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(124,366</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69"/>
        </w:trPr>
        <w:tc>
          <w:tcPr>
            <w:tcW w:w="842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Net increase (decrease) in cash and cash equivalents</w:t>
            </w:r>
          </w:p>
        </w:tc>
        <w:tc>
          <w:tcPr>
            <w:tcW w:w="1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(129,006 )</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(25,496 )</w:t>
            </w:r>
          </w:p>
        </w:tc>
      </w:tr>
      <w:tr>
        <w:trPr>
          <w:trHeight w:val="175"/>
        </w:trPr>
        <w:tc>
          <w:tcPr>
            <w:tcW w:w="8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8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Beginning of period</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169,417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124,308</w:t>
            </w:r>
          </w:p>
        </w:tc>
        <w:tc>
          <w:tcPr>
            <w:tcW w:w="100" w:type="dxa"/>
            <w:vAlign w:val="bottom"/>
          </w:tcPr>
          <w:p>
            <w:pPr>
              <w:spacing w:after="0"/>
              <w:rPr>
                <w:sz w:val="15"/>
                <w:szCs w:val="15"/>
                <w:color w:val="auto"/>
              </w:rPr>
            </w:pPr>
          </w:p>
        </w:tc>
      </w:tr>
      <w:tr>
        <w:trPr>
          <w:trHeight w:val="209"/>
        </w:trPr>
        <w:tc>
          <w:tcPr>
            <w:tcW w:w="84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End of period</w:t>
            </w: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40,411</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98,812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842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information and non-cash activities</w:t>
            </w: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84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Cash payments for interest</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13,774</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14,061</w:t>
            </w:r>
          </w:p>
        </w:tc>
        <w:tc>
          <w:tcPr>
            <w:tcW w:w="100" w:type="dxa"/>
            <w:vAlign w:val="bottom"/>
            <w:shd w:val="clear" w:color="auto" w:fill="CFF0FC"/>
          </w:tcPr>
          <w:p>
            <w:pPr>
              <w:spacing w:after="0"/>
              <w:rPr>
                <w:sz w:val="15"/>
                <w:szCs w:val="15"/>
                <w:color w:val="auto"/>
              </w:rPr>
            </w:pPr>
          </w:p>
        </w:tc>
      </w:tr>
      <w:tr>
        <w:trPr>
          <w:trHeight w:val="175"/>
        </w:trPr>
        <w:tc>
          <w:tcPr>
            <w:tcW w:w="8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Cash payments for taxes, net of tax refunds received</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100" w:type="dxa"/>
            <w:vAlign w:val="bottom"/>
          </w:tcPr>
          <w:p>
            <w:pPr>
              <w:spacing w:after="0"/>
              <w:rPr>
                <w:sz w:val="15"/>
                <w:szCs w:val="15"/>
                <w:color w:val="auto"/>
              </w:rPr>
            </w:pPr>
          </w:p>
        </w:tc>
      </w:tr>
      <w:tr>
        <w:trPr>
          <w:trHeight w:val="175"/>
        </w:trPr>
        <w:tc>
          <w:tcPr>
            <w:tcW w:w="84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Dividends payable</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10,508</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-2073910</wp:posOffset>
            </wp:positionV>
            <wp:extent cx="68580"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-1066165</wp:posOffset>
            </wp:positionV>
            <wp:extent cx="7145020" cy="2527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5020" cy="25273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-470535</wp:posOffset>
            </wp:positionV>
            <wp:extent cx="100330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03300" cy="137160"/>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 (unaudited).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6" w:name="page7"/>
    <w:bookmarkEnd w:id="6"/>
    <w:p>
      <w:pPr>
        <w:ind w:left="4020"/>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118"/>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b w:val="1"/>
                <w:bCs w:val="1"/>
                <w:color w:val="auto"/>
              </w:rPr>
              <w:t>Portfolio Company (a)(b)</w:t>
            </w:r>
          </w:p>
        </w:tc>
        <w:tc>
          <w:tcPr>
            <w:tcW w:w="1900" w:type="dxa"/>
            <w:vAlign w:val="bottom"/>
          </w:tcPr>
          <w:p>
            <w:pPr>
              <w:spacing w:after="0"/>
              <w:rPr>
                <w:sz w:val="10"/>
                <w:szCs w:val="10"/>
                <w:color w:val="auto"/>
              </w:rPr>
            </w:pPr>
          </w:p>
        </w:tc>
        <w:tc>
          <w:tcPr>
            <w:tcW w:w="1440" w:type="dxa"/>
            <w:vAlign w:val="bottom"/>
          </w:tcPr>
          <w:p>
            <w:pPr>
              <w:ind w:left="420"/>
              <w:spacing w:after="0"/>
              <w:rPr>
                <w:sz w:val="20"/>
                <w:szCs w:val="20"/>
                <w:color w:val="auto"/>
              </w:rPr>
            </w:pPr>
            <w:r>
              <w:rPr>
                <w:rFonts w:ascii="Times New Roman" w:cs="Times New Roman" w:eastAsia="Times New Roman" w:hAnsi="Times New Roman"/>
                <w:sz w:val="9"/>
                <w:szCs w:val="9"/>
                <w:b w:val="1"/>
                <w:bCs w:val="1"/>
                <w:color w:val="auto"/>
              </w:rPr>
              <w:t>Variable Index</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b w:val="1"/>
                <w:bCs w:val="1"/>
                <w:color w:val="auto"/>
              </w:rPr>
              <w:t>Rate (e)</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b w:val="1"/>
                <w:bCs w:val="1"/>
                <w:color w:val="auto"/>
              </w:rPr>
              <w:t>Investment</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jc w:val="right"/>
              <w:ind w:right="255"/>
              <w:spacing w:after="0"/>
              <w:rPr>
                <w:sz w:val="20"/>
                <w:szCs w:val="20"/>
                <w:color w:val="auto"/>
              </w:rPr>
            </w:pPr>
            <w:r>
              <w:rPr>
                <w:rFonts w:ascii="Times New Roman" w:cs="Times New Roman" w:eastAsia="Times New Roman" w:hAnsi="Times New Roman"/>
                <w:sz w:val="9"/>
                <w:szCs w:val="9"/>
                <w:b w:val="1"/>
                <w:bCs w:val="1"/>
                <w:color w:val="auto"/>
                <w:w w:val="95"/>
              </w:rPr>
              <w:t>Principal</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jc w:val="right"/>
              <w:ind w:right="215"/>
              <w:spacing w:after="0"/>
              <w:rPr>
                <w:sz w:val="20"/>
                <w:szCs w:val="20"/>
                <w:color w:val="auto"/>
              </w:rPr>
            </w:pPr>
            <w:r>
              <w:rPr>
                <w:rFonts w:ascii="Times New Roman" w:cs="Times New Roman" w:eastAsia="Times New Roman" w:hAnsi="Times New Roman"/>
                <w:sz w:val="9"/>
                <w:szCs w:val="9"/>
                <w:b w:val="1"/>
                <w:bCs w:val="1"/>
                <w:color w:val="auto"/>
              </w:rPr>
              <w:t>Fair</w:t>
            </w:r>
          </w:p>
        </w:tc>
        <w:tc>
          <w:tcPr>
            <w:tcW w:w="740" w:type="dxa"/>
            <w:vAlign w:val="bottom"/>
          </w:tcPr>
          <w:p>
            <w:pPr>
              <w:jc w:val="right"/>
              <w:ind w:right="195"/>
              <w:spacing w:after="0"/>
              <w:rPr>
                <w:sz w:val="20"/>
                <w:szCs w:val="20"/>
                <w:color w:val="auto"/>
              </w:rPr>
            </w:pPr>
            <w:r>
              <w:rPr>
                <w:rFonts w:ascii="Times New Roman" w:cs="Times New Roman" w:eastAsia="Times New Roman" w:hAnsi="Times New Roman"/>
                <w:sz w:val="9"/>
                <w:szCs w:val="9"/>
                <w:b w:val="1"/>
                <w:bCs w:val="1"/>
                <w:color w:val="auto"/>
              </w:rPr>
              <w:t>Percent of</w:t>
            </w:r>
          </w:p>
        </w:tc>
      </w:tr>
      <w:tr>
        <w:trPr>
          <w:trHeight w:val="122"/>
        </w:trPr>
        <w:tc>
          <w:tcPr>
            <w:tcW w:w="2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9"/>
                <w:szCs w:val="9"/>
                <w:b w:val="1"/>
                <w:bCs w:val="1"/>
                <w:color w:val="auto"/>
              </w:rPr>
              <w:t>Investment Type (c)</w:t>
            </w:r>
          </w:p>
        </w:tc>
        <w:tc>
          <w:tcPr>
            <w:tcW w:w="1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14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9"/>
                <w:szCs w:val="9"/>
                <w:b w:val="1"/>
                <w:bCs w:val="1"/>
                <w:color w:val="auto"/>
              </w:rPr>
              <w:t>Spread / Floor (d)</w:t>
            </w:r>
          </w:p>
        </w:tc>
        <w:tc>
          <w:tcPr>
            <w:tcW w:w="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9"/>
                <w:szCs w:val="9"/>
                <w:b w:val="1"/>
                <w:bCs w:val="1"/>
                <w:color w:val="auto"/>
              </w:rPr>
              <w:t>Cash/PIK</w:t>
            </w:r>
          </w:p>
        </w:tc>
        <w:tc>
          <w:tcPr>
            <w:tcW w:w="8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9"/>
                <w:szCs w:val="9"/>
                <w:b w:val="1"/>
                <w:bCs w:val="1"/>
                <w:color w:val="auto"/>
              </w:rPr>
              <w:t>Date (f)</w:t>
            </w:r>
          </w:p>
        </w:tc>
        <w:tc>
          <w:tcPr>
            <w:tcW w:w="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9"/>
                <w:szCs w:val="9"/>
                <w:b w:val="1"/>
                <w:bCs w:val="1"/>
                <w:color w:val="auto"/>
              </w:rPr>
              <w:t>Maturity</w:t>
            </w:r>
          </w:p>
        </w:tc>
        <w:tc>
          <w:tcPr>
            <w:tcW w:w="2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9"/>
                <w:szCs w:val="9"/>
                <w:b w:val="1"/>
                <w:bCs w:val="1"/>
                <w:color w:val="auto"/>
              </w:rPr>
              <w:t>Amount</w:t>
            </w: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9"/>
                <w:szCs w:val="9"/>
                <w:b w:val="1"/>
                <w:bCs w:val="1"/>
                <w:color w:val="auto"/>
              </w:rPr>
              <w:t>Cost</w:t>
            </w:r>
          </w:p>
        </w:tc>
        <w:tc>
          <w:tcPr>
            <w:tcW w:w="1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9"/>
                <w:szCs w:val="9"/>
                <w:b w:val="1"/>
                <w:bCs w:val="1"/>
                <w:color w:val="auto"/>
                <w:w w:val="96"/>
              </w:rPr>
              <w:t>Value (g)</w:t>
            </w:r>
          </w:p>
        </w:tc>
        <w:tc>
          <w:tcPr>
            <w:tcW w:w="7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9"/>
                <w:szCs w:val="9"/>
                <w:b w:val="1"/>
                <w:bCs w:val="1"/>
                <w:color w:val="auto"/>
              </w:rPr>
              <w:t>Net Assets</w:t>
            </w:r>
          </w:p>
        </w:tc>
      </w:tr>
      <w:tr>
        <w:trPr>
          <w:trHeight w:val="116"/>
        </w:trPr>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08"/>
        </w:trPr>
        <w:tc>
          <w:tcPr>
            <w:tcW w:w="920" w:type="dxa"/>
            <w:vAlign w:val="bottom"/>
            <w:tcBorders>
              <w:left w:val="single" w:sz="8" w:color="CFF0FC"/>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w w:val="97"/>
              </w:rPr>
              <w:t>Control Investments (t)</w:t>
            </w:r>
          </w:p>
        </w:tc>
        <w:tc>
          <w:tcPr>
            <w:tcW w:w="1600" w:type="dxa"/>
            <w:vAlign w:val="bottom"/>
            <w:tcBorders>
              <w:bottom w:val="single" w:sz="8" w:color="CFF0FC"/>
            </w:tcBorders>
            <w:gridSpan w:val="2"/>
            <w:shd w:val="clear" w:color="auto" w:fill="CFF0FC"/>
          </w:tcPr>
          <w:p>
            <w:pPr>
              <w:spacing w:after="0"/>
              <w:rPr>
                <w:sz w:val="9"/>
                <w:szCs w:val="9"/>
                <w:color w:val="auto"/>
              </w:rPr>
            </w:pPr>
          </w:p>
        </w:tc>
        <w:tc>
          <w:tcPr>
            <w:tcW w:w="1900" w:type="dxa"/>
            <w:vAlign w:val="bottom"/>
            <w:tcBorders>
              <w:bottom w:val="single" w:sz="8" w:color="CFF0FC"/>
            </w:tcBorders>
            <w:shd w:val="clear" w:color="auto" w:fill="CFF0FC"/>
          </w:tcPr>
          <w:p>
            <w:pPr>
              <w:spacing w:after="0"/>
              <w:rPr>
                <w:sz w:val="9"/>
                <w:szCs w:val="9"/>
                <w:color w:val="auto"/>
              </w:rPr>
            </w:pPr>
          </w:p>
        </w:tc>
        <w:tc>
          <w:tcPr>
            <w:tcW w:w="1440" w:type="dxa"/>
            <w:vAlign w:val="bottom"/>
            <w:tcBorders>
              <w:bottom w:val="single" w:sz="8" w:color="CFF0FC"/>
            </w:tcBorders>
            <w:shd w:val="clear" w:color="auto" w:fill="CFF0FC"/>
          </w:tcPr>
          <w:p>
            <w:pPr>
              <w:spacing w:after="0"/>
              <w:rPr>
                <w:sz w:val="9"/>
                <w:szCs w:val="9"/>
                <w:color w:val="auto"/>
              </w:rPr>
            </w:pPr>
          </w:p>
        </w:tc>
        <w:tc>
          <w:tcPr>
            <w:tcW w:w="940" w:type="dxa"/>
            <w:vAlign w:val="bottom"/>
            <w:tcBorders>
              <w:bottom w:val="single" w:sz="8" w:color="CFF0FC"/>
            </w:tcBorders>
            <w:shd w:val="clear" w:color="auto" w:fill="CFF0FC"/>
          </w:tcPr>
          <w:p>
            <w:pPr>
              <w:spacing w:after="0"/>
              <w:rPr>
                <w:sz w:val="9"/>
                <w:szCs w:val="9"/>
                <w:color w:val="auto"/>
              </w:rPr>
            </w:pPr>
          </w:p>
        </w:tc>
        <w:tc>
          <w:tcPr>
            <w:tcW w:w="80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66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48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40" w:type="dxa"/>
            <w:vAlign w:val="bottom"/>
            <w:tcBorders>
              <w:bottom w:val="single" w:sz="8" w:color="CFF0FC"/>
            </w:tcBorders>
            <w:shd w:val="clear" w:color="auto" w:fill="CFF0FC"/>
          </w:tcPr>
          <w:p>
            <w:pPr>
              <w:spacing w:after="0"/>
              <w:rPr>
                <w:sz w:val="9"/>
                <w:szCs w:val="9"/>
                <w:color w:val="auto"/>
              </w:rPr>
            </w:pPr>
          </w:p>
        </w:tc>
        <w:tc>
          <w:tcPr>
            <w:tcW w:w="52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CFF0FC"/>
            </w:tcBorders>
            <w:shd w:val="clear" w:color="auto" w:fill="CFF0FC"/>
          </w:tcPr>
          <w:p>
            <w:pPr>
              <w:spacing w:after="0"/>
              <w:rPr>
                <w:sz w:val="9"/>
                <w:szCs w:val="9"/>
                <w:color w:val="auto"/>
              </w:rPr>
            </w:pPr>
          </w:p>
        </w:tc>
      </w:tr>
      <w:tr>
        <w:trPr>
          <w:trHeight w:val="114"/>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Hilco Plastics Holdings, LLC (dba Hilco Technologies) (n)</w:t>
            </w:r>
          </w:p>
        </w:tc>
        <w:tc>
          <w:tcPr>
            <w:tcW w:w="19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Component Manufacturing</w:t>
            </w:r>
          </w:p>
        </w:tc>
        <w:tc>
          <w:tcPr>
            <w:tcW w:w="1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(Units N/A) (j)</w:t>
            </w:r>
          </w:p>
        </w:tc>
        <w:tc>
          <w:tcPr>
            <w:tcW w:w="1900" w:type="dxa"/>
            <w:vAlign w:val="bottom"/>
            <w:shd w:val="clear" w:color="auto" w:fill="CFF0FC"/>
          </w:tcPr>
          <w:p>
            <w:pPr>
              <w:spacing w:after="0"/>
              <w:rPr>
                <w:sz w:val="10"/>
                <w:szCs w:val="10"/>
                <w:color w:val="auto"/>
              </w:rPr>
            </w:pPr>
          </w:p>
        </w:tc>
        <w:tc>
          <w:tcPr>
            <w:tcW w:w="14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4/6/2021</w:t>
            </w: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Mesa Line Services, LLC (n)</w:t>
            </w:r>
          </w:p>
        </w:tc>
        <w:tc>
          <w:tcPr>
            <w:tcW w:w="1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Utilities: Services</w:t>
            </w:r>
          </w:p>
        </w:tc>
        <w:tc>
          <w:tcPr>
            <w:tcW w:w="14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(10 shares) (j)</w:t>
            </w:r>
          </w:p>
        </w:tc>
        <w:tc>
          <w:tcPr>
            <w:tcW w:w="1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4/22/2021</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900" w:type="dxa"/>
            <w:vAlign w:val="bottom"/>
            <w:shd w:val="clear" w:color="auto" w:fill="CFF0FC"/>
          </w:tcPr>
          <w:p>
            <w:pPr>
              <w:spacing w:after="0"/>
              <w:rPr>
                <w:sz w:val="10"/>
                <w:szCs w:val="10"/>
                <w:color w:val="auto"/>
              </w:rPr>
            </w:pPr>
          </w:p>
        </w:tc>
        <w:tc>
          <w:tcPr>
            <w:tcW w:w="14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US GreenFiber, LLC (n)</w:t>
            </w:r>
          </w:p>
        </w:tc>
        <w:tc>
          <w:tcPr>
            <w:tcW w:w="19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Building Products Manufacturing</w:t>
            </w:r>
          </w:p>
        </w:tc>
        <w:tc>
          <w:tcPr>
            <w:tcW w:w="1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(j)(y)</w:t>
            </w:r>
          </w:p>
        </w:tc>
        <w:tc>
          <w:tcPr>
            <w:tcW w:w="1900" w:type="dxa"/>
            <w:vAlign w:val="bottom"/>
            <w:shd w:val="clear" w:color="auto" w:fill="CFF0FC"/>
          </w:tcPr>
          <w:p>
            <w:pPr>
              <w:spacing w:after="0"/>
              <w:rPr>
                <w:sz w:val="10"/>
                <w:szCs w:val="10"/>
                <w:color w:val="auto"/>
              </w:rPr>
            </w:pPr>
          </w:p>
        </w:tc>
        <w:tc>
          <w:tcPr>
            <w:tcW w:w="1440" w:type="dxa"/>
            <w:vAlign w:val="bottom"/>
            <w:shd w:val="clear" w:color="auto" w:fill="CFF0FC"/>
          </w:tcPr>
          <w:p>
            <w:pPr>
              <w:spacing w:after="0"/>
              <w:rPr>
                <w:sz w:val="10"/>
                <w:szCs w:val="10"/>
                <w:color w:val="auto"/>
              </w:rPr>
            </w:pP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10.00%/3.00%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7/3/2014</w:t>
            </w:r>
          </w:p>
        </w:tc>
        <w:tc>
          <w:tcPr>
            <w:tcW w:w="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8/30/2024</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5,226</w:t>
            </w: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5,223</w:t>
            </w: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(2,522 units) (h)(j)</w:t>
            </w:r>
          </w:p>
        </w:tc>
        <w:tc>
          <w:tcPr>
            <w:tcW w:w="1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7/3/2014</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586</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(425,508 units) (j)</w:t>
            </w:r>
          </w:p>
        </w:tc>
        <w:tc>
          <w:tcPr>
            <w:tcW w:w="1900" w:type="dxa"/>
            <w:vAlign w:val="bottom"/>
            <w:shd w:val="clear" w:color="auto" w:fill="CFF0FC"/>
          </w:tcPr>
          <w:p>
            <w:pPr>
              <w:spacing w:after="0"/>
              <w:rPr>
                <w:sz w:val="10"/>
                <w:szCs w:val="10"/>
                <w:color w:val="auto"/>
              </w:rPr>
            </w:pPr>
          </w:p>
        </w:tc>
        <w:tc>
          <w:tcPr>
            <w:tcW w:w="14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8/30/2019</w:t>
            </w: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w:t>
            </w: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shd w:val="clear" w:color="auto" w:fill="CFF0FC"/>
          </w:tcPr>
          <w:p>
            <w:pPr>
              <w:spacing w:after="0"/>
              <w:rPr>
                <w:sz w:val="10"/>
                <w:szCs w:val="10"/>
                <w:color w:val="auto"/>
              </w:rPr>
            </w:pPr>
          </w:p>
        </w:tc>
      </w:tr>
      <w:tr>
        <w:trPr>
          <w:trHeight w:val="122"/>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(1,022,813 units) (h)(j)</w:t>
            </w:r>
          </w:p>
        </w:tc>
        <w:tc>
          <w:tcPr>
            <w:tcW w:w="1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7/1/2020</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1,023</w:t>
            </w:r>
          </w:p>
        </w:tc>
        <w:tc>
          <w:tcPr>
            <w:tcW w:w="1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900" w:type="dxa"/>
            <w:vAlign w:val="bottom"/>
            <w:shd w:val="clear" w:color="auto" w:fill="CFF0FC"/>
          </w:tcPr>
          <w:p>
            <w:pPr>
              <w:spacing w:after="0"/>
              <w:rPr>
                <w:sz w:val="10"/>
                <w:szCs w:val="10"/>
                <w:color w:val="auto"/>
              </w:rPr>
            </w:pPr>
          </w:p>
        </w:tc>
        <w:tc>
          <w:tcPr>
            <w:tcW w:w="14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6,833</w:t>
            </w: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740" w:type="dxa"/>
            <w:vAlign w:val="bottom"/>
          </w:tcPr>
          <w:p>
            <w:pPr>
              <w:spacing w:after="0"/>
              <w:rPr>
                <w:sz w:val="10"/>
                <w:szCs w:val="10"/>
                <w:color w:val="auto"/>
              </w:rPr>
            </w:pPr>
          </w:p>
        </w:tc>
      </w:tr>
      <w:tr>
        <w:trPr>
          <w:trHeight w:val="155"/>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rPr>
              <w:t>Total Control Investments</w:t>
            </w:r>
          </w:p>
        </w:tc>
        <w:tc>
          <w:tcPr>
            <w:tcW w:w="190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6,833</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02"/>
        </w:trPr>
        <w:tc>
          <w:tcPr>
            <w:tcW w:w="920" w:type="dxa"/>
            <w:vAlign w:val="bottom"/>
            <w:tcBorders>
              <w:top w:val="single" w:sz="8" w:color="CFF0FC"/>
            </w:tcBorders>
          </w:tcPr>
          <w:p>
            <w:pPr>
              <w:spacing w:after="0"/>
              <w:rPr>
                <w:sz w:val="8"/>
                <w:szCs w:val="8"/>
                <w:color w:val="auto"/>
              </w:rPr>
            </w:pPr>
          </w:p>
        </w:tc>
        <w:tc>
          <w:tcPr>
            <w:tcW w:w="560" w:type="dxa"/>
            <w:vAlign w:val="bottom"/>
            <w:tcBorders>
              <w:top w:val="single" w:sz="8" w:color="CFF0FC"/>
            </w:tcBorders>
          </w:tcPr>
          <w:p>
            <w:pPr>
              <w:spacing w:after="0"/>
              <w:rPr>
                <w:sz w:val="8"/>
                <w:szCs w:val="8"/>
                <w:color w:val="auto"/>
              </w:rPr>
            </w:pPr>
          </w:p>
        </w:tc>
        <w:tc>
          <w:tcPr>
            <w:tcW w:w="1040" w:type="dxa"/>
            <w:vAlign w:val="bottom"/>
            <w:tcBorders>
              <w:top w:val="single" w:sz="8" w:color="CFF0FC"/>
            </w:tcBorders>
          </w:tcPr>
          <w:p>
            <w:pPr>
              <w:spacing w:after="0"/>
              <w:rPr>
                <w:sz w:val="8"/>
                <w:szCs w:val="8"/>
                <w:color w:val="auto"/>
              </w:rPr>
            </w:pPr>
          </w:p>
        </w:tc>
        <w:tc>
          <w:tcPr>
            <w:tcW w:w="1900" w:type="dxa"/>
            <w:vAlign w:val="bottom"/>
            <w:tcBorders>
              <w:top w:val="single" w:sz="8" w:color="CFF0FC"/>
            </w:tcBorders>
          </w:tcPr>
          <w:p>
            <w:pPr>
              <w:spacing w:after="0"/>
              <w:rPr>
                <w:sz w:val="8"/>
                <w:szCs w:val="8"/>
                <w:color w:val="auto"/>
              </w:rPr>
            </w:pPr>
          </w:p>
        </w:tc>
        <w:tc>
          <w:tcPr>
            <w:tcW w:w="1440" w:type="dxa"/>
            <w:vAlign w:val="bottom"/>
            <w:tcBorders>
              <w:top w:val="single" w:sz="8" w:color="CFF0FC"/>
            </w:tcBorders>
          </w:tcPr>
          <w:p>
            <w:pPr>
              <w:spacing w:after="0"/>
              <w:rPr>
                <w:sz w:val="8"/>
                <w:szCs w:val="8"/>
                <w:color w:val="auto"/>
              </w:rPr>
            </w:pPr>
          </w:p>
        </w:tc>
        <w:tc>
          <w:tcPr>
            <w:tcW w:w="940" w:type="dxa"/>
            <w:vAlign w:val="bottom"/>
            <w:tcBorders>
              <w:top w:val="single" w:sz="8" w:color="CFF0FC"/>
            </w:tcBorders>
          </w:tcPr>
          <w:p>
            <w:pPr>
              <w:spacing w:after="0"/>
              <w:rPr>
                <w:sz w:val="8"/>
                <w:szCs w:val="8"/>
                <w:color w:val="auto"/>
              </w:rPr>
            </w:pPr>
          </w:p>
        </w:tc>
        <w:tc>
          <w:tcPr>
            <w:tcW w:w="800" w:type="dxa"/>
            <w:vAlign w:val="bottom"/>
            <w:tcBorders>
              <w:top w:val="single" w:sz="8" w:color="CFF0FC"/>
            </w:tcBorders>
          </w:tcPr>
          <w:p>
            <w:pPr>
              <w:spacing w:after="0"/>
              <w:rPr>
                <w:sz w:val="8"/>
                <w:szCs w:val="8"/>
                <w:color w:val="auto"/>
              </w:rPr>
            </w:pPr>
          </w:p>
        </w:tc>
        <w:tc>
          <w:tcPr>
            <w:tcW w:w="76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66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740" w:type="dxa"/>
            <w:vAlign w:val="bottom"/>
            <w:tcBorders>
              <w:top w:val="single" w:sz="8" w:color="CFF0FC"/>
            </w:tcBorders>
          </w:tcPr>
          <w:p>
            <w:pPr>
              <w:spacing w:after="0"/>
              <w:rPr>
                <w:sz w:val="8"/>
                <w:szCs w:val="8"/>
                <w:color w:val="auto"/>
              </w:rPr>
            </w:pPr>
          </w:p>
        </w:tc>
      </w:tr>
      <w:tr>
        <w:trPr>
          <w:trHeight w:val="108"/>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rPr>
              <w:t>Affiliate Investments (l)</w:t>
            </w:r>
          </w:p>
        </w:tc>
        <w:tc>
          <w:tcPr>
            <w:tcW w:w="1900" w:type="dxa"/>
            <w:vAlign w:val="bottom"/>
            <w:shd w:val="clear" w:color="auto" w:fill="CFF0FC"/>
          </w:tcPr>
          <w:p>
            <w:pPr>
              <w:spacing w:after="0"/>
              <w:rPr>
                <w:sz w:val="9"/>
                <w:szCs w:val="9"/>
                <w:color w:val="auto"/>
              </w:rPr>
            </w:pPr>
          </w:p>
        </w:tc>
        <w:tc>
          <w:tcPr>
            <w:tcW w:w="144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r>
      <w:tr>
        <w:trPr>
          <w:trHeight w:val="20"/>
        </w:trPr>
        <w:tc>
          <w:tcPr>
            <w:tcW w:w="920" w:type="dxa"/>
            <w:vAlign w:val="bottom"/>
            <w:tcBorders>
              <w:left w:val="single" w:sz="8" w:color="CFF0FC"/>
            </w:tcBorders>
            <w:shd w:val="clear" w:color="auto" w:fill="000000"/>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90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r>
      <w:tr>
        <w:trPr>
          <w:trHeight w:val="115"/>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Applegate Greenfiber Intermediate Inc. (fka US GreenFiber, LLC)</w:t>
            </w:r>
          </w:p>
        </w:tc>
        <w:tc>
          <w:tcPr>
            <w:tcW w:w="19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Building Products Manufacturing</w:t>
            </w:r>
          </w:p>
        </w:tc>
        <w:tc>
          <w:tcPr>
            <w:tcW w:w="1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1900" w:type="dxa"/>
            <w:vAlign w:val="bottom"/>
            <w:shd w:val="clear" w:color="auto" w:fill="CFF0FC"/>
          </w:tcPr>
          <w:p>
            <w:pPr>
              <w:spacing w:after="0"/>
              <w:rPr>
                <w:sz w:val="10"/>
                <w:szCs w:val="10"/>
                <w:color w:val="auto"/>
              </w:rPr>
            </w:pPr>
          </w:p>
        </w:tc>
        <w:tc>
          <w:tcPr>
            <w:tcW w:w="1440" w:type="dxa"/>
            <w:vAlign w:val="bottom"/>
            <w:shd w:val="clear" w:color="auto" w:fill="CFF0FC"/>
          </w:tcPr>
          <w:p>
            <w:pPr>
              <w:spacing w:after="0"/>
              <w:rPr>
                <w:sz w:val="10"/>
                <w:szCs w:val="10"/>
                <w:color w:val="auto"/>
              </w:rPr>
            </w:pP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10.00%/0.00%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12/31/2021</w:t>
            </w:r>
          </w:p>
        </w:tc>
        <w:tc>
          <w:tcPr>
            <w:tcW w:w="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12/31/2027</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9,602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9,602</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9,602</w:t>
            </w:r>
          </w:p>
        </w:tc>
        <w:tc>
          <w:tcPr>
            <w:tcW w:w="74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(5,690units) (h) (j)</w:t>
            </w:r>
          </w:p>
        </w:tc>
        <w:tc>
          <w:tcPr>
            <w:tcW w:w="1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12/31/2021</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5,690</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5,341</w:t>
            </w:r>
          </w:p>
        </w:tc>
        <w:tc>
          <w:tcPr>
            <w:tcW w:w="74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(7,113 units) (h) (j)</w:t>
            </w:r>
          </w:p>
        </w:tc>
        <w:tc>
          <w:tcPr>
            <w:tcW w:w="1900" w:type="dxa"/>
            <w:vAlign w:val="bottom"/>
            <w:shd w:val="clear" w:color="auto" w:fill="CFF0FC"/>
          </w:tcPr>
          <w:p>
            <w:pPr>
              <w:spacing w:after="0"/>
              <w:rPr>
                <w:sz w:val="10"/>
                <w:szCs w:val="10"/>
                <w:color w:val="auto"/>
              </w:rPr>
            </w:pPr>
          </w:p>
        </w:tc>
        <w:tc>
          <w:tcPr>
            <w:tcW w:w="14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12/31/2021</w:t>
            </w: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7,113</w:t>
            </w: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6,677</w:t>
            </w:r>
          </w:p>
        </w:tc>
        <w:tc>
          <w:tcPr>
            <w:tcW w:w="740" w:type="dxa"/>
            <w:vAlign w:val="bottom"/>
            <w:shd w:val="clear" w:color="auto" w:fill="CFF0FC"/>
          </w:tcPr>
          <w:p>
            <w:pPr>
              <w:spacing w:after="0"/>
              <w:rPr>
                <w:sz w:val="10"/>
                <w:szCs w:val="10"/>
                <w:color w:val="auto"/>
              </w:rPr>
            </w:pPr>
          </w:p>
        </w:tc>
      </w:tr>
      <w:tr>
        <w:trPr>
          <w:trHeight w:val="122"/>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(2,012units) (h) (j)</w:t>
            </w:r>
          </w:p>
        </w:tc>
        <w:tc>
          <w:tcPr>
            <w:tcW w:w="1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12/31/2021</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900" w:type="dxa"/>
            <w:vAlign w:val="bottom"/>
            <w:shd w:val="clear" w:color="auto" w:fill="CFF0FC"/>
          </w:tcPr>
          <w:p>
            <w:pPr>
              <w:spacing w:after="0"/>
              <w:rPr>
                <w:sz w:val="10"/>
                <w:szCs w:val="10"/>
                <w:color w:val="auto"/>
              </w:rPr>
            </w:pPr>
          </w:p>
        </w:tc>
        <w:tc>
          <w:tcPr>
            <w:tcW w:w="14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22,405</w:t>
            </w: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21,620</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FAR Research Inc. (n)</w:t>
            </w:r>
          </w:p>
        </w:tc>
        <w:tc>
          <w:tcPr>
            <w:tcW w:w="1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Specialty Chemicals</w:t>
            </w:r>
          </w:p>
        </w:tc>
        <w:tc>
          <w:tcPr>
            <w:tcW w:w="14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(1,396 units)</w:t>
            </w:r>
          </w:p>
        </w:tc>
        <w:tc>
          <w:tcPr>
            <w:tcW w:w="1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3/31/2014</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28</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900" w:type="dxa"/>
            <w:vAlign w:val="bottom"/>
            <w:shd w:val="clear" w:color="auto" w:fill="CFF0FC"/>
          </w:tcPr>
          <w:p>
            <w:pPr>
              <w:spacing w:after="0"/>
              <w:rPr>
                <w:sz w:val="10"/>
                <w:szCs w:val="10"/>
                <w:color w:val="auto"/>
              </w:rPr>
            </w:pPr>
          </w:p>
        </w:tc>
        <w:tc>
          <w:tcPr>
            <w:tcW w:w="14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Medsurant Holdings, LLC</w:t>
            </w:r>
          </w:p>
        </w:tc>
        <w:tc>
          <w:tcPr>
            <w:tcW w:w="19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Healthcare Services</w:t>
            </w:r>
          </w:p>
        </w:tc>
        <w:tc>
          <w:tcPr>
            <w:tcW w:w="1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(84,997 units) (h)(j)</w:t>
            </w:r>
          </w:p>
        </w:tc>
        <w:tc>
          <w:tcPr>
            <w:tcW w:w="1900" w:type="dxa"/>
            <w:vAlign w:val="bottom"/>
            <w:shd w:val="clear" w:color="auto" w:fill="CFF0FC"/>
          </w:tcPr>
          <w:p>
            <w:pPr>
              <w:spacing w:after="0"/>
              <w:rPr>
                <w:sz w:val="10"/>
                <w:szCs w:val="10"/>
                <w:color w:val="auto"/>
              </w:rPr>
            </w:pPr>
          </w:p>
        </w:tc>
        <w:tc>
          <w:tcPr>
            <w:tcW w:w="14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4/12/2011</w:t>
            </w: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716</w:t>
            </w: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595</w:t>
            </w:r>
          </w:p>
        </w:tc>
        <w:tc>
          <w:tcPr>
            <w:tcW w:w="740" w:type="dxa"/>
            <w:vAlign w:val="bottom"/>
            <w:shd w:val="clear" w:color="auto" w:fill="CFF0FC"/>
          </w:tcPr>
          <w:p>
            <w:pPr>
              <w:spacing w:after="0"/>
              <w:rPr>
                <w:sz w:val="10"/>
                <w:szCs w:val="10"/>
                <w:color w:val="auto"/>
              </w:rPr>
            </w:pPr>
          </w:p>
        </w:tc>
      </w:tr>
      <w:tr>
        <w:trPr>
          <w:trHeight w:val="122"/>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Warrant (252,588 units) (h)(j)(m)</w:t>
            </w:r>
          </w:p>
        </w:tc>
        <w:tc>
          <w:tcPr>
            <w:tcW w:w="1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4/12/2011</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2,258</w:t>
            </w:r>
          </w:p>
        </w:tc>
        <w:tc>
          <w:tcPr>
            <w:tcW w:w="1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1,947</w:t>
            </w:r>
          </w:p>
        </w:tc>
        <w:tc>
          <w:tcPr>
            <w:tcW w:w="74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900" w:type="dxa"/>
            <w:vAlign w:val="bottom"/>
            <w:shd w:val="clear" w:color="auto" w:fill="CFF0FC"/>
          </w:tcPr>
          <w:p>
            <w:pPr>
              <w:spacing w:after="0"/>
              <w:rPr>
                <w:sz w:val="10"/>
                <w:szCs w:val="10"/>
                <w:color w:val="auto"/>
              </w:rPr>
            </w:pPr>
          </w:p>
        </w:tc>
        <w:tc>
          <w:tcPr>
            <w:tcW w:w="14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2,974</w:t>
            </w: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2,542</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Mirage Trailers LLC (n)</w:t>
            </w:r>
          </w:p>
        </w:tc>
        <w:tc>
          <w:tcPr>
            <w:tcW w:w="19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Utility Equipment Manufacturing</w:t>
            </w:r>
          </w:p>
        </w:tc>
        <w:tc>
          <w:tcPr>
            <w:tcW w:w="1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(2,500,000 shares)</w:t>
            </w:r>
          </w:p>
        </w:tc>
        <w:tc>
          <w:tcPr>
            <w:tcW w:w="1900" w:type="dxa"/>
            <w:vAlign w:val="bottom"/>
            <w:shd w:val="clear" w:color="auto" w:fill="CFF0FC"/>
          </w:tcPr>
          <w:p>
            <w:pPr>
              <w:spacing w:after="0"/>
              <w:rPr>
                <w:sz w:val="10"/>
                <w:szCs w:val="10"/>
                <w:color w:val="auto"/>
              </w:rPr>
            </w:pPr>
          </w:p>
        </w:tc>
        <w:tc>
          <w:tcPr>
            <w:tcW w:w="14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11/25/2015</w:t>
            </w: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Pfanstiehl, Inc.</w:t>
            </w:r>
          </w:p>
        </w:tc>
        <w:tc>
          <w:tcPr>
            <w:tcW w:w="1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Healthcare Products</w:t>
            </w:r>
          </w:p>
        </w:tc>
        <w:tc>
          <w:tcPr>
            <w:tcW w:w="14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1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10.00%/0.00%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8/2/2022</w:t>
            </w:r>
          </w:p>
        </w:tc>
        <w:tc>
          <w:tcPr>
            <w:tcW w:w="7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8/2/2027</w:t>
            </w:r>
          </w:p>
        </w:tc>
        <w:tc>
          <w:tcPr>
            <w:tcW w:w="220" w:type="dxa"/>
            <w:vAlign w:val="bottom"/>
          </w:tcPr>
          <w:p>
            <w:pPr>
              <w:spacing w:after="0"/>
              <w:rPr>
                <w:sz w:val="10"/>
                <w:szCs w:val="10"/>
                <w:color w:val="auto"/>
              </w:rPr>
            </w:pPr>
          </w:p>
        </w:tc>
        <w:tc>
          <w:tcPr>
            <w:tcW w:w="66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10,000</w:t>
            </w: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9,952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9,951</w:t>
            </w:r>
          </w:p>
        </w:tc>
        <w:tc>
          <w:tcPr>
            <w:tcW w:w="740" w:type="dxa"/>
            <w:vAlign w:val="bottom"/>
          </w:tcPr>
          <w:p>
            <w:pPr>
              <w:spacing w:after="0"/>
              <w:rPr>
                <w:sz w:val="10"/>
                <w:szCs w:val="10"/>
                <w:color w:val="auto"/>
              </w:rPr>
            </w:pPr>
          </w:p>
        </w:tc>
      </w:tr>
      <w:tr>
        <w:trPr>
          <w:trHeight w:val="122"/>
        </w:trPr>
        <w:tc>
          <w:tcPr>
            <w:tcW w:w="252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(2,550 units) (j)</w:t>
            </w:r>
          </w:p>
        </w:tc>
        <w:tc>
          <w:tcPr>
            <w:tcW w:w="1900" w:type="dxa"/>
            <w:vAlign w:val="bottom"/>
            <w:tcBorders>
              <w:bottom w:val="single" w:sz="8" w:color="CFF0FC"/>
            </w:tcBorders>
            <w:shd w:val="clear" w:color="auto" w:fill="CFF0FC"/>
          </w:tcPr>
          <w:p>
            <w:pPr>
              <w:spacing w:after="0"/>
              <w:rPr>
                <w:sz w:val="10"/>
                <w:szCs w:val="10"/>
                <w:color w:val="auto"/>
              </w:rPr>
            </w:pPr>
          </w:p>
        </w:tc>
        <w:tc>
          <w:tcPr>
            <w:tcW w:w="144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3/29/2013</w:t>
            </w:r>
          </w:p>
        </w:tc>
        <w:tc>
          <w:tcPr>
            <w:tcW w:w="76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255</w:t>
            </w:r>
          </w:p>
        </w:tc>
        <w:tc>
          <w:tcPr>
            <w:tcW w:w="12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41,845</w:t>
            </w:r>
          </w:p>
        </w:tc>
        <w:tc>
          <w:tcPr>
            <w:tcW w:w="740" w:type="dxa"/>
            <w:vAlign w:val="bottom"/>
            <w:tcBorders>
              <w:bottom w:val="single" w:sz="8" w:color="CFF0FC"/>
            </w:tcBorders>
            <w:shd w:val="clear" w:color="auto" w:fill="CFF0FC"/>
          </w:tcPr>
          <w:p>
            <w:pPr>
              <w:spacing w:after="0"/>
              <w:rPr>
                <w:sz w:val="10"/>
                <w:szCs w:val="10"/>
                <w:color w:val="auto"/>
              </w:rPr>
            </w:pPr>
          </w:p>
        </w:tc>
      </w:tr>
      <w:tr>
        <w:trPr>
          <w:trHeight w:val="115"/>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10,207</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51,796</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11 %</w:t>
            </w:r>
          </w:p>
        </w:tc>
      </w:tr>
      <w:tr>
        <w:trPr>
          <w:trHeight w:val="122"/>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900" w:type="dxa"/>
            <w:vAlign w:val="bottom"/>
            <w:shd w:val="clear" w:color="auto" w:fill="CFF0FC"/>
          </w:tcPr>
          <w:p>
            <w:pPr>
              <w:spacing w:after="0"/>
              <w:rPr>
                <w:sz w:val="10"/>
                <w:szCs w:val="10"/>
                <w:color w:val="auto"/>
              </w:rPr>
            </w:pPr>
          </w:p>
        </w:tc>
        <w:tc>
          <w:tcPr>
            <w:tcW w:w="14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Spectra A&amp;D Acquisition, Inc. (fka FDS Avionics Corp.)</w:t>
            </w:r>
          </w:p>
        </w:tc>
        <w:tc>
          <w:tcPr>
            <w:tcW w:w="19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Aerospace &amp; Defense Manufacturing</w:t>
            </w:r>
          </w:p>
        </w:tc>
        <w:tc>
          <w:tcPr>
            <w:tcW w:w="1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(k)(ag)</w:t>
            </w:r>
          </w:p>
        </w:tc>
        <w:tc>
          <w:tcPr>
            <w:tcW w:w="1900" w:type="dxa"/>
            <w:vAlign w:val="bottom"/>
            <w:shd w:val="clear" w:color="auto" w:fill="CFF0FC"/>
          </w:tcPr>
          <w:p>
            <w:pPr>
              <w:spacing w:after="0"/>
              <w:rPr>
                <w:sz w:val="10"/>
                <w:szCs w:val="10"/>
                <w:color w:val="auto"/>
              </w:rPr>
            </w:pPr>
          </w:p>
        </w:tc>
        <w:tc>
          <w:tcPr>
            <w:tcW w:w="14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9"/>
                <w:szCs w:val="9"/>
                <w:color w:val="auto"/>
              </w:rPr>
              <w:t>(L + 5.50%) / (1.00%)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9.17%/0.00%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2/12/2021</w:t>
            </w:r>
          </w:p>
        </w:tc>
        <w:tc>
          <w:tcPr>
            <w:tcW w:w="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2/11/2026</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15,000</w:t>
            </w: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14,926</w:t>
            </w: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15,000</w:t>
            </w:r>
          </w:p>
        </w:tc>
        <w:tc>
          <w:tcPr>
            <w:tcW w:w="74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(41,290 units) (j)</w:t>
            </w:r>
          </w:p>
        </w:tc>
        <w:tc>
          <w:tcPr>
            <w:tcW w:w="1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2/12/2021</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2,609</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(12,035 units) (j)</w:t>
            </w:r>
          </w:p>
        </w:tc>
        <w:tc>
          <w:tcPr>
            <w:tcW w:w="1900" w:type="dxa"/>
            <w:vAlign w:val="bottom"/>
            <w:shd w:val="clear" w:color="auto" w:fill="CFF0FC"/>
          </w:tcPr>
          <w:p>
            <w:pPr>
              <w:spacing w:after="0"/>
              <w:rPr>
                <w:sz w:val="10"/>
                <w:szCs w:val="10"/>
                <w:color w:val="auto"/>
              </w:rPr>
            </w:pPr>
          </w:p>
        </w:tc>
        <w:tc>
          <w:tcPr>
            <w:tcW w:w="14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8/25/2021</w:t>
            </w: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1,204</w:t>
            </w: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456</w:t>
            </w:r>
          </w:p>
        </w:tc>
        <w:tc>
          <w:tcPr>
            <w:tcW w:w="74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(3,810 units) (j)</w:t>
            </w:r>
          </w:p>
        </w:tc>
        <w:tc>
          <w:tcPr>
            <w:tcW w:w="1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9/16/2022</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386</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365</w:t>
            </w:r>
          </w:p>
        </w:tc>
        <w:tc>
          <w:tcPr>
            <w:tcW w:w="740" w:type="dxa"/>
            <w:vAlign w:val="bottom"/>
          </w:tcPr>
          <w:p>
            <w:pPr>
              <w:spacing w:after="0"/>
              <w:rPr>
                <w:sz w:val="10"/>
                <w:szCs w:val="10"/>
                <w:color w:val="auto"/>
              </w:rPr>
            </w:pPr>
          </w:p>
        </w:tc>
      </w:tr>
      <w:tr>
        <w:trPr>
          <w:trHeight w:val="122"/>
        </w:trPr>
        <w:tc>
          <w:tcPr>
            <w:tcW w:w="252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(1,111 units) (j)</w:t>
            </w:r>
          </w:p>
        </w:tc>
        <w:tc>
          <w:tcPr>
            <w:tcW w:w="1900" w:type="dxa"/>
            <w:vAlign w:val="bottom"/>
            <w:tcBorders>
              <w:bottom w:val="single" w:sz="8" w:color="CFF0FC"/>
            </w:tcBorders>
            <w:shd w:val="clear" w:color="auto" w:fill="CFF0FC"/>
          </w:tcPr>
          <w:p>
            <w:pPr>
              <w:spacing w:after="0"/>
              <w:rPr>
                <w:sz w:val="10"/>
                <w:szCs w:val="10"/>
                <w:color w:val="auto"/>
              </w:rPr>
            </w:pPr>
          </w:p>
        </w:tc>
        <w:tc>
          <w:tcPr>
            <w:tcW w:w="144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9/16/2022</w:t>
            </w:r>
          </w:p>
        </w:tc>
        <w:tc>
          <w:tcPr>
            <w:tcW w:w="76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112</w:t>
            </w:r>
          </w:p>
        </w:tc>
        <w:tc>
          <w:tcPr>
            <w:tcW w:w="12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107</w:t>
            </w:r>
          </w:p>
        </w:tc>
        <w:tc>
          <w:tcPr>
            <w:tcW w:w="740" w:type="dxa"/>
            <w:vAlign w:val="bottom"/>
            <w:tcBorders>
              <w:bottom w:val="single" w:sz="8" w:color="CFF0FC"/>
            </w:tcBorders>
            <w:shd w:val="clear" w:color="auto" w:fill="CFF0FC"/>
          </w:tcPr>
          <w:p>
            <w:pPr>
              <w:spacing w:after="0"/>
              <w:rPr>
                <w:sz w:val="10"/>
                <w:szCs w:val="10"/>
                <w:color w:val="auto"/>
              </w:rPr>
            </w:pPr>
          </w:p>
        </w:tc>
      </w:tr>
      <w:tr>
        <w:trPr>
          <w:trHeight w:val="114"/>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19,237</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15,928</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2"/>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Steward Holding LLC (dba Steward Advanced Materials)</w:t>
            </w:r>
          </w:p>
        </w:tc>
        <w:tc>
          <w:tcPr>
            <w:tcW w:w="1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Aerospace &amp; Defense Manufacturing</w:t>
            </w:r>
          </w:p>
        </w:tc>
        <w:tc>
          <w:tcPr>
            <w:tcW w:w="14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(1,000,000 units)</w:t>
            </w:r>
          </w:p>
        </w:tc>
        <w:tc>
          <w:tcPr>
            <w:tcW w:w="1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11/12/2015</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1,000</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3,661</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920" w:type="dxa"/>
            <w:vAlign w:val="bottom"/>
            <w:tcBorders>
              <w:left w:val="single" w:sz="8" w:color="CFF0FC"/>
              <w:bottom w:val="single" w:sz="8" w:color="CFF0FC"/>
            </w:tcBorders>
            <w:shd w:val="clear" w:color="auto" w:fill="CFF0FC"/>
          </w:tcPr>
          <w:p>
            <w:pPr>
              <w:spacing w:after="0"/>
              <w:rPr>
                <w:sz w:val="10"/>
                <w:szCs w:val="10"/>
                <w:color w:val="auto"/>
              </w:rPr>
            </w:pPr>
          </w:p>
        </w:tc>
        <w:tc>
          <w:tcPr>
            <w:tcW w:w="560" w:type="dxa"/>
            <w:vAlign w:val="bottom"/>
            <w:tcBorders>
              <w:bottom w:val="single" w:sz="8" w:color="CFF0FC"/>
            </w:tcBorders>
            <w:shd w:val="clear" w:color="auto" w:fill="CFF0FC"/>
          </w:tcPr>
          <w:p>
            <w:pPr>
              <w:spacing w:after="0"/>
              <w:rPr>
                <w:sz w:val="10"/>
                <w:szCs w:val="10"/>
                <w:color w:val="auto"/>
              </w:rPr>
            </w:pPr>
          </w:p>
        </w:tc>
        <w:tc>
          <w:tcPr>
            <w:tcW w:w="1040" w:type="dxa"/>
            <w:vAlign w:val="bottom"/>
            <w:tcBorders>
              <w:bottom w:val="single" w:sz="8" w:color="CFF0FC"/>
            </w:tcBorders>
            <w:shd w:val="clear" w:color="auto" w:fill="CFF0FC"/>
          </w:tcPr>
          <w:p>
            <w:pPr>
              <w:spacing w:after="0"/>
              <w:rPr>
                <w:sz w:val="10"/>
                <w:szCs w:val="10"/>
                <w:color w:val="auto"/>
              </w:rPr>
            </w:pPr>
          </w:p>
        </w:tc>
        <w:tc>
          <w:tcPr>
            <w:tcW w:w="1900" w:type="dxa"/>
            <w:vAlign w:val="bottom"/>
            <w:tcBorders>
              <w:bottom w:val="single" w:sz="8" w:color="CFF0FC"/>
            </w:tcBorders>
            <w:shd w:val="clear" w:color="auto" w:fill="CFF0FC"/>
          </w:tcPr>
          <w:p>
            <w:pPr>
              <w:spacing w:after="0"/>
              <w:rPr>
                <w:sz w:val="10"/>
                <w:szCs w:val="10"/>
                <w:color w:val="auto"/>
              </w:rPr>
            </w:pPr>
          </w:p>
        </w:tc>
        <w:tc>
          <w:tcPr>
            <w:tcW w:w="144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r>
      <w:tr>
        <w:trPr>
          <w:trHeight w:val="115"/>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b w:val="1"/>
                <w:bCs w:val="1"/>
                <w:color w:val="auto"/>
              </w:rPr>
              <w:t>Total Affiliate Investments</w:t>
            </w:r>
          </w:p>
        </w:tc>
        <w:tc>
          <w:tcPr>
            <w:tcW w:w="19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55,823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95,575</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20 %</w:t>
            </w:r>
          </w:p>
        </w:tc>
      </w:tr>
      <w:tr>
        <w:trPr>
          <w:trHeight w:val="20"/>
        </w:trPr>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03"/>
        </w:trPr>
        <w:tc>
          <w:tcPr>
            <w:tcW w:w="920" w:type="dxa"/>
            <w:vAlign w:val="bottom"/>
            <w:tcBorders>
              <w:left w:val="single" w:sz="8" w:color="CFF0FC"/>
            </w:tcBorders>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040" w:type="dxa"/>
            <w:vAlign w:val="bottom"/>
            <w:shd w:val="clear" w:color="auto" w:fill="CFF0FC"/>
          </w:tcPr>
          <w:p>
            <w:pPr>
              <w:spacing w:after="0"/>
              <w:rPr>
                <w:sz w:val="8"/>
                <w:szCs w:val="8"/>
                <w:color w:val="auto"/>
              </w:rPr>
            </w:pPr>
          </w:p>
        </w:tc>
        <w:tc>
          <w:tcPr>
            <w:tcW w:w="1900" w:type="dxa"/>
            <w:vAlign w:val="bottom"/>
            <w:shd w:val="clear" w:color="auto" w:fill="CFF0FC"/>
          </w:tcPr>
          <w:p>
            <w:pPr>
              <w:spacing w:after="0"/>
              <w:rPr>
                <w:sz w:val="8"/>
                <w:szCs w:val="8"/>
                <w:color w:val="auto"/>
              </w:rPr>
            </w:pPr>
          </w:p>
        </w:tc>
        <w:tc>
          <w:tcPr>
            <w:tcW w:w="144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r>
      <w:tr>
        <w:trPr>
          <w:trHeight w:val="108"/>
        </w:trPr>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9"/>
                <w:szCs w:val="9"/>
                <w:b w:val="1"/>
                <w:bCs w:val="1"/>
                <w:color w:val="auto"/>
                <w:w w:val="98"/>
              </w:rPr>
              <w:t>Non-control/Non-affiliate Investments</w:t>
            </w:r>
          </w:p>
        </w:tc>
        <w:tc>
          <w:tcPr>
            <w:tcW w:w="10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15"/>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2KDirect, Inc. (dba iPromote)</w:t>
            </w:r>
          </w:p>
        </w:tc>
        <w:tc>
          <w:tcPr>
            <w:tcW w:w="1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14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First Lien Debt (k)(at)</w:t>
            </w:r>
          </w:p>
        </w:tc>
        <w:tc>
          <w:tcPr>
            <w:tcW w:w="1900" w:type="dxa"/>
            <w:vAlign w:val="bottom"/>
          </w:tcPr>
          <w:p>
            <w:pPr>
              <w:spacing w:after="0"/>
              <w:rPr>
                <w:sz w:val="10"/>
                <w:szCs w:val="10"/>
                <w:color w:val="auto"/>
              </w:rPr>
            </w:pPr>
          </w:p>
        </w:tc>
        <w:tc>
          <w:tcPr>
            <w:tcW w:w="1440" w:type="dxa"/>
            <w:vAlign w:val="bottom"/>
          </w:tcPr>
          <w:p>
            <w:pPr>
              <w:ind w:left="420"/>
              <w:spacing w:after="0"/>
              <w:rPr>
                <w:sz w:val="20"/>
                <w:szCs w:val="20"/>
                <w:color w:val="auto"/>
              </w:rPr>
            </w:pPr>
            <w:r>
              <w:rPr>
                <w:rFonts w:ascii="Times New Roman" w:cs="Times New Roman" w:eastAsia="Times New Roman" w:hAnsi="Times New Roman"/>
                <w:sz w:val="9"/>
                <w:szCs w:val="9"/>
                <w:color w:val="auto"/>
              </w:rPr>
              <w:t>(L + 6.75%) / (0.50%)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10.35%/0.00%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6/25/2021</w:t>
            </w:r>
          </w:p>
        </w:tc>
        <w:tc>
          <w:tcPr>
            <w:tcW w:w="7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6/25/2026</w:t>
            </w:r>
          </w:p>
        </w:tc>
        <w:tc>
          <w:tcPr>
            <w:tcW w:w="2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11,655</w:t>
            </w: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11,590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11,655</w:t>
            </w:r>
          </w:p>
        </w:tc>
        <w:tc>
          <w:tcPr>
            <w:tcW w:w="74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(j)(aa)</w:t>
            </w:r>
          </w:p>
        </w:tc>
        <w:tc>
          <w:tcPr>
            <w:tcW w:w="1900" w:type="dxa"/>
            <w:vAlign w:val="bottom"/>
            <w:shd w:val="clear" w:color="auto" w:fill="CFF0FC"/>
          </w:tcPr>
          <w:p>
            <w:pPr>
              <w:spacing w:after="0"/>
              <w:rPr>
                <w:sz w:val="10"/>
                <w:szCs w:val="10"/>
                <w:color w:val="auto"/>
              </w:rPr>
            </w:pPr>
          </w:p>
        </w:tc>
        <w:tc>
          <w:tcPr>
            <w:tcW w:w="14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9"/>
                <w:szCs w:val="9"/>
                <w:color w:val="auto"/>
              </w:rPr>
              <w:t>(L + 6.75%) / (0.50%)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7.10%/0.00%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7/30/2021</w:t>
            </w:r>
          </w:p>
        </w:tc>
        <w:tc>
          <w:tcPr>
            <w:tcW w:w="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6/25/2026</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3,586</w:t>
            </w: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3,586</w:t>
            </w: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3,586</w:t>
            </w:r>
          </w:p>
        </w:tc>
        <w:tc>
          <w:tcPr>
            <w:tcW w:w="740" w:type="dxa"/>
            <w:vAlign w:val="bottom"/>
            <w:shd w:val="clear" w:color="auto" w:fill="CFF0FC"/>
          </w:tcPr>
          <w:p>
            <w:pPr>
              <w:spacing w:after="0"/>
              <w:rPr>
                <w:sz w:val="10"/>
                <w:szCs w:val="10"/>
                <w:color w:val="auto"/>
              </w:rPr>
            </w:pPr>
          </w:p>
        </w:tc>
      </w:tr>
      <w:tr>
        <w:trPr>
          <w:trHeight w:val="122"/>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(1,000,000 units)</w:t>
            </w:r>
          </w:p>
        </w:tc>
        <w:tc>
          <w:tcPr>
            <w:tcW w:w="1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6/25/2021</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1,000</w:t>
            </w:r>
          </w:p>
        </w:tc>
        <w:tc>
          <w:tcPr>
            <w:tcW w:w="1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544</w:t>
            </w:r>
          </w:p>
        </w:tc>
        <w:tc>
          <w:tcPr>
            <w:tcW w:w="74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900" w:type="dxa"/>
            <w:vAlign w:val="bottom"/>
            <w:shd w:val="clear" w:color="auto" w:fill="CFF0FC"/>
          </w:tcPr>
          <w:p>
            <w:pPr>
              <w:spacing w:after="0"/>
              <w:rPr>
                <w:sz w:val="10"/>
                <w:szCs w:val="10"/>
                <w:color w:val="auto"/>
              </w:rPr>
            </w:pPr>
          </w:p>
        </w:tc>
        <w:tc>
          <w:tcPr>
            <w:tcW w:w="14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16,176</w:t>
            </w: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15,785</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1"/>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Acendre Midco, Inc.</w:t>
            </w:r>
          </w:p>
        </w:tc>
        <w:tc>
          <w:tcPr>
            <w:tcW w:w="19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1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1900" w:type="dxa"/>
            <w:vAlign w:val="bottom"/>
            <w:shd w:val="clear" w:color="auto" w:fill="CFF0FC"/>
          </w:tcPr>
          <w:p>
            <w:pPr>
              <w:spacing w:after="0"/>
              <w:rPr>
                <w:sz w:val="10"/>
                <w:szCs w:val="10"/>
                <w:color w:val="auto"/>
              </w:rPr>
            </w:pPr>
          </w:p>
        </w:tc>
        <w:tc>
          <w:tcPr>
            <w:tcW w:w="14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9"/>
                <w:szCs w:val="9"/>
                <w:color w:val="auto"/>
              </w:rPr>
              <w:t>(L + 7.75%) / (0.50%)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10.03%/0.00%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10/6/2021</w:t>
            </w:r>
          </w:p>
        </w:tc>
        <w:tc>
          <w:tcPr>
            <w:tcW w:w="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10/6/2026</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5,500</w:t>
            </w: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5,487</w:t>
            </w: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5,404</w:t>
            </w:r>
          </w:p>
        </w:tc>
        <w:tc>
          <w:tcPr>
            <w:tcW w:w="74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1900" w:type="dxa"/>
            <w:vAlign w:val="bottom"/>
          </w:tcPr>
          <w:p>
            <w:pPr>
              <w:spacing w:after="0"/>
              <w:rPr>
                <w:sz w:val="10"/>
                <w:szCs w:val="10"/>
                <w:color w:val="auto"/>
              </w:rPr>
            </w:pPr>
          </w:p>
        </w:tc>
        <w:tc>
          <w:tcPr>
            <w:tcW w:w="1440" w:type="dxa"/>
            <w:vAlign w:val="bottom"/>
          </w:tcPr>
          <w:p>
            <w:pPr>
              <w:ind w:left="420"/>
              <w:spacing w:after="0"/>
              <w:rPr>
                <w:sz w:val="20"/>
                <w:szCs w:val="20"/>
                <w:color w:val="auto"/>
              </w:rPr>
            </w:pPr>
            <w:r>
              <w:rPr>
                <w:rFonts w:ascii="Times New Roman" w:cs="Times New Roman" w:eastAsia="Times New Roman" w:hAnsi="Times New Roman"/>
                <w:sz w:val="9"/>
                <w:szCs w:val="9"/>
                <w:color w:val="auto"/>
              </w:rPr>
              <w:t>(L + 7.75%) / (0.50%)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10.03%/0.00%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10/6/2021</w:t>
            </w:r>
          </w:p>
        </w:tc>
        <w:tc>
          <w:tcPr>
            <w:tcW w:w="7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10/6/2026</w:t>
            </w:r>
          </w:p>
        </w:tc>
        <w:tc>
          <w:tcPr>
            <w:tcW w:w="220" w:type="dxa"/>
            <w:vAlign w:val="bottom"/>
          </w:tcPr>
          <w:p>
            <w:pPr>
              <w:spacing w:after="0"/>
              <w:rPr>
                <w:sz w:val="10"/>
                <w:szCs w:val="10"/>
                <w:color w:val="auto"/>
              </w:rPr>
            </w:pPr>
          </w:p>
        </w:tc>
        <w:tc>
          <w:tcPr>
            <w:tcW w:w="66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12,500</w:t>
            </w:r>
          </w:p>
        </w:tc>
        <w:tc>
          <w:tcPr>
            <w:tcW w:w="100" w:type="dxa"/>
            <w:vAlign w:val="bottom"/>
          </w:tcPr>
          <w:p>
            <w:pPr>
              <w:spacing w:after="0"/>
              <w:rPr>
                <w:sz w:val="10"/>
                <w:szCs w:val="10"/>
                <w:color w:val="auto"/>
              </w:rPr>
            </w:pPr>
          </w:p>
        </w:tc>
        <w:tc>
          <w:tcPr>
            <w:tcW w:w="4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12,446</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12,243</w:t>
            </w:r>
          </w:p>
        </w:tc>
        <w:tc>
          <w:tcPr>
            <w:tcW w:w="74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Revolving Loan ($1,000 unfunded commitment) (j)(i)</w:t>
            </w:r>
          </w:p>
        </w:tc>
        <w:tc>
          <w:tcPr>
            <w:tcW w:w="1900" w:type="dxa"/>
            <w:vAlign w:val="bottom"/>
            <w:shd w:val="clear" w:color="auto" w:fill="CFF0FC"/>
          </w:tcPr>
          <w:p>
            <w:pPr>
              <w:spacing w:after="0"/>
              <w:rPr>
                <w:sz w:val="10"/>
                <w:szCs w:val="10"/>
                <w:color w:val="auto"/>
              </w:rPr>
            </w:pPr>
          </w:p>
        </w:tc>
        <w:tc>
          <w:tcPr>
            <w:tcW w:w="14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9"/>
                <w:szCs w:val="9"/>
                <w:color w:val="auto"/>
              </w:rPr>
              <w:t>(L + 7.50%) / (0.50%)</w:t>
            </w: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10/6/2021</w:t>
            </w: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(500,000 shares) (j)</w:t>
            </w:r>
          </w:p>
        </w:tc>
        <w:tc>
          <w:tcPr>
            <w:tcW w:w="1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10/6/2021</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371</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407</w:t>
            </w:r>
          </w:p>
        </w:tc>
        <w:tc>
          <w:tcPr>
            <w:tcW w:w="74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Warrant (150,000 shares) (j)(m)</w:t>
            </w:r>
          </w:p>
        </w:tc>
        <w:tc>
          <w:tcPr>
            <w:tcW w:w="1900" w:type="dxa"/>
            <w:vAlign w:val="bottom"/>
            <w:shd w:val="clear" w:color="auto" w:fill="CFF0FC"/>
          </w:tcPr>
          <w:p>
            <w:pPr>
              <w:spacing w:after="0"/>
              <w:rPr>
                <w:sz w:val="10"/>
                <w:szCs w:val="10"/>
                <w:color w:val="auto"/>
              </w:rPr>
            </w:pPr>
          </w:p>
        </w:tc>
        <w:tc>
          <w:tcPr>
            <w:tcW w:w="14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10/6/2021</w:t>
            </w: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129</w:t>
            </w: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122</w:t>
            </w:r>
          </w:p>
        </w:tc>
        <w:tc>
          <w:tcPr>
            <w:tcW w:w="740" w:type="dxa"/>
            <w:vAlign w:val="bottom"/>
            <w:shd w:val="clear" w:color="auto" w:fill="CFF0FC"/>
          </w:tcPr>
          <w:p>
            <w:pPr>
              <w:spacing w:after="0"/>
              <w:rPr>
                <w:sz w:val="10"/>
                <w:szCs w:val="10"/>
                <w:color w:val="auto"/>
              </w:rPr>
            </w:pPr>
          </w:p>
        </w:tc>
      </w:tr>
      <w:tr>
        <w:trPr>
          <w:trHeight w:val="122"/>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Preferred Equity (77,016 shares) (j)</w:t>
            </w:r>
          </w:p>
        </w:tc>
        <w:tc>
          <w:tcPr>
            <w:tcW w:w="1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9/26/2022</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88</w:t>
            </w:r>
          </w:p>
        </w:tc>
        <w:tc>
          <w:tcPr>
            <w:tcW w:w="1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143</w:t>
            </w:r>
          </w:p>
        </w:tc>
        <w:tc>
          <w:tcPr>
            <w:tcW w:w="74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900" w:type="dxa"/>
            <w:vAlign w:val="bottom"/>
            <w:shd w:val="clear" w:color="auto" w:fill="CFF0FC"/>
          </w:tcPr>
          <w:p>
            <w:pPr>
              <w:spacing w:after="0"/>
              <w:rPr>
                <w:sz w:val="10"/>
                <w:szCs w:val="10"/>
                <w:color w:val="auto"/>
              </w:rPr>
            </w:pPr>
          </w:p>
        </w:tc>
        <w:tc>
          <w:tcPr>
            <w:tcW w:w="14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18,521</w:t>
            </w: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18,319</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1"/>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Aeronix Inc.</w:t>
            </w:r>
          </w:p>
        </w:tc>
        <w:tc>
          <w:tcPr>
            <w:tcW w:w="19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Aerospace &amp; Defense Manufacturing</w:t>
            </w:r>
          </w:p>
        </w:tc>
        <w:tc>
          <w:tcPr>
            <w:tcW w:w="1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(ai)</w:t>
            </w:r>
          </w:p>
        </w:tc>
        <w:tc>
          <w:tcPr>
            <w:tcW w:w="1900" w:type="dxa"/>
            <w:vAlign w:val="bottom"/>
            <w:shd w:val="clear" w:color="auto" w:fill="CFF0FC"/>
          </w:tcPr>
          <w:p>
            <w:pPr>
              <w:spacing w:after="0"/>
              <w:rPr>
                <w:sz w:val="10"/>
                <w:szCs w:val="10"/>
                <w:color w:val="auto"/>
              </w:rPr>
            </w:pPr>
          </w:p>
        </w:tc>
        <w:tc>
          <w:tcPr>
            <w:tcW w:w="14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9"/>
                <w:szCs w:val="9"/>
                <w:color w:val="auto"/>
              </w:rPr>
              <w:t>(L + 5.88%) / (0.50%)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9.55%/0.00%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6/11/2021</w:t>
            </w:r>
          </w:p>
        </w:tc>
        <w:tc>
          <w:tcPr>
            <w:tcW w:w="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6/11/2026</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14,250</w:t>
            </w: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14,179</w:t>
            </w: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14,250</w:t>
            </w:r>
          </w:p>
        </w:tc>
        <w:tc>
          <w:tcPr>
            <w:tcW w:w="740" w:type="dxa"/>
            <w:vAlign w:val="bottom"/>
            <w:shd w:val="clear" w:color="auto" w:fill="CFF0FC"/>
          </w:tcPr>
          <w:p>
            <w:pPr>
              <w:spacing w:after="0"/>
              <w:rPr>
                <w:sz w:val="10"/>
                <w:szCs w:val="10"/>
                <w:color w:val="auto"/>
              </w:rPr>
            </w:pPr>
          </w:p>
        </w:tc>
      </w:tr>
      <w:tr>
        <w:trPr>
          <w:trHeight w:val="122"/>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(549 units)</w:t>
            </w:r>
          </w:p>
        </w:tc>
        <w:tc>
          <w:tcPr>
            <w:tcW w:w="1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6/11/2021</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593</w:t>
            </w:r>
          </w:p>
        </w:tc>
        <w:tc>
          <w:tcPr>
            <w:tcW w:w="1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504</w:t>
            </w:r>
          </w:p>
        </w:tc>
        <w:tc>
          <w:tcPr>
            <w:tcW w:w="74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900" w:type="dxa"/>
            <w:vAlign w:val="bottom"/>
            <w:shd w:val="clear" w:color="auto" w:fill="CFF0FC"/>
          </w:tcPr>
          <w:p>
            <w:pPr>
              <w:spacing w:after="0"/>
              <w:rPr>
                <w:sz w:val="10"/>
                <w:szCs w:val="10"/>
                <w:color w:val="auto"/>
              </w:rPr>
            </w:pPr>
          </w:p>
        </w:tc>
        <w:tc>
          <w:tcPr>
            <w:tcW w:w="14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14,772</w:t>
            </w: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14,754</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1"/>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Allredi, LLC (fka Marco Group International OpCo, LLC)</w:t>
            </w:r>
          </w:p>
        </w:tc>
        <w:tc>
          <w:tcPr>
            <w:tcW w:w="19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Industrial Cleaning &amp; Coatings</w:t>
            </w:r>
          </w:p>
        </w:tc>
        <w:tc>
          <w:tcPr>
            <w:tcW w:w="1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w:t>
            </w:r>
          </w:p>
        </w:tc>
        <w:tc>
          <w:tcPr>
            <w:tcW w:w="1900" w:type="dxa"/>
            <w:vAlign w:val="bottom"/>
            <w:shd w:val="clear" w:color="auto" w:fill="CFF0FC"/>
          </w:tcPr>
          <w:p>
            <w:pPr>
              <w:spacing w:after="0"/>
              <w:rPr>
                <w:sz w:val="10"/>
                <w:szCs w:val="10"/>
                <w:color w:val="auto"/>
              </w:rPr>
            </w:pPr>
          </w:p>
        </w:tc>
        <w:tc>
          <w:tcPr>
            <w:tcW w:w="1440" w:type="dxa"/>
            <w:vAlign w:val="bottom"/>
            <w:shd w:val="clear" w:color="auto" w:fill="CFF0FC"/>
          </w:tcPr>
          <w:p>
            <w:pPr>
              <w:spacing w:after="0"/>
              <w:rPr>
                <w:sz w:val="10"/>
                <w:szCs w:val="10"/>
                <w:color w:val="auto"/>
              </w:rPr>
            </w:pP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10.50%/1.75%</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3/2/2020</w:t>
            </w:r>
          </w:p>
        </w:tc>
        <w:tc>
          <w:tcPr>
            <w:tcW w:w="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9/2/2026</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10,384</w:t>
            </w: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10,324</w:t>
            </w: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7,972</w:t>
            </w:r>
          </w:p>
        </w:tc>
        <w:tc>
          <w:tcPr>
            <w:tcW w:w="74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(570,636 units) (h)(j)</w:t>
            </w:r>
          </w:p>
        </w:tc>
        <w:tc>
          <w:tcPr>
            <w:tcW w:w="1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7/21/2017</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637</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tcPr>
          <w:p>
            <w:pPr>
              <w:spacing w:after="0"/>
              <w:rPr>
                <w:sz w:val="10"/>
                <w:szCs w:val="10"/>
                <w:color w:val="auto"/>
              </w:rPr>
            </w:pPr>
          </w:p>
        </w:tc>
      </w:tr>
      <w:tr>
        <w:trPr>
          <w:trHeight w:val="122"/>
        </w:trPr>
        <w:tc>
          <w:tcPr>
            <w:tcW w:w="252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(39,443 units) (h)(j)</w:t>
            </w:r>
          </w:p>
        </w:tc>
        <w:tc>
          <w:tcPr>
            <w:tcW w:w="1900" w:type="dxa"/>
            <w:vAlign w:val="bottom"/>
            <w:tcBorders>
              <w:bottom w:val="single" w:sz="8" w:color="CFF0FC"/>
            </w:tcBorders>
            <w:shd w:val="clear" w:color="auto" w:fill="CFF0FC"/>
          </w:tcPr>
          <w:p>
            <w:pPr>
              <w:spacing w:after="0"/>
              <w:rPr>
                <w:sz w:val="10"/>
                <w:szCs w:val="10"/>
                <w:color w:val="auto"/>
              </w:rPr>
            </w:pPr>
          </w:p>
        </w:tc>
        <w:tc>
          <w:tcPr>
            <w:tcW w:w="144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11/24/2021</w:t>
            </w:r>
          </w:p>
        </w:tc>
        <w:tc>
          <w:tcPr>
            <w:tcW w:w="76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22</w:t>
            </w:r>
          </w:p>
        </w:tc>
        <w:tc>
          <w:tcPr>
            <w:tcW w:w="12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37</w:t>
            </w:r>
          </w:p>
        </w:tc>
        <w:tc>
          <w:tcPr>
            <w:tcW w:w="740" w:type="dxa"/>
            <w:vAlign w:val="bottom"/>
            <w:tcBorders>
              <w:bottom w:val="single" w:sz="8" w:color="CFF0FC"/>
            </w:tcBorders>
            <w:shd w:val="clear" w:color="auto" w:fill="CFF0FC"/>
          </w:tcPr>
          <w:p>
            <w:pPr>
              <w:spacing w:after="0"/>
              <w:rPr>
                <w:sz w:val="10"/>
                <w:szCs w:val="10"/>
                <w:color w:val="auto"/>
              </w:rPr>
            </w:pPr>
          </w:p>
        </w:tc>
      </w:tr>
      <w:tr>
        <w:trPr>
          <w:trHeight w:val="115"/>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10,983</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8,009</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American AllWaste LLC (dba WasteWater Transport Services)</w:t>
            </w:r>
          </w:p>
        </w:tc>
        <w:tc>
          <w:tcPr>
            <w:tcW w:w="1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Environmental Industries</w:t>
            </w:r>
          </w:p>
        </w:tc>
        <w:tc>
          <w:tcPr>
            <w:tcW w:w="14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First Lien Debt (j)(p)</w:t>
            </w:r>
          </w:p>
        </w:tc>
        <w:tc>
          <w:tcPr>
            <w:tcW w:w="1900" w:type="dxa"/>
            <w:vAlign w:val="bottom"/>
          </w:tcPr>
          <w:p>
            <w:pPr>
              <w:spacing w:after="0"/>
              <w:rPr>
                <w:sz w:val="10"/>
                <w:szCs w:val="10"/>
                <w:color w:val="auto"/>
              </w:rPr>
            </w:pPr>
          </w:p>
        </w:tc>
        <w:tc>
          <w:tcPr>
            <w:tcW w:w="1440" w:type="dxa"/>
            <w:vAlign w:val="bottom"/>
          </w:tcPr>
          <w:p>
            <w:pPr>
              <w:ind w:left="420"/>
              <w:spacing w:after="0"/>
              <w:rPr>
                <w:sz w:val="20"/>
                <w:szCs w:val="20"/>
                <w:color w:val="auto"/>
              </w:rPr>
            </w:pPr>
            <w:r>
              <w:rPr>
                <w:rFonts w:ascii="Times New Roman" w:cs="Times New Roman" w:eastAsia="Times New Roman" w:hAnsi="Times New Roman"/>
                <w:sz w:val="9"/>
                <w:szCs w:val="9"/>
                <w:color w:val="auto"/>
              </w:rPr>
              <w:t>(L + 6.15%) / (1.00%)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8.40%/0.00%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6/28/2021</w:t>
            </w:r>
          </w:p>
        </w:tc>
        <w:tc>
          <w:tcPr>
            <w:tcW w:w="7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6/28/2026</w:t>
            </w:r>
          </w:p>
        </w:tc>
        <w:tc>
          <w:tcPr>
            <w:tcW w:w="220" w:type="dxa"/>
            <w:vAlign w:val="bottom"/>
          </w:tcPr>
          <w:p>
            <w:pPr>
              <w:spacing w:after="0"/>
              <w:rPr>
                <w:sz w:val="10"/>
                <w:szCs w:val="10"/>
                <w:color w:val="auto"/>
              </w:rPr>
            </w:pPr>
          </w:p>
        </w:tc>
        <w:tc>
          <w:tcPr>
            <w:tcW w:w="66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20,500</w:t>
            </w:r>
          </w:p>
        </w:tc>
        <w:tc>
          <w:tcPr>
            <w:tcW w:w="100" w:type="dxa"/>
            <w:vAlign w:val="bottom"/>
          </w:tcPr>
          <w:p>
            <w:pPr>
              <w:spacing w:after="0"/>
              <w:rPr>
                <w:sz w:val="10"/>
                <w:szCs w:val="10"/>
                <w:color w:val="auto"/>
              </w:rPr>
            </w:pPr>
          </w:p>
        </w:tc>
        <w:tc>
          <w:tcPr>
            <w:tcW w:w="4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20,318</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20,500</w:t>
            </w:r>
          </w:p>
        </w:tc>
        <w:tc>
          <w:tcPr>
            <w:tcW w:w="74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(j)(o)</w:t>
            </w:r>
          </w:p>
        </w:tc>
        <w:tc>
          <w:tcPr>
            <w:tcW w:w="1900" w:type="dxa"/>
            <w:vAlign w:val="bottom"/>
            <w:shd w:val="clear" w:color="auto" w:fill="CFF0FC"/>
          </w:tcPr>
          <w:p>
            <w:pPr>
              <w:spacing w:after="0"/>
              <w:rPr>
                <w:sz w:val="10"/>
                <w:szCs w:val="10"/>
                <w:color w:val="auto"/>
              </w:rPr>
            </w:pPr>
          </w:p>
        </w:tc>
        <w:tc>
          <w:tcPr>
            <w:tcW w:w="14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9"/>
                <w:szCs w:val="9"/>
                <w:color w:val="auto"/>
              </w:rPr>
              <w:t>(L + 3.75%) / (1.00%)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6.00%/0.00%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6/28/2021</w:t>
            </w:r>
          </w:p>
        </w:tc>
        <w:tc>
          <w:tcPr>
            <w:tcW w:w="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6/28/2026</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330</w:t>
            </w: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330</w:t>
            </w: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330</w:t>
            </w:r>
          </w:p>
        </w:tc>
        <w:tc>
          <w:tcPr>
            <w:tcW w:w="74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Preferred Equity (500 units) (h)(j)</w:t>
            </w:r>
          </w:p>
        </w:tc>
        <w:tc>
          <w:tcPr>
            <w:tcW w:w="1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5/31/2018</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500</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393</w:t>
            </w:r>
          </w:p>
        </w:tc>
        <w:tc>
          <w:tcPr>
            <w:tcW w:w="74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(207 units) (h)(j)</w:t>
            </w:r>
          </w:p>
        </w:tc>
        <w:tc>
          <w:tcPr>
            <w:tcW w:w="1900" w:type="dxa"/>
            <w:vAlign w:val="bottom"/>
            <w:shd w:val="clear" w:color="auto" w:fill="CFF0FC"/>
          </w:tcPr>
          <w:p>
            <w:pPr>
              <w:spacing w:after="0"/>
              <w:rPr>
                <w:sz w:val="10"/>
                <w:szCs w:val="10"/>
                <w:color w:val="auto"/>
              </w:rPr>
            </w:pPr>
          </w:p>
        </w:tc>
        <w:tc>
          <w:tcPr>
            <w:tcW w:w="14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8/6/2019</w:t>
            </w: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250</w:t>
            </w: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168</w:t>
            </w:r>
          </w:p>
        </w:tc>
        <w:tc>
          <w:tcPr>
            <w:tcW w:w="74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Preferred Equity (141 units) (h)(j)</w:t>
            </w:r>
          </w:p>
        </w:tc>
        <w:tc>
          <w:tcPr>
            <w:tcW w:w="1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11/2/2020</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171</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115</w:t>
            </w:r>
          </w:p>
        </w:tc>
        <w:tc>
          <w:tcPr>
            <w:tcW w:w="740" w:type="dxa"/>
            <w:vAlign w:val="bottom"/>
          </w:tcPr>
          <w:p>
            <w:pPr>
              <w:spacing w:after="0"/>
              <w:rPr>
                <w:sz w:val="10"/>
                <w:szCs w:val="10"/>
                <w:color w:val="auto"/>
              </w:rPr>
            </w:pPr>
          </w:p>
        </w:tc>
      </w:tr>
      <w:tr>
        <w:trPr>
          <w:trHeight w:val="122"/>
        </w:trPr>
        <w:tc>
          <w:tcPr>
            <w:tcW w:w="252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(74 units) (h)(j)</w:t>
            </w:r>
          </w:p>
        </w:tc>
        <w:tc>
          <w:tcPr>
            <w:tcW w:w="1900" w:type="dxa"/>
            <w:vAlign w:val="bottom"/>
            <w:tcBorders>
              <w:bottom w:val="single" w:sz="8" w:color="CFF0FC"/>
            </w:tcBorders>
            <w:shd w:val="clear" w:color="auto" w:fill="CFF0FC"/>
          </w:tcPr>
          <w:p>
            <w:pPr>
              <w:spacing w:after="0"/>
              <w:rPr>
                <w:sz w:val="10"/>
                <w:szCs w:val="10"/>
                <w:color w:val="auto"/>
              </w:rPr>
            </w:pPr>
          </w:p>
        </w:tc>
        <w:tc>
          <w:tcPr>
            <w:tcW w:w="144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12/29/2021</w:t>
            </w:r>
          </w:p>
        </w:tc>
        <w:tc>
          <w:tcPr>
            <w:tcW w:w="76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97</w:t>
            </w:r>
          </w:p>
        </w:tc>
        <w:tc>
          <w:tcPr>
            <w:tcW w:w="12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65</w:t>
            </w:r>
          </w:p>
        </w:tc>
        <w:tc>
          <w:tcPr>
            <w:tcW w:w="740" w:type="dxa"/>
            <w:vAlign w:val="bottom"/>
            <w:tcBorders>
              <w:bottom w:val="single" w:sz="8" w:color="CFF0FC"/>
            </w:tcBorders>
            <w:shd w:val="clear" w:color="auto" w:fill="CFF0FC"/>
          </w:tcPr>
          <w:p>
            <w:pPr>
              <w:spacing w:after="0"/>
              <w:rPr>
                <w:sz w:val="10"/>
                <w:szCs w:val="10"/>
                <w:color w:val="auto"/>
              </w:rPr>
            </w:pPr>
          </w:p>
        </w:tc>
      </w:tr>
      <w:tr>
        <w:trPr>
          <w:trHeight w:val="115"/>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21,666</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21,571</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5 %</w:t>
            </w:r>
          </w:p>
        </w:tc>
      </w:tr>
      <w:tr>
        <w:trPr>
          <w:trHeight w:val="122"/>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AmeriWater, LLC</w:t>
            </w:r>
          </w:p>
        </w:tc>
        <w:tc>
          <w:tcPr>
            <w:tcW w:w="1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Component Manufacturing</w:t>
            </w:r>
          </w:p>
        </w:tc>
        <w:tc>
          <w:tcPr>
            <w:tcW w:w="14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First Lien Debt (af)</w:t>
            </w:r>
          </w:p>
        </w:tc>
        <w:tc>
          <w:tcPr>
            <w:tcW w:w="1900" w:type="dxa"/>
            <w:vAlign w:val="bottom"/>
          </w:tcPr>
          <w:p>
            <w:pPr>
              <w:spacing w:after="0"/>
              <w:rPr>
                <w:sz w:val="10"/>
                <w:szCs w:val="10"/>
                <w:color w:val="auto"/>
              </w:rPr>
            </w:pPr>
          </w:p>
        </w:tc>
        <w:tc>
          <w:tcPr>
            <w:tcW w:w="1440" w:type="dxa"/>
            <w:vAlign w:val="bottom"/>
          </w:tcPr>
          <w:p>
            <w:pPr>
              <w:ind w:left="420"/>
              <w:spacing w:after="0"/>
              <w:rPr>
                <w:sz w:val="20"/>
                <w:szCs w:val="20"/>
                <w:color w:val="auto"/>
              </w:rPr>
            </w:pPr>
            <w:r>
              <w:rPr>
                <w:rFonts w:ascii="Times New Roman" w:cs="Times New Roman" w:eastAsia="Times New Roman" w:hAnsi="Times New Roman"/>
                <w:sz w:val="9"/>
                <w:szCs w:val="9"/>
                <w:color w:val="auto"/>
              </w:rPr>
              <w:t>(S + 6.25%) / (1.00%)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8.42%/0.00%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7/8/2022</w:t>
            </w:r>
          </w:p>
        </w:tc>
        <w:tc>
          <w:tcPr>
            <w:tcW w:w="7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7/8/2027</w:t>
            </w:r>
          </w:p>
        </w:tc>
        <w:tc>
          <w:tcPr>
            <w:tcW w:w="220" w:type="dxa"/>
            <w:vAlign w:val="bottom"/>
          </w:tcPr>
          <w:p>
            <w:pPr>
              <w:spacing w:after="0"/>
              <w:rPr>
                <w:sz w:val="10"/>
                <w:szCs w:val="10"/>
                <w:color w:val="auto"/>
              </w:rPr>
            </w:pPr>
          </w:p>
        </w:tc>
        <w:tc>
          <w:tcPr>
            <w:tcW w:w="66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7,750</w:t>
            </w:r>
          </w:p>
        </w:tc>
        <w:tc>
          <w:tcPr>
            <w:tcW w:w="100" w:type="dxa"/>
            <w:vAlign w:val="bottom"/>
          </w:tcPr>
          <w:p>
            <w:pPr>
              <w:spacing w:after="0"/>
              <w:rPr>
                <w:sz w:val="10"/>
                <w:szCs w:val="10"/>
                <w:color w:val="auto"/>
              </w:rPr>
            </w:pPr>
          </w:p>
        </w:tc>
        <w:tc>
          <w:tcPr>
            <w:tcW w:w="4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7,705</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7,704</w:t>
            </w:r>
          </w:p>
        </w:tc>
        <w:tc>
          <w:tcPr>
            <w:tcW w:w="74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1900" w:type="dxa"/>
            <w:vAlign w:val="bottom"/>
            <w:shd w:val="clear" w:color="auto" w:fill="CFF0FC"/>
          </w:tcPr>
          <w:p>
            <w:pPr>
              <w:spacing w:after="0"/>
              <w:rPr>
                <w:sz w:val="10"/>
                <w:szCs w:val="10"/>
                <w:color w:val="auto"/>
              </w:rPr>
            </w:pPr>
          </w:p>
        </w:tc>
        <w:tc>
          <w:tcPr>
            <w:tcW w:w="1440" w:type="dxa"/>
            <w:vAlign w:val="bottom"/>
            <w:shd w:val="clear" w:color="auto" w:fill="CFF0FC"/>
          </w:tcPr>
          <w:p>
            <w:pPr>
              <w:spacing w:after="0"/>
              <w:rPr>
                <w:sz w:val="10"/>
                <w:szCs w:val="10"/>
                <w:color w:val="auto"/>
              </w:rPr>
            </w:pP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7.00%/7.00%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7/8/2022</w:t>
            </w:r>
          </w:p>
        </w:tc>
        <w:tc>
          <w:tcPr>
            <w:tcW w:w="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1/8/2028</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2,033</w:t>
            </w: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2,023</w:t>
            </w: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2,023</w:t>
            </w:r>
          </w:p>
        </w:tc>
        <w:tc>
          <w:tcPr>
            <w:tcW w:w="740" w:type="dxa"/>
            <w:vAlign w:val="bottom"/>
            <w:shd w:val="clear" w:color="auto" w:fill="CFF0FC"/>
          </w:tcPr>
          <w:p>
            <w:pPr>
              <w:spacing w:after="0"/>
              <w:rPr>
                <w:sz w:val="10"/>
                <w:szCs w:val="10"/>
                <w:color w:val="auto"/>
              </w:rPr>
            </w:pPr>
          </w:p>
        </w:tc>
      </w:tr>
      <w:tr>
        <w:trPr>
          <w:trHeight w:val="122"/>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(1,000 units) (h)(j)</w:t>
            </w:r>
          </w:p>
        </w:tc>
        <w:tc>
          <w:tcPr>
            <w:tcW w:w="1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7/8/2022</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1,000</w:t>
            </w:r>
          </w:p>
        </w:tc>
        <w:tc>
          <w:tcPr>
            <w:tcW w:w="1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1,000</w:t>
            </w:r>
          </w:p>
        </w:tc>
        <w:tc>
          <w:tcPr>
            <w:tcW w:w="74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900" w:type="dxa"/>
            <w:vAlign w:val="bottom"/>
            <w:shd w:val="clear" w:color="auto" w:fill="CFF0FC"/>
          </w:tcPr>
          <w:p>
            <w:pPr>
              <w:spacing w:after="0"/>
              <w:rPr>
                <w:sz w:val="10"/>
                <w:szCs w:val="10"/>
                <w:color w:val="auto"/>
              </w:rPr>
            </w:pPr>
          </w:p>
        </w:tc>
        <w:tc>
          <w:tcPr>
            <w:tcW w:w="14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10,728</w:t>
            </w: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10,727</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AOM Intermediate Holdco, LLC (dba AllOver Media)</w:t>
            </w:r>
          </w:p>
        </w:tc>
        <w:tc>
          <w:tcPr>
            <w:tcW w:w="19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1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(aq)</w:t>
            </w:r>
          </w:p>
        </w:tc>
        <w:tc>
          <w:tcPr>
            <w:tcW w:w="1900" w:type="dxa"/>
            <w:vAlign w:val="bottom"/>
            <w:shd w:val="clear" w:color="auto" w:fill="CFF0FC"/>
          </w:tcPr>
          <w:p>
            <w:pPr>
              <w:spacing w:after="0"/>
              <w:rPr>
                <w:sz w:val="10"/>
                <w:szCs w:val="10"/>
                <w:color w:val="auto"/>
              </w:rPr>
            </w:pPr>
          </w:p>
        </w:tc>
        <w:tc>
          <w:tcPr>
            <w:tcW w:w="14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9"/>
                <w:szCs w:val="9"/>
                <w:color w:val="auto"/>
              </w:rPr>
              <w:t>(S + 6.50%) / (0.75%)</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8.83%/0.00%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2/1/2022</w:t>
            </w:r>
          </w:p>
        </w:tc>
        <w:tc>
          <w:tcPr>
            <w:tcW w:w="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2/1/2027</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10,000</w:t>
            </w: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9,935</w:t>
            </w: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10,000</w:t>
            </w:r>
          </w:p>
        </w:tc>
        <w:tc>
          <w:tcPr>
            <w:tcW w:w="74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(750 units) (h)(j)</w:t>
            </w:r>
          </w:p>
        </w:tc>
        <w:tc>
          <w:tcPr>
            <w:tcW w:w="1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2/1/2022</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750</w:t>
            </w:r>
          </w:p>
        </w:tc>
        <w:tc>
          <w:tcPr>
            <w:tcW w:w="1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799</w:t>
            </w:r>
          </w:p>
        </w:tc>
        <w:tc>
          <w:tcPr>
            <w:tcW w:w="74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900" w:type="dxa"/>
            <w:vAlign w:val="bottom"/>
            <w:shd w:val="clear" w:color="auto" w:fill="CFF0FC"/>
          </w:tcPr>
          <w:p>
            <w:pPr>
              <w:spacing w:after="0"/>
              <w:rPr>
                <w:sz w:val="10"/>
                <w:szCs w:val="10"/>
                <w:color w:val="auto"/>
              </w:rPr>
            </w:pPr>
          </w:p>
        </w:tc>
        <w:tc>
          <w:tcPr>
            <w:tcW w:w="14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10,685</w:t>
            </w: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10,799</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Applied Data Corporation</w:t>
            </w:r>
          </w:p>
        </w:tc>
        <w:tc>
          <w:tcPr>
            <w:tcW w:w="19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1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(k)(v)</w:t>
            </w:r>
          </w:p>
        </w:tc>
        <w:tc>
          <w:tcPr>
            <w:tcW w:w="1900" w:type="dxa"/>
            <w:vAlign w:val="bottom"/>
            <w:shd w:val="clear" w:color="auto" w:fill="CFF0FC"/>
          </w:tcPr>
          <w:p>
            <w:pPr>
              <w:spacing w:after="0"/>
              <w:rPr>
                <w:sz w:val="10"/>
                <w:szCs w:val="10"/>
                <w:color w:val="auto"/>
              </w:rPr>
            </w:pPr>
          </w:p>
        </w:tc>
        <w:tc>
          <w:tcPr>
            <w:tcW w:w="14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9"/>
                <w:szCs w:val="9"/>
                <w:color w:val="auto"/>
              </w:rPr>
              <w:t>(S + 6.25%) / (1.50%)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9.96%/0.00%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11/6/2020</w:t>
            </w:r>
          </w:p>
        </w:tc>
        <w:tc>
          <w:tcPr>
            <w:tcW w:w="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11/6/2025</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19,005</w:t>
            </w: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18,908</w:t>
            </w: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19,005</w:t>
            </w:r>
          </w:p>
        </w:tc>
        <w:tc>
          <w:tcPr>
            <w:tcW w:w="74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(24 units)</w:t>
            </w:r>
          </w:p>
        </w:tc>
        <w:tc>
          <w:tcPr>
            <w:tcW w:w="1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11/6/2020</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66</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458</w:t>
            </w:r>
          </w:p>
        </w:tc>
        <w:tc>
          <w:tcPr>
            <w:tcW w:w="740" w:type="dxa"/>
            <w:vAlign w:val="bottom"/>
          </w:tcPr>
          <w:p>
            <w:pPr>
              <w:spacing w:after="0"/>
              <w:rPr>
                <w:sz w:val="10"/>
                <w:szCs w:val="10"/>
                <w:color w:val="auto"/>
              </w:rPr>
            </w:pPr>
          </w:p>
        </w:tc>
      </w:tr>
      <w:tr>
        <w:trPr>
          <w:trHeight w:val="122"/>
        </w:trPr>
        <w:tc>
          <w:tcPr>
            <w:tcW w:w="252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(1,184,711 units)</w:t>
            </w:r>
          </w:p>
        </w:tc>
        <w:tc>
          <w:tcPr>
            <w:tcW w:w="1900" w:type="dxa"/>
            <w:vAlign w:val="bottom"/>
            <w:tcBorders>
              <w:bottom w:val="single" w:sz="8" w:color="CFF0FC"/>
            </w:tcBorders>
            <w:shd w:val="clear" w:color="auto" w:fill="CFF0FC"/>
          </w:tcPr>
          <w:p>
            <w:pPr>
              <w:spacing w:after="0"/>
              <w:rPr>
                <w:sz w:val="10"/>
                <w:szCs w:val="10"/>
                <w:color w:val="auto"/>
              </w:rPr>
            </w:pPr>
          </w:p>
        </w:tc>
        <w:tc>
          <w:tcPr>
            <w:tcW w:w="144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11/6/2020</w:t>
            </w:r>
          </w:p>
        </w:tc>
        <w:tc>
          <w:tcPr>
            <w:tcW w:w="76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1,185</w:t>
            </w:r>
          </w:p>
        </w:tc>
        <w:tc>
          <w:tcPr>
            <w:tcW w:w="12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1,340</w:t>
            </w:r>
          </w:p>
        </w:tc>
        <w:tc>
          <w:tcPr>
            <w:tcW w:w="740" w:type="dxa"/>
            <w:vAlign w:val="bottom"/>
            <w:tcBorders>
              <w:bottom w:val="single" w:sz="8" w:color="CFF0FC"/>
            </w:tcBorders>
            <w:shd w:val="clear" w:color="auto" w:fill="CFF0FC"/>
          </w:tcPr>
          <w:p>
            <w:pPr>
              <w:spacing w:after="0"/>
              <w:rPr>
                <w:sz w:val="10"/>
                <w:szCs w:val="10"/>
                <w:color w:val="auto"/>
              </w:rPr>
            </w:pPr>
          </w:p>
        </w:tc>
      </w:tr>
      <w:tr>
        <w:trPr>
          <w:trHeight w:val="114"/>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20,159</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20,803</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5 %</w:t>
            </w:r>
          </w:p>
        </w:tc>
      </w:tr>
      <w:tr>
        <w:trPr>
          <w:trHeight w:val="122"/>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Auto CRM LLC (dba Dealer Holdings)</w:t>
            </w:r>
          </w:p>
        </w:tc>
        <w:tc>
          <w:tcPr>
            <w:tcW w:w="1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14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First Lien Debt (au)</w:t>
            </w:r>
          </w:p>
        </w:tc>
        <w:tc>
          <w:tcPr>
            <w:tcW w:w="1900" w:type="dxa"/>
            <w:vAlign w:val="bottom"/>
          </w:tcPr>
          <w:p>
            <w:pPr>
              <w:spacing w:after="0"/>
              <w:rPr>
                <w:sz w:val="10"/>
                <w:szCs w:val="10"/>
                <w:color w:val="auto"/>
              </w:rPr>
            </w:pPr>
          </w:p>
        </w:tc>
        <w:tc>
          <w:tcPr>
            <w:tcW w:w="1440" w:type="dxa"/>
            <w:vAlign w:val="bottom"/>
          </w:tcPr>
          <w:p>
            <w:pPr>
              <w:ind w:left="420"/>
              <w:spacing w:after="0"/>
              <w:rPr>
                <w:sz w:val="20"/>
                <w:szCs w:val="20"/>
                <w:color w:val="auto"/>
              </w:rPr>
            </w:pPr>
            <w:r>
              <w:rPr>
                <w:rFonts w:ascii="Times New Roman" w:cs="Times New Roman" w:eastAsia="Times New Roman" w:hAnsi="Times New Roman"/>
                <w:sz w:val="9"/>
                <w:szCs w:val="9"/>
                <w:color w:val="auto"/>
              </w:rPr>
              <w:t>(P + 5.50%) / (3.25%)</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11.75%/0.85%</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10/1/2021</w:t>
            </w:r>
          </w:p>
        </w:tc>
        <w:tc>
          <w:tcPr>
            <w:tcW w:w="7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10/1/2026</w:t>
            </w:r>
          </w:p>
        </w:tc>
        <w:tc>
          <w:tcPr>
            <w:tcW w:w="220" w:type="dxa"/>
            <w:vAlign w:val="bottom"/>
          </w:tcPr>
          <w:p>
            <w:pPr>
              <w:spacing w:after="0"/>
              <w:rPr>
                <w:sz w:val="10"/>
                <w:szCs w:val="10"/>
                <w:color w:val="auto"/>
              </w:rPr>
            </w:pPr>
          </w:p>
        </w:tc>
        <w:tc>
          <w:tcPr>
            <w:tcW w:w="66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7,565</w:t>
            </w:r>
          </w:p>
        </w:tc>
        <w:tc>
          <w:tcPr>
            <w:tcW w:w="100" w:type="dxa"/>
            <w:vAlign w:val="bottom"/>
          </w:tcPr>
          <w:p>
            <w:pPr>
              <w:spacing w:after="0"/>
              <w:rPr>
                <w:sz w:val="10"/>
                <w:szCs w:val="10"/>
                <w:color w:val="auto"/>
              </w:rPr>
            </w:pPr>
          </w:p>
        </w:tc>
        <w:tc>
          <w:tcPr>
            <w:tcW w:w="4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7,505</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7,565</w:t>
            </w:r>
          </w:p>
        </w:tc>
        <w:tc>
          <w:tcPr>
            <w:tcW w:w="74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Subordinated Debt</w:t>
            </w:r>
          </w:p>
        </w:tc>
        <w:tc>
          <w:tcPr>
            <w:tcW w:w="1900" w:type="dxa"/>
            <w:vAlign w:val="bottom"/>
            <w:shd w:val="clear" w:color="auto" w:fill="CFF0FC"/>
          </w:tcPr>
          <w:p>
            <w:pPr>
              <w:spacing w:after="0"/>
              <w:rPr>
                <w:sz w:val="10"/>
                <w:szCs w:val="10"/>
                <w:color w:val="auto"/>
              </w:rPr>
            </w:pPr>
          </w:p>
        </w:tc>
        <w:tc>
          <w:tcPr>
            <w:tcW w:w="1440" w:type="dxa"/>
            <w:vAlign w:val="bottom"/>
            <w:shd w:val="clear" w:color="auto" w:fill="CFF0FC"/>
          </w:tcPr>
          <w:p>
            <w:pPr>
              <w:spacing w:after="0"/>
              <w:rPr>
                <w:sz w:val="10"/>
                <w:szCs w:val="10"/>
                <w:color w:val="auto"/>
              </w:rPr>
            </w:pP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0.00%/12.75%</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10/1/2021</w:t>
            </w:r>
          </w:p>
        </w:tc>
        <w:tc>
          <w:tcPr>
            <w:tcW w:w="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12/31/2026</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569</w:t>
            </w: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565</w:t>
            </w: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569</w:t>
            </w:r>
          </w:p>
        </w:tc>
        <w:tc>
          <w:tcPr>
            <w:tcW w:w="74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(500 units) (j)</w:t>
            </w:r>
          </w:p>
        </w:tc>
        <w:tc>
          <w:tcPr>
            <w:tcW w:w="1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10/1/2021</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500</w:t>
            </w:r>
          </w:p>
        </w:tc>
        <w:tc>
          <w:tcPr>
            <w:tcW w:w="1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424</w:t>
            </w:r>
          </w:p>
        </w:tc>
        <w:tc>
          <w:tcPr>
            <w:tcW w:w="74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900" w:type="dxa"/>
            <w:vAlign w:val="bottom"/>
            <w:shd w:val="clear" w:color="auto" w:fill="CFF0FC"/>
          </w:tcPr>
          <w:p>
            <w:pPr>
              <w:spacing w:after="0"/>
              <w:rPr>
                <w:sz w:val="10"/>
                <w:szCs w:val="10"/>
                <w:color w:val="auto"/>
              </w:rPr>
            </w:pPr>
          </w:p>
        </w:tc>
        <w:tc>
          <w:tcPr>
            <w:tcW w:w="14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8,570</w:t>
            </w: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8,558</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AVC Investors, LLC (dba Auveco) (n)</w:t>
            </w:r>
          </w:p>
        </w:tc>
        <w:tc>
          <w:tcPr>
            <w:tcW w:w="19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Specialty Distribution</w:t>
            </w:r>
          </w:p>
        </w:tc>
        <w:tc>
          <w:tcPr>
            <w:tcW w:w="1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(5,000 units) (j)</w:t>
            </w:r>
          </w:p>
        </w:tc>
        <w:tc>
          <w:tcPr>
            <w:tcW w:w="1900" w:type="dxa"/>
            <w:vAlign w:val="bottom"/>
            <w:shd w:val="clear" w:color="auto" w:fill="CFF0FC"/>
          </w:tcPr>
          <w:p>
            <w:pPr>
              <w:spacing w:after="0"/>
              <w:rPr>
                <w:sz w:val="10"/>
                <w:szCs w:val="10"/>
                <w:color w:val="auto"/>
              </w:rPr>
            </w:pPr>
          </w:p>
        </w:tc>
        <w:tc>
          <w:tcPr>
            <w:tcW w:w="14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1/3/2018</w:t>
            </w: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6</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-6960235</wp:posOffset>
            </wp:positionV>
            <wp:extent cx="497205" cy="1028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7205" cy="10287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-5219700</wp:posOffset>
            </wp:positionV>
            <wp:extent cx="4025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0259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-5219700</wp:posOffset>
            </wp:positionV>
            <wp:extent cx="68580" cy="857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-4594225</wp:posOffset>
            </wp:positionV>
            <wp:extent cx="4025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-4594225</wp:posOffset>
            </wp:positionV>
            <wp:extent cx="68580" cy="857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-4276725</wp:posOffset>
            </wp:positionV>
            <wp:extent cx="900430" cy="1111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00430" cy="11112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-2365375</wp:posOffset>
            </wp:positionV>
            <wp:extent cx="4025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-2365375</wp:posOffset>
            </wp:positionV>
            <wp:extent cx="68580" cy="857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-1739265</wp:posOffset>
            </wp:positionV>
            <wp:extent cx="4025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0259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-1739265</wp:posOffset>
            </wp:positionV>
            <wp:extent cx="68580" cy="857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-633730</wp:posOffset>
            </wp:positionV>
            <wp:extent cx="4025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-633730</wp:posOffset>
            </wp:positionV>
            <wp:extent cx="68580" cy="857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572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028"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BCM One Group Holdings, Inc.</w:t>
            </w:r>
          </w:p>
        </w:tc>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3260" w:type="dxa"/>
            <w:vAlign w:val="bottom"/>
          </w:tcPr>
          <w:p>
            <w:pPr>
              <w:spacing w:after="0"/>
              <w:rPr>
                <w:sz w:val="10"/>
                <w:szCs w:val="10"/>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10.25%/0.00%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11/17/2021</w:t>
            </w:r>
          </w:p>
        </w:tc>
        <w:tc>
          <w:tcPr>
            <w:tcW w:w="8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11/17/2028</w:t>
            </w:r>
          </w:p>
        </w:tc>
        <w:tc>
          <w:tcPr>
            <w:tcW w:w="76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11,333</w:t>
            </w: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11,277</w:t>
            </w:r>
          </w:p>
        </w:tc>
        <w:tc>
          <w:tcPr>
            <w:tcW w:w="680" w:type="dxa"/>
            <w:vAlign w:val="bottom"/>
            <w:gridSpan w:val="2"/>
          </w:tcPr>
          <w:p>
            <w:pPr>
              <w:jc w:val="right"/>
              <w:ind w:right="75"/>
              <w:spacing w:after="0"/>
              <w:rPr>
                <w:sz w:val="20"/>
                <w:szCs w:val="20"/>
                <w:color w:val="auto"/>
              </w:rPr>
            </w:pPr>
            <w:r>
              <w:rPr>
                <w:rFonts w:ascii="Times New Roman" w:cs="Times New Roman" w:eastAsia="Times New Roman" w:hAnsi="Times New Roman"/>
                <w:sz w:val="9"/>
                <w:szCs w:val="9"/>
                <w:color w:val="auto"/>
              </w:rPr>
              <w:t>11,220</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2"/>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Bedford Precision Parts LLC</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Specialty Distribution</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(500,000 units) (h)(j)</w:t>
            </w: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3/12/2019</w:t>
            </w: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484</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415</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BP Thrift Buyer, LLC (dba myUnique and Ecothrift)</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Retail</w:t>
            </w:r>
          </w:p>
        </w:tc>
        <w:tc>
          <w:tcPr>
            <w:tcW w:w="9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(j)(av)</w:t>
            </w:r>
          </w:p>
        </w:tc>
        <w:tc>
          <w:tcPr>
            <w:tcW w:w="326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9"/>
                <w:szCs w:val="9"/>
                <w:color w:val="auto"/>
              </w:rPr>
              <w:t>(S + 5.75%) / (1.50%)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8.91%/0.00%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9/13/2022</w:t>
            </w:r>
          </w:p>
        </w:tc>
        <w:tc>
          <w:tcPr>
            <w:tcW w:w="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9/13/2027</w:t>
            </w:r>
          </w:p>
        </w:tc>
        <w:tc>
          <w:tcPr>
            <w:tcW w:w="7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20,000</w:t>
            </w: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19,542</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19,542</w:t>
            </w:r>
          </w:p>
        </w:tc>
        <w:tc>
          <w:tcPr>
            <w:tcW w:w="740" w:type="dxa"/>
            <w:vAlign w:val="bottom"/>
            <w:shd w:val="clear" w:color="auto" w:fill="CFF0FC"/>
          </w:tcPr>
          <w:p>
            <w:pPr>
              <w:spacing w:after="0"/>
              <w:rPr>
                <w:sz w:val="10"/>
                <w:szCs w:val="10"/>
                <w:color w:val="auto"/>
              </w:rPr>
            </w:pPr>
          </w:p>
        </w:tc>
      </w:tr>
      <w:tr>
        <w:trPr>
          <w:trHeight w:val="122"/>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(1,000 units) (j)</w:t>
            </w: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9/13/2022</w:t>
            </w: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1,000</w:t>
            </w:r>
          </w:p>
        </w:tc>
        <w:tc>
          <w:tcPr>
            <w:tcW w:w="120" w:type="dxa"/>
            <w:vAlign w:val="bottom"/>
          </w:tcPr>
          <w:p>
            <w:pPr>
              <w:spacing w:after="0"/>
              <w:rPr>
                <w:sz w:val="10"/>
                <w:szCs w:val="10"/>
                <w:color w:val="auto"/>
              </w:rPr>
            </w:pPr>
          </w:p>
        </w:tc>
        <w:tc>
          <w:tcPr>
            <w:tcW w:w="5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1,000</w:t>
            </w:r>
          </w:p>
        </w:tc>
        <w:tc>
          <w:tcPr>
            <w:tcW w:w="74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20,542</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20,542</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Cardback Intermediate, LLC (dba Chargeback Gurus)</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(j)(ah)</w:t>
            </w:r>
          </w:p>
        </w:tc>
        <w:tc>
          <w:tcPr>
            <w:tcW w:w="326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9"/>
                <w:szCs w:val="9"/>
                <w:color w:val="auto"/>
              </w:rPr>
              <w:t>(L + 6.50%) / (0.75%)</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8.78%/0.00%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8/10/2021</w:t>
            </w:r>
          </w:p>
        </w:tc>
        <w:tc>
          <w:tcPr>
            <w:tcW w:w="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8/10/2026</w:t>
            </w:r>
          </w:p>
        </w:tc>
        <w:tc>
          <w:tcPr>
            <w:tcW w:w="7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12,576</w:t>
            </w: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12,516</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12,576</w:t>
            </w: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(495 shares) (j)</w:t>
            </w: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8/10/2021</w:t>
            </w: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125</w:t>
            </w:r>
          </w:p>
        </w:tc>
        <w:tc>
          <w:tcPr>
            <w:tcW w:w="680" w:type="dxa"/>
            <w:vAlign w:val="bottom"/>
            <w:gridSpan w:val="2"/>
          </w:tcPr>
          <w:p>
            <w:pPr>
              <w:jc w:val="right"/>
              <w:ind w:right="75"/>
              <w:spacing w:after="0"/>
              <w:rPr>
                <w:sz w:val="20"/>
                <w:szCs w:val="20"/>
                <w:color w:val="auto"/>
              </w:rPr>
            </w:pPr>
            <w:r>
              <w:rPr>
                <w:rFonts w:ascii="Times New Roman" w:cs="Times New Roman" w:eastAsia="Times New Roman" w:hAnsi="Times New Roman"/>
                <w:sz w:val="9"/>
                <w:szCs w:val="9"/>
                <w:color w:val="auto"/>
              </w:rPr>
              <w:t>33</w:t>
            </w:r>
          </w:p>
        </w:tc>
        <w:tc>
          <w:tcPr>
            <w:tcW w:w="740" w:type="dxa"/>
            <w:vAlign w:val="bottom"/>
          </w:tcPr>
          <w:p>
            <w:pPr>
              <w:spacing w:after="0"/>
              <w:rPr>
                <w:sz w:val="10"/>
                <w:szCs w:val="10"/>
                <w:color w:val="auto"/>
              </w:rPr>
            </w:pPr>
          </w:p>
        </w:tc>
      </w:tr>
      <w:tr>
        <w:trPr>
          <w:trHeight w:val="122"/>
        </w:trPr>
        <w:tc>
          <w:tcPr>
            <w:tcW w:w="2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(495 shares) (j)</w:t>
            </w:r>
          </w:p>
        </w:tc>
        <w:tc>
          <w:tcPr>
            <w:tcW w:w="326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8/10/2021</w:t>
            </w:r>
          </w:p>
        </w:tc>
        <w:tc>
          <w:tcPr>
            <w:tcW w:w="88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125</w:t>
            </w:r>
          </w:p>
        </w:tc>
        <w:tc>
          <w:tcPr>
            <w:tcW w:w="120" w:type="dxa"/>
            <w:vAlign w:val="bottom"/>
            <w:tcBorders>
              <w:bottom w:val="single" w:sz="8" w:color="CFF0FC"/>
            </w:tcBorders>
            <w:shd w:val="clear" w:color="auto" w:fill="CFF0FC"/>
          </w:tcPr>
          <w:p>
            <w:pPr>
              <w:spacing w:after="0"/>
              <w:rPr>
                <w:sz w:val="10"/>
                <w:szCs w:val="10"/>
                <w:color w:val="auto"/>
              </w:rPr>
            </w:pPr>
          </w:p>
        </w:tc>
        <w:tc>
          <w:tcPr>
            <w:tcW w:w="5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273</w:t>
            </w:r>
          </w:p>
        </w:tc>
        <w:tc>
          <w:tcPr>
            <w:tcW w:w="740" w:type="dxa"/>
            <w:vAlign w:val="bottom"/>
            <w:tcBorders>
              <w:bottom w:val="single" w:sz="8" w:color="CFF0FC"/>
            </w:tcBorders>
            <w:shd w:val="clear" w:color="auto" w:fill="CFF0FC"/>
          </w:tcPr>
          <w:p>
            <w:pPr>
              <w:spacing w:after="0"/>
              <w:rPr>
                <w:sz w:val="10"/>
                <w:szCs w:val="10"/>
                <w:color w:val="auto"/>
              </w:rPr>
            </w:pPr>
          </w:p>
        </w:tc>
      </w:tr>
      <w:tr>
        <w:trPr>
          <w:trHeight w:val="114"/>
        </w:trPr>
        <w:tc>
          <w:tcPr>
            <w:tcW w:w="26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12,766</w:t>
            </w:r>
          </w:p>
        </w:tc>
        <w:tc>
          <w:tcPr>
            <w:tcW w:w="680" w:type="dxa"/>
            <w:vAlign w:val="bottom"/>
            <w:gridSpan w:val="2"/>
          </w:tcPr>
          <w:p>
            <w:pPr>
              <w:jc w:val="right"/>
              <w:ind w:right="75"/>
              <w:spacing w:after="0"/>
              <w:rPr>
                <w:sz w:val="20"/>
                <w:szCs w:val="20"/>
                <w:color w:val="auto"/>
              </w:rPr>
            </w:pPr>
            <w:r>
              <w:rPr>
                <w:rFonts w:ascii="Times New Roman" w:cs="Times New Roman" w:eastAsia="Times New Roman" w:hAnsi="Times New Roman"/>
                <w:sz w:val="9"/>
                <w:szCs w:val="9"/>
                <w:color w:val="auto"/>
              </w:rPr>
              <w:t>12,882</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Cardboard Box LLC (dba Anthony's Coal Fired Pizza) (aw)</w:t>
            </w:r>
          </w:p>
        </w:tc>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Restaurants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(521,021 units) (j)(ao)</w:t>
            </w: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12/15/2015</w:t>
            </w: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521</w:t>
            </w:r>
          </w:p>
        </w:tc>
        <w:tc>
          <w:tcPr>
            <w:tcW w:w="680" w:type="dxa"/>
            <w:vAlign w:val="bottom"/>
            <w:gridSpan w:val="2"/>
          </w:tcPr>
          <w:p>
            <w:pPr>
              <w:jc w:val="right"/>
              <w:ind w:right="75"/>
              <w:spacing w:after="0"/>
              <w:rPr>
                <w:sz w:val="20"/>
                <w:szCs w:val="20"/>
                <w:color w:val="auto"/>
              </w:rPr>
            </w:pPr>
            <w:r>
              <w:rPr>
                <w:rFonts w:ascii="Times New Roman" w:cs="Times New Roman" w:eastAsia="Times New Roman" w:hAnsi="Times New Roman"/>
                <w:sz w:val="9"/>
                <w:szCs w:val="9"/>
                <w:color w:val="auto"/>
              </w:rPr>
              <w:t>34</w:t>
            </w:r>
          </w:p>
        </w:tc>
        <w:tc>
          <w:tcPr>
            <w:tcW w:w="740" w:type="dxa"/>
            <w:vAlign w:val="bottom"/>
          </w:tcPr>
          <w:p>
            <w:pPr>
              <w:spacing w:after="0"/>
              <w:rPr>
                <w:sz w:val="10"/>
                <w:szCs w:val="10"/>
                <w:color w:val="auto"/>
              </w:rPr>
            </w:pPr>
          </w:p>
        </w:tc>
      </w:tr>
      <w:tr>
        <w:trPr>
          <w:trHeight w:val="122"/>
        </w:trPr>
        <w:tc>
          <w:tcPr>
            <w:tcW w:w="2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(1,043,133 units) (j)(ao)</w:t>
            </w:r>
          </w:p>
        </w:tc>
        <w:tc>
          <w:tcPr>
            <w:tcW w:w="326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12/6/2019</w:t>
            </w:r>
          </w:p>
        </w:tc>
        <w:tc>
          <w:tcPr>
            <w:tcW w:w="88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96</w:t>
            </w:r>
          </w:p>
        </w:tc>
        <w:tc>
          <w:tcPr>
            <w:tcW w:w="120" w:type="dxa"/>
            <w:vAlign w:val="bottom"/>
            <w:tcBorders>
              <w:bottom w:val="single" w:sz="8" w:color="CFF0FC"/>
            </w:tcBorders>
            <w:shd w:val="clear" w:color="auto" w:fill="CFF0FC"/>
          </w:tcPr>
          <w:p>
            <w:pPr>
              <w:spacing w:after="0"/>
              <w:rPr>
                <w:sz w:val="10"/>
                <w:szCs w:val="10"/>
                <w:color w:val="auto"/>
              </w:rPr>
            </w:pPr>
          </w:p>
        </w:tc>
        <w:tc>
          <w:tcPr>
            <w:tcW w:w="5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283</w:t>
            </w:r>
          </w:p>
        </w:tc>
        <w:tc>
          <w:tcPr>
            <w:tcW w:w="740" w:type="dxa"/>
            <w:vAlign w:val="bottom"/>
            <w:tcBorders>
              <w:bottom w:val="single" w:sz="8" w:color="CFF0FC"/>
            </w:tcBorders>
            <w:shd w:val="clear" w:color="auto" w:fill="CFF0FC"/>
          </w:tcPr>
          <w:p>
            <w:pPr>
              <w:spacing w:after="0"/>
              <w:rPr>
                <w:sz w:val="10"/>
                <w:szCs w:val="10"/>
                <w:color w:val="auto"/>
              </w:rPr>
            </w:pPr>
          </w:p>
        </w:tc>
      </w:tr>
      <w:tr>
        <w:trPr>
          <w:trHeight w:val="114"/>
        </w:trPr>
        <w:tc>
          <w:tcPr>
            <w:tcW w:w="26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617</w:t>
            </w:r>
          </w:p>
        </w:tc>
        <w:tc>
          <w:tcPr>
            <w:tcW w:w="680" w:type="dxa"/>
            <w:vAlign w:val="bottom"/>
            <w:gridSpan w:val="2"/>
          </w:tcPr>
          <w:p>
            <w:pPr>
              <w:jc w:val="right"/>
              <w:ind w:right="75"/>
              <w:spacing w:after="0"/>
              <w:rPr>
                <w:sz w:val="20"/>
                <w:szCs w:val="20"/>
                <w:color w:val="auto"/>
              </w:rPr>
            </w:pPr>
            <w:r>
              <w:rPr>
                <w:rFonts w:ascii="Times New Roman" w:cs="Times New Roman" w:eastAsia="Times New Roman" w:hAnsi="Times New Roman"/>
                <w:sz w:val="9"/>
                <w:szCs w:val="9"/>
                <w:color w:val="auto"/>
              </w:rPr>
              <w:t>317</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99"/>
        </w:trPr>
        <w:tc>
          <w:tcPr>
            <w:tcW w:w="2620" w:type="dxa"/>
            <w:vAlign w:val="bottom"/>
            <w:shd w:val="clear" w:color="auto" w:fill="CFF0FC"/>
          </w:tcPr>
          <w:p>
            <w:pPr>
              <w:ind w:left="20"/>
              <w:spacing w:after="0" w:line="100" w:lineRule="exact"/>
              <w:rPr>
                <w:sz w:val="20"/>
                <w:szCs w:val="20"/>
                <w:color w:val="auto"/>
              </w:rPr>
            </w:pPr>
            <w:r>
              <w:rPr>
                <w:rFonts w:ascii="Times New Roman" w:cs="Times New Roman" w:eastAsia="Times New Roman" w:hAnsi="Times New Roman"/>
                <w:sz w:val="9"/>
                <w:szCs w:val="9"/>
                <w:i w:val="1"/>
                <w:iCs w:val="1"/>
                <w:color w:val="auto"/>
              </w:rPr>
              <w:t>Choice Technology Solutions, LLC (dba Choice Merchant Solutions,</w:t>
            </w:r>
          </w:p>
        </w:tc>
        <w:tc>
          <w:tcPr>
            <w:tcW w:w="326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r>
      <w:tr>
        <w:trPr>
          <w:trHeight w:val="117"/>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LLC)</w:t>
            </w:r>
          </w:p>
        </w:tc>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260" w:type="dxa"/>
            <w:vAlign w:val="bottom"/>
          </w:tcPr>
          <w:p>
            <w:pPr>
              <w:ind w:left="2220"/>
              <w:spacing w:after="0"/>
              <w:rPr>
                <w:sz w:val="20"/>
                <w:szCs w:val="20"/>
                <w:color w:val="auto"/>
              </w:rPr>
            </w:pPr>
            <w:r>
              <w:rPr>
                <w:rFonts w:ascii="Times New Roman" w:cs="Times New Roman" w:eastAsia="Times New Roman" w:hAnsi="Times New Roman"/>
                <w:sz w:val="9"/>
                <w:szCs w:val="9"/>
                <w:color w:val="auto"/>
              </w:rPr>
              <w:t>(S + 7.25%) / (1.00%)</w:t>
            </w: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4/1/2022</w:t>
            </w:r>
          </w:p>
        </w:tc>
        <w:tc>
          <w:tcPr>
            <w:tcW w:w="8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4/1/2027</w:t>
            </w:r>
          </w:p>
        </w:tc>
        <w:tc>
          <w:tcPr>
            <w:tcW w:w="76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8,500</w:t>
            </w: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8,457</w:t>
            </w:r>
          </w:p>
        </w:tc>
        <w:tc>
          <w:tcPr>
            <w:tcW w:w="680" w:type="dxa"/>
            <w:vAlign w:val="bottom"/>
            <w:gridSpan w:val="2"/>
          </w:tcPr>
          <w:p>
            <w:pPr>
              <w:jc w:val="right"/>
              <w:ind w:right="75"/>
              <w:spacing w:after="0"/>
              <w:rPr>
                <w:sz w:val="20"/>
                <w:szCs w:val="20"/>
                <w:color w:val="auto"/>
              </w:rPr>
            </w:pPr>
            <w:r>
              <w:rPr>
                <w:rFonts w:ascii="Times New Roman" w:cs="Times New Roman" w:eastAsia="Times New Roman" w:hAnsi="Times New Roman"/>
                <w:sz w:val="9"/>
                <w:szCs w:val="9"/>
                <w:color w:val="auto"/>
              </w:rPr>
              <w:t>8,457</w:t>
            </w:r>
          </w:p>
        </w:tc>
        <w:tc>
          <w:tcPr>
            <w:tcW w:w="740" w:type="dxa"/>
            <w:vAlign w:val="bottom"/>
          </w:tcPr>
          <w:p>
            <w:pPr>
              <w:spacing w:after="0"/>
              <w:rPr>
                <w:sz w:val="10"/>
                <w:szCs w:val="10"/>
                <w:color w:val="auto"/>
              </w:rPr>
            </w:pPr>
          </w:p>
        </w:tc>
      </w:tr>
      <w:tr>
        <w:trPr>
          <w:trHeight w:val="122"/>
        </w:trPr>
        <w:tc>
          <w:tcPr>
            <w:tcW w:w="2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Revolving Loan ($1,000 unfunded commitment) (i)(j)</w:t>
            </w:r>
          </w:p>
        </w:tc>
        <w:tc>
          <w:tcPr>
            <w:tcW w:w="3260" w:type="dxa"/>
            <w:vAlign w:val="bottom"/>
            <w:tcBorders>
              <w:bottom w:val="single" w:sz="8" w:color="CFF0FC"/>
            </w:tcBorders>
            <w:shd w:val="clear" w:color="auto" w:fill="CFF0FC"/>
          </w:tcPr>
          <w:p>
            <w:pPr>
              <w:ind w:left="2220"/>
              <w:spacing w:after="0"/>
              <w:rPr>
                <w:sz w:val="20"/>
                <w:szCs w:val="20"/>
                <w:color w:val="auto"/>
              </w:rPr>
            </w:pPr>
            <w:r>
              <w:rPr>
                <w:rFonts w:ascii="Times New Roman" w:cs="Times New Roman" w:eastAsia="Times New Roman" w:hAnsi="Times New Roman"/>
                <w:sz w:val="9"/>
                <w:szCs w:val="9"/>
                <w:color w:val="auto"/>
              </w:rPr>
              <w:t>(S + 6.25%) / (1.00%)</w:t>
            </w: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4/1/2022</w:t>
            </w:r>
          </w:p>
        </w:tc>
        <w:tc>
          <w:tcPr>
            <w:tcW w:w="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4/1/2027</w:t>
            </w:r>
          </w:p>
        </w:tc>
        <w:tc>
          <w:tcPr>
            <w:tcW w:w="760" w:type="dxa"/>
            <w:vAlign w:val="bottom"/>
            <w:tcBorders>
              <w:bottom w:val="single" w:sz="8" w:color="CFF0FC"/>
            </w:tcBorders>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5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tcBorders>
              <w:bottom w:val="single" w:sz="8" w:color="CFF0FC"/>
            </w:tcBorders>
            <w:shd w:val="clear" w:color="auto" w:fill="CFF0FC"/>
          </w:tcPr>
          <w:p>
            <w:pPr>
              <w:spacing w:after="0"/>
              <w:rPr>
                <w:sz w:val="10"/>
                <w:szCs w:val="10"/>
                <w:color w:val="auto"/>
              </w:rPr>
            </w:pPr>
          </w:p>
        </w:tc>
      </w:tr>
      <w:tr>
        <w:trPr>
          <w:trHeight w:val="115"/>
        </w:trPr>
        <w:tc>
          <w:tcPr>
            <w:tcW w:w="26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8,457</w:t>
            </w:r>
          </w:p>
        </w:tc>
        <w:tc>
          <w:tcPr>
            <w:tcW w:w="680" w:type="dxa"/>
            <w:vAlign w:val="bottom"/>
            <w:gridSpan w:val="2"/>
          </w:tcPr>
          <w:p>
            <w:pPr>
              <w:jc w:val="right"/>
              <w:ind w:right="75"/>
              <w:spacing w:after="0"/>
              <w:rPr>
                <w:sz w:val="20"/>
                <w:szCs w:val="20"/>
                <w:color w:val="auto"/>
              </w:rPr>
            </w:pPr>
            <w:r>
              <w:rPr>
                <w:rFonts w:ascii="Times New Roman" w:cs="Times New Roman" w:eastAsia="Times New Roman" w:hAnsi="Times New Roman"/>
                <w:sz w:val="9"/>
                <w:szCs w:val="9"/>
                <w:color w:val="auto"/>
              </w:rPr>
              <w:t>8,457</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CIH Intermediate, LLC</w:t>
            </w:r>
          </w:p>
        </w:tc>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Business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Subordinated Debt (k)</w:t>
            </w:r>
          </w:p>
        </w:tc>
        <w:tc>
          <w:tcPr>
            <w:tcW w:w="3260" w:type="dxa"/>
            <w:vAlign w:val="bottom"/>
          </w:tcPr>
          <w:p>
            <w:pPr>
              <w:spacing w:after="0"/>
              <w:rPr>
                <w:sz w:val="10"/>
                <w:szCs w:val="10"/>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10.00%/1.00%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3/3/2022</w:t>
            </w:r>
          </w:p>
        </w:tc>
        <w:tc>
          <w:tcPr>
            <w:tcW w:w="8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3/3/2028</w:t>
            </w:r>
          </w:p>
        </w:tc>
        <w:tc>
          <w:tcPr>
            <w:tcW w:w="76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13,716</w:t>
            </w: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13,593</w:t>
            </w:r>
          </w:p>
        </w:tc>
        <w:tc>
          <w:tcPr>
            <w:tcW w:w="680" w:type="dxa"/>
            <w:vAlign w:val="bottom"/>
            <w:gridSpan w:val="2"/>
          </w:tcPr>
          <w:p>
            <w:pPr>
              <w:jc w:val="right"/>
              <w:ind w:right="75"/>
              <w:spacing w:after="0"/>
              <w:rPr>
                <w:sz w:val="20"/>
                <w:szCs w:val="20"/>
                <w:color w:val="auto"/>
              </w:rPr>
            </w:pPr>
            <w:r>
              <w:rPr>
                <w:rFonts w:ascii="Times New Roman" w:cs="Times New Roman" w:eastAsia="Times New Roman" w:hAnsi="Times New Roman"/>
                <w:sz w:val="9"/>
                <w:szCs w:val="9"/>
                <w:color w:val="auto"/>
              </w:rPr>
              <w:t>13,715</w:t>
            </w: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(563 shares) (j)</w:t>
            </w: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3/3/2022</w:t>
            </w: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400</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161</w:t>
            </w: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(563 shares) (j)</w:t>
            </w: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3/3/2022</w:t>
            </w: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400</w:t>
            </w:r>
          </w:p>
        </w:tc>
        <w:tc>
          <w:tcPr>
            <w:tcW w:w="120" w:type="dxa"/>
            <w:vAlign w:val="bottom"/>
          </w:tcPr>
          <w:p>
            <w:pPr>
              <w:spacing w:after="0"/>
              <w:rPr>
                <w:sz w:val="10"/>
                <w:szCs w:val="10"/>
                <w:color w:val="auto"/>
              </w:rPr>
            </w:pPr>
          </w:p>
        </w:tc>
        <w:tc>
          <w:tcPr>
            <w:tcW w:w="5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836</w:t>
            </w:r>
          </w:p>
        </w:tc>
        <w:tc>
          <w:tcPr>
            <w:tcW w:w="74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14,393</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14,712</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Combined Systems, Inc.</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Aerospace &amp; Defense Manufacturing</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w:t>
            </w:r>
          </w:p>
        </w:tc>
        <w:tc>
          <w:tcPr>
            <w:tcW w:w="326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9"/>
                <w:szCs w:val="9"/>
                <w:color w:val="auto"/>
              </w:rPr>
              <w:t>(L + 11.00%) / (2.00%)</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1/31/2020</w:t>
            </w:r>
          </w:p>
        </w:tc>
        <w:tc>
          <w:tcPr>
            <w:tcW w:w="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1/31/2025</w:t>
            </w:r>
          </w:p>
        </w:tc>
        <w:tc>
          <w:tcPr>
            <w:tcW w:w="7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6,991</w:t>
            </w: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6,964</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7,061</w:t>
            </w:r>
          </w:p>
        </w:tc>
        <w:tc>
          <w:tcPr>
            <w:tcW w:w="740" w:type="dxa"/>
            <w:vAlign w:val="bottom"/>
            <w:shd w:val="clear" w:color="auto" w:fill="CFF0FC"/>
          </w:tcPr>
          <w:p>
            <w:pPr>
              <w:spacing w:after="0"/>
              <w:rPr>
                <w:sz w:val="10"/>
                <w:szCs w:val="10"/>
                <w:color w:val="auto"/>
              </w:rPr>
            </w:pPr>
          </w:p>
        </w:tc>
      </w:tr>
      <w:tr>
        <w:trPr>
          <w:trHeight w:val="122"/>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Revolving Loan ($605 unfunded commitment) (j)(ac)</w:t>
            </w:r>
          </w:p>
        </w:tc>
        <w:tc>
          <w:tcPr>
            <w:tcW w:w="3260" w:type="dxa"/>
            <w:vAlign w:val="bottom"/>
          </w:tcPr>
          <w:p>
            <w:pPr>
              <w:ind w:left="2220"/>
              <w:spacing w:after="0"/>
              <w:rPr>
                <w:sz w:val="20"/>
                <w:szCs w:val="20"/>
                <w:color w:val="auto"/>
              </w:rPr>
            </w:pPr>
            <w:r>
              <w:rPr>
                <w:rFonts w:ascii="Times New Roman" w:cs="Times New Roman" w:eastAsia="Times New Roman" w:hAnsi="Times New Roman"/>
                <w:sz w:val="9"/>
                <w:szCs w:val="9"/>
                <w:color w:val="auto"/>
              </w:rPr>
              <w:t>(L + 10.00%) / (2.00%)</w:t>
            </w: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1/31/2020</w:t>
            </w:r>
          </w:p>
        </w:tc>
        <w:tc>
          <w:tcPr>
            <w:tcW w:w="8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1/31/2025</w:t>
            </w:r>
          </w:p>
        </w:tc>
        <w:tc>
          <w:tcPr>
            <w:tcW w:w="76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3,395</w:t>
            </w:r>
          </w:p>
        </w:tc>
        <w:tc>
          <w:tcPr>
            <w:tcW w:w="5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3,383</w:t>
            </w:r>
          </w:p>
        </w:tc>
        <w:tc>
          <w:tcPr>
            <w:tcW w:w="120" w:type="dxa"/>
            <w:vAlign w:val="bottom"/>
          </w:tcPr>
          <w:p>
            <w:pPr>
              <w:spacing w:after="0"/>
              <w:rPr>
                <w:sz w:val="10"/>
                <w:szCs w:val="10"/>
                <w:color w:val="auto"/>
              </w:rPr>
            </w:pPr>
          </w:p>
        </w:tc>
        <w:tc>
          <w:tcPr>
            <w:tcW w:w="5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3,395</w:t>
            </w:r>
          </w:p>
        </w:tc>
        <w:tc>
          <w:tcPr>
            <w:tcW w:w="74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10,347</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10,456</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Comply365, LLC</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Aerospace &amp; Defense Manufacturing</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(1,000,000 units)</w:t>
            </w: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12/11/2020</w:t>
            </w: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627</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1,109</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CRS Solutions Holdings, LLC (dba CRS Texas)</w:t>
            </w:r>
          </w:p>
        </w:tc>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Business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(Class A Units) (574,929 units) (h)(j)</w:t>
            </w: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6/28/2022</w:t>
            </w: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272</w:t>
            </w:r>
          </w:p>
        </w:tc>
        <w:tc>
          <w:tcPr>
            <w:tcW w:w="680" w:type="dxa"/>
            <w:vAlign w:val="bottom"/>
            <w:gridSpan w:val="2"/>
          </w:tcPr>
          <w:p>
            <w:pPr>
              <w:jc w:val="right"/>
              <w:ind w:right="75"/>
              <w:spacing w:after="0"/>
              <w:rPr>
                <w:sz w:val="20"/>
                <w:szCs w:val="20"/>
                <w:color w:val="auto"/>
              </w:rPr>
            </w:pPr>
            <w:r>
              <w:rPr>
                <w:rFonts w:ascii="Times New Roman" w:cs="Times New Roman" w:eastAsia="Times New Roman" w:hAnsi="Times New Roman"/>
                <w:sz w:val="9"/>
                <w:szCs w:val="9"/>
                <w:color w:val="auto"/>
              </w:rPr>
              <w:t>499</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Dataguise, Inc.</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11.00%/0.00%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12/31/2020</w:t>
            </w:r>
          </w:p>
        </w:tc>
        <w:tc>
          <w:tcPr>
            <w:tcW w:w="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12/31/2023</w:t>
            </w:r>
          </w:p>
        </w:tc>
        <w:tc>
          <w:tcPr>
            <w:tcW w:w="7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19,700</w:t>
            </w: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19,658</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19,700</w:t>
            </w:r>
          </w:p>
        </w:tc>
        <w:tc>
          <w:tcPr>
            <w:tcW w:w="740" w:type="dxa"/>
            <w:vAlign w:val="bottom"/>
            <w:shd w:val="clear" w:color="auto" w:fill="CFF0FC"/>
          </w:tcPr>
          <w:p>
            <w:pPr>
              <w:spacing w:after="0"/>
              <w:rPr>
                <w:sz w:val="10"/>
                <w:szCs w:val="10"/>
                <w:color w:val="auto"/>
              </w:rPr>
            </w:pPr>
          </w:p>
        </w:tc>
      </w:tr>
      <w:tr>
        <w:trPr>
          <w:trHeight w:val="122"/>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(909 shares) (j)</w:t>
            </w: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12/31/2020</w:t>
            </w: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1,500</w:t>
            </w:r>
          </w:p>
        </w:tc>
        <w:tc>
          <w:tcPr>
            <w:tcW w:w="120" w:type="dxa"/>
            <w:vAlign w:val="bottom"/>
          </w:tcPr>
          <w:p>
            <w:pPr>
              <w:spacing w:after="0"/>
              <w:rPr>
                <w:sz w:val="10"/>
                <w:szCs w:val="10"/>
                <w:color w:val="auto"/>
              </w:rPr>
            </w:pPr>
          </w:p>
        </w:tc>
        <w:tc>
          <w:tcPr>
            <w:tcW w:w="5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707</w:t>
            </w:r>
          </w:p>
        </w:tc>
        <w:tc>
          <w:tcPr>
            <w:tcW w:w="74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21,158</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20,407</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Diversified Search LLC</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Business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(k)(r)</w:t>
            </w:r>
          </w:p>
        </w:tc>
        <w:tc>
          <w:tcPr>
            <w:tcW w:w="326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9"/>
                <w:szCs w:val="9"/>
                <w:color w:val="auto"/>
              </w:rPr>
              <w:t>(S + 6.50%) / (1.00%)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8.84%/0.00%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2/7/2019</w:t>
            </w:r>
          </w:p>
        </w:tc>
        <w:tc>
          <w:tcPr>
            <w:tcW w:w="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2/7/2024</w:t>
            </w:r>
          </w:p>
        </w:tc>
        <w:tc>
          <w:tcPr>
            <w:tcW w:w="7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24,155</w:t>
            </w: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24,016</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24,155</w:t>
            </w:r>
          </w:p>
        </w:tc>
        <w:tc>
          <w:tcPr>
            <w:tcW w:w="740" w:type="dxa"/>
            <w:vAlign w:val="bottom"/>
            <w:shd w:val="clear" w:color="auto" w:fill="CFF0FC"/>
          </w:tcPr>
          <w:p>
            <w:pPr>
              <w:spacing w:after="0"/>
              <w:rPr>
                <w:sz w:val="10"/>
                <w:szCs w:val="10"/>
                <w:color w:val="auto"/>
              </w:rPr>
            </w:pPr>
          </w:p>
        </w:tc>
      </w:tr>
      <w:tr>
        <w:trPr>
          <w:trHeight w:val="122"/>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(573 units) (h)(j)</w:t>
            </w: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2/7/2019</w:t>
            </w: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564</w:t>
            </w:r>
          </w:p>
        </w:tc>
        <w:tc>
          <w:tcPr>
            <w:tcW w:w="120" w:type="dxa"/>
            <w:vAlign w:val="bottom"/>
          </w:tcPr>
          <w:p>
            <w:pPr>
              <w:spacing w:after="0"/>
              <w:rPr>
                <w:sz w:val="10"/>
                <w:szCs w:val="10"/>
                <w:color w:val="auto"/>
              </w:rPr>
            </w:pPr>
          </w:p>
        </w:tc>
        <w:tc>
          <w:tcPr>
            <w:tcW w:w="5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949</w:t>
            </w:r>
          </w:p>
        </w:tc>
        <w:tc>
          <w:tcPr>
            <w:tcW w:w="74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24,580</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25,104</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EBL, LLC (EbLens)</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Retail</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(j)(y)</w:t>
            </w: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12.50%/1.50%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7/13/2017</w:t>
            </w:r>
          </w:p>
        </w:tc>
        <w:tc>
          <w:tcPr>
            <w:tcW w:w="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1/13/2023</w:t>
            </w:r>
          </w:p>
        </w:tc>
        <w:tc>
          <w:tcPr>
            <w:tcW w:w="7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9,351</w:t>
            </w: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9,333</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2,427</w:t>
            </w: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(75,000 units) (j)</w:t>
            </w: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7/13/2017</w:t>
            </w: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750</w:t>
            </w:r>
          </w:p>
        </w:tc>
        <w:tc>
          <w:tcPr>
            <w:tcW w:w="120" w:type="dxa"/>
            <w:vAlign w:val="bottom"/>
          </w:tcPr>
          <w:p>
            <w:pPr>
              <w:spacing w:after="0"/>
              <w:rPr>
                <w:sz w:val="10"/>
                <w:szCs w:val="10"/>
                <w:color w:val="auto"/>
              </w:rPr>
            </w:pPr>
          </w:p>
        </w:tc>
        <w:tc>
          <w:tcPr>
            <w:tcW w:w="5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10,083</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2,427</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ECM Industries, LLC</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Component Manufacturing</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(1,000,000 units) (h)(j)</w:t>
            </w: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4/30/2020</w:t>
            </w: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221</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1,290</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1"/>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Elements Brands, LLC</w:t>
            </w:r>
          </w:p>
        </w:tc>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Consumer Products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w:t>
            </w:r>
          </w:p>
        </w:tc>
        <w:tc>
          <w:tcPr>
            <w:tcW w:w="3260" w:type="dxa"/>
            <w:vAlign w:val="bottom"/>
          </w:tcPr>
          <w:p>
            <w:pPr>
              <w:spacing w:after="0"/>
              <w:rPr>
                <w:sz w:val="10"/>
                <w:szCs w:val="10"/>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12.25%/0.00%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12/31/2020</w:t>
            </w:r>
          </w:p>
        </w:tc>
        <w:tc>
          <w:tcPr>
            <w:tcW w:w="8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12/31/2025</w:t>
            </w:r>
          </w:p>
        </w:tc>
        <w:tc>
          <w:tcPr>
            <w:tcW w:w="76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4,350</w:t>
            </w: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4,328</w:t>
            </w:r>
          </w:p>
        </w:tc>
        <w:tc>
          <w:tcPr>
            <w:tcW w:w="680" w:type="dxa"/>
            <w:vAlign w:val="bottom"/>
            <w:gridSpan w:val="2"/>
          </w:tcPr>
          <w:p>
            <w:pPr>
              <w:jc w:val="right"/>
              <w:ind w:right="75"/>
              <w:spacing w:after="0"/>
              <w:rPr>
                <w:sz w:val="20"/>
                <w:szCs w:val="20"/>
                <w:color w:val="auto"/>
              </w:rPr>
            </w:pPr>
            <w:r>
              <w:rPr>
                <w:rFonts w:ascii="Times New Roman" w:cs="Times New Roman" w:eastAsia="Times New Roman" w:hAnsi="Times New Roman"/>
                <w:sz w:val="9"/>
                <w:szCs w:val="9"/>
                <w:color w:val="auto"/>
              </w:rPr>
              <w:t>4,350</w:t>
            </w:r>
          </w:p>
        </w:tc>
        <w:tc>
          <w:tcPr>
            <w:tcW w:w="740" w:type="dxa"/>
            <w:vAlign w:val="bottom"/>
          </w:tcPr>
          <w:p>
            <w:pPr>
              <w:spacing w:after="0"/>
              <w:rPr>
                <w:sz w:val="10"/>
                <w:szCs w:val="10"/>
                <w:color w:val="auto"/>
              </w:rPr>
            </w:pPr>
          </w:p>
        </w:tc>
      </w:tr>
      <w:tr>
        <w:trPr>
          <w:trHeight w:val="122"/>
        </w:trPr>
        <w:tc>
          <w:tcPr>
            <w:tcW w:w="2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Revolving Loan ($1,500 unfunded commitment) (j)(i)</w:t>
            </w:r>
          </w:p>
        </w:tc>
        <w:tc>
          <w:tcPr>
            <w:tcW w:w="326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12.25%/0.00%</w:t>
            </w:r>
          </w:p>
        </w:tc>
        <w:tc>
          <w:tcPr>
            <w:tcW w:w="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12/31/2020</w:t>
            </w:r>
          </w:p>
        </w:tc>
        <w:tc>
          <w:tcPr>
            <w:tcW w:w="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12/31/2025</w:t>
            </w:r>
          </w:p>
        </w:tc>
        <w:tc>
          <w:tcPr>
            <w:tcW w:w="760" w:type="dxa"/>
            <w:vAlign w:val="bottom"/>
            <w:tcBorders>
              <w:bottom w:val="single" w:sz="8" w:color="CFF0FC"/>
            </w:tcBorders>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1,500</w:t>
            </w:r>
          </w:p>
        </w:tc>
        <w:tc>
          <w:tcPr>
            <w:tcW w:w="58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1,489</w:t>
            </w:r>
          </w:p>
        </w:tc>
        <w:tc>
          <w:tcPr>
            <w:tcW w:w="120" w:type="dxa"/>
            <w:vAlign w:val="bottom"/>
            <w:tcBorders>
              <w:bottom w:val="single" w:sz="8" w:color="CFF0FC"/>
            </w:tcBorders>
            <w:shd w:val="clear" w:color="auto" w:fill="CFF0FC"/>
          </w:tcPr>
          <w:p>
            <w:pPr>
              <w:spacing w:after="0"/>
              <w:rPr>
                <w:sz w:val="10"/>
                <w:szCs w:val="10"/>
                <w:color w:val="auto"/>
              </w:rPr>
            </w:pPr>
          </w:p>
        </w:tc>
        <w:tc>
          <w:tcPr>
            <w:tcW w:w="5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1,500</w:t>
            </w:r>
          </w:p>
        </w:tc>
        <w:tc>
          <w:tcPr>
            <w:tcW w:w="740" w:type="dxa"/>
            <w:vAlign w:val="bottom"/>
            <w:tcBorders>
              <w:bottom w:val="single" w:sz="8" w:color="CFF0FC"/>
            </w:tcBorders>
            <w:shd w:val="clear" w:color="auto" w:fill="CFF0FC"/>
          </w:tcPr>
          <w:p>
            <w:pPr>
              <w:spacing w:after="0"/>
              <w:rPr>
                <w:sz w:val="10"/>
                <w:szCs w:val="10"/>
                <w:color w:val="auto"/>
              </w:rPr>
            </w:pPr>
          </w:p>
        </w:tc>
      </w:tr>
      <w:tr>
        <w:trPr>
          <w:trHeight w:val="115"/>
        </w:trPr>
        <w:tc>
          <w:tcPr>
            <w:tcW w:w="26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5,817</w:t>
            </w:r>
          </w:p>
        </w:tc>
        <w:tc>
          <w:tcPr>
            <w:tcW w:w="680" w:type="dxa"/>
            <w:vAlign w:val="bottom"/>
            <w:gridSpan w:val="2"/>
          </w:tcPr>
          <w:p>
            <w:pPr>
              <w:jc w:val="right"/>
              <w:ind w:right="75"/>
              <w:spacing w:after="0"/>
              <w:rPr>
                <w:sz w:val="20"/>
                <w:szCs w:val="20"/>
                <w:color w:val="auto"/>
              </w:rPr>
            </w:pPr>
            <w:r>
              <w:rPr>
                <w:rFonts w:ascii="Times New Roman" w:cs="Times New Roman" w:eastAsia="Times New Roman" w:hAnsi="Times New Roman"/>
                <w:sz w:val="9"/>
                <w:szCs w:val="9"/>
                <w:color w:val="auto"/>
              </w:rPr>
              <w:t>5,850</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Fishbowl Solutions, LLC</w:t>
            </w:r>
          </w:p>
        </w:tc>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(ar)</w:t>
            </w:r>
          </w:p>
        </w:tc>
        <w:tc>
          <w:tcPr>
            <w:tcW w:w="3260" w:type="dxa"/>
            <w:vAlign w:val="bottom"/>
          </w:tcPr>
          <w:p>
            <w:pPr>
              <w:ind w:left="2220"/>
              <w:spacing w:after="0"/>
              <w:rPr>
                <w:sz w:val="20"/>
                <w:szCs w:val="20"/>
                <w:color w:val="auto"/>
              </w:rPr>
            </w:pPr>
            <w:r>
              <w:rPr>
                <w:rFonts w:ascii="Times New Roman" w:cs="Times New Roman" w:eastAsia="Times New Roman" w:hAnsi="Times New Roman"/>
                <w:sz w:val="9"/>
                <w:szCs w:val="9"/>
                <w:color w:val="auto"/>
              </w:rPr>
              <w:t>(S + 7.75%) / (1.00%)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10.12%/0.00%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3/25/2022</w:t>
            </w:r>
          </w:p>
        </w:tc>
        <w:tc>
          <w:tcPr>
            <w:tcW w:w="8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3/25/2027</w:t>
            </w:r>
          </w:p>
        </w:tc>
        <w:tc>
          <w:tcPr>
            <w:tcW w:w="76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14,464</w:t>
            </w: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14,366</w:t>
            </w:r>
          </w:p>
        </w:tc>
        <w:tc>
          <w:tcPr>
            <w:tcW w:w="680" w:type="dxa"/>
            <w:vAlign w:val="bottom"/>
            <w:gridSpan w:val="2"/>
          </w:tcPr>
          <w:p>
            <w:pPr>
              <w:jc w:val="right"/>
              <w:ind w:right="75"/>
              <w:spacing w:after="0"/>
              <w:rPr>
                <w:sz w:val="20"/>
                <w:szCs w:val="20"/>
                <w:color w:val="auto"/>
              </w:rPr>
            </w:pPr>
            <w:r>
              <w:rPr>
                <w:rFonts w:ascii="Times New Roman" w:cs="Times New Roman" w:eastAsia="Times New Roman" w:hAnsi="Times New Roman"/>
                <w:sz w:val="9"/>
                <w:szCs w:val="9"/>
                <w:color w:val="auto"/>
              </w:rPr>
              <w:t>14,463</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2"/>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99"/>
        </w:trPr>
        <w:tc>
          <w:tcPr>
            <w:tcW w:w="2620" w:type="dxa"/>
            <w:vAlign w:val="bottom"/>
          </w:tcPr>
          <w:p>
            <w:pPr>
              <w:ind w:left="20"/>
              <w:spacing w:after="0" w:line="99" w:lineRule="exact"/>
              <w:rPr>
                <w:sz w:val="20"/>
                <w:szCs w:val="20"/>
                <w:color w:val="auto"/>
              </w:rPr>
            </w:pPr>
            <w:r>
              <w:rPr>
                <w:rFonts w:ascii="Times New Roman" w:cs="Times New Roman" w:eastAsia="Times New Roman" w:hAnsi="Times New Roman"/>
                <w:sz w:val="9"/>
                <w:szCs w:val="9"/>
                <w:i w:val="1"/>
                <w:iCs w:val="1"/>
                <w:color w:val="auto"/>
              </w:rPr>
              <w:t>Frontline Food Services, LLC</w:t>
            </w:r>
          </w:p>
        </w:tc>
        <w:tc>
          <w:tcPr>
            <w:tcW w:w="3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r>
      <w:tr>
        <w:trPr>
          <w:trHeight w:val="117"/>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(f/k/a Accent Food Services, LLC) (n)</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Vending Equipment Manufacturing</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(Class A Units) (46 units) (j)</w:t>
            </w: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12/31/2020</w:t>
            </w: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(Class B Units) (124 units) (j)</w:t>
            </w: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12/31/2020</w:t>
            </w: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5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tcPr>
          <w:p>
            <w:pPr>
              <w:spacing w:after="0"/>
              <w:rPr>
                <w:sz w:val="10"/>
                <w:szCs w:val="10"/>
                <w:color w:val="auto"/>
              </w:rPr>
            </w:pPr>
          </w:p>
        </w:tc>
      </w:tr>
      <w:tr>
        <w:trPr>
          <w:trHeight w:val="122"/>
        </w:trPr>
        <w:tc>
          <w:tcPr>
            <w:tcW w:w="2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(Class C Units) (100 units) (j)</w:t>
            </w:r>
          </w:p>
        </w:tc>
        <w:tc>
          <w:tcPr>
            <w:tcW w:w="326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12/31/2020</w:t>
            </w:r>
          </w:p>
        </w:tc>
        <w:tc>
          <w:tcPr>
            <w:tcW w:w="88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5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tcBorders>
              <w:bottom w:val="single" w:sz="8" w:color="CFF0FC"/>
            </w:tcBorders>
            <w:shd w:val="clear" w:color="auto" w:fill="CFF0FC"/>
          </w:tcPr>
          <w:p>
            <w:pPr>
              <w:spacing w:after="0"/>
              <w:rPr>
                <w:sz w:val="10"/>
                <w:szCs w:val="10"/>
                <w:color w:val="auto"/>
              </w:rPr>
            </w:pPr>
          </w:p>
        </w:tc>
      </w:tr>
      <w:tr>
        <w:trPr>
          <w:trHeight w:val="114"/>
        </w:trPr>
        <w:tc>
          <w:tcPr>
            <w:tcW w:w="26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9"/>
                <w:szCs w:val="9"/>
                <w:color w:val="auto"/>
              </w:rPr>
            </w:pPr>
          </w:p>
        </w:tc>
        <w:tc>
          <w:tcPr>
            <w:tcW w:w="5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Global Plasma Solutions, Inc.</w:t>
            </w:r>
          </w:p>
        </w:tc>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Component Manufacturing</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(947 shares) (j)</w:t>
            </w: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9/21/2018</w:t>
            </w: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52</w:t>
            </w:r>
          </w:p>
        </w:tc>
        <w:tc>
          <w:tcPr>
            <w:tcW w:w="680" w:type="dxa"/>
            <w:vAlign w:val="bottom"/>
            <w:gridSpan w:val="2"/>
          </w:tcPr>
          <w:p>
            <w:pPr>
              <w:jc w:val="right"/>
              <w:ind w:right="75"/>
              <w:spacing w:after="0"/>
              <w:rPr>
                <w:sz w:val="20"/>
                <w:szCs w:val="20"/>
                <w:color w:val="auto"/>
              </w:rPr>
            </w:pPr>
            <w:r>
              <w:rPr>
                <w:rFonts w:ascii="Times New Roman" w:cs="Times New Roman" w:eastAsia="Times New Roman" w:hAnsi="Times New Roman"/>
                <w:sz w:val="9"/>
                <w:szCs w:val="9"/>
                <w:color w:val="auto"/>
              </w:rPr>
              <w:t>373</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GP&amp;C Operations, LLC (dba Garlock Printing and Converting)</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Component Manufacturing</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(w)</w:t>
            </w:r>
          </w:p>
        </w:tc>
        <w:tc>
          <w:tcPr>
            <w:tcW w:w="326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9"/>
                <w:szCs w:val="9"/>
                <w:color w:val="auto"/>
              </w:rPr>
              <w:t>(L + 8.25%) / (1.00%)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11.33%/0.00%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1/22/2021</w:t>
            </w:r>
          </w:p>
        </w:tc>
        <w:tc>
          <w:tcPr>
            <w:tcW w:w="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1/22/2026</w:t>
            </w:r>
          </w:p>
        </w:tc>
        <w:tc>
          <w:tcPr>
            <w:tcW w:w="7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11,000</w:t>
            </w: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10,890</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11,000</w:t>
            </w:r>
          </w:p>
        </w:tc>
        <w:tc>
          <w:tcPr>
            <w:tcW w:w="740" w:type="dxa"/>
            <w:vAlign w:val="bottom"/>
            <w:shd w:val="clear" w:color="auto" w:fill="CFF0FC"/>
          </w:tcPr>
          <w:p>
            <w:pPr>
              <w:spacing w:after="0"/>
              <w:rPr>
                <w:sz w:val="10"/>
                <w:szCs w:val="10"/>
                <w:color w:val="auto"/>
              </w:rPr>
            </w:pPr>
          </w:p>
        </w:tc>
      </w:tr>
      <w:tr>
        <w:trPr>
          <w:trHeight w:val="122"/>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(515,625 units) (h)(j)</w:t>
            </w: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1/22/2021</w:t>
            </w: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516</w:t>
            </w:r>
          </w:p>
        </w:tc>
        <w:tc>
          <w:tcPr>
            <w:tcW w:w="120" w:type="dxa"/>
            <w:vAlign w:val="bottom"/>
          </w:tcPr>
          <w:p>
            <w:pPr>
              <w:spacing w:after="0"/>
              <w:rPr>
                <w:sz w:val="10"/>
                <w:szCs w:val="10"/>
                <w:color w:val="auto"/>
              </w:rPr>
            </w:pPr>
          </w:p>
        </w:tc>
        <w:tc>
          <w:tcPr>
            <w:tcW w:w="5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334</w:t>
            </w:r>
          </w:p>
        </w:tc>
        <w:tc>
          <w:tcPr>
            <w:tcW w:w="74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11,406</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11,334</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Green Cubes Technology, LLC (dba Green Cubes)</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26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9"/>
                <w:szCs w:val="9"/>
                <w:color w:val="auto"/>
              </w:rPr>
              <w:t>(L + 13.00%) / (0.00%)</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12/17/2021</w:t>
            </w:r>
          </w:p>
        </w:tc>
        <w:tc>
          <w:tcPr>
            <w:tcW w:w="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12/17/2024</w:t>
            </w:r>
          </w:p>
        </w:tc>
        <w:tc>
          <w:tcPr>
            <w:tcW w:w="7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13,000</w:t>
            </w: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12,946</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13,000</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1"/>
        </w:trPr>
        <w:tc>
          <w:tcPr>
            <w:tcW w:w="26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Gurobi Optimization, LLC</w:t>
            </w:r>
          </w:p>
        </w:tc>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(3 shares)</w:t>
            </w: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12/19/2017</w:t>
            </w: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605</w:t>
            </w:r>
          </w:p>
        </w:tc>
        <w:tc>
          <w:tcPr>
            <w:tcW w:w="680" w:type="dxa"/>
            <w:vAlign w:val="bottom"/>
            <w:gridSpan w:val="2"/>
          </w:tcPr>
          <w:p>
            <w:pPr>
              <w:jc w:val="right"/>
              <w:ind w:right="75"/>
              <w:spacing w:after="0"/>
              <w:rPr>
                <w:sz w:val="20"/>
                <w:szCs w:val="20"/>
                <w:color w:val="auto"/>
              </w:rPr>
            </w:pPr>
            <w:r>
              <w:rPr>
                <w:rFonts w:ascii="Times New Roman" w:cs="Times New Roman" w:eastAsia="Times New Roman" w:hAnsi="Times New Roman"/>
                <w:sz w:val="9"/>
                <w:szCs w:val="9"/>
                <w:color w:val="auto"/>
              </w:rPr>
              <w:t>2,160</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Haematologic Technologies, Inc.</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Healthcare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(x)</w:t>
            </w:r>
          </w:p>
        </w:tc>
        <w:tc>
          <w:tcPr>
            <w:tcW w:w="326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9"/>
                <w:szCs w:val="9"/>
                <w:color w:val="auto"/>
              </w:rPr>
              <w:t>(L + 8.25%) / (2.00%)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11.92%/0.00%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10/11/2019</w:t>
            </w:r>
          </w:p>
        </w:tc>
        <w:tc>
          <w:tcPr>
            <w:tcW w:w="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10/11/2024</w:t>
            </w:r>
          </w:p>
        </w:tc>
        <w:tc>
          <w:tcPr>
            <w:tcW w:w="7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5,378</w:t>
            </w: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5,361</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5,378</w:t>
            </w:r>
          </w:p>
        </w:tc>
        <w:tc>
          <w:tcPr>
            <w:tcW w:w="740" w:type="dxa"/>
            <w:vAlign w:val="bottom"/>
            <w:shd w:val="clear" w:color="auto" w:fill="CFF0FC"/>
          </w:tcPr>
          <w:p>
            <w:pPr>
              <w:spacing w:after="0"/>
              <w:rPr>
                <w:sz w:val="10"/>
                <w:szCs w:val="10"/>
                <w:color w:val="auto"/>
              </w:rPr>
            </w:pPr>
          </w:p>
        </w:tc>
      </w:tr>
      <w:tr>
        <w:trPr>
          <w:trHeight w:val="122"/>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(630 units) (h)(j)</w:t>
            </w: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10/11/2019</w:t>
            </w: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630</w:t>
            </w:r>
          </w:p>
        </w:tc>
        <w:tc>
          <w:tcPr>
            <w:tcW w:w="120" w:type="dxa"/>
            <w:vAlign w:val="bottom"/>
          </w:tcPr>
          <w:p>
            <w:pPr>
              <w:spacing w:after="0"/>
              <w:rPr>
                <w:sz w:val="10"/>
                <w:szCs w:val="10"/>
                <w:color w:val="auto"/>
              </w:rPr>
            </w:pPr>
          </w:p>
        </w:tc>
        <w:tc>
          <w:tcPr>
            <w:tcW w:w="5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214</w:t>
            </w:r>
          </w:p>
        </w:tc>
        <w:tc>
          <w:tcPr>
            <w:tcW w:w="74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5,991</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5,592</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Hallmark Health Care Solutions, Inc.</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Healthcare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(j)(ae)</w:t>
            </w:r>
          </w:p>
        </w:tc>
        <w:tc>
          <w:tcPr>
            <w:tcW w:w="326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9"/>
                <w:szCs w:val="9"/>
                <w:color w:val="auto"/>
              </w:rPr>
              <w:t>(L + 7.25%) / (1.50%)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9.53%/0.00%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12/4/2020</w:t>
            </w:r>
          </w:p>
        </w:tc>
        <w:tc>
          <w:tcPr>
            <w:tcW w:w="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12/4/2025</w:t>
            </w:r>
          </w:p>
        </w:tc>
        <w:tc>
          <w:tcPr>
            <w:tcW w:w="7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8,380</w:t>
            </w: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8,340</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8,380</w:t>
            </w:r>
          </w:p>
        </w:tc>
        <w:tc>
          <w:tcPr>
            <w:tcW w:w="740" w:type="dxa"/>
            <w:vAlign w:val="bottom"/>
            <w:shd w:val="clear" w:color="auto" w:fill="CFF0FC"/>
          </w:tcPr>
          <w:p>
            <w:pPr>
              <w:spacing w:after="0"/>
              <w:rPr>
                <w:sz w:val="10"/>
                <w:szCs w:val="10"/>
                <w:color w:val="auto"/>
              </w:rPr>
            </w:pPr>
          </w:p>
        </w:tc>
      </w:tr>
      <w:tr>
        <w:trPr>
          <w:trHeight w:val="122"/>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(750,000 units) (j)</w:t>
            </w: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12/4/2020</w:t>
            </w: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750</w:t>
            </w:r>
          </w:p>
        </w:tc>
        <w:tc>
          <w:tcPr>
            <w:tcW w:w="120" w:type="dxa"/>
            <w:vAlign w:val="bottom"/>
          </w:tcPr>
          <w:p>
            <w:pPr>
              <w:spacing w:after="0"/>
              <w:rPr>
                <w:sz w:val="10"/>
                <w:szCs w:val="10"/>
                <w:color w:val="auto"/>
              </w:rPr>
            </w:pPr>
          </w:p>
        </w:tc>
        <w:tc>
          <w:tcPr>
            <w:tcW w:w="5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4,117</w:t>
            </w:r>
          </w:p>
        </w:tc>
        <w:tc>
          <w:tcPr>
            <w:tcW w:w="74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9,090</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12,497</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Healthfuse, LLC</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Healthcare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(197,980 units)</w:t>
            </w: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11/13/2020</w:t>
            </w: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748</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1,397</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1"/>
        </w:trPr>
        <w:tc>
          <w:tcPr>
            <w:tcW w:w="26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Hub Acquisition Sub, LLC (dba Hub Pen)</w:t>
            </w:r>
          </w:p>
        </w:tc>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Promotional products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 (k)</w:t>
            </w:r>
          </w:p>
        </w:tc>
        <w:tc>
          <w:tcPr>
            <w:tcW w:w="3260" w:type="dxa"/>
            <w:vAlign w:val="bottom"/>
          </w:tcPr>
          <w:p>
            <w:pPr>
              <w:spacing w:after="0"/>
              <w:rPr>
                <w:sz w:val="10"/>
                <w:szCs w:val="10"/>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13.00%/0.00%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3/23/2016</w:t>
            </w:r>
          </w:p>
        </w:tc>
        <w:tc>
          <w:tcPr>
            <w:tcW w:w="8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3/31/2023</w:t>
            </w:r>
          </w:p>
        </w:tc>
        <w:tc>
          <w:tcPr>
            <w:tcW w:w="76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25,000</w:t>
            </w: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24,995</w:t>
            </w:r>
          </w:p>
        </w:tc>
        <w:tc>
          <w:tcPr>
            <w:tcW w:w="680" w:type="dxa"/>
            <w:vAlign w:val="bottom"/>
            <w:gridSpan w:val="2"/>
          </w:tcPr>
          <w:p>
            <w:pPr>
              <w:jc w:val="right"/>
              <w:ind w:right="75"/>
              <w:spacing w:after="0"/>
              <w:rPr>
                <w:sz w:val="20"/>
                <w:szCs w:val="20"/>
                <w:color w:val="auto"/>
              </w:rPr>
            </w:pPr>
            <w:r>
              <w:rPr>
                <w:rFonts w:ascii="Times New Roman" w:cs="Times New Roman" w:eastAsia="Times New Roman" w:hAnsi="Times New Roman"/>
                <w:sz w:val="9"/>
                <w:szCs w:val="9"/>
                <w:color w:val="auto"/>
              </w:rPr>
              <w:t>24,782</w:t>
            </w: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(3,750 units)</w:t>
            </w: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3/23/2016</w:t>
            </w: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91</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552</w:t>
            </w: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(868 units) (j)</w:t>
            </w: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10/16/2020</w:t>
            </w: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153</w:t>
            </w:r>
          </w:p>
        </w:tc>
        <w:tc>
          <w:tcPr>
            <w:tcW w:w="120" w:type="dxa"/>
            <w:vAlign w:val="bottom"/>
          </w:tcPr>
          <w:p>
            <w:pPr>
              <w:spacing w:after="0"/>
              <w:rPr>
                <w:sz w:val="10"/>
                <w:szCs w:val="10"/>
                <w:color w:val="auto"/>
              </w:rPr>
            </w:pPr>
          </w:p>
        </w:tc>
        <w:tc>
          <w:tcPr>
            <w:tcW w:w="5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196</w:t>
            </w:r>
          </w:p>
        </w:tc>
        <w:tc>
          <w:tcPr>
            <w:tcW w:w="74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25,239</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25,530</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IBH Holdings, LLC (fka Inflexxion, Inc.)</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Business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(150,000 units)</w:t>
            </w: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6/20/2018</w:t>
            </w: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309</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1"/>
        </w:trPr>
        <w:tc>
          <w:tcPr>
            <w:tcW w:w="26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1"/>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Ipro Tech, LLC</w:t>
            </w:r>
          </w:p>
        </w:tc>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(j)(u)</w:t>
            </w:r>
          </w:p>
        </w:tc>
        <w:tc>
          <w:tcPr>
            <w:tcW w:w="3260" w:type="dxa"/>
            <w:vAlign w:val="bottom"/>
          </w:tcPr>
          <w:p>
            <w:pPr>
              <w:ind w:left="2220"/>
              <w:spacing w:after="0"/>
              <w:rPr>
                <w:sz w:val="20"/>
                <w:szCs w:val="20"/>
                <w:color w:val="auto"/>
              </w:rPr>
            </w:pPr>
            <w:r>
              <w:rPr>
                <w:rFonts w:ascii="Times New Roman" w:cs="Times New Roman" w:eastAsia="Times New Roman" w:hAnsi="Times New Roman"/>
                <w:sz w:val="9"/>
                <w:szCs w:val="9"/>
                <w:color w:val="auto"/>
              </w:rPr>
              <w:t>(S + 7.00%) / (1.00%)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10.15%/1.00%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6/30/2020</w:t>
            </w:r>
          </w:p>
        </w:tc>
        <w:tc>
          <w:tcPr>
            <w:tcW w:w="8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7/28/2025</w:t>
            </w:r>
          </w:p>
        </w:tc>
        <w:tc>
          <w:tcPr>
            <w:tcW w:w="76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19,674</w:t>
            </w: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18,917</w:t>
            </w:r>
          </w:p>
        </w:tc>
        <w:tc>
          <w:tcPr>
            <w:tcW w:w="680" w:type="dxa"/>
            <w:vAlign w:val="bottom"/>
            <w:gridSpan w:val="2"/>
          </w:tcPr>
          <w:p>
            <w:pPr>
              <w:jc w:val="right"/>
              <w:ind w:right="75"/>
              <w:spacing w:after="0"/>
              <w:rPr>
                <w:sz w:val="20"/>
                <w:szCs w:val="20"/>
                <w:color w:val="auto"/>
              </w:rPr>
            </w:pPr>
            <w:r>
              <w:rPr>
                <w:rFonts w:ascii="Times New Roman" w:cs="Times New Roman" w:eastAsia="Times New Roman" w:hAnsi="Times New Roman"/>
                <w:sz w:val="9"/>
                <w:szCs w:val="9"/>
                <w:color w:val="auto"/>
              </w:rPr>
              <w:t>19,673</w:t>
            </w:r>
          </w:p>
        </w:tc>
        <w:tc>
          <w:tcPr>
            <w:tcW w:w="740" w:type="dxa"/>
            <w:vAlign w:val="bottom"/>
          </w:tcPr>
          <w:p>
            <w:pPr>
              <w:spacing w:after="0"/>
              <w:rPr>
                <w:sz w:val="10"/>
                <w:szCs w:val="10"/>
                <w:color w:val="auto"/>
              </w:rPr>
            </w:pPr>
          </w:p>
        </w:tc>
      </w:tr>
      <w:tr>
        <w:trPr>
          <w:trHeight w:val="122"/>
        </w:trPr>
        <w:tc>
          <w:tcPr>
            <w:tcW w:w="2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(j)</w:t>
            </w:r>
          </w:p>
        </w:tc>
        <w:tc>
          <w:tcPr>
            <w:tcW w:w="326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7/28/2021</w:t>
            </w:r>
          </w:p>
        </w:tc>
        <w:tc>
          <w:tcPr>
            <w:tcW w:w="88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682</w:t>
            </w:r>
          </w:p>
        </w:tc>
        <w:tc>
          <w:tcPr>
            <w:tcW w:w="120" w:type="dxa"/>
            <w:vAlign w:val="bottom"/>
            <w:tcBorders>
              <w:bottom w:val="single" w:sz="8" w:color="CFF0FC"/>
            </w:tcBorders>
            <w:shd w:val="clear" w:color="auto" w:fill="CFF0FC"/>
          </w:tcPr>
          <w:p>
            <w:pPr>
              <w:spacing w:after="0"/>
              <w:rPr>
                <w:sz w:val="10"/>
                <w:szCs w:val="10"/>
                <w:color w:val="auto"/>
              </w:rPr>
            </w:pPr>
          </w:p>
        </w:tc>
        <w:tc>
          <w:tcPr>
            <w:tcW w:w="5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1,023</w:t>
            </w:r>
          </w:p>
        </w:tc>
        <w:tc>
          <w:tcPr>
            <w:tcW w:w="740" w:type="dxa"/>
            <w:vAlign w:val="bottom"/>
            <w:tcBorders>
              <w:bottom w:val="single" w:sz="8" w:color="CFF0FC"/>
            </w:tcBorders>
            <w:shd w:val="clear" w:color="auto" w:fill="CFF0FC"/>
          </w:tcPr>
          <w:p>
            <w:pPr>
              <w:spacing w:after="0"/>
              <w:rPr>
                <w:sz w:val="10"/>
                <w:szCs w:val="10"/>
                <w:color w:val="auto"/>
              </w:rPr>
            </w:pPr>
          </w:p>
        </w:tc>
      </w:tr>
      <w:tr>
        <w:trPr>
          <w:trHeight w:val="115"/>
        </w:trPr>
        <w:tc>
          <w:tcPr>
            <w:tcW w:w="26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19,599</w:t>
            </w:r>
          </w:p>
        </w:tc>
        <w:tc>
          <w:tcPr>
            <w:tcW w:w="680" w:type="dxa"/>
            <w:vAlign w:val="bottom"/>
            <w:gridSpan w:val="2"/>
          </w:tcPr>
          <w:p>
            <w:pPr>
              <w:jc w:val="right"/>
              <w:ind w:right="75"/>
              <w:spacing w:after="0"/>
              <w:rPr>
                <w:sz w:val="20"/>
                <w:szCs w:val="20"/>
                <w:color w:val="auto"/>
              </w:rPr>
            </w:pPr>
            <w:r>
              <w:rPr>
                <w:rFonts w:ascii="Times New Roman" w:cs="Times New Roman" w:eastAsia="Times New Roman" w:hAnsi="Times New Roman"/>
                <w:sz w:val="9"/>
                <w:szCs w:val="9"/>
                <w:color w:val="auto"/>
              </w:rPr>
              <w:t>20,696</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ISI PSG Holdings, LLC (dba Incentive Solutions, Inc.)</w:t>
            </w:r>
          </w:p>
        </w:tc>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Business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(j)(aj)</w:t>
            </w:r>
          </w:p>
        </w:tc>
        <w:tc>
          <w:tcPr>
            <w:tcW w:w="3260" w:type="dxa"/>
            <w:vAlign w:val="bottom"/>
          </w:tcPr>
          <w:p>
            <w:pPr>
              <w:ind w:left="2220"/>
              <w:spacing w:after="0"/>
              <w:rPr>
                <w:sz w:val="20"/>
                <w:szCs w:val="20"/>
                <w:color w:val="auto"/>
              </w:rPr>
            </w:pPr>
            <w:r>
              <w:rPr>
                <w:rFonts w:ascii="Times New Roman" w:cs="Times New Roman" w:eastAsia="Times New Roman" w:hAnsi="Times New Roman"/>
                <w:sz w:val="9"/>
                <w:szCs w:val="9"/>
                <w:color w:val="auto"/>
              </w:rPr>
              <w:t>(L + 7.50%) / (0.50%)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9.78%/0.00%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4/5/2021</w:t>
            </w:r>
          </w:p>
        </w:tc>
        <w:tc>
          <w:tcPr>
            <w:tcW w:w="8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4/5/2026</w:t>
            </w:r>
          </w:p>
        </w:tc>
        <w:tc>
          <w:tcPr>
            <w:tcW w:w="76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12,261</w:t>
            </w: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12,187</w:t>
            </w:r>
          </w:p>
        </w:tc>
        <w:tc>
          <w:tcPr>
            <w:tcW w:w="680" w:type="dxa"/>
            <w:vAlign w:val="bottom"/>
            <w:gridSpan w:val="2"/>
          </w:tcPr>
          <w:p>
            <w:pPr>
              <w:jc w:val="right"/>
              <w:ind w:right="75"/>
              <w:spacing w:after="0"/>
              <w:rPr>
                <w:sz w:val="20"/>
                <w:szCs w:val="20"/>
                <w:color w:val="auto"/>
              </w:rPr>
            </w:pPr>
            <w:r>
              <w:rPr>
                <w:rFonts w:ascii="Times New Roman" w:cs="Times New Roman" w:eastAsia="Times New Roman" w:hAnsi="Times New Roman"/>
                <w:sz w:val="9"/>
                <w:szCs w:val="9"/>
                <w:color w:val="auto"/>
              </w:rPr>
              <w:t>12,175</w:t>
            </w: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(j)(an)</w:t>
            </w:r>
          </w:p>
        </w:tc>
        <w:tc>
          <w:tcPr>
            <w:tcW w:w="326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9"/>
                <w:szCs w:val="9"/>
                <w:color w:val="auto"/>
              </w:rPr>
              <w:t>(L + 7.50%) / (0.50%)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9.78%/0.00%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6/30/2021</w:t>
            </w:r>
          </w:p>
        </w:tc>
        <w:tc>
          <w:tcPr>
            <w:tcW w:w="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4/5/2026</w:t>
            </w:r>
          </w:p>
        </w:tc>
        <w:tc>
          <w:tcPr>
            <w:tcW w:w="7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13,078</w:t>
            </w: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13,078</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12,994</w:t>
            </w: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(256,964 units) (h)(j)</w:t>
            </w: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4/5/2021</w:t>
            </w: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500</w:t>
            </w:r>
          </w:p>
        </w:tc>
        <w:tc>
          <w:tcPr>
            <w:tcW w:w="120" w:type="dxa"/>
            <w:vAlign w:val="bottom"/>
          </w:tcPr>
          <w:p>
            <w:pPr>
              <w:spacing w:after="0"/>
              <w:rPr>
                <w:sz w:val="10"/>
                <w:szCs w:val="10"/>
                <w:color w:val="auto"/>
              </w:rPr>
            </w:pPr>
          </w:p>
        </w:tc>
        <w:tc>
          <w:tcPr>
            <w:tcW w:w="5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666</w:t>
            </w:r>
          </w:p>
        </w:tc>
        <w:tc>
          <w:tcPr>
            <w:tcW w:w="74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25,765</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25,835</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K2 Merger Agreement Agent, LLC (fka K2 Industrial Services, Inc.) (n)</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Industrial Cleaning &amp; Coatings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(j) (y)</w:t>
            </w: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0.00%/10.00%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1/28/2019</w:t>
            </w:r>
          </w:p>
        </w:tc>
        <w:tc>
          <w:tcPr>
            <w:tcW w:w="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1/28/2023</w:t>
            </w:r>
          </w:p>
        </w:tc>
        <w:tc>
          <w:tcPr>
            <w:tcW w:w="7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2,368</w:t>
            </w: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2,368</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2,169</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1"/>
        </w:trPr>
        <w:tc>
          <w:tcPr>
            <w:tcW w:w="26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The Kyjen Company, LLC (dba Outward Hound)</w:t>
            </w:r>
          </w:p>
        </w:tc>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Consumer Products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(855 shares) (j)</w:t>
            </w: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12/8/2017</w:t>
            </w: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933</w:t>
            </w:r>
          </w:p>
        </w:tc>
        <w:tc>
          <w:tcPr>
            <w:tcW w:w="680" w:type="dxa"/>
            <w:vAlign w:val="bottom"/>
            <w:gridSpan w:val="2"/>
          </w:tcPr>
          <w:p>
            <w:pPr>
              <w:jc w:val="right"/>
              <w:ind w:right="75"/>
              <w:spacing w:after="0"/>
              <w:rPr>
                <w:sz w:val="20"/>
                <w:szCs w:val="20"/>
                <w:color w:val="auto"/>
              </w:rPr>
            </w:pPr>
            <w:r>
              <w:rPr>
                <w:rFonts w:ascii="Times New Roman" w:cs="Times New Roman" w:eastAsia="Times New Roman" w:hAnsi="Times New Roman"/>
                <w:sz w:val="9"/>
                <w:szCs w:val="9"/>
                <w:color w:val="auto"/>
              </w:rPr>
              <w:t>468</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Level Education Group, LLC (dba CE4Less)</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Business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(ak)</w:t>
            </w:r>
          </w:p>
        </w:tc>
        <w:tc>
          <w:tcPr>
            <w:tcW w:w="326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9"/>
                <w:szCs w:val="9"/>
                <w:color w:val="auto"/>
              </w:rPr>
              <w:t>(L + 6.75%) / (0.50%)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9.03%/0.00%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4/1/2021</w:t>
            </w:r>
          </w:p>
        </w:tc>
        <w:tc>
          <w:tcPr>
            <w:tcW w:w="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4/1/2026</w:t>
            </w:r>
          </w:p>
        </w:tc>
        <w:tc>
          <w:tcPr>
            <w:tcW w:w="7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5,199</w:t>
            </w: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5,170</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5,199</w:t>
            </w: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(1,000,000 units) (j)</w:t>
            </w: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4/1/2021</w:t>
            </w: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1,000</w:t>
            </w:r>
          </w:p>
        </w:tc>
        <w:tc>
          <w:tcPr>
            <w:tcW w:w="120" w:type="dxa"/>
            <w:vAlign w:val="bottom"/>
          </w:tcPr>
          <w:p>
            <w:pPr>
              <w:spacing w:after="0"/>
              <w:rPr>
                <w:sz w:val="10"/>
                <w:szCs w:val="10"/>
                <w:color w:val="auto"/>
              </w:rPr>
            </w:pPr>
          </w:p>
        </w:tc>
        <w:tc>
          <w:tcPr>
            <w:tcW w:w="5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1,227</w:t>
            </w:r>
          </w:p>
        </w:tc>
        <w:tc>
          <w:tcPr>
            <w:tcW w:w="7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-8057515</wp:posOffset>
            </wp:positionV>
            <wp:extent cx="4025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-8057515</wp:posOffset>
            </wp:positionV>
            <wp:extent cx="68580" cy="857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-7740015</wp:posOffset>
            </wp:positionV>
            <wp:extent cx="4025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0259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-7740015</wp:posOffset>
            </wp:positionV>
            <wp:extent cx="68580" cy="857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-7362825</wp:posOffset>
            </wp:positionV>
            <wp:extent cx="4025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-7362825</wp:posOffset>
            </wp:positionV>
            <wp:extent cx="68580" cy="857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-4688205</wp:posOffset>
            </wp:positionV>
            <wp:extent cx="4025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0259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-4688205</wp:posOffset>
            </wp:positionV>
            <wp:extent cx="68580" cy="857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-4002405</wp:posOffset>
            </wp:positionV>
            <wp:extent cx="4025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0259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-4002405</wp:posOffset>
            </wp:positionV>
            <wp:extent cx="68580" cy="857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-1182370</wp:posOffset>
            </wp:positionV>
            <wp:extent cx="4025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0259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-1182370</wp:posOffset>
            </wp:positionV>
            <wp:extent cx="68580" cy="857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572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4" w:right="339" w:bottom="96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35"/>
        </w:trPr>
        <w:tc>
          <w:tcPr>
            <w:tcW w:w="2620" w:type="dxa"/>
            <w:vAlign w:val="bottom"/>
            <w:tcBorders>
              <w:top w:val="single" w:sz="8" w:color="CFF0FC"/>
            </w:tcBorders>
            <w:shd w:val="clear" w:color="auto" w:fill="CFF0FC"/>
          </w:tcPr>
          <w:p>
            <w:pPr>
              <w:spacing w:after="0"/>
              <w:rPr>
                <w:sz w:val="11"/>
                <w:szCs w:val="11"/>
                <w:color w:val="auto"/>
              </w:rPr>
            </w:pPr>
          </w:p>
        </w:tc>
        <w:tc>
          <w:tcPr>
            <w:tcW w:w="3260" w:type="dxa"/>
            <w:vAlign w:val="bottom"/>
            <w:tcBorders>
              <w:top w:val="single" w:sz="8" w:color="CFF0FC"/>
            </w:tcBorders>
            <w:shd w:val="clear" w:color="auto" w:fill="CFF0FC"/>
          </w:tcPr>
          <w:p>
            <w:pPr>
              <w:spacing w:after="0"/>
              <w:rPr>
                <w:sz w:val="11"/>
                <w:szCs w:val="11"/>
                <w:color w:val="auto"/>
              </w:rPr>
            </w:pPr>
          </w:p>
        </w:tc>
        <w:tc>
          <w:tcPr>
            <w:tcW w:w="920" w:type="dxa"/>
            <w:vAlign w:val="bottom"/>
            <w:tcBorders>
              <w:top w:val="single" w:sz="8" w:color="CFF0FC"/>
            </w:tcBorders>
            <w:shd w:val="clear" w:color="auto" w:fill="CFF0FC"/>
          </w:tcPr>
          <w:p>
            <w:pPr>
              <w:spacing w:after="0"/>
              <w:rPr>
                <w:sz w:val="11"/>
                <w:szCs w:val="11"/>
                <w:color w:val="auto"/>
              </w:rPr>
            </w:pPr>
          </w:p>
        </w:tc>
        <w:tc>
          <w:tcPr>
            <w:tcW w:w="80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CFF0FC"/>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6,170</w:t>
            </w:r>
          </w:p>
        </w:tc>
        <w:tc>
          <w:tcPr>
            <w:tcW w:w="120" w:type="dxa"/>
            <w:vAlign w:val="bottom"/>
            <w:tcBorders>
              <w:top w:val="single" w:sz="8" w:color="CFF0FC"/>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6,426</w:t>
            </w:r>
          </w:p>
        </w:tc>
        <w:tc>
          <w:tcPr>
            <w:tcW w:w="7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LifeSpan Biosciences, Inc.</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Healthcare Products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11.50%/0.00%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3/19/2021</w:t>
            </w:r>
          </w:p>
        </w:tc>
        <w:tc>
          <w:tcPr>
            <w:tcW w:w="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9/19/2026</w:t>
            </w:r>
          </w:p>
        </w:tc>
        <w:tc>
          <w:tcPr>
            <w:tcW w:w="7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16,000</w:t>
            </w: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15,942</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16,000</w:t>
            </w:r>
          </w:p>
        </w:tc>
        <w:tc>
          <w:tcPr>
            <w:tcW w:w="740" w:type="dxa"/>
            <w:vAlign w:val="bottom"/>
            <w:shd w:val="clear" w:color="auto" w:fill="CFF0FC"/>
          </w:tcPr>
          <w:p>
            <w:pPr>
              <w:spacing w:after="0"/>
              <w:rPr>
                <w:sz w:val="10"/>
                <w:szCs w:val="10"/>
                <w:color w:val="auto"/>
              </w:rPr>
            </w:pPr>
          </w:p>
        </w:tc>
      </w:tr>
      <w:tr>
        <w:trPr>
          <w:trHeight w:val="122"/>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(100 shares) (j)</w:t>
            </w: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3/19/2021</w:t>
            </w: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1,000</w:t>
            </w:r>
          </w:p>
        </w:tc>
        <w:tc>
          <w:tcPr>
            <w:tcW w:w="120" w:type="dxa"/>
            <w:vAlign w:val="bottom"/>
          </w:tcPr>
          <w:p>
            <w:pPr>
              <w:spacing w:after="0"/>
              <w:rPr>
                <w:sz w:val="10"/>
                <w:szCs w:val="10"/>
                <w:color w:val="auto"/>
              </w:rPr>
            </w:pPr>
          </w:p>
        </w:tc>
        <w:tc>
          <w:tcPr>
            <w:tcW w:w="5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753</w:t>
            </w:r>
          </w:p>
        </w:tc>
        <w:tc>
          <w:tcPr>
            <w:tcW w:w="74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16,942</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16,753</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Magenta Buyer LLC (dba Trellix)</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326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9"/>
                <w:szCs w:val="9"/>
                <w:color w:val="auto"/>
              </w:rPr>
              <w:t>(L + 8.25%) / (0.75%)</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7/19/2022</w:t>
            </w:r>
          </w:p>
        </w:tc>
        <w:tc>
          <w:tcPr>
            <w:tcW w:w="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7/27/2029</w:t>
            </w:r>
          </w:p>
        </w:tc>
        <w:tc>
          <w:tcPr>
            <w:tcW w:w="7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7,182</w:t>
            </w: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6,795</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6,795</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6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1"/>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MBS Opco, LLC (dba Marketron)</w:t>
            </w:r>
          </w:p>
        </w:tc>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260" w:type="dxa"/>
            <w:vAlign w:val="bottom"/>
          </w:tcPr>
          <w:p>
            <w:pPr>
              <w:ind w:left="2220"/>
              <w:spacing w:after="0"/>
              <w:rPr>
                <w:sz w:val="20"/>
                <w:szCs w:val="20"/>
                <w:color w:val="auto"/>
              </w:rPr>
            </w:pPr>
            <w:r>
              <w:rPr>
                <w:rFonts w:ascii="Times New Roman" w:cs="Times New Roman" w:eastAsia="Times New Roman" w:hAnsi="Times New Roman"/>
                <w:sz w:val="9"/>
                <w:szCs w:val="9"/>
                <w:color w:val="auto"/>
              </w:rPr>
              <w:t>(S + 8.50%) / (1.50%)</w:t>
            </w: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9/29/2022</w:t>
            </w:r>
          </w:p>
        </w:tc>
        <w:tc>
          <w:tcPr>
            <w:tcW w:w="8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9/28/2026</w:t>
            </w:r>
          </w:p>
        </w:tc>
        <w:tc>
          <w:tcPr>
            <w:tcW w:w="76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27,000</w:t>
            </w: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26,865</w:t>
            </w:r>
          </w:p>
        </w:tc>
        <w:tc>
          <w:tcPr>
            <w:tcW w:w="680" w:type="dxa"/>
            <w:vAlign w:val="bottom"/>
            <w:gridSpan w:val="2"/>
          </w:tcPr>
          <w:p>
            <w:pPr>
              <w:jc w:val="right"/>
              <w:ind w:right="75"/>
              <w:spacing w:after="0"/>
              <w:rPr>
                <w:sz w:val="20"/>
                <w:szCs w:val="20"/>
                <w:color w:val="auto"/>
              </w:rPr>
            </w:pPr>
            <w:r>
              <w:rPr>
                <w:rFonts w:ascii="Times New Roman" w:cs="Times New Roman" w:eastAsia="Times New Roman" w:hAnsi="Times New Roman"/>
                <w:sz w:val="9"/>
                <w:szCs w:val="9"/>
                <w:color w:val="auto"/>
              </w:rPr>
              <w:t>26,865</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6 %</w:t>
            </w:r>
          </w:p>
        </w:tc>
      </w:tr>
      <w:tr>
        <w:trPr>
          <w:trHeight w:val="122"/>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99"/>
        </w:trPr>
        <w:tc>
          <w:tcPr>
            <w:tcW w:w="2620" w:type="dxa"/>
            <w:vAlign w:val="bottom"/>
          </w:tcPr>
          <w:p>
            <w:pPr>
              <w:ind w:left="20"/>
              <w:spacing w:after="0" w:line="99" w:lineRule="exact"/>
              <w:rPr>
                <w:sz w:val="20"/>
                <w:szCs w:val="20"/>
                <w:color w:val="auto"/>
              </w:rPr>
            </w:pPr>
            <w:r>
              <w:rPr>
                <w:rFonts w:ascii="Times New Roman" w:cs="Times New Roman" w:eastAsia="Times New Roman" w:hAnsi="Times New Roman"/>
                <w:sz w:val="9"/>
                <w:szCs w:val="9"/>
                <w:i w:val="1"/>
                <w:iCs w:val="1"/>
                <w:color w:val="auto"/>
              </w:rPr>
              <w:t>Micronics Filtration Holdings, Inc. (dba Micronics Engineered</w:t>
            </w:r>
          </w:p>
        </w:tc>
        <w:tc>
          <w:tcPr>
            <w:tcW w:w="3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r>
      <w:tr>
        <w:trPr>
          <w:trHeight w:val="117"/>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Filtration Group, Inc.)</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Component Manufacturing</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(k) (as)</w:t>
            </w:r>
          </w:p>
        </w:tc>
        <w:tc>
          <w:tcPr>
            <w:tcW w:w="326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9"/>
                <w:szCs w:val="9"/>
                <w:color w:val="auto"/>
              </w:rPr>
              <w:t>(S + 5.50%) / (0.50%)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7.88%/0.00%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2/17/2022</w:t>
            </w:r>
          </w:p>
        </w:tc>
        <w:tc>
          <w:tcPr>
            <w:tcW w:w="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2/17/2027</w:t>
            </w:r>
          </w:p>
        </w:tc>
        <w:tc>
          <w:tcPr>
            <w:tcW w:w="7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16,520</w:t>
            </w: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16,412</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16,520</w:t>
            </w:r>
          </w:p>
        </w:tc>
        <w:tc>
          <w:tcPr>
            <w:tcW w:w="740" w:type="dxa"/>
            <w:vAlign w:val="bottom"/>
            <w:shd w:val="clear" w:color="auto" w:fill="CFF0FC"/>
          </w:tcPr>
          <w:p>
            <w:pPr>
              <w:spacing w:after="0"/>
              <w:rPr>
                <w:sz w:val="10"/>
                <w:szCs w:val="10"/>
                <w:color w:val="auto"/>
              </w:rPr>
            </w:pPr>
          </w:p>
        </w:tc>
      </w:tr>
      <w:tr>
        <w:trPr>
          <w:trHeight w:val="122"/>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(14,400 units) (j)</w:t>
            </w: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2/17/2022</w:t>
            </w: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1,440</w:t>
            </w:r>
          </w:p>
        </w:tc>
        <w:tc>
          <w:tcPr>
            <w:tcW w:w="120" w:type="dxa"/>
            <w:vAlign w:val="bottom"/>
          </w:tcPr>
          <w:p>
            <w:pPr>
              <w:spacing w:after="0"/>
              <w:rPr>
                <w:sz w:val="10"/>
                <w:szCs w:val="10"/>
                <w:color w:val="auto"/>
              </w:rPr>
            </w:pPr>
          </w:p>
        </w:tc>
        <w:tc>
          <w:tcPr>
            <w:tcW w:w="5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2,689</w:t>
            </w:r>
          </w:p>
        </w:tc>
        <w:tc>
          <w:tcPr>
            <w:tcW w:w="74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17,852</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19,209</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Midwest Transit Equipment, Inc.</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Transportation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Warrant (7,192 shares) (j)(m)</w:t>
            </w: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6/23/2017</w:t>
            </w: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180</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302</w:t>
            </w:r>
          </w:p>
        </w:tc>
        <w:tc>
          <w:tcPr>
            <w:tcW w:w="740" w:type="dxa"/>
            <w:vAlign w:val="bottom"/>
            <w:shd w:val="clear" w:color="auto" w:fill="CFF0FC"/>
          </w:tcPr>
          <w:p>
            <w:pPr>
              <w:spacing w:after="0"/>
              <w:rPr>
                <w:sz w:val="10"/>
                <w:szCs w:val="10"/>
                <w:color w:val="auto"/>
              </w:rPr>
            </w:pPr>
          </w:p>
        </w:tc>
      </w:tr>
      <w:tr>
        <w:trPr>
          <w:trHeight w:val="122"/>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Warrant (4.79% of Junior Subordinated Notes) (j)(q)</w:t>
            </w: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6/23/2017</w:t>
            </w: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190</w:t>
            </w:r>
          </w:p>
        </w:tc>
        <w:tc>
          <w:tcPr>
            <w:tcW w:w="120" w:type="dxa"/>
            <w:vAlign w:val="bottom"/>
          </w:tcPr>
          <w:p>
            <w:pPr>
              <w:spacing w:after="0"/>
              <w:rPr>
                <w:sz w:val="10"/>
                <w:szCs w:val="10"/>
                <w:color w:val="auto"/>
              </w:rPr>
            </w:pPr>
          </w:p>
        </w:tc>
        <w:tc>
          <w:tcPr>
            <w:tcW w:w="5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277</w:t>
            </w:r>
          </w:p>
        </w:tc>
        <w:tc>
          <w:tcPr>
            <w:tcW w:w="74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370</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579</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Mobilewalla, Inc.</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26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9"/>
                <w:szCs w:val="9"/>
                <w:color w:val="auto"/>
              </w:rPr>
              <w:t>(L + 11.50%) / (0.50%)</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12/17/2021</w:t>
            </w:r>
          </w:p>
        </w:tc>
        <w:tc>
          <w:tcPr>
            <w:tcW w:w="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12/17/2024</w:t>
            </w:r>
          </w:p>
        </w:tc>
        <w:tc>
          <w:tcPr>
            <w:tcW w:w="7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5,715</w:t>
            </w: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5,694</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5,715</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6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Netbase Solutions, Inc. (dba Netbase Quid)</w:t>
            </w:r>
          </w:p>
        </w:tc>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(k)(ap)</w:t>
            </w:r>
          </w:p>
        </w:tc>
        <w:tc>
          <w:tcPr>
            <w:tcW w:w="3260" w:type="dxa"/>
            <w:vAlign w:val="bottom"/>
          </w:tcPr>
          <w:p>
            <w:pPr>
              <w:ind w:left="2220"/>
              <w:spacing w:after="0"/>
              <w:rPr>
                <w:sz w:val="20"/>
                <w:szCs w:val="20"/>
                <w:color w:val="auto"/>
              </w:rPr>
            </w:pPr>
            <w:r>
              <w:rPr>
                <w:rFonts w:ascii="Times New Roman" w:cs="Times New Roman" w:eastAsia="Times New Roman" w:hAnsi="Times New Roman"/>
                <w:sz w:val="9"/>
                <w:szCs w:val="9"/>
                <w:color w:val="auto"/>
              </w:rPr>
              <w:t>(P + 4.00%) / (3.25%)</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10.25%/0.00%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11/18/2021</w:t>
            </w:r>
          </w:p>
        </w:tc>
        <w:tc>
          <w:tcPr>
            <w:tcW w:w="8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11/18/2025</w:t>
            </w:r>
          </w:p>
        </w:tc>
        <w:tc>
          <w:tcPr>
            <w:tcW w:w="76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16,708</w:t>
            </w: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16,611</w:t>
            </w:r>
          </w:p>
        </w:tc>
        <w:tc>
          <w:tcPr>
            <w:tcW w:w="680" w:type="dxa"/>
            <w:vAlign w:val="bottom"/>
            <w:gridSpan w:val="2"/>
          </w:tcPr>
          <w:p>
            <w:pPr>
              <w:jc w:val="right"/>
              <w:ind w:right="75"/>
              <w:spacing w:after="0"/>
              <w:rPr>
                <w:sz w:val="20"/>
                <w:szCs w:val="20"/>
                <w:color w:val="auto"/>
              </w:rPr>
            </w:pPr>
            <w:r>
              <w:rPr>
                <w:rFonts w:ascii="Times New Roman" w:cs="Times New Roman" w:eastAsia="Times New Roman" w:hAnsi="Times New Roman"/>
                <w:sz w:val="9"/>
                <w:szCs w:val="9"/>
                <w:color w:val="auto"/>
              </w:rPr>
              <w:t>16,708</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NGT Acquisition Holdings, LLC (dba Techniks Industries)</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Component Manufacturing</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(378 units) (j)</w:t>
            </w: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5/24/2017</w:t>
            </w: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500</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118</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OMC Investors, LLC (dba Ohio Medical Corporation)</w:t>
            </w:r>
          </w:p>
        </w:tc>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Healthcare Products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w:t>
            </w:r>
          </w:p>
        </w:tc>
        <w:tc>
          <w:tcPr>
            <w:tcW w:w="3260" w:type="dxa"/>
            <w:vAlign w:val="bottom"/>
          </w:tcPr>
          <w:p>
            <w:pPr>
              <w:spacing w:after="0"/>
              <w:rPr>
                <w:sz w:val="10"/>
                <w:szCs w:val="10"/>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13.00%/0.00%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1/26/2021</w:t>
            </w:r>
          </w:p>
        </w:tc>
        <w:tc>
          <w:tcPr>
            <w:tcW w:w="8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6/30/2024</w:t>
            </w:r>
          </w:p>
        </w:tc>
        <w:tc>
          <w:tcPr>
            <w:tcW w:w="76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5,000</w:t>
            </w: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4,974</w:t>
            </w:r>
          </w:p>
        </w:tc>
        <w:tc>
          <w:tcPr>
            <w:tcW w:w="680" w:type="dxa"/>
            <w:vAlign w:val="bottom"/>
            <w:gridSpan w:val="2"/>
          </w:tcPr>
          <w:p>
            <w:pPr>
              <w:jc w:val="right"/>
              <w:ind w:right="75"/>
              <w:spacing w:after="0"/>
              <w:rPr>
                <w:sz w:val="20"/>
                <w:szCs w:val="20"/>
                <w:color w:val="auto"/>
              </w:rPr>
            </w:pPr>
            <w:r>
              <w:rPr>
                <w:rFonts w:ascii="Times New Roman" w:cs="Times New Roman" w:eastAsia="Times New Roman" w:hAnsi="Times New Roman"/>
                <w:sz w:val="9"/>
                <w:szCs w:val="9"/>
                <w:color w:val="auto"/>
              </w:rPr>
              <w:t>5,000</w:t>
            </w:r>
          </w:p>
        </w:tc>
        <w:tc>
          <w:tcPr>
            <w:tcW w:w="740" w:type="dxa"/>
            <w:vAlign w:val="bottom"/>
          </w:tcPr>
          <w:p>
            <w:pPr>
              <w:spacing w:after="0"/>
              <w:rPr>
                <w:sz w:val="10"/>
                <w:szCs w:val="10"/>
                <w:color w:val="auto"/>
              </w:rPr>
            </w:pPr>
          </w:p>
        </w:tc>
      </w:tr>
      <w:tr>
        <w:trPr>
          <w:trHeight w:val="122"/>
        </w:trPr>
        <w:tc>
          <w:tcPr>
            <w:tcW w:w="2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(5,000 units)</w:t>
            </w:r>
          </w:p>
        </w:tc>
        <w:tc>
          <w:tcPr>
            <w:tcW w:w="326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1/15/2016</w:t>
            </w:r>
          </w:p>
        </w:tc>
        <w:tc>
          <w:tcPr>
            <w:tcW w:w="88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187</w:t>
            </w:r>
          </w:p>
        </w:tc>
        <w:tc>
          <w:tcPr>
            <w:tcW w:w="120" w:type="dxa"/>
            <w:vAlign w:val="bottom"/>
            <w:tcBorders>
              <w:bottom w:val="single" w:sz="8" w:color="CFF0FC"/>
            </w:tcBorders>
            <w:shd w:val="clear" w:color="auto" w:fill="CFF0FC"/>
          </w:tcPr>
          <w:p>
            <w:pPr>
              <w:spacing w:after="0"/>
              <w:rPr>
                <w:sz w:val="10"/>
                <w:szCs w:val="10"/>
                <w:color w:val="auto"/>
              </w:rPr>
            </w:pPr>
          </w:p>
        </w:tc>
        <w:tc>
          <w:tcPr>
            <w:tcW w:w="5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591</w:t>
            </w:r>
          </w:p>
        </w:tc>
        <w:tc>
          <w:tcPr>
            <w:tcW w:w="740" w:type="dxa"/>
            <w:vAlign w:val="bottom"/>
            <w:tcBorders>
              <w:bottom w:val="single" w:sz="8" w:color="CFF0FC"/>
            </w:tcBorders>
            <w:shd w:val="clear" w:color="auto" w:fill="CFF0FC"/>
          </w:tcPr>
          <w:p>
            <w:pPr>
              <w:spacing w:after="0"/>
              <w:rPr>
                <w:sz w:val="10"/>
                <w:szCs w:val="10"/>
                <w:color w:val="auto"/>
              </w:rPr>
            </w:pPr>
          </w:p>
        </w:tc>
      </w:tr>
      <w:tr>
        <w:trPr>
          <w:trHeight w:val="114"/>
        </w:trPr>
        <w:tc>
          <w:tcPr>
            <w:tcW w:w="26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5,161</w:t>
            </w:r>
          </w:p>
        </w:tc>
        <w:tc>
          <w:tcPr>
            <w:tcW w:w="680" w:type="dxa"/>
            <w:vAlign w:val="bottom"/>
            <w:gridSpan w:val="2"/>
          </w:tcPr>
          <w:p>
            <w:pPr>
              <w:jc w:val="right"/>
              <w:ind w:right="75"/>
              <w:spacing w:after="0"/>
              <w:rPr>
                <w:sz w:val="20"/>
                <w:szCs w:val="20"/>
                <w:color w:val="auto"/>
              </w:rPr>
            </w:pPr>
            <w:r>
              <w:rPr>
                <w:rFonts w:ascii="Times New Roman" w:cs="Times New Roman" w:eastAsia="Times New Roman" w:hAnsi="Times New Roman"/>
                <w:sz w:val="9"/>
                <w:szCs w:val="9"/>
                <w:color w:val="auto"/>
              </w:rPr>
              <w:t>5,591</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OnePath Systems, LLC</w:t>
            </w:r>
          </w:p>
        </w:tc>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(s)</w:t>
            </w:r>
          </w:p>
        </w:tc>
        <w:tc>
          <w:tcPr>
            <w:tcW w:w="3260" w:type="dxa"/>
            <w:vAlign w:val="bottom"/>
          </w:tcPr>
          <w:p>
            <w:pPr>
              <w:ind w:left="2220"/>
              <w:spacing w:after="0"/>
              <w:rPr>
                <w:sz w:val="20"/>
                <w:szCs w:val="20"/>
                <w:color w:val="auto"/>
              </w:rPr>
            </w:pPr>
            <w:r>
              <w:rPr>
                <w:rFonts w:ascii="Times New Roman" w:cs="Times New Roman" w:eastAsia="Times New Roman" w:hAnsi="Times New Roman"/>
                <w:sz w:val="9"/>
                <w:szCs w:val="9"/>
                <w:color w:val="auto"/>
              </w:rPr>
              <w:t>(S + 7.50%) / (1.00%)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11.05%/0.00%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9/30/2022</w:t>
            </w:r>
          </w:p>
        </w:tc>
        <w:tc>
          <w:tcPr>
            <w:tcW w:w="8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9/30/2027</w:t>
            </w:r>
          </w:p>
        </w:tc>
        <w:tc>
          <w:tcPr>
            <w:tcW w:w="76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11,000</w:t>
            </w: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10,918</w:t>
            </w:r>
          </w:p>
        </w:tc>
        <w:tc>
          <w:tcPr>
            <w:tcW w:w="680" w:type="dxa"/>
            <w:vAlign w:val="bottom"/>
            <w:gridSpan w:val="2"/>
          </w:tcPr>
          <w:p>
            <w:pPr>
              <w:jc w:val="right"/>
              <w:ind w:right="75"/>
              <w:spacing w:after="0"/>
              <w:rPr>
                <w:sz w:val="20"/>
                <w:szCs w:val="20"/>
                <w:color w:val="auto"/>
              </w:rPr>
            </w:pPr>
            <w:r>
              <w:rPr>
                <w:rFonts w:ascii="Times New Roman" w:cs="Times New Roman" w:eastAsia="Times New Roman" w:hAnsi="Times New Roman"/>
                <w:sz w:val="9"/>
                <w:szCs w:val="9"/>
                <w:color w:val="auto"/>
              </w:rPr>
              <w:t>10,918</w:t>
            </w:r>
          </w:p>
        </w:tc>
        <w:tc>
          <w:tcPr>
            <w:tcW w:w="740" w:type="dxa"/>
            <w:vAlign w:val="bottom"/>
          </w:tcPr>
          <w:p>
            <w:pPr>
              <w:spacing w:after="0"/>
              <w:rPr>
                <w:sz w:val="10"/>
                <w:szCs w:val="10"/>
                <w:color w:val="auto"/>
              </w:rPr>
            </w:pPr>
          </w:p>
        </w:tc>
      </w:tr>
      <w:tr>
        <w:trPr>
          <w:trHeight w:val="122"/>
        </w:trPr>
        <w:tc>
          <w:tcPr>
            <w:tcW w:w="2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(732,542 shares) (j)</w:t>
            </w:r>
          </w:p>
        </w:tc>
        <w:tc>
          <w:tcPr>
            <w:tcW w:w="326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9/30/2022</w:t>
            </w:r>
          </w:p>
        </w:tc>
        <w:tc>
          <w:tcPr>
            <w:tcW w:w="88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500</w:t>
            </w:r>
          </w:p>
        </w:tc>
        <w:tc>
          <w:tcPr>
            <w:tcW w:w="120" w:type="dxa"/>
            <w:vAlign w:val="bottom"/>
            <w:tcBorders>
              <w:bottom w:val="single" w:sz="8" w:color="CFF0FC"/>
            </w:tcBorders>
            <w:shd w:val="clear" w:color="auto" w:fill="CFF0FC"/>
          </w:tcPr>
          <w:p>
            <w:pPr>
              <w:spacing w:after="0"/>
              <w:rPr>
                <w:sz w:val="10"/>
                <w:szCs w:val="10"/>
                <w:color w:val="auto"/>
              </w:rPr>
            </w:pPr>
          </w:p>
        </w:tc>
        <w:tc>
          <w:tcPr>
            <w:tcW w:w="5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500</w:t>
            </w:r>
          </w:p>
        </w:tc>
        <w:tc>
          <w:tcPr>
            <w:tcW w:w="740" w:type="dxa"/>
            <w:vAlign w:val="bottom"/>
            <w:tcBorders>
              <w:bottom w:val="single" w:sz="8" w:color="CFF0FC"/>
            </w:tcBorders>
            <w:shd w:val="clear" w:color="auto" w:fill="CFF0FC"/>
          </w:tcPr>
          <w:p>
            <w:pPr>
              <w:spacing w:after="0"/>
              <w:rPr>
                <w:sz w:val="10"/>
                <w:szCs w:val="10"/>
                <w:color w:val="auto"/>
              </w:rPr>
            </w:pPr>
          </w:p>
        </w:tc>
      </w:tr>
      <w:tr>
        <w:trPr>
          <w:trHeight w:val="115"/>
        </w:trPr>
        <w:tc>
          <w:tcPr>
            <w:tcW w:w="26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11,418</w:t>
            </w:r>
          </w:p>
        </w:tc>
        <w:tc>
          <w:tcPr>
            <w:tcW w:w="680" w:type="dxa"/>
            <w:vAlign w:val="bottom"/>
            <w:gridSpan w:val="2"/>
          </w:tcPr>
          <w:p>
            <w:pPr>
              <w:jc w:val="right"/>
              <w:ind w:right="75"/>
              <w:spacing w:after="0"/>
              <w:rPr>
                <w:sz w:val="20"/>
                <w:szCs w:val="20"/>
                <w:color w:val="auto"/>
              </w:rPr>
            </w:pPr>
            <w:r>
              <w:rPr>
                <w:rFonts w:ascii="Times New Roman" w:cs="Times New Roman" w:eastAsia="Times New Roman" w:hAnsi="Times New Roman"/>
                <w:sz w:val="9"/>
                <w:szCs w:val="9"/>
                <w:color w:val="auto"/>
              </w:rPr>
              <w:t>11,418</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Palmetto Moon, LLC</w:t>
            </w:r>
          </w:p>
        </w:tc>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Retail</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(499 units) (j)</w:t>
            </w: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11/3/2016</w:t>
            </w: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265</w:t>
            </w:r>
          </w:p>
        </w:tc>
        <w:tc>
          <w:tcPr>
            <w:tcW w:w="680" w:type="dxa"/>
            <w:vAlign w:val="bottom"/>
            <w:gridSpan w:val="2"/>
          </w:tcPr>
          <w:p>
            <w:pPr>
              <w:jc w:val="right"/>
              <w:ind w:right="75"/>
              <w:spacing w:after="0"/>
              <w:rPr>
                <w:sz w:val="20"/>
                <w:szCs w:val="20"/>
                <w:color w:val="auto"/>
              </w:rPr>
            </w:pPr>
            <w:r>
              <w:rPr>
                <w:rFonts w:ascii="Times New Roman" w:cs="Times New Roman" w:eastAsia="Times New Roman" w:hAnsi="Times New Roman"/>
                <w:sz w:val="9"/>
                <w:szCs w:val="9"/>
                <w:color w:val="auto"/>
              </w:rPr>
              <w:t>512</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Pinnergy, Ltd.</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Oil &amp; Gas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9.00%/0.00%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6/30/2022</w:t>
            </w:r>
          </w:p>
        </w:tc>
        <w:tc>
          <w:tcPr>
            <w:tcW w:w="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6/30/2027</w:t>
            </w:r>
          </w:p>
        </w:tc>
        <w:tc>
          <w:tcPr>
            <w:tcW w:w="7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15,000</w:t>
            </w: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14,929</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14,929</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2"/>
        </w:trPr>
        <w:tc>
          <w:tcPr>
            <w:tcW w:w="26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1"/>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Pool &amp; Electrical Products, LLC (n)</w:t>
            </w:r>
          </w:p>
        </w:tc>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Specialty Distribution</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(15,000 units) (h)(j)</w:t>
            </w: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10/28/2020</w:t>
            </w: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549</w:t>
            </w:r>
          </w:p>
        </w:tc>
        <w:tc>
          <w:tcPr>
            <w:tcW w:w="680" w:type="dxa"/>
            <w:vAlign w:val="bottom"/>
            <w:gridSpan w:val="2"/>
          </w:tcPr>
          <w:p>
            <w:pPr>
              <w:jc w:val="right"/>
              <w:ind w:right="75"/>
              <w:spacing w:after="0"/>
              <w:rPr>
                <w:sz w:val="20"/>
                <w:szCs w:val="20"/>
                <w:color w:val="auto"/>
              </w:rPr>
            </w:pPr>
            <w:r>
              <w:rPr>
                <w:rFonts w:ascii="Times New Roman" w:cs="Times New Roman" w:eastAsia="Times New Roman" w:hAnsi="Times New Roman"/>
                <w:sz w:val="9"/>
                <w:szCs w:val="9"/>
                <w:color w:val="auto"/>
              </w:rPr>
              <w:t>4,362</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Power Grid Components, Inc.</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Specialty Distribution</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(k)</w:t>
            </w: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11.00%/1.00%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4/12/2018</w:t>
            </w:r>
          </w:p>
        </w:tc>
        <w:tc>
          <w:tcPr>
            <w:tcW w:w="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12/2/2025</w:t>
            </w:r>
          </w:p>
        </w:tc>
        <w:tc>
          <w:tcPr>
            <w:tcW w:w="7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17,704</w:t>
            </w: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17,655</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17,704</w:t>
            </w: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(392 shares) (j)</w:t>
            </w: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4/12/2018</w:t>
            </w: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392</w:t>
            </w:r>
          </w:p>
        </w:tc>
        <w:tc>
          <w:tcPr>
            <w:tcW w:w="680" w:type="dxa"/>
            <w:vAlign w:val="bottom"/>
            <w:gridSpan w:val="2"/>
          </w:tcPr>
          <w:p>
            <w:pPr>
              <w:jc w:val="right"/>
              <w:ind w:right="75"/>
              <w:spacing w:after="0"/>
              <w:rPr>
                <w:sz w:val="20"/>
                <w:szCs w:val="20"/>
                <w:color w:val="auto"/>
              </w:rPr>
            </w:pPr>
            <w:r>
              <w:rPr>
                <w:rFonts w:ascii="Times New Roman" w:cs="Times New Roman" w:eastAsia="Times New Roman" w:hAnsi="Times New Roman"/>
                <w:sz w:val="9"/>
                <w:szCs w:val="9"/>
                <w:color w:val="auto"/>
              </w:rPr>
              <w:t>608</w:t>
            </w: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(48 shares) (j)</w:t>
            </w: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12/2/2019</w:t>
            </w: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48</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75</w:t>
            </w:r>
          </w:p>
        </w:tc>
        <w:tc>
          <w:tcPr>
            <w:tcW w:w="740" w:type="dxa"/>
            <w:vAlign w:val="bottom"/>
            <w:shd w:val="clear" w:color="auto" w:fill="CFF0FC"/>
          </w:tcPr>
          <w:p>
            <w:pPr>
              <w:spacing w:after="0"/>
              <w:rPr>
                <w:sz w:val="10"/>
                <w:szCs w:val="10"/>
                <w:color w:val="auto"/>
              </w:rPr>
            </w:pPr>
          </w:p>
        </w:tc>
      </w:tr>
      <w:tr>
        <w:trPr>
          <w:trHeight w:val="122"/>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(10,622 shares) (j)</w:t>
            </w: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4/12/2018</w:t>
            </w: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462</w:t>
            </w:r>
          </w:p>
        </w:tc>
        <w:tc>
          <w:tcPr>
            <w:tcW w:w="120" w:type="dxa"/>
            <w:vAlign w:val="bottom"/>
          </w:tcPr>
          <w:p>
            <w:pPr>
              <w:spacing w:after="0"/>
              <w:rPr>
                <w:sz w:val="10"/>
                <w:szCs w:val="10"/>
                <w:color w:val="auto"/>
              </w:rPr>
            </w:pPr>
          </w:p>
        </w:tc>
        <w:tc>
          <w:tcPr>
            <w:tcW w:w="5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895</w:t>
            </w:r>
          </w:p>
        </w:tc>
        <w:tc>
          <w:tcPr>
            <w:tcW w:w="74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18,557</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19,282</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PowerGrid Services Acquisition, LLC</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Utilities: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326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9"/>
                <w:szCs w:val="9"/>
                <w:color w:val="auto"/>
              </w:rPr>
              <w:t>(L + 9.50%) / (1.00%)</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9/21/2021</w:t>
            </w:r>
          </w:p>
        </w:tc>
        <w:tc>
          <w:tcPr>
            <w:tcW w:w="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3/21/2029</w:t>
            </w:r>
          </w:p>
        </w:tc>
        <w:tc>
          <w:tcPr>
            <w:tcW w:w="7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10,831</w:t>
            </w: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10,784</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10,831</w:t>
            </w:r>
          </w:p>
        </w:tc>
        <w:tc>
          <w:tcPr>
            <w:tcW w:w="740" w:type="dxa"/>
            <w:vAlign w:val="bottom"/>
            <w:shd w:val="clear" w:color="auto" w:fill="CFF0FC"/>
          </w:tcPr>
          <w:p>
            <w:pPr>
              <w:spacing w:after="0"/>
              <w:rPr>
                <w:sz w:val="10"/>
                <w:szCs w:val="10"/>
                <w:color w:val="auto"/>
              </w:rPr>
            </w:pPr>
          </w:p>
        </w:tc>
      </w:tr>
      <w:tr>
        <w:trPr>
          <w:trHeight w:val="122"/>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(5,341 units) (h)(j)</w:t>
            </w: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9/21/2021</w:t>
            </w: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534</w:t>
            </w:r>
          </w:p>
        </w:tc>
        <w:tc>
          <w:tcPr>
            <w:tcW w:w="120" w:type="dxa"/>
            <w:vAlign w:val="bottom"/>
          </w:tcPr>
          <w:p>
            <w:pPr>
              <w:spacing w:after="0"/>
              <w:rPr>
                <w:sz w:val="10"/>
                <w:szCs w:val="10"/>
                <w:color w:val="auto"/>
              </w:rPr>
            </w:pPr>
          </w:p>
        </w:tc>
        <w:tc>
          <w:tcPr>
            <w:tcW w:w="5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956</w:t>
            </w:r>
          </w:p>
        </w:tc>
        <w:tc>
          <w:tcPr>
            <w:tcW w:w="74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11,318</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11,787</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Prime AE Group, Inc.</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Business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26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9"/>
                <w:szCs w:val="9"/>
                <w:color w:val="auto"/>
              </w:rPr>
              <w:t>(S + 6.75%) / (2.00%)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10.56%/0.00%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11/25/2019</w:t>
            </w:r>
          </w:p>
        </w:tc>
        <w:tc>
          <w:tcPr>
            <w:tcW w:w="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11/25/2024</w:t>
            </w:r>
          </w:p>
        </w:tc>
        <w:tc>
          <w:tcPr>
            <w:tcW w:w="7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5,833</w:t>
            </w: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5,750</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5,833</w:t>
            </w: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(900,000 shares) (j)</w:t>
            </w: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11/25/2019</w:t>
            </w: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900</w:t>
            </w:r>
          </w:p>
        </w:tc>
        <w:tc>
          <w:tcPr>
            <w:tcW w:w="120" w:type="dxa"/>
            <w:vAlign w:val="bottom"/>
          </w:tcPr>
          <w:p>
            <w:pPr>
              <w:spacing w:after="0"/>
              <w:rPr>
                <w:sz w:val="10"/>
                <w:szCs w:val="10"/>
                <w:color w:val="auto"/>
              </w:rPr>
            </w:pPr>
          </w:p>
        </w:tc>
        <w:tc>
          <w:tcPr>
            <w:tcW w:w="5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152</w:t>
            </w:r>
          </w:p>
        </w:tc>
        <w:tc>
          <w:tcPr>
            <w:tcW w:w="74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6,650</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5,985</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Pugh Lubricants, LLC (n)</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Specialty Distribution</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(3,062 units) (h)(j)</w:t>
            </w: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11/10/2016</w:t>
            </w: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Quest Software US Holdings Inc.</w:t>
            </w:r>
          </w:p>
        </w:tc>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3260" w:type="dxa"/>
            <w:vAlign w:val="bottom"/>
          </w:tcPr>
          <w:p>
            <w:pPr>
              <w:ind w:left="2220"/>
              <w:spacing w:after="0"/>
              <w:rPr>
                <w:sz w:val="20"/>
                <w:szCs w:val="20"/>
                <w:color w:val="auto"/>
              </w:rPr>
            </w:pPr>
            <w:r>
              <w:rPr>
                <w:rFonts w:ascii="Times New Roman" w:cs="Times New Roman" w:eastAsia="Times New Roman" w:hAnsi="Times New Roman"/>
                <w:sz w:val="9"/>
                <w:szCs w:val="9"/>
                <w:color w:val="auto"/>
              </w:rPr>
              <w:t>(S + 7.50%) / (0.50%)</w:t>
            </w: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3/1/2022</w:t>
            </w:r>
          </w:p>
        </w:tc>
        <w:tc>
          <w:tcPr>
            <w:tcW w:w="8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2/1/2030</w:t>
            </w:r>
          </w:p>
        </w:tc>
        <w:tc>
          <w:tcPr>
            <w:tcW w:w="76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20,000</w:t>
            </w: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19,338</w:t>
            </w:r>
          </w:p>
        </w:tc>
        <w:tc>
          <w:tcPr>
            <w:tcW w:w="680" w:type="dxa"/>
            <w:vAlign w:val="bottom"/>
            <w:gridSpan w:val="2"/>
          </w:tcPr>
          <w:p>
            <w:pPr>
              <w:jc w:val="right"/>
              <w:ind w:right="75"/>
              <w:spacing w:after="0"/>
              <w:rPr>
                <w:sz w:val="20"/>
                <w:szCs w:val="20"/>
                <w:color w:val="auto"/>
              </w:rPr>
            </w:pPr>
            <w:r>
              <w:rPr>
                <w:rFonts w:ascii="Times New Roman" w:cs="Times New Roman" w:eastAsia="Times New Roman" w:hAnsi="Times New Roman"/>
                <w:sz w:val="9"/>
                <w:szCs w:val="9"/>
                <w:color w:val="auto"/>
              </w:rPr>
              <w:t>18,004</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Rhino Assembly Company, LLC</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Specialty Distribution</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(k)</w:t>
            </w: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11.50%/0.00%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8/11/2017</w:t>
            </w:r>
          </w:p>
        </w:tc>
        <w:tc>
          <w:tcPr>
            <w:tcW w:w="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2/11/2026</w:t>
            </w:r>
          </w:p>
        </w:tc>
        <w:tc>
          <w:tcPr>
            <w:tcW w:w="7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14,851</w:t>
            </w: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14,836</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14,851</w:t>
            </w: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(Class A Units) (10,915 units) (h)(j)</w:t>
            </w: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8/11/2017</w:t>
            </w: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1,125</w:t>
            </w:r>
          </w:p>
        </w:tc>
        <w:tc>
          <w:tcPr>
            <w:tcW w:w="680" w:type="dxa"/>
            <w:vAlign w:val="bottom"/>
            <w:gridSpan w:val="2"/>
          </w:tcPr>
          <w:p>
            <w:pPr>
              <w:jc w:val="right"/>
              <w:ind w:right="75"/>
              <w:spacing w:after="0"/>
              <w:rPr>
                <w:sz w:val="20"/>
                <w:szCs w:val="20"/>
                <w:color w:val="auto"/>
              </w:rPr>
            </w:pPr>
            <w:r>
              <w:rPr>
                <w:rFonts w:ascii="Times New Roman" w:cs="Times New Roman" w:eastAsia="Times New Roman" w:hAnsi="Times New Roman"/>
                <w:sz w:val="9"/>
                <w:szCs w:val="9"/>
                <w:color w:val="auto"/>
              </w:rPr>
              <w:t>1,572</w:t>
            </w: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(Units N/A) (h)(j)</w:t>
            </w: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12/10/2020</w:t>
            </w: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268</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303</w:t>
            </w:r>
          </w:p>
        </w:tc>
        <w:tc>
          <w:tcPr>
            <w:tcW w:w="740" w:type="dxa"/>
            <w:vAlign w:val="bottom"/>
            <w:shd w:val="clear" w:color="auto" w:fill="CFF0FC"/>
          </w:tcPr>
          <w:p>
            <w:pPr>
              <w:spacing w:after="0"/>
              <w:rPr>
                <w:sz w:val="10"/>
                <w:szCs w:val="10"/>
                <w:color w:val="auto"/>
              </w:rPr>
            </w:pPr>
          </w:p>
        </w:tc>
      </w:tr>
      <w:tr>
        <w:trPr>
          <w:trHeight w:val="122"/>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(Class F Units) (710 units) (h)(j)</w:t>
            </w: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12/10/2020</w:t>
            </w: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5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16,229</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16,726</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Road Safety Services, Inc.</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Business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w:t>
            </w: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11.25%/2.00%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9/18/2018</w:t>
            </w:r>
          </w:p>
        </w:tc>
        <w:tc>
          <w:tcPr>
            <w:tcW w:w="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9/18/2025</w:t>
            </w:r>
          </w:p>
        </w:tc>
        <w:tc>
          <w:tcPr>
            <w:tcW w:w="7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15,762</w:t>
            </w: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15,726</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15,347</w:t>
            </w: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(779 units)</w:t>
            </w: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9/18/2018</w:t>
            </w: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1,121</w:t>
            </w:r>
          </w:p>
        </w:tc>
        <w:tc>
          <w:tcPr>
            <w:tcW w:w="120" w:type="dxa"/>
            <w:vAlign w:val="bottom"/>
          </w:tcPr>
          <w:p>
            <w:pPr>
              <w:spacing w:after="0"/>
              <w:rPr>
                <w:sz w:val="10"/>
                <w:szCs w:val="10"/>
                <w:color w:val="auto"/>
              </w:rPr>
            </w:pPr>
          </w:p>
        </w:tc>
        <w:tc>
          <w:tcPr>
            <w:tcW w:w="5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1,507</w:t>
            </w:r>
          </w:p>
        </w:tc>
        <w:tc>
          <w:tcPr>
            <w:tcW w:w="74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16,847</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16,854</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SES Investors, LLC (dba SES Foam) (n)</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Building Products Manufacturing</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(6,000 units) (h)(j)</w:t>
            </w: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9/8/2016</w:t>
            </w: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104</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Sonicwall US Holdings, Inc.</w:t>
            </w:r>
          </w:p>
        </w:tc>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3260" w:type="dxa"/>
            <w:vAlign w:val="bottom"/>
          </w:tcPr>
          <w:p>
            <w:pPr>
              <w:ind w:left="2220"/>
              <w:spacing w:after="0"/>
              <w:rPr>
                <w:sz w:val="20"/>
                <w:szCs w:val="20"/>
                <w:color w:val="auto"/>
              </w:rPr>
            </w:pPr>
            <w:r>
              <w:rPr>
                <w:rFonts w:ascii="Times New Roman" w:cs="Times New Roman" w:eastAsia="Times New Roman" w:hAnsi="Times New Roman"/>
                <w:sz w:val="9"/>
                <w:szCs w:val="9"/>
                <w:color w:val="auto"/>
              </w:rPr>
              <w:t>(L + 7.50%) / (0.00%)</w:t>
            </w: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9/6/2022</w:t>
            </w:r>
          </w:p>
        </w:tc>
        <w:tc>
          <w:tcPr>
            <w:tcW w:w="8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5/18/2026</w:t>
            </w:r>
          </w:p>
        </w:tc>
        <w:tc>
          <w:tcPr>
            <w:tcW w:w="76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4,774</w:t>
            </w: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4,489</w:t>
            </w:r>
          </w:p>
        </w:tc>
        <w:tc>
          <w:tcPr>
            <w:tcW w:w="680" w:type="dxa"/>
            <w:vAlign w:val="bottom"/>
            <w:gridSpan w:val="2"/>
          </w:tcPr>
          <w:p>
            <w:pPr>
              <w:jc w:val="right"/>
              <w:ind w:right="75"/>
              <w:spacing w:after="0"/>
              <w:rPr>
                <w:sz w:val="20"/>
                <w:szCs w:val="20"/>
                <w:color w:val="auto"/>
              </w:rPr>
            </w:pPr>
            <w:r>
              <w:rPr>
                <w:rFonts w:ascii="Times New Roman" w:cs="Times New Roman" w:eastAsia="Times New Roman" w:hAnsi="Times New Roman"/>
                <w:sz w:val="9"/>
                <w:szCs w:val="9"/>
                <w:color w:val="auto"/>
              </w:rPr>
              <w:t>4,489</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Suited Connector LLC</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12.00%/0.00%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10/29/2021</w:t>
            </w:r>
          </w:p>
        </w:tc>
        <w:tc>
          <w:tcPr>
            <w:tcW w:w="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6/1/2028</w:t>
            </w:r>
          </w:p>
        </w:tc>
        <w:tc>
          <w:tcPr>
            <w:tcW w:w="7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16,000</w:t>
            </w: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15,930</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11,637</w:t>
            </w:r>
          </w:p>
        </w:tc>
        <w:tc>
          <w:tcPr>
            <w:tcW w:w="740" w:type="dxa"/>
            <w:vAlign w:val="bottom"/>
            <w:shd w:val="clear" w:color="auto" w:fill="CFF0FC"/>
          </w:tcPr>
          <w:p>
            <w:pPr>
              <w:spacing w:after="0"/>
              <w:rPr>
                <w:sz w:val="10"/>
                <w:szCs w:val="10"/>
                <w:color w:val="auto"/>
              </w:rPr>
            </w:pPr>
          </w:p>
        </w:tc>
      </w:tr>
      <w:tr>
        <w:trPr>
          <w:trHeight w:val="122"/>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(7,500 units) (h)(j)</w:t>
            </w: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12/1/2021</w:t>
            </w: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750</w:t>
            </w:r>
          </w:p>
        </w:tc>
        <w:tc>
          <w:tcPr>
            <w:tcW w:w="120" w:type="dxa"/>
            <w:vAlign w:val="bottom"/>
          </w:tcPr>
          <w:p>
            <w:pPr>
              <w:spacing w:after="0"/>
              <w:rPr>
                <w:sz w:val="10"/>
                <w:szCs w:val="10"/>
                <w:color w:val="auto"/>
              </w:rPr>
            </w:pPr>
          </w:p>
        </w:tc>
        <w:tc>
          <w:tcPr>
            <w:tcW w:w="5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84</w:t>
            </w:r>
          </w:p>
        </w:tc>
        <w:tc>
          <w:tcPr>
            <w:tcW w:w="74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16,680</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11,721</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Tedia Company, LLC</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Healthcare Products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26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9"/>
                <w:szCs w:val="9"/>
                <w:color w:val="auto"/>
              </w:rPr>
              <w:t>(S + 7.75%) / (1.00%)</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3/4/2022</w:t>
            </w:r>
          </w:p>
        </w:tc>
        <w:tc>
          <w:tcPr>
            <w:tcW w:w="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3/4/2027</w:t>
            </w:r>
          </w:p>
        </w:tc>
        <w:tc>
          <w:tcPr>
            <w:tcW w:w="7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15,600</w:t>
            </w: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15,523</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15,600</w:t>
            </w: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Revolving Loan ($2,400 unfunded commitment) (j)(i)</w:t>
            </w:r>
          </w:p>
        </w:tc>
        <w:tc>
          <w:tcPr>
            <w:tcW w:w="3260" w:type="dxa"/>
            <w:vAlign w:val="bottom"/>
          </w:tcPr>
          <w:p>
            <w:pPr>
              <w:ind w:left="2220"/>
              <w:spacing w:after="0"/>
              <w:rPr>
                <w:sz w:val="20"/>
                <w:szCs w:val="20"/>
                <w:color w:val="auto"/>
              </w:rPr>
            </w:pPr>
            <w:r>
              <w:rPr>
                <w:rFonts w:ascii="Times New Roman" w:cs="Times New Roman" w:eastAsia="Times New Roman" w:hAnsi="Times New Roman"/>
                <w:sz w:val="9"/>
                <w:szCs w:val="9"/>
                <w:color w:val="auto"/>
              </w:rPr>
              <w:t>(S + 7.75%) / (1.00%)</w:t>
            </w: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3/4/2022</w:t>
            </w:r>
          </w:p>
        </w:tc>
        <w:tc>
          <w:tcPr>
            <w:tcW w:w="8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3/4/2027</w:t>
            </w:r>
          </w:p>
        </w:tc>
        <w:tc>
          <w:tcPr>
            <w:tcW w:w="76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1,600</w:t>
            </w: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1,580</w:t>
            </w:r>
          </w:p>
        </w:tc>
        <w:tc>
          <w:tcPr>
            <w:tcW w:w="680" w:type="dxa"/>
            <w:vAlign w:val="bottom"/>
            <w:gridSpan w:val="2"/>
          </w:tcPr>
          <w:p>
            <w:pPr>
              <w:jc w:val="right"/>
              <w:ind w:right="75"/>
              <w:spacing w:after="0"/>
              <w:rPr>
                <w:sz w:val="20"/>
                <w:szCs w:val="20"/>
                <w:color w:val="auto"/>
              </w:rPr>
            </w:pPr>
            <w:r>
              <w:rPr>
                <w:rFonts w:ascii="Times New Roman" w:cs="Times New Roman" w:eastAsia="Times New Roman" w:hAnsi="Times New Roman"/>
                <w:sz w:val="9"/>
                <w:szCs w:val="9"/>
                <w:color w:val="auto"/>
              </w:rPr>
              <w:t>1,600</w:t>
            </w: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Delayed Draw Commitment ($3,000 unfunded commitment) (j)(ac)</w:t>
            </w:r>
          </w:p>
        </w:tc>
        <w:tc>
          <w:tcPr>
            <w:tcW w:w="326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9"/>
                <w:szCs w:val="9"/>
                <w:color w:val="auto"/>
              </w:rPr>
              <w:t>(S + 7.75%) / (1.00%)</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3/4/2022</w:t>
            </w:r>
          </w:p>
        </w:tc>
        <w:tc>
          <w:tcPr>
            <w:tcW w:w="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3/4/2027</w:t>
            </w:r>
          </w:p>
        </w:tc>
        <w:tc>
          <w:tcPr>
            <w:tcW w:w="7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9"/>
                <w:szCs w:val="9"/>
                <w:color w:val="auto"/>
              </w:rPr>
              <w:t>(15 )</w:t>
            </w: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3260" w:type="dxa"/>
            <w:vAlign w:val="bottom"/>
          </w:tcPr>
          <w:p>
            <w:pPr>
              <w:spacing w:after="0"/>
              <w:rPr>
                <w:sz w:val="10"/>
                <w:szCs w:val="10"/>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7.25%/7.25%</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3/4/2022</w:t>
            </w:r>
          </w:p>
        </w:tc>
        <w:tc>
          <w:tcPr>
            <w:tcW w:w="8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9/4/2027</w:t>
            </w:r>
          </w:p>
        </w:tc>
        <w:tc>
          <w:tcPr>
            <w:tcW w:w="76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2,608</w:t>
            </w: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2,594</w:t>
            </w:r>
          </w:p>
        </w:tc>
        <w:tc>
          <w:tcPr>
            <w:tcW w:w="680" w:type="dxa"/>
            <w:vAlign w:val="bottom"/>
            <w:gridSpan w:val="2"/>
          </w:tcPr>
          <w:p>
            <w:pPr>
              <w:jc w:val="right"/>
              <w:ind w:right="75"/>
              <w:spacing w:after="0"/>
              <w:rPr>
                <w:sz w:val="20"/>
                <w:szCs w:val="20"/>
                <w:color w:val="auto"/>
              </w:rPr>
            </w:pPr>
            <w:r>
              <w:rPr>
                <w:rFonts w:ascii="Times New Roman" w:cs="Times New Roman" w:eastAsia="Times New Roman" w:hAnsi="Times New Roman"/>
                <w:sz w:val="9"/>
                <w:szCs w:val="9"/>
                <w:color w:val="auto"/>
              </w:rPr>
              <w:t>3,750</w:t>
            </w:r>
          </w:p>
        </w:tc>
        <w:tc>
          <w:tcPr>
            <w:tcW w:w="740" w:type="dxa"/>
            <w:vAlign w:val="bottom"/>
          </w:tcPr>
          <w:p>
            <w:pPr>
              <w:spacing w:after="0"/>
              <w:rPr>
                <w:sz w:val="10"/>
                <w:szCs w:val="10"/>
                <w:color w:val="auto"/>
              </w:rPr>
            </w:pPr>
          </w:p>
        </w:tc>
      </w:tr>
      <w:tr>
        <w:trPr>
          <w:trHeight w:val="122"/>
        </w:trPr>
        <w:tc>
          <w:tcPr>
            <w:tcW w:w="2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(Series A) (1,000 units) (h)(j)</w:t>
            </w:r>
          </w:p>
        </w:tc>
        <w:tc>
          <w:tcPr>
            <w:tcW w:w="326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3/4/2022</w:t>
            </w:r>
          </w:p>
        </w:tc>
        <w:tc>
          <w:tcPr>
            <w:tcW w:w="88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1,000</w:t>
            </w:r>
          </w:p>
        </w:tc>
        <w:tc>
          <w:tcPr>
            <w:tcW w:w="120" w:type="dxa"/>
            <w:vAlign w:val="bottom"/>
            <w:tcBorders>
              <w:bottom w:val="single" w:sz="8" w:color="CFF0FC"/>
            </w:tcBorders>
            <w:shd w:val="clear" w:color="auto" w:fill="CFF0FC"/>
          </w:tcPr>
          <w:p>
            <w:pPr>
              <w:spacing w:after="0"/>
              <w:rPr>
                <w:sz w:val="10"/>
                <w:szCs w:val="10"/>
                <w:color w:val="auto"/>
              </w:rPr>
            </w:pPr>
          </w:p>
        </w:tc>
        <w:tc>
          <w:tcPr>
            <w:tcW w:w="5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1,486</w:t>
            </w:r>
          </w:p>
        </w:tc>
        <w:tc>
          <w:tcPr>
            <w:tcW w:w="740" w:type="dxa"/>
            <w:vAlign w:val="bottom"/>
            <w:tcBorders>
              <w:bottom w:val="single" w:sz="8" w:color="CFF0FC"/>
            </w:tcBorders>
            <w:shd w:val="clear" w:color="auto" w:fill="CFF0FC"/>
          </w:tcPr>
          <w:p>
            <w:pPr>
              <w:spacing w:after="0"/>
              <w:rPr>
                <w:sz w:val="10"/>
                <w:szCs w:val="10"/>
                <w:color w:val="auto"/>
              </w:rPr>
            </w:pPr>
          </w:p>
        </w:tc>
      </w:tr>
      <w:tr>
        <w:trPr>
          <w:trHeight w:val="115"/>
        </w:trPr>
        <w:tc>
          <w:tcPr>
            <w:tcW w:w="26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20,682</w:t>
            </w:r>
          </w:p>
        </w:tc>
        <w:tc>
          <w:tcPr>
            <w:tcW w:w="680" w:type="dxa"/>
            <w:vAlign w:val="bottom"/>
            <w:gridSpan w:val="2"/>
          </w:tcPr>
          <w:p>
            <w:pPr>
              <w:jc w:val="right"/>
              <w:ind w:right="75"/>
              <w:spacing w:after="0"/>
              <w:rPr>
                <w:sz w:val="20"/>
                <w:szCs w:val="20"/>
                <w:color w:val="auto"/>
              </w:rPr>
            </w:pPr>
            <w:r>
              <w:rPr>
                <w:rFonts w:ascii="Times New Roman" w:cs="Times New Roman" w:eastAsia="Times New Roman" w:hAnsi="Times New Roman"/>
                <w:sz w:val="9"/>
                <w:szCs w:val="9"/>
                <w:color w:val="auto"/>
              </w:rPr>
              <w:t>22,436</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5 %</w:t>
            </w: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TransGo, LLC (n)</w:t>
            </w:r>
          </w:p>
        </w:tc>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Component Manufacturing</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(500 units) (j)</w:t>
            </w: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2/28/2017</w:t>
            </w: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5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The Tranzonic Companies (n)</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Specialty Distribution</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(5,653 units) (j)</w:t>
            </w: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3/27/2018</w:t>
            </w: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(1 units) (j)</w:t>
            </w: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3/27/2018</w:t>
            </w: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5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18</w:t>
            </w:r>
          </w:p>
        </w:tc>
        <w:tc>
          <w:tcPr>
            <w:tcW w:w="74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18</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UBEO, LLC</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Business Services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(705,000 units) (h)(j)</w:t>
            </w: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4/3/2018</w:t>
            </w: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655</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1,158</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1"/>
        </w:trPr>
        <w:tc>
          <w:tcPr>
            <w:tcW w:w="26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1"/>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United Biologics, LLC</w:t>
            </w:r>
          </w:p>
        </w:tc>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Healthcare Services</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(98,377 units) (h)(j)</w:t>
            </w: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4/1/2012</w:t>
            </w: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1,008</w:t>
            </w:r>
          </w:p>
        </w:tc>
        <w:tc>
          <w:tcPr>
            <w:tcW w:w="120" w:type="dxa"/>
            <w:vAlign w:val="bottom"/>
          </w:tcPr>
          <w:p>
            <w:pPr>
              <w:spacing w:after="0"/>
              <w:rPr>
                <w:sz w:val="10"/>
                <w:szCs w:val="10"/>
                <w:color w:val="auto"/>
              </w:rPr>
            </w:pPr>
          </w:p>
        </w:tc>
        <w:tc>
          <w:tcPr>
            <w:tcW w:w="5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tcPr>
          <w:p>
            <w:pPr>
              <w:spacing w:after="0"/>
              <w:rPr>
                <w:sz w:val="10"/>
                <w:szCs w:val="10"/>
                <w:color w:val="auto"/>
              </w:rPr>
            </w:pPr>
          </w:p>
        </w:tc>
      </w:tr>
      <w:tr>
        <w:trPr>
          <w:trHeight w:val="122"/>
        </w:trPr>
        <w:tc>
          <w:tcPr>
            <w:tcW w:w="2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Warrant (57,469 units) (j)(m)</w:t>
            </w:r>
          </w:p>
        </w:tc>
        <w:tc>
          <w:tcPr>
            <w:tcW w:w="326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3/5/2012</w:t>
            </w:r>
          </w:p>
        </w:tc>
        <w:tc>
          <w:tcPr>
            <w:tcW w:w="88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566</w:t>
            </w:r>
          </w:p>
        </w:tc>
        <w:tc>
          <w:tcPr>
            <w:tcW w:w="120" w:type="dxa"/>
            <w:vAlign w:val="bottom"/>
            <w:tcBorders>
              <w:bottom w:val="single" w:sz="8" w:color="CFF0FC"/>
            </w:tcBorders>
            <w:shd w:val="clear" w:color="auto" w:fill="CFF0FC"/>
          </w:tcPr>
          <w:p>
            <w:pPr>
              <w:spacing w:after="0"/>
              <w:rPr>
                <w:sz w:val="10"/>
                <w:szCs w:val="10"/>
                <w:color w:val="auto"/>
              </w:rPr>
            </w:pPr>
          </w:p>
        </w:tc>
        <w:tc>
          <w:tcPr>
            <w:tcW w:w="5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tcBorders>
              <w:bottom w:val="single" w:sz="8" w:color="CFF0FC"/>
            </w:tcBorders>
            <w:shd w:val="clear" w:color="auto" w:fill="CFF0FC"/>
          </w:tcPr>
          <w:p>
            <w:pPr>
              <w:spacing w:after="0"/>
              <w:rPr>
                <w:sz w:val="10"/>
                <w:szCs w:val="10"/>
                <w:color w:val="auto"/>
              </w:rPr>
            </w:pPr>
          </w:p>
        </w:tc>
      </w:tr>
      <w:tr>
        <w:trPr>
          <w:trHeight w:val="115"/>
        </w:trPr>
        <w:tc>
          <w:tcPr>
            <w:tcW w:w="26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1,574</w:t>
            </w:r>
          </w:p>
        </w:tc>
        <w:tc>
          <w:tcPr>
            <w:tcW w:w="120" w:type="dxa"/>
            <w:vAlign w:val="bottom"/>
          </w:tcPr>
          <w:p>
            <w:pPr>
              <w:spacing w:after="0"/>
              <w:rPr>
                <w:sz w:val="9"/>
                <w:szCs w:val="9"/>
                <w:color w:val="auto"/>
              </w:rPr>
            </w:pPr>
          </w:p>
        </w:tc>
        <w:tc>
          <w:tcPr>
            <w:tcW w:w="5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UPG Company, LLC</w:t>
            </w:r>
          </w:p>
        </w:tc>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Component Manufacturing</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(j)(al)</w:t>
            </w:r>
          </w:p>
        </w:tc>
        <w:tc>
          <w:tcPr>
            <w:tcW w:w="3260" w:type="dxa"/>
            <w:vAlign w:val="bottom"/>
          </w:tcPr>
          <w:p>
            <w:pPr>
              <w:ind w:left="2220"/>
              <w:spacing w:after="0"/>
              <w:rPr>
                <w:sz w:val="20"/>
                <w:szCs w:val="20"/>
                <w:color w:val="auto"/>
              </w:rPr>
            </w:pPr>
            <w:r>
              <w:rPr>
                <w:rFonts w:ascii="Times New Roman" w:cs="Times New Roman" w:eastAsia="Times New Roman" w:hAnsi="Times New Roman"/>
                <w:sz w:val="9"/>
                <w:szCs w:val="9"/>
                <w:color w:val="auto"/>
              </w:rPr>
              <w:t>(S + 8.25%) / (0.50%)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10.07%/0.00%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6/21/2021</w:t>
            </w:r>
          </w:p>
        </w:tc>
        <w:tc>
          <w:tcPr>
            <w:tcW w:w="8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6/21/2024</w:t>
            </w:r>
          </w:p>
        </w:tc>
        <w:tc>
          <w:tcPr>
            <w:tcW w:w="76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16,700</w:t>
            </w: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16,625</w:t>
            </w:r>
          </w:p>
        </w:tc>
        <w:tc>
          <w:tcPr>
            <w:tcW w:w="680" w:type="dxa"/>
            <w:vAlign w:val="bottom"/>
            <w:gridSpan w:val="2"/>
          </w:tcPr>
          <w:p>
            <w:pPr>
              <w:jc w:val="right"/>
              <w:ind w:right="75"/>
              <w:spacing w:after="0"/>
              <w:rPr>
                <w:sz w:val="20"/>
                <w:szCs w:val="20"/>
                <w:color w:val="auto"/>
              </w:rPr>
            </w:pPr>
            <w:r>
              <w:rPr>
                <w:rFonts w:ascii="Times New Roman" w:cs="Times New Roman" w:eastAsia="Times New Roman" w:hAnsi="Times New Roman"/>
                <w:sz w:val="9"/>
                <w:szCs w:val="9"/>
                <w:color w:val="auto"/>
              </w:rPr>
              <w:t>16,990</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Virginia Tile Company, LLC</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Specialty Distribution</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(17 units) (j)</w:t>
            </w: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12/19/2014</w:t>
            </w: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683</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1"/>
        </w:trPr>
        <w:tc>
          <w:tcPr>
            <w:tcW w:w="26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1"/>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Virtex Enterprises, LP</w:t>
            </w:r>
          </w:p>
        </w:tc>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Component Manufacturing</w:t>
            </w: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w:t>
            </w:r>
          </w:p>
        </w:tc>
        <w:tc>
          <w:tcPr>
            <w:tcW w:w="3260" w:type="dxa"/>
            <w:vAlign w:val="bottom"/>
          </w:tcPr>
          <w:p>
            <w:pPr>
              <w:ind w:left="2220"/>
              <w:spacing w:after="0"/>
              <w:rPr>
                <w:sz w:val="20"/>
                <w:szCs w:val="20"/>
                <w:color w:val="auto"/>
              </w:rPr>
            </w:pPr>
            <w:r>
              <w:rPr>
                <w:rFonts w:ascii="Times New Roman" w:cs="Times New Roman" w:eastAsia="Times New Roman" w:hAnsi="Times New Roman"/>
                <w:sz w:val="9"/>
                <w:szCs w:val="9"/>
                <w:color w:val="auto"/>
              </w:rPr>
              <w:t>(S + 9.75%) / (1.00%)</w:t>
            </w:r>
          </w:p>
        </w:tc>
        <w:tc>
          <w:tcPr>
            <w:tcW w:w="92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4/13/2022</w:t>
            </w:r>
          </w:p>
        </w:tc>
        <w:tc>
          <w:tcPr>
            <w:tcW w:w="880" w:type="dxa"/>
            <w:vAlign w:val="bottom"/>
          </w:tcPr>
          <w:p>
            <w:pPr>
              <w:spacing w:after="0"/>
              <w:rPr>
                <w:sz w:val="10"/>
                <w:szCs w:val="10"/>
                <w:color w:val="auto"/>
              </w:rPr>
            </w:pPr>
          </w:p>
        </w:tc>
        <w:tc>
          <w:tcPr>
            <w:tcW w:w="76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11,002</w:t>
            </w: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10,901</w:t>
            </w:r>
          </w:p>
        </w:tc>
        <w:tc>
          <w:tcPr>
            <w:tcW w:w="680" w:type="dxa"/>
            <w:vAlign w:val="bottom"/>
            <w:gridSpan w:val="2"/>
          </w:tcPr>
          <w:p>
            <w:pPr>
              <w:jc w:val="right"/>
              <w:ind w:right="75"/>
              <w:spacing w:after="0"/>
              <w:rPr>
                <w:sz w:val="20"/>
                <w:szCs w:val="20"/>
                <w:color w:val="auto"/>
              </w:rPr>
            </w:pPr>
            <w:r>
              <w:rPr>
                <w:rFonts w:ascii="Times New Roman" w:cs="Times New Roman" w:eastAsia="Times New Roman" w:hAnsi="Times New Roman"/>
                <w:sz w:val="9"/>
                <w:szCs w:val="9"/>
                <w:color w:val="auto"/>
              </w:rPr>
              <w:t>8,857</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Western's Smokehouse, LLC</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Consumer Products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6440170</wp:posOffset>
            </wp:positionH>
            <wp:positionV relativeFrom="page">
              <wp:posOffset>320040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page">
              <wp:posOffset>6868795</wp:posOffset>
            </wp:positionH>
            <wp:positionV relativeFrom="page">
              <wp:posOffset>320040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-6650990</wp:posOffset>
            </wp:positionV>
            <wp:extent cx="4025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-6650990</wp:posOffset>
            </wp:positionV>
            <wp:extent cx="68580" cy="857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-6333490</wp:posOffset>
            </wp:positionV>
            <wp:extent cx="4025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-6333490</wp:posOffset>
            </wp:positionV>
            <wp:extent cx="68580" cy="857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-1953260</wp:posOffset>
            </wp:positionV>
            <wp:extent cx="4025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0259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-1953260</wp:posOffset>
            </wp:positionV>
            <wp:extent cx="68580" cy="857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-855980</wp:posOffset>
            </wp:positionV>
            <wp:extent cx="4025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-855980</wp:posOffset>
            </wp:positionV>
            <wp:extent cx="68580" cy="857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5725"/>
                    </a:xfrm>
                    <a:prstGeom prst="rect">
                      <a:avLst/>
                    </a:prstGeom>
                    <a:noFill/>
                  </pic:spPr>
                </pic:pic>
              </a:graphicData>
            </a:graphic>
          </wp:anchor>
        </w:drawing>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4" w:right="339" w:bottom="974"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(j)(ab)</w:t>
            </w:r>
          </w:p>
        </w:tc>
        <w:tc>
          <w:tcPr>
            <w:tcW w:w="326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9"/>
                <w:szCs w:val="9"/>
                <w:color w:val="auto"/>
              </w:rPr>
              <w:t>(S + 6.50%) / (1.50%)</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10.18%/0.00%</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2/28/2020</w:t>
            </w:r>
          </w:p>
        </w:tc>
        <w:tc>
          <w:tcPr>
            <w:tcW w:w="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12/23/2024</w:t>
            </w:r>
          </w:p>
        </w:tc>
        <w:tc>
          <w:tcPr>
            <w:tcW w:w="7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9,616</w:t>
            </w: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9,546</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9,616</w:t>
            </w:r>
          </w:p>
        </w:tc>
        <w:tc>
          <w:tcPr>
            <w:tcW w:w="7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Delayed Draw Commitment ($2,823 unfunded commitment) (j)</w:t>
            </w:r>
          </w:p>
        </w:tc>
        <w:tc>
          <w:tcPr>
            <w:tcW w:w="3260" w:type="dxa"/>
            <w:vAlign w:val="bottom"/>
          </w:tcPr>
          <w:p>
            <w:pPr>
              <w:ind w:left="2220"/>
              <w:spacing w:after="0"/>
              <w:rPr>
                <w:sz w:val="20"/>
                <w:szCs w:val="20"/>
                <w:color w:val="auto"/>
              </w:rPr>
            </w:pPr>
            <w:r>
              <w:rPr>
                <w:rFonts w:ascii="Times New Roman" w:cs="Times New Roman" w:eastAsia="Times New Roman" w:hAnsi="Times New Roman"/>
                <w:sz w:val="9"/>
                <w:szCs w:val="9"/>
                <w:color w:val="auto"/>
              </w:rPr>
              <w:t>(S + 5.00%) / (1.50%)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8.68%/0.00%</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6/29/2022</w:t>
            </w:r>
          </w:p>
        </w:tc>
        <w:tc>
          <w:tcPr>
            <w:tcW w:w="9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12/23/2024</w:t>
            </w:r>
          </w:p>
        </w:tc>
        <w:tc>
          <w:tcPr>
            <w:tcW w:w="76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677</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669</w:t>
            </w: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677</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10,215</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10,293</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c>
          <w:tcPr>
            <w:tcW w:w="0" w:type="dxa"/>
            <w:vAlign w:val="bottom"/>
          </w:tcPr>
          <w:p>
            <w:pPr>
              <w:spacing w:after="0"/>
              <w:rPr>
                <w:sz w:val="1"/>
                <w:szCs w:val="1"/>
                <w:color w:val="auto"/>
              </w:rPr>
            </w:pPr>
          </w:p>
        </w:tc>
      </w:tr>
      <w:tr>
        <w:trPr>
          <w:trHeight w:val="121"/>
        </w:trPr>
        <w:tc>
          <w:tcPr>
            <w:tcW w:w="26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Winona Foods, Inc.</w:t>
            </w:r>
          </w:p>
        </w:tc>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Specialty Distribution</w:t>
            </w:r>
          </w:p>
        </w:tc>
        <w:tc>
          <w:tcPr>
            <w:tcW w:w="9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(j)(am)</w:t>
            </w:r>
          </w:p>
        </w:tc>
        <w:tc>
          <w:tcPr>
            <w:tcW w:w="3260" w:type="dxa"/>
            <w:vAlign w:val="bottom"/>
          </w:tcPr>
          <w:p>
            <w:pPr>
              <w:ind w:left="2220"/>
              <w:spacing w:after="0"/>
              <w:rPr>
                <w:sz w:val="20"/>
                <w:szCs w:val="20"/>
                <w:color w:val="auto"/>
              </w:rPr>
            </w:pPr>
            <w:r>
              <w:rPr>
                <w:rFonts w:ascii="Times New Roman" w:cs="Times New Roman" w:eastAsia="Times New Roman" w:hAnsi="Times New Roman"/>
                <w:sz w:val="9"/>
                <w:szCs w:val="9"/>
                <w:color w:val="auto"/>
              </w:rPr>
              <w:t>(L + 12.00%) / (1.00%)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15.67%/0.00%</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4/1/2021</w:t>
            </w:r>
          </w:p>
        </w:tc>
        <w:tc>
          <w:tcPr>
            <w:tcW w:w="9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4/1/2026</w:t>
            </w:r>
          </w:p>
        </w:tc>
        <w:tc>
          <w:tcPr>
            <w:tcW w:w="76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4,000</w:t>
            </w:r>
          </w:p>
        </w:tc>
        <w:tc>
          <w:tcPr>
            <w:tcW w:w="120" w:type="dxa"/>
            <w:vAlign w:val="bottom"/>
          </w:tcPr>
          <w:p>
            <w:pPr>
              <w:spacing w:after="0"/>
              <w:rPr>
                <w:sz w:val="10"/>
                <w:szCs w:val="10"/>
                <w:color w:val="auto"/>
              </w:rPr>
            </w:pP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3,900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4,000</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w:t>
            </w:r>
          </w:p>
        </w:tc>
        <w:tc>
          <w:tcPr>
            <w:tcW w:w="3260" w:type="dxa"/>
            <w:vAlign w:val="bottom"/>
            <w:tcBorders>
              <w:bottom w:val="single" w:sz="8" w:color="CFF0FC"/>
            </w:tcBorders>
            <w:shd w:val="clear" w:color="auto" w:fill="CFF0FC"/>
          </w:tcPr>
          <w:p>
            <w:pPr>
              <w:ind w:left="2220"/>
              <w:spacing w:after="0"/>
              <w:rPr>
                <w:sz w:val="20"/>
                <w:szCs w:val="20"/>
                <w:color w:val="auto"/>
              </w:rPr>
            </w:pPr>
            <w:r>
              <w:rPr>
                <w:rFonts w:ascii="Times New Roman" w:cs="Times New Roman" w:eastAsia="Times New Roman" w:hAnsi="Times New Roman"/>
                <w:sz w:val="9"/>
                <w:szCs w:val="9"/>
                <w:color w:val="auto"/>
              </w:rPr>
              <w:t>(L + 13.00%) / (1.00%)</w:t>
            </w:r>
          </w:p>
        </w:tc>
        <w:tc>
          <w:tcPr>
            <w:tcW w:w="92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4/1/2021</w:t>
            </w:r>
          </w:p>
        </w:tc>
        <w:tc>
          <w:tcPr>
            <w:tcW w:w="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4/1/2026</w:t>
            </w:r>
          </w:p>
        </w:tc>
        <w:tc>
          <w:tcPr>
            <w:tcW w:w="760" w:type="dxa"/>
            <w:vAlign w:val="bottom"/>
            <w:tcBorders>
              <w:bottom w:val="single" w:sz="8" w:color="CFF0FC"/>
            </w:tcBorders>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7,000</w:t>
            </w:r>
          </w:p>
        </w:tc>
        <w:tc>
          <w:tcPr>
            <w:tcW w:w="120" w:type="dxa"/>
            <w:vAlign w:val="bottom"/>
            <w:tcBorders>
              <w:bottom w:val="single" w:sz="8" w:color="auto"/>
            </w:tcBorders>
            <w:shd w:val="clear" w:color="auto" w:fill="CFF0FC"/>
          </w:tcPr>
          <w:p>
            <w:pPr>
              <w:spacing w:after="0"/>
              <w:rPr>
                <w:sz w:val="10"/>
                <w:szCs w:val="10"/>
                <w:color w:val="auto"/>
              </w:rPr>
            </w:pPr>
          </w:p>
        </w:tc>
        <w:tc>
          <w:tcPr>
            <w:tcW w:w="4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6,963</w:t>
            </w: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4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7,000</w:t>
            </w:r>
          </w:p>
        </w:tc>
        <w:tc>
          <w:tcPr>
            <w:tcW w:w="74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6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10,863</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11,000</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c>
          <w:tcPr>
            <w:tcW w:w="0" w:type="dxa"/>
            <w:vAlign w:val="bottom"/>
          </w:tcPr>
          <w:p>
            <w:pPr>
              <w:spacing w:after="0"/>
              <w:rPr>
                <w:sz w:val="1"/>
                <w:szCs w:val="1"/>
                <w:color w:val="auto"/>
              </w:rPr>
            </w:pP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Wonderware Holdings, LLC (dba CORE Business Technologies)</w:t>
            </w:r>
          </w:p>
        </w:tc>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(k)(z)</w:t>
            </w:r>
          </w:p>
        </w:tc>
        <w:tc>
          <w:tcPr>
            <w:tcW w:w="3260" w:type="dxa"/>
            <w:vAlign w:val="bottom"/>
          </w:tcPr>
          <w:p>
            <w:pPr>
              <w:ind w:left="2220"/>
              <w:spacing w:after="0"/>
              <w:rPr>
                <w:sz w:val="20"/>
                <w:szCs w:val="20"/>
                <w:color w:val="auto"/>
              </w:rPr>
            </w:pPr>
            <w:r>
              <w:rPr>
                <w:rFonts w:ascii="Times New Roman" w:cs="Times New Roman" w:eastAsia="Times New Roman" w:hAnsi="Times New Roman"/>
                <w:sz w:val="9"/>
                <w:szCs w:val="9"/>
                <w:color w:val="auto"/>
              </w:rPr>
              <w:t>(L + 7.25%) / (1.00%)</w:t>
            </w:r>
          </w:p>
        </w:tc>
        <w:tc>
          <w:tcPr>
            <w:tcW w:w="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10.49%/0.00%</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2/10/2021</w:t>
            </w:r>
          </w:p>
        </w:tc>
        <w:tc>
          <w:tcPr>
            <w:tcW w:w="9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2/9/2026</w:t>
            </w:r>
          </w:p>
        </w:tc>
        <w:tc>
          <w:tcPr>
            <w:tcW w:w="76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8,316</w:t>
            </w:r>
          </w:p>
        </w:tc>
        <w:tc>
          <w:tcPr>
            <w:tcW w:w="120" w:type="dxa"/>
            <w:vAlign w:val="bottom"/>
          </w:tcPr>
          <w:p>
            <w:pPr>
              <w:spacing w:after="0"/>
              <w:rPr>
                <w:sz w:val="10"/>
                <w:szCs w:val="10"/>
                <w:color w:val="auto"/>
              </w:rPr>
            </w:pP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8,275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8,316</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c>
          <w:tcPr>
            <w:tcW w:w="0" w:type="dxa"/>
            <w:vAlign w:val="bottom"/>
          </w:tcPr>
          <w:p>
            <w:pPr>
              <w:spacing w:after="0"/>
              <w:rPr>
                <w:sz w:val="1"/>
                <w:szCs w:val="1"/>
                <w:color w:val="auto"/>
              </w:rPr>
            </w:pPr>
          </w:p>
        </w:tc>
      </w:tr>
      <w:tr>
        <w:trPr>
          <w:trHeight w:val="122"/>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Worldwide Express Operations, LLC</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Transportation services</w:t>
            </w: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326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9"/>
                <w:szCs w:val="9"/>
                <w:color w:val="auto"/>
              </w:rPr>
              <w:t>(L + 7.00%) / (0.75%)</w:t>
            </w:r>
          </w:p>
        </w:tc>
        <w:tc>
          <w:tcPr>
            <w:tcW w:w="920" w:type="dxa"/>
            <w:vAlign w:val="bottom"/>
            <w:shd w:val="clear" w:color="auto" w:fill="CFF0FC"/>
          </w:tcPr>
          <w:p>
            <w:pPr>
              <w:spacing w:after="0"/>
              <w:rPr>
                <w:sz w:val="10"/>
                <w:szCs w:val="10"/>
                <w:color w:val="auto"/>
              </w:rPr>
            </w:pP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8/2/2021</w:t>
            </w:r>
          </w:p>
        </w:tc>
        <w:tc>
          <w:tcPr>
            <w:tcW w:w="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7/26/2029</w:t>
            </w:r>
          </w:p>
        </w:tc>
        <w:tc>
          <w:tcPr>
            <w:tcW w:w="7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27,497</w:t>
            </w: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26,357</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26,357</w:t>
            </w:r>
          </w:p>
        </w:tc>
        <w:tc>
          <w:tcPr>
            <w:tcW w:w="7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(795,000) (j)</w:t>
            </w: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7/21/2021</w:t>
            </w: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795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973</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(752,380 units) (h)(j)</w:t>
            </w:r>
          </w:p>
        </w:tc>
        <w:tc>
          <w:tcPr>
            <w:tcW w:w="326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7/26/2021</w:t>
            </w:r>
          </w:p>
        </w:tc>
        <w:tc>
          <w:tcPr>
            <w:tcW w:w="90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4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225</w:t>
            </w: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4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747</w:t>
            </w:r>
          </w:p>
        </w:tc>
        <w:tc>
          <w:tcPr>
            <w:tcW w:w="74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6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27,377</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28,077</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6 %</w:t>
            </w:r>
          </w:p>
        </w:tc>
        <w:tc>
          <w:tcPr>
            <w:tcW w:w="0" w:type="dxa"/>
            <w:vAlign w:val="bottom"/>
          </w:tcPr>
          <w:p>
            <w:pPr>
              <w:spacing w:after="0"/>
              <w:rPr>
                <w:sz w:val="1"/>
                <w:szCs w:val="1"/>
                <w:color w:val="auto"/>
              </w:rPr>
            </w:pP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Xeeva, Inc.</w:t>
            </w:r>
          </w:p>
        </w:tc>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260" w:type="dxa"/>
            <w:vAlign w:val="bottom"/>
          </w:tcPr>
          <w:p>
            <w:pPr>
              <w:ind w:left="2220"/>
              <w:spacing w:after="0"/>
              <w:rPr>
                <w:sz w:val="20"/>
                <w:szCs w:val="20"/>
                <w:color w:val="auto"/>
              </w:rPr>
            </w:pPr>
            <w:r>
              <w:rPr>
                <w:rFonts w:ascii="Times New Roman" w:cs="Times New Roman" w:eastAsia="Times New Roman" w:hAnsi="Times New Roman"/>
                <w:sz w:val="9"/>
                <w:szCs w:val="9"/>
                <w:color w:val="auto"/>
              </w:rPr>
              <w:t>(L + 10.50%) / (1.50%)</w:t>
            </w:r>
          </w:p>
        </w:tc>
        <w:tc>
          <w:tcPr>
            <w:tcW w:w="92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2/11/2021</w:t>
            </w:r>
          </w:p>
        </w:tc>
        <w:tc>
          <w:tcPr>
            <w:tcW w:w="9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2/11/2026</w:t>
            </w:r>
          </w:p>
        </w:tc>
        <w:tc>
          <w:tcPr>
            <w:tcW w:w="76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9,400</w:t>
            </w:r>
          </w:p>
        </w:tc>
        <w:tc>
          <w:tcPr>
            <w:tcW w:w="120" w:type="dxa"/>
            <w:vAlign w:val="bottom"/>
          </w:tcPr>
          <w:p>
            <w:pPr>
              <w:spacing w:after="0"/>
              <w:rPr>
                <w:sz w:val="10"/>
                <w:szCs w:val="10"/>
                <w:color w:val="auto"/>
              </w:rPr>
            </w:pP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9,365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7,166</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c>
          <w:tcPr>
            <w:tcW w:w="0" w:type="dxa"/>
            <w:vAlign w:val="bottom"/>
          </w:tcPr>
          <w:p>
            <w:pPr>
              <w:spacing w:after="0"/>
              <w:rPr>
                <w:sz w:val="1"/>
                <w:szCs w:val="1"/>
                <w:color w:val="auto"/>
              </w:rPr>
            </w:pPr>
          </w:p>
        </w:tc>
      </w:tr>
      <w:tr>
        <w:trPr>
          <w:trHeight w:val="122"/>
        </w:trPr>
        <w:tc>
          <w:tcPr>
            <w:tcW w:w="262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Zonkd, LLC</w:t>
            </w:r>
          </w:p>
        </w:tc>
        <w:tc>
          <w:tcPr>
            <w:tcW w:w="3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Component Manufacturing</w:t>
            </w: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26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9"/>
                <w:szCs w:val="9"/>
                <w:color w:val="auto"/>
              </w:rPr>
              <w:t>(L + 10.00%) / (1.00%)</w:t>
            </w:r>
          </w:p>
        </w:tc>
        <w:tc>
          <w:tcPr>
            <w:tcW w:w="920" w:type="dxa"/>
            <w:vAlign w:val="bottom"/>
            <w:shd w:val="clear" w:color="auto" w:fill="CFF0FC"/>
          </w:tcPr>
          <w:p>
            <w:pPr>
              <w:spacing w:after="0"/>
              <w:rPr>
                <w:sz w:val="10"/>
                <w:szCs w:val="10"/>
                <w:color w:val="auto"/>
              </w:rPr>
            </w:pP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3/18/2022</w:t>
            </w:r>
          </w:p>
        </w:tc>
        <w:tc>
          <w:tcPr>
            <w:tcW w:w="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3/18/2027</w:t>
            </w:r>
          </w:p>
        </w:tc>
        <w:tc>
          <w:tcPr>
            <w:tcW w:w="7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5,000</w:t>
            </w: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4,795</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4,570</w:t>
            </w:r>
          </w:p>
        </w:tc>
        <w:tc>
          <w:tcPr>
            <w:tcW w:w="7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w w:val="99"/>
              </w:rPr>
              <w:t>Delayed Draw Commitment ($1,000 unfunded commitment) (j)(ad)</w:t>
            </w:r>
          </w:p>
        </w:tc>
        <w:tc>
          <w:tcPr>
            <w:tcW w:w="3260" w:type="dxa"/>
            <w:vAlign w:val="bottom"/>
          </w:tcPr>
          <w:p>
            <w:pPr>
              <w:ind w:left="2220"/>
              <w:spacing w:after="0"/>
              <w:rPr>
                <w:sz w:val="20"/>
                <w:szCs w:val="20"/>
                <w:color w:val="auto"/>
              </w:rPr>
            </w:pPr>
            <w:r>
              <w:rPr>
                <w:rFonts w:ascii="Times New Roman" w:cs="Times New Roman" w:eastAsia="Times New Roman" w:hAnsi="Times New Roman"/>
                <w:sz w:val="9"/>
                <w:szCs w:val="9"/>
                <w:color w:val="auto"/>
              </w:rPr>
              <w:t>(L + 10.00%) / (1.00%)</w:t>
            </w:r>
          </w:p>
        </w:tc>
        <w:tc>
          <w:tcPr>
            <w:tcW w:w="92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3/18/2022</w:t>
            </w:r>
          </w:p>
        </w:tc>
        <w:tc>
          <w:tcPr>
            <w:tcW w:w="9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3/18/2027</w:t>
            </w:r>
          </w:p>
        </w:tc>
        <w:tc>
          <w:tcPr>
            <w:tcW w:w="880" w:type="dxa"/>
            <w:vAlign w:val="bottom"/>
            <w:gridSpan w:val="2"/>
          </w:tcPr>
          <w:p>
            <w:pPr>
              <w:jc w:val="right"/>
              <w:ind w:right="295"/>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(4,987 units) (h)(j)</w:t>
            </w:r>
          </w:p>
        </w:tc>
        <w:tc>
          <w:tcPr>
            <w:tcW w:w="326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3/18/2022</w:t>
            </w:r>
          </w:p>
        </w:tc>
        <w:tc>
          <w:tcPr>
            <w:tcW w:w="90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4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169</w:t>
            </w: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4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w:t>
            </w:r>
          </w:p>
        </w:tc>
        <w:tc>
          <w:tcPr>
            <w:tcW w:w="74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6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4,964</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4,572</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c>
          <w:tcPr>
            <w:tcW w:w="0" w:type="dxa"/>
            <w:vAlign w:val="bottom"/>
          </w:tcPr>
          <w:p>
            <w:pPr>
              <w:spacing w:after="0"/>
              <w:rPr>
                <w:sz w:val="1"/>
                <w:szCs w:val="1"/>
                <w:color w:val="auto"/>
              </w:rPr>
            </w:pPr>
          </w:p>
        </w:tc>
      </w:tr>
      <w:tr>
        <w:trPr>
          <w:trHeight w:val="122"/>
        </w:trPr>
        <w:tc>
          <w:tcPr>
            <w:tcW w:w="2620" w:type="dxa"/>
            <w:vAlign w:val="bottom"/>
            <w:tcBorders>
              <w:bottom w:val="single" w:sz="8" w:color="CFF0FC"/>
            </w:tcBorders>
            <w:shd w:val="clear" w:color="auto" w:fill="CFF0FC"/>
          </w:tcPr>
          <w:p>
            <w:pPr>
              <w:spacing w:after="0"/>
              <w:rPr>
                <w:sz w:val="10"/>
                <w:szCs w:val="10"/>
                <w:color w:val="auto"/>
              </w:rPr>
            </w:pPr>
          </w:p>
        </w:tc>
        <w:tc>
          <w:tcPr>
            <w:tcW w:w="326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spacing w:after="0"/>
              <w:rPr>
                <w:sz w:val="10"/>
                <w:szCs w:val="10"/>
                <w:color w:val="auto"/>
              </w:rPr>
            </w:pPr>
          </w:p>
        </w:tc>
        <w:tc>
          <w:tcPr>
            <w:tcW w:w="90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460" w:type="dxa"/>
            <w:vAlign w:val="bottom"/>
            <w:tcBorders>
              <w:bottom w:val="single" w:sz="8" w:color="auto"/>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460" w:type="dxa"/>
            <w:vAlign w:val="bottom"/>
            <w:tcBorders>
              <w:bottom w:val="single" w:sz="8" w:color="auto"/>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rPr>
              <w:t>Total Non-control/Non-affiliate Investments</w:t>
            </w:r>
          </w:p>
        </w:tc>
        <w:tc>
          <w:tcPr>
            <w:tcW w:w="3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764,734</w:t>
            </w:r>
          </w:p>
        </w:tc>
        <w:tc>
          <w:tcPr>
            <w:tcW w:w="120" w:type="dxa"/>
            <w:vAlign w:val="bottom"/>
          </w:tcPr>
          <w:p>
            <w:pPr>
              <w:spacing w:after="0"/>
              <w:rPr>
                <w:sz w:val="9"/>
                <w:szCs w:val="9"/>
                <w:color w:val="auto"/>
              </w:rPr>
            </w:pPr>
          </w:p>
        </w:tc>
        <w:tc>
          <w:tcPr>
            <w:tcW w:w="1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4"/>
                <w:szCs w:val="4"/>
                <w:color w:val="auto"/>
                <w:w w:val="97"/>
              </w:rPr>
              <w:t>$</w:t>
            </w:r>
          </w:p>
        </w:tc>
        <w:tc>
          <w:tcPr>
            <w:tcW w:w="4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761,339</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160 %</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620" w:type="dxa"/>
            <w:vAlign w:val="bottom"/>
            <w:tcBorders>
              <w:bottom w:val="single" w:sz="8" w:color="CFF0FC"/>
            </w:tcBorders>
            <w:shd w:val="clear" w:color="auto" w:fill="CFF0FC"/>
          </w:tcPr>
          <w:p>
            <w:pPr>
              <w:spacing w:after="0"/>
              <w:rPr>
                <w:sz w:val="8"/>
                <w:szCs w:val="8"/>
                <w:color w:val="auto"/>
              </w:rPr>
            </w:pPr>
          </w:p>
        </w:tc>
        <w:tc>
          <w:tcPr>
            <w:tcW w:w="3260" w:type="dxa"/>
            <w:vAlign w:val="bottom"/>
            <w:tcBorders>
              <w:bottom w:val="single" w:sz="8" w:color="CFF0FC"/>
            </w:tcBorders>
            <w:shd w:val="clear" w:color="auto" w:fill="CFF0FC"/>
          </w:tcPr>
          <w:p>
            <w:pPr>
              <w:spacing w:after="0"/>
              <w:rPr>
                <w:sz w:val="8"/>
                <w:szCs w:val="8"/>
                <w:color w:val="auto"/>
              </w:rPr>
            </w:pPr>
          </w:p>
        </w:tc>
        <w:tc>
          <w:tcPr>
            <w:tcW w:w="920" w:type="dxa"/>
            <w:vAlign w:val="bottom"/>
            <w:tcBorders>
              <w:bottom w:val="single" w:sz="8" w:color="CFF0FC"/>
            </w:tcBorders>
            <w:shd w:val="clear" w:color="auto" w:fill="CFF0FC"/>
          </w:tcPr>
          <w:p>
            <w:pPr>
              <w:spacing w:after="0"/>
              <w:rPr>
                <w:sz w:val="8"/>
                <w:szCs w:val="8"/>
                <w:color w:val="auto"/>
              </w:rPr>
            </w:pPr>
          </w:p>
        </w:tc>
        <w:tc>
          <w:tcPr>
            <w:tcW w:w="780" w:type="dxa"/>
            <w:vAlign w:val="bottom"/>
            <w:tcBorders>
              <w:bottom w:val="single" w:sz="8" w:color="CFF0FC"/>
            </w:tcBorders>
            <w:shd w:val="clear" w:color="auto" w:fill="CFF0FC"/>
          </w:tcPr>
          <w:p>
            <w:pPr>
              <w:spacing w:after="0"/>
              <w:rPr>
                <w:sz w:val="8"/>
                <w:szCs w:val="8"/>
                <w:color w:val="auto"/>
              </w:rPr>
            </w:pPr>
          </w:p>
        </w:tc>
        <w:tc>
          <w:tcPr>
            <w:tcW w:w="900" w:type="dxa"/>
            <w:vAlign w:val="bottom"/>
            <w:tcBorders>
              <w:bottom w:val="single" w:sz="8" w:color="CFF0FC"/>
            </w:tcBorders>
            <w:shd w:val="clear" w:color="auto" w:fill="CFF0FC"/>
          </w:tcPr>
          <w:p>
            <w:pPr>
              <w:spacing w:after="0"/>
              <w:rPr>
                <w:sz w:val="8"/>
                <w:szCs w:val="8"/>
                <w:color w:val="auto"/>
              </w:rPr>
            </w:pPr>
          </w:p>
        </w:tc>
        <w:tc>
          <w:tcPr>
            <w:tcW w:w="76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auto"/>
            </w:tcBorders>
            <w:shd w:val="clear" w:color="auto" w:fill="CFF0FC"/>
          </w:tcPr>
          <w:p>
            <w:pPr>
              <w:spacing w:after="0"/>
              <w:rPr>
                <w:sz w:val="8"/>
                <w:szCs w:val="8"/>
                <w:color w:val="auto"/>
              </w:rPr>
            </w:pPr>
          </w:p>
        </w:tc>
        <w:tc>
          <w:tcPr>
            <w:tcW w:w="460" w:type="dxa"/>
            <w:vAlign w:val="bottom"/>
            <w:tcBorders>
              <w:bottom w:val="single" w:sz="8" w:color="auto"/>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100" w:type="dxa"/>
            <w:vAlign w:val="bottom"/>
            <w:tcBorders>
              <w:bottom w:val="single" w:sz="8" w:color="auto"/>
            </w:tcBorders>
            <w:shd w:val="clear" w:color="auto" w:fill="CFF0FC"/>
          </w:tcPr>
          <w:p>
            <w:pPr>
              <w:spacing w:after="0"/>
              <w:rPr>
                <w:sz w:val="8"/>
                <w:szCs w:val="8"/>
                <w:color w:val="auto"/>
              </w:rPr>
            </w:pPr>
          </w:p>
        </w:tc>
        <w:tc>
          <w:tcPr>
            <w:tcW w:w="460" w:type="dxa"/>
            <w:vAlign w:val="bottom"/>
            <w:tcBorders>
              <w:bottom w:val="single" w:sz="8" w:color="auto"/>
            </w:tcBorders>
            <w:shd w:val="clear" w:color="auto" w:fill="CFF0FC"/>
          </w:tcPr>
          <w:p>
            <w:pPr>
              <w:spacing w:after="0"/>
              <w:rPr>
                <w:sz w:val="8"/>
                <w:szCs w:val="8"/>
                <w:color w:val="auto"/>
              </w:rPr>
            </w:pPr>
          </w:p>
        </w:tc>
        <w:tc>
          <w:tcPr>
            <w:tcW w:w="74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rPr>
              <w:t>Total Investments</w:t>
            </w:r>
          </w:p>
        </w:tc>
        <w:tc>
          <w:tcPr>
            <w:tcW w:w="3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gridSpan w:val="2"/>
          </w:tcPr>
          <w:p>
            <w:pPr>
              <w:jc w:val="right"/>
              <w:ind w:right="15"/>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827,390</w:t>
            </w:r>
          </w:p>
        </w:tc>
        <w:tc>
          <w:tcPr>
            <w:tcW w:w="220" w:type="dxa"/>
            <w:vAlign w:val="bottom"/>
            <w:gridSpan w:val="2"/>
          </w:tcPr>
          <w:p>
            <w:pPr>
              <w:jc w:val="right"/>
              <w:ind w:right="38"/>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856,914</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181 %</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620" w:type="dxa"/>
            <w:vAlign w:val="bottom"/>
            <w:shd w:val="clear" w:color="auto" w:fill="CFF0FC"/>
          </w:tcPr>
          <w:p>
            <w:pPr>
              <w:spacing w:after="0"/>
              <w:rPr>
                <w:sz w:val="8"/>
                <w:szCs w:val="8"/>
                <w:color w:val="auto"/>
              </w:rPr>
            </w:pPr>
          </w:p>
        </w:tc>
        <w:tc>
          <w:tcPr>
            <w:tcW w:w="326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rPr>
              <w:t>Money market funds (included in cash and cash equivalents)</w:t>
            </w:r>
          </w:p>
        </w:tc>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620" w:type="dxa"/>
            <w:vAlign w:val="bottom"/>
            <w:shd w:val="clear" w:color="auto" w:fill="CFF0FC"/>
          </w:tcPr>
          <w:p>
            <w:pPr>
              <w:ind w:left="160"/>
              <w:spacing w:after="0" w:line="100" w:lineRule="exact"/>
              <w:rPr>
                <w:sz w:val="20"/>
                <w:szCs w:val="20"/>
                <w:color w:val="auto"/>
              </w:rPr>
            </w:pPr>
            <w:r>
              <w:rPr>
                <w:rFonts w:ascii="Times New Roman" w:cs="Times New Roman" w:eastAsia="Times New Roman" w:hAnsi="Times New Roman"/>
                <w:sz w:val="9"/>
                <w:szCs w:val="9"/>
                <w:color w:val="auto"/>
              </w:rPr>
              <w:t>Goldman Sachs Financial Square Treasury Obligation Institution</w:t>
            </w:r>
          </w:p>
        </w:tc>
        <w:tc>
          <w:tcPr>
            <w:tcW w:w="326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760" w:type="dxa"/>
            <w:vAlign w:val="bottom"/>
            <w:vMerge w:val="restart"/>
            <w:shd w:val="clear" w:color="auto" w:fill="CFF0FC"/>
          </w:tcPr>
          <w:p>
            <w:pPr>
              <w:spacing w:after="0"/>
              <w:rPr>
                <w:sz w:val="8"/>
                <w:szCs w:val="8"/>
                <w:color w:val="auto"/>
              </w:rPr>
            </w:pPr>
          </w:p>
        </w:tc>
        <w:tc>
          <w:tcPr>
            <w:tcW w:w="120" w:type="dxa"/>
            <w:vAlign w:val="bottom"/>
            <w:vMerge w:val="restart"/>
            <w:shd w:val="clear" w:color="auto" w:fill="CFF0FC"/>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vMerge w:val="restart"/>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30,184</w:t>
            </w:r>
          </w:p>
        </w:tc>
        <w:tc>
          <w:tcPr>
            <w:tcW w:w="120" w:type="dxa"/>
            <w:vAlign w:val="bottom"/>
            <w:vMerge w:val="restart"/>
            <w:shd w:val="clear" w:color="auto" w:fill="CFF0FC"/>
          </w:tcPr>
          <w:p>
            <w:pPr>
              <w:spacing w:after="0"/>
              <w:rPr>
                <w:sz w:val="8"/>
                <w:szCs w:val="8"/>
                <w:color w:val="auto"/>
              </w:rPr>
            </w:pPr>
          </w:p>
        </w:tc>
        <w:tc>
          <w:tcPr>
            <w:tcW w:w="100" w:type="dxa"/>
            <w:vAlign w:val="bottom"/>
            <w:vMerge w:val="restart"/>
            <w:shd w:val="clear" w:color="auto" w:fill="CFF0FC"/>
          </w:tcPr>
          <w:p>
            <w:pPr>
              <w:jc w:val="right"/>
              <w:ind w:right="38"/>
              <w:spacing w:after="0"/>
              <w:rPr>
                <w:sz w:val="20"/>
                <w:szCs w:val="20"/>
                <w:color w:val="auto"/>
              </w:rPr>
            </w:pPr>
            <w:r>
              <w:rPr>
                <w:rFonts w:ascii="Times New Roman" w:cs="Times New Roman" w:eastAsia="Times New Roman" w:hAnsi="Times New Roman"/>
                <w:sz w:val="4"/>
                <w:szCs w:val="4"/>
                <w:color w:val="auto"/>
                <w:w w:val="97"/>
              </w:rPr>
              <w:t>$</w:t>
            </w:r>
          </w:p>
        </w:tc>
        <w:tc>
          <w:tcPr>
            <w:tcW w:w="460" w:type="dxa"/>
            <w:vAlign w:val="bottom"/>
            <w:vMerge w:val="restart"/>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30,184</w:t>
            </w:r>
          </w:p>
        </w:tc>
        <w:tc>
          <w:tcPr>
            <w:tcW w:w="7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CUSIP (38141W323) (aw)</w:t>
            </w:r>
          </w:p>
        </w:tc>
        <w:tc>
          <w:tcPr>
            <w:tcW w:w="3260" w:type="dxa"/>
            <w:vAlign w:val="bottom"/>
            <w:tcBorders>
              <w:bottom w:val="single" w:sz="8" w:color="CFF0FC"/>
            </w:tcBorders>
            <w:shd w:val="clear" w:color="auto" w:fill="CFF0FC"/>
          </w:tcPr>
          <w:p>
            <w:pPr>
              <w:spacing w:after="0"/>
              <w:rPr>
                <w:sz w:val="9"/>
                <w:szCs w:val="9"/>
                <w:color w:val="auto"/>
              </w:rPr>
            </w:pPr>
          </w:p>
        </w:tc>
        <w:tc>
          <w:tcPr>
            <w:tcW w:w="920" w:type="dxa"/>
            <w:vAlign w:val="bottom"/>
            <w:tcBorders>
              <w:bottom w:val="single" w:sz="8" w:color="CFF0FC"/>
            </w:tcBorders>
            <w:shd w:val="clear" w:color="auto" w:fill="CFF0FC"/>
          </w:tcPr>
          <w:p>
            <w:pPr>
              <w:spacing w:after="0"/>
              <w:rPr>
                <w:sz w:val="9"/>
                <w:szCs w:val="9"/>
                <w:color w:val="auto"/>
              </w:rPr>
            </w:pPr>
          </w:p>
        </w:tc>
        <w:tc>
          <w:tcPr>
            <w:tcW w:w="780" w:type="dxa"/>
            <w:vAlign w:val="bottom"/>
            <w:tcBorders>
              <w:bottom w:val="single" w:sz="8" w:color="CFF0FC"/>
            </w:tcBorders>
            <w:shd w:val="clear" w:color="auto" w:fill="CFF0FC"/>
          </w:tcPr>
          <w:p>
            <w:pPr>
              <w:spacing w:after="0"/>
              <w:rPr>
                <w:sz w:val="9"/>
                <w:szCs w:val="9"/>
                <w:color w:val="auto"/>
              </w:rPr>
            </w:pPr>
          </w:p>
        </w:tc>
        <w:tc>
          <w:tcPr>
            <w:tcW w:w="90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vMerge w:val="continue"/>
            <w:shd w:val="clear" w:color="auto" w:fill="CFF0FC"/>
          </w:tcPr>
          <w:p>
            <w:pPr>
              <w:spacing w:after="0"/>
              <w:rPr>
                <w:sz w:val="9"/>
                <w:szCs w:val="9"/>
                <w:color w:val="auto"/>
              </w:rPr>
            </w:pPr>
          </w:p>
        </w:tc>
        <w:tc>
          <w:tcPr>
            <w:tcW w:w="120" w:type="dxa"/>
            <w:vAlign w:val="bottom"/>
            <w:tcBorders>
              <w:bottom w:val="single" w:sz="8" w:color="auto"/>
            </w:tcBorders>
            <w:vMerge w:val="continue"/>
            <w:shd w:val="clear" w:color="auto" w:fill="CFF0FC"/>
          </w:tcPr>
          <w:p>
            <w:pPr>
              <w:spacing w:after="0"/>
              <w:rPr>
                <w:sz w:val="9"/>
                <w:szCs w:val="9"/>
                <w:color w:val="auto"/>
              </w:rPr>
            </w:pPr>
          </w:p>
        </w:tc>
        <w:tc>
          <w:tcPr>
            <w:tcW w:w="460" w:type="dxa"/>
            <w:vAlign w:val="bottom"/>
            <w:tcBorders>
              <w:bottom w:val="single" w:sz="8" w:color="auto"/>
            </w:tcBorders>
            <w:vMerge w:val="continue"/>
            <w:shd w:val="clear" w:color="auto" w:fill="CFF0FC"/>
          </w:tcPr>
          <w:p>
            <w:pPr>
              <w:spacing w:after="0"/>
              <w:rPr>
                <w:sz w:val="9"/>
                <w:szCs w:val="9"/>
                <w:color w:val="auto"/>
              </w:rPr>
            </w:pPr>
          </w:p>
        </w:tc>
        <w:tc>
          <w:tcPr>
            <w:tcW w:w="120" w:type="dxa"/>
            <w:vAlign w:val="bottom"/>
            <w:tcBorders>
              <w:bottom w:val="single" w:sz="8" w:color="CFF0FC"/>
            </w:tcBorders>
            <w:vMerge w:val="continue"/>
            <w:shd w:val="clear" w:color="auto" w:fill="CFF0FC"/>
          </w:tcPr>
          <w:p>
            <w:pPr>
              <w:spacing w:after="0"/>
              <w:rPr>
                <w:sz w:val="9"/>
                <w:szCs w:val="9"/>
                <w:color w:val="auto"/>
              </w:rPr>
            </w:pPr>
          </w:p>
        </w:tc>
        <w:tc>
          <w:tcPr>
            <w:tcW w:w="100" w:type="dxa"/>
            <w:vAlign w:val="bottom"/>
            <w:tcBorders>
              <w:bottom w:val="single" w:sz="8" w:color="auto"/>
            </w:tcBorders>
            <w:vMerge w:val="continue"/>
            <w:shd w:val="clear" w:color="auto" w:fill="CFF0FC"/>
          </w:tcPr>
          <w:p>
            <w:pPr>
              <w:spacing w:after="0"/>
              <w:rPr>
                <w:sz w:val="9"/>
                <w:szCs w:val="9"/>
                <w:color w:val="auto"/>
              </w:rPr>
            </w:pPr>
          </w:p>
        </w:tc>
        <w:tc>
          <w:tcPr>
            <w:tcW w:w="460" w:type="dxa"/>
            <w:vAlign w:val="bottom"/>
            <w:tcBorders>
              <w:bottom w:val="single" w:sz="8" w:color="auto"/>
            </w:tcBorders>
            <w:vMerge w:val="continue"/>
            <w:shd w:val="clear" w:color="auto" w:fill="CFF0FC"/>
          </w:tcPr>
          <w:p>
            <w:pPr>
              <w:spacing w:after="0"/>
              <w:rPr>
                <w:sz w:val="9"/>
                <w:szCs w:val="9"/>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6 %</w:t>
            </w:r>
          </w:p>
        </w:tc>
        <w:tc>
          <w:tcPr>
            <w:tcW w:w="0" w:type="dxa"/>
            <w:vAlign w:val="bottom"/>
          </w:tcPr>
          <w:p>
            <w:pPr>
              <w:spacing w:after="0"/>
              <w:rPr>
                <w:sz w:val="1"/>
                <w:szCs w:val="1"/>
                <w:color w:val="auto"/>
              </w:rPr>
            </w:pPr>
          </w:p>
        </w:tc>
      </w:tr>
      <w:tr>
        <w:trPr>
          <w:trHeight w:val="114"/>
        </w:trPr>
        <w:tc>
          <w:tcPr>
            <w:tcW w:w="2620" w:type="dxa"/>
            <w:vAlign w:val="bottom"/>
          </w:tcPr>
          <w:p>
            <w:pPr>
              <w:ind w:left="240"/>
              <w:spacing w:after="0"/>
              <w:rPr>
                <w:sz w:val="20"/>
                <w:szCs w:val="20"/>
                <w:color w:val="auto"/>
              </w:rPr>
            </w:pPr>
            <w:r>
              <w:rPr>
                <w:rFonts w:ascii="Times New Roman" w:cs="Times New Roman" w:eastAsia="Times New Roman" w:hAnsi="Times New Roman"/>
                <w:sz w:val="9"/>
                <w:szCs w:val="9"/>
                <w:b w:val="1"/>
                <w:bCs w:val="1"/>
                <w:color w:val="auto"/>
              </w:rPr>
              <w:t>Total money market funds</w:t>
            </w:r>
          </w:p>
        </w:tc>
        <w:tc>
          <w:tcPr>
            <w:tcW w:w="3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30,184</w:t>
            </w:r>
          </w:p>
        </w:tc>
        <w:tc>
          <w:tcPr>
            <w:tcW w:w="120" w:type="dxa"/>
            <w:vAlign w:val="bottom"/>
          </w:tcPr>
          <w:p>
            <w:pPr>
              <w:spacing w:after="0"/>
              <w:rPr>
                <w:sz w:val="9"/>
                <w:szCs w:val="9"/>
                <w:color w:val="auto"/>
              </w:rPr>
            </w:pPr>
          </w:p>
        </w:tc>
        <w:tc>
          <w:tcPr>
            <w:tcW w:w="1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4"/>
                <w:szCs w:val="4"/>
                <w:color w:val="auto"/>
                <w:w w:val="97"/>
              </w:rPr>
              <w:t>$</w:t>
            </w:r>
          </w:p>
        </w:tc>
        <w:tc>
          <w:tcPr>
            <w:tcW w:w="4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30,184</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6 %</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rPr>
              <w:t>Total Investments and Money Market Funds</w:t>
            </w:r>
          </w:p>
        </w:tc>
        <w:tc>
          <w:tcPr>
            <w:tcW w:w="326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ind w:right="15"/>
              <w:spacing w:after="0" w:line="102" w:lineRule="exact"/>
              <w:rPr>
                <w:sz w:val="20"/>
                <w:szCs w:val="20"/>
                <w:color w:val="auto"/>
              </w:rPr>
            </w:pPr>
            <w:r>
              <w:rPr>
                <w:rFonts w:ascii="Times New Roman" w:cs="Times New Roman" w:eastAsia="Times New Roman" w:hAnsi="Times New Roman"/>
                <w:sz w:val="9"/>
                <w:szCs w:val="9"/>
                <w:color w:val="auto"/>
                <w:w w:val="87"/>
              </w:rPr>
              <w:t>$</w:t>
            </w:r>
          </w:p>
        </w:tc>
        <w:tc>
          <w:tcPr>
            <w:tcW w:w="460" w:type="dxa"/>
            <w:vAlign w:val="bottom"/>
            <w:tcBorders>
              <w:bottom w:val="single" w:sz="8" w:color="auto"/>
            </w:tcBorders>
            <w:shd w:val="clear" w:color="auto" w:fill="CFF0FC"/>
          </w:tcPr>
          <w:p>
            <w:pPr>
              <w:jc w:val="right"/>
              <w:ind w:right="75"/>
              <w:spacing w:after="0" w:line="102" w:lineRule="exact"/>
              <w:rPr>
                <w:sz w:val="20"/>
                <w:szCs w:val="20"/>
                <w:color w:val="auto"/>
              </w:rPr>
            </w:pPr>
            <w:r>
              <w:rPr>
                <w:rFonts w:ascii="Times New Roman" w:cs="Times New Roman" w:eastAsia="Times New Roman" w:hAnsi="Times New Roman"/>
                <w:sz w:val="9"/>
                <w:szCs w:val="9"/>
                <w:color w:val="auto"/>
              </w:rPr>
              <w:t>857,574</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4"/>
                <w:szCs w:val="4"/>
                <w:color w:val="auto"/>
                <w:w w:val="97"/>
              </w:rPr>
              <w:t>$</w:t>
            </w:r>
          </w:p>
        </w:tc>
        <w:tc>
          <w:tcPr>
            <w:tcW w:w="460" w:type="dxa"/>
            <w:vAlign w:val="bottom"/>
            <w:tcBorders>
              <w:bottom w:val="single" w:sz="8" w:color="auto"/>
            </w:tcBorders>
            <w:shd w:val="clear" w:color="auto" w:fill="CFF0FC"/>
          </w:tcPr>
          <w:p>
            <w:pPr>
              <w:jc w:val="right"/>
              <w:ind w:right="75"/>
              <w:spacing w:after="0" w:line="102" w:lineRule="exact"/>
              <w:rPr>
                <w:sz w:val="20"/>
                <w:szCs w:val="20"/>
                <w:color w:val="auto"/>
              </w:rPr>
            </w:pPr>
            <w:r>
              <w:rPr>
                <w:rFonts w:ascii="Times New Roman" w:cs="Times New Roman" w:eastAsia="Times New Roman" w:hAnsi="Times New Roman"/>
                <w:sz w:val="9"/>
                <w:szCs w:val="9"/>
                <w:color w:val="auto"/>
              </w:rPr>
              <w:t>887,098</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187 %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-2211070</wp:posOffset>
            </wp:positionV>
            <wp:extent cx="4025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-2211070</wp:posOffset>
            </wp:positionV>
            <wp:extent cx="68580" cy="857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-1585595</wp:posOffset>
            </wp:positionV>
            <wp:extent cx="4025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-1585595</wp:posOffset>
            </wp:positionV>
            <wp:extent cx="68580" cy="857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-959485</wp:posOffset>
            </wp:positionV>
            <wp:extent cx="4025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-959485</wp:posOffset>
            </wp:positionV>
            <wp:extent cx="68580" cy="857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-796925</wp:posOffset>
            </wp:positionV>
            <wp:extent cx="900430" cy="1117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00430" cy="11176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-607695</wp:posOffset>
            </wp:positionV>
            <wp:extent cx="900430" cy="1111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00430" cy="11112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-213995</wp:posOffset>
            </wp:positionV>
            <wp:extent cx="68580" cy="1117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-213995</wp:posOffset>
            </wp:positionV>
            <wp:extent cx="68580" cy="1117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-25400</wp:posOffset>
            </wp:positionV>
            <wp:extent cx="497205" cy="1028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97205"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160" w:hanging="152"/>
        <w:spacing w:after="0"/>
        <w:tabs>
          <w:tab w:leader="none" w:pos="16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See Note 3 to the consolidated financial statements for portfolio composition by geographic location.</w:t>
      </w:r>
    </w:p>
    <w:p>
      <w:pPr>
        <w:spacing w:after="0" w:line="7" w:lineRule="exact"/>
        <w:rPr>
          <w:rFonts w:ascii="Times New Roman" w:cs="Times New Roman" w:eastAsia="Times New Roman" w:hAnsi="Times New Roman"/>
          <w:sz w:val="11"/>
          <w:szCs w:val="11"/>
          <w:color w:val="auto"/>
        </w:rPr>
      </w:pPr>
    </w:p>
    <w:p>
      <w:pPr>
        <w:ind w:left="160" w:hanging="152"/>
        <w:spacing w:after="0"/>
        <w:tabs>
          <w:tab w:leader="none" w:pos="16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Equity ownership may be held in shares or units of companies related to the portfolio companies.</w:t>
      </w:r>
    </w:p>
    <w:p>
      <w:pPr>
        <w:spacing w:after="0" w:line="1" w:lineRule="exact"/>
        <w:rPr>
          <w:rFonts w:ascii="Times New Roman" w:cs="Times New Roman" w:eastAsia="Times New Roman" w:hAnsi="Times New Roman"/>
          <w:sz w:val="11"/>
          <w:szCs w:val="11"/>
          <w:color w:val="auto"/>
        </w:rPr>
      </w:pPr>
    </w:p>
    <w:p>
      <w:pPr>
        <w:ind w:left="160" w:hanging="152"/>
        <w:spacing w:after="0"/>
        <w:tabs>
          <w:tab w:leader="none" w:pos="16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All debt investments are income producing, unless otherwise indicated. Equity investments are non-income producing unless otherwise noted.</w:t>
      </w:r>
    </w:p>
    <w:p>
      <w:pPr>
        <w:spacing w:after="0" w:line="1" w:lineRule="exact"/>
        <w:rPr>
          <w:rFonts w:ascii="Times New Roman" w:cs="Times New Roman" w:eastAsia="Times New Roman" w:hAnsi="Times New Roman"/>
          <w:sz w:val="11"/>
          <w:szCs w:val="11"/>
          <w:color w:val="auto"/>
        </w:rPr>
      </w:pPr>
    </w:p>
    <w:p>
      <w:pPr>
        <w:ind w:right="20" w:firstLine="8"/>
        <w:spacing w:after="0" w:line="230" w:lineRule="auto"/>
        <w:tabs>
          <w:tab w:leader="none" w:pos="153"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Variable rate investments bear interest at a rate indexed to the London Interbank Offered Rate (L or LIBOR), Prime (P) or the Secured Overnight Financing Rate (S or SOFR), which are reset monthly, bimonthly, quarterly, or semi-annually. Certain variable rate investments also include a LIBOR, Prime or SOFR interest rate floor. For each investment, the Company has provided the spread over the reference rate and the LIBOR, Prime or SOFR floor, if any, as of September 30, 2022.</w:t>
      </w:r>
    </w:p>
    <w:p>
      <w:pPr>
        <w:ind w:left="160" w:hanging="152"/>
        <w:spacing w:after="0" w:line="230" w:lineRule="auto"/>
        <w:tabs>
          <w:tab w:leader="none" w:pos="16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Rate includes the cash interest or dividend rate and paid-in-kind interest or dividend rate, if any, as of September 30, 2022. Generally, payment-in-kind interest can be paid-in-kind or all in cash.</w:t>
      </w:r>
    </w:p>
    <w:p>
      <w:pPr>
        <w:ind w:left="140" w:hanging="132"/>
        <w:spacing w:after="0"/>
        <w:tabs>
          <w:tab w:leader="none" w:pos="14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Investment date represents the date of the initial investment in the security.</w:t>
      </w:r>
    </w:p>
    <w:p>
      <w:pPr>
        <w:spacing w:after="0" w:line="1" w:lineRule="exact"/>
        <w:rPr>
          <w:rFonts w:ascii="Times New Roman" w:cs="Times New Roman" w:eastAsia="Times New Roman" w:hAnsi="Times New Roman"/>
          <w:sz w:val="11"/>
          <w:szCs w:val="11"/>
          <w:color w:val="auto"/>
        </w:rPr>
      </w:pPr>
    </w:p>
    <w:p>
      <w:pPr>
        <w:ind w:right="300" w:firstLine="8"/>
        <w:spacing w:after="0" w:line="236" w:lineRule="auto"/>
        <w:tabs>
          <w:tab w:leader="none" w:pos="153"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spacing w:after="0" w:line="1" w:lineRule="exact"/>
        <w:rPr>
          <w:rFonts w:ascii="Times New Roman" w:cs="Times New Roman" w:eastAsia="Times New Roman" w:hAnsi="Times New Roman"/>
          <w:sz w:val="11"/>
          <w:szCs w:val="11"/>
          <w:color w:val="auto"/>
        </w:rPr>
      </w:pPr>
    </w:p>
    <w:p>
      <w:pPr>
        <w:ind w:left="160" w:hanging="152"/>
        <w:spacing w:after="0" w:line="230" w:lineRule="auto"/>
        <w:tabs>
          <w:tab w:leader="none" w:pos="16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Investment is held by a taxable subsidiary of the Company.</w:t>
      </w:r>
    </w:p>
    <w:p>
      <w:pPr>
        <w:ind w:right="520" w:firstLine="8"/>
        <w:spacing w:after="0" w:line="236" w:lineRule="auto"/>
        <w:tabs>
          <w:tab w:leader="none" w:pos="129"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disclosed commitment represents the unfunded amount as of September 30, 2022. The Company is earning 0.50% interest on the unfunded balance of the commitment. The interest rate disclosed represents the rate which will be earned if the commitment is funded.</w:t>
      </w:r>
    </w:p>
    <w:p>
      <w:pPr>
        <w:ind w:right="260" w:firstLine="8"/>
        <w:spacing w:after="0" w:line="236" w:lineRule="auto"/>
        <w:tabs>
          <w:tab w:leader="none" w:pos="129"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1" w:lineRule="exact"/>
        <w:rPr>
          <w:rFonts w:ascii="Times New Roman" w:cs="Times New Roman" w:eastAsia="Times New Roman" w:hAnsi="Times New Roman"/>
          <w:sz w:val="11"/>
          <w:szCs w:val="11"/>
          <w:color w:val="auto"/>
        </w:rPr>
      </w:pPr>
    </w:p>
    <w:p>
      <w:pPr>
        <w:ind w:right="260" w:firstLine="8"/>
        <w:spacing w:after="0" w:line="230" w:lineRule="auto"/>
        <w:tabs>
          <w:tab w:leader="none" w:pos="153"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right="80" w:firstLine="8"/>
        <w:spacing w:after="0" w:line="236" w:lineRule="auto"/>
        <w:tabs>
          <w:tab w:leader="none" w:pos="129"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ind w:left="200" w:hanging="192"/>
        <w:spacing w:after="0"/>
        <w:tabs>
          <w:tab w:leader="none" w:pos="200" w:val="left"/>
        </w:tabs>
        <w:numPr>
          <w:ilvl w:val="0"/>
          <w:numId w:val="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Warrants entitle the Company to purchase a predetermined number of shares or units of common equity, and are non-income producing. The purchase price and number of shares are subject to adjustment under certain conditions until the expiration date, if</w:t>
      </w:r>
    </w:p>
    <w:p>
      <w:pPr>
        <w:spacing w:after="0" w:line="13" w:lineRule="exact"/>
        <w:rPr>
          <w:rFonts w:ascii="Times New Roman" w:cs="Times New Roman" w:eastAsia="Times New Roman" w:hAnsi="Times New Roman"/>
          <w:sz w:val="10"/>
          <w:szCs w:val="10"/>
          <w:color w:val="auto"/>
        </w:rPr>
      </w:pPr>
    </w:p>
    <w:p>
      <w:pPr>
        <w:spacing w:after="0" w:line="23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1"/>
          <w:szCs w:val="11"/>
          <w:color w:val="auto"/>
        </w:rPr>
        <w:t>any.</w:t>
      </w:r>
    </w:p>
    <w:p>
      <w:pPr>
        <w:ind w:left="160" w:hanging="152"/>
        <w:spacing w:after="0" w:line="230" w:lineRule="auto"/>
        <w:tabs>
          <w:tab w:leader="none" w:pos="16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Investment in portfolio company that has sold its operations and is in the process of winding down.</w:t>
      </w:r>
    </w:p>
    <w:p>
      <w:pPr>
        <w:ind w:right="300" w:firstLine="8"/>
        <w:spacing w:after="0" w:line="236" w:lineRule="auto"/>
        <w:tabs>
          <w:tab w:leader="none" w:pos="153"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sold a participating interest of approximately $0.3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ind w:right="460" w:firstLine="8"/>
        <w:spacing w:after="0" w:line="236" w:lineRule="auto"/>
        <w:tabs>
          <w:tab w:leader="none" w:pos="153"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3.86%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Times New Roman" w:cs="Times New Roman" w:eastAsia="Times New Roman" w:hAnsi="Times New Roman"/>
          <w:sz w:val="11"/>
          <w:szCs w:val="11"/>
          <w:color w:val="auto"/>
        </w:rPr>
      </w:pPr>
    </w:p>
    <w:p>
      <w:pPr>
        <w:ind w:left="160" w:hanging="152"/>
        <w:spacing w:after="0" w:line="230" w:lineRule="auto"/>
        <w:tabs>
          <w:tab w:leader="none" w:pos="16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Warrant entitles the Company to purchase 4.79% of the outstanding principal of Junior Subordinated Notes prior to exercise, and is non-income producing.</w:t>
      </w:r>
    </w:p>
    <w:p>
      <w:pPr>
        <w:ind w:right="460" w:firstLine="8"/>
        <w:spacing w:after="0" w:line="236" w:lineRule="auto"/>
        <w:tabs>
          <w:tab w:leader="none" w:pos="135"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4.32%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60" w:firstLine="8"/>
        <w:spacing w:after="0" w:line="236" w:lineRule="auto"/>
        <w:tabs>
          <w:tab w:leader="none" w:pos="141"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2.37%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Times New Roman" w:cs="Times New Roman" w:eastAsia="Times New Roman" w:hAnsi="Times New Roman"/>
          <w:sz w:val="11"/>
          <w:szCs w:val="11"/>
          <w:color w:val="auto"/>
        </w:rPr>
      </w:pPr>
    </w:p>
    <w:p>
      <w:pPr>
        <w:ind w:firstLine="8"/>
        <w:spacing w:after="0" w:line="230" w:lineRule="auto"/>
        <w:tabs>
          <w:tab w:leader="none" w:pos="129"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ind w:right="160" w:firstLine="8"/>
        <w:spacing w:after="0" w:line="260" w:lineRule="auto"/>
        <w:tabs>
          <w:tab w:leader="none" w:pos="153" w:val="left"/>
        </w:tabs>
        <w:numPr>
          <w:ilvl w:val="0"/>
          <w:numId w:val="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addition to the interest earned based on the stated interest rate of this security, the Company is entitled to receive an additional cash interest amount of 2.99% and PIK interest amount of 0.98%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60" w:firstLine="8"/>
        <w:spacing w:after="0" w:line="236" w:lineRule="auto"/>
        <w:tabs>
          <w:tab w:leader="none" w:pos="153"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3.11%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Times New Roman" w:cs="Times New Roman" w:eastAsia="Times New Roman" w:hAnsi="Times New Roman"/>
          <w:sz w:val="11"/>
          <w:szCs w:val="11"/>
          <w:color w:val="auto"/>
        </w:rPr>
      </w:pPr>
    </w:p>
    <w:p>
      <w:pPr>
        <w:ind w:right="420" w:firstLine="8"/>
        <w:spacing w:after="0" w:line="230" w:lineRule="auto"/>
        <w:tabs>
          <w:tab w:leader="none" w:pos="177"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7.21%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60" w:firstLine="8"/>
        <w:spacing w:after="0" w:line="243" w:lineRule="auto"/>
        <w:tabs>
          <w:tab w:leader="none" w:pos="153"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2.76%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160" w:hanging="152"/>
        <w:spacing w:after="0" w:line="230" w:lineRule="auto"/>
        <w:tabs>
          <w:tab w:leader="none" w:pos="16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Investment was on non-accrual status as of September 30, 2022.</w:t>
      </w:r>
    </w:p>
    <w:p>
      <w:pPr>
        <w:ind w:right="460" w:firstLine="8"/>
        <w:spacing w:after="0" w:line="230" w:lineRule="auto"/>
        <w:tabs>
          <w:tab w:leader="none" w:pos="147"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4.60%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260" w:firstLine="8"/>
        <w:spacing w:after="0" w:line="243" w:lineRule="auto"/>
        <w:tabs>
          <w:tab w:leader="none" w:pos="195"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sold a participating interest of approximately $4.0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ind w:right="40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(ab) In addition to the interest earned based on the stated interest rate of this security, the Company is entitled to receive an additional interest amount of 2.07%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4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(ac) The disclosed commitment represents the unfunded amount as of September 30, 2022. The Company is earning 1.00% interest on the unfunded balance of the commitment. The interest rate disclosed represents the rate earned on the outstanding, funded balance of the commitment.</w:t>
      </w:r>
    </w:p>
    <w:p>
      <w:pPr>
        <w:ind w:right="120"/>
        <w:spacing w:after="0" w:line="243"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 The disclosed commitment represents the unfunded amount as of September 30, 2022. The Company is earning 2.00% interest on the unfunded balance of the commitment. The interest rate disclosed represents the rate earned on the outstanding, funded balance of the commitment.</w:t>
      </w:r>
    </w:p>
    <w:p>
      <w:pPr>
        <w:ind w:right="40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(ae) In addition to the interest earned based on the stated interest rate of this security, the Company is entitled to receive an additional interest amount of 3.53%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20"/>
        <w:spacing w:after="0" w:line="236"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(af) In addition to the interest earned based on the stated interest rate of this security, the Company is entitled to receive an additional interest amount of 3.28%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00"/>
        <w:spacing w:after="0" w:line="236"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(ag) In addition to the interest earned based on the stated interest rate of this security, the Company is entitled to receive an additional interest amount of 4.64%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Times New Roman" w:cs="Times New Roman" w:eastAsia="Times New Roman" w:hAnsi="Times New Roman"/>
          <w:sz w:val="11"/>
          <w:szCs w:val="11"/>
          <w:color w:val="auto"/>
        </w:rPr>
      </w:pPr>
    </w:p>
    <w:p>
      <w:pPr>
        <w:ind w:right="40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(ah) In addition to the interest earned based on the stated interest rate of this security, the Company is entitled to receive an additional interest amount of 1.62%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20"/>
        <w:spacing w:after="0" w:line="246"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(ai) In addition to the interest earned based on the stated interest rate of this security, the Company is entitled to receive an additional interest amount of 4.71%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0" w:name="page11"/>
    <w:bookmarkEnd w:id="10"/>
    <w:p>
      <w:pPr>
        <w:ind w:right="340"/>
        <w:spacing w:after="0" w:line="254" w:lineRule="auto"/>
        <w:rPr>
          <w:sz w:val="20"/>
          <w:szCs w:val="20"/>
          <w:color w:val="auto"/>
        </w:rPr>
      </w:pPr>
      <w:r>
        <w:rPr>
          <w:rFonts w:ascii="Times New Roman" w:cs="Times New Roman" w:eastAsia="Times New Roman" w:hAnsi="Times New Roman"/>
          <w:sz w:val="11"/>
          <w:szCs w:val="11"/>
          <w:color w:val="auto"/>
        </w:rPr>
        <w:t>(aj) In addition to the interest earned based on the stated interest rate of this security, the Company is entitled to receive an additional interest amount of 4.11%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sz w:val="20"/>
          <w:szCs w:val="20"/>
          <w:color w:val="auto"/>
        </w:rPr>
      </w:pPr>
    </w:p>
    <w:p>
      <w:pPr>
        <w:ind w:right="300"/>
        <w:spacing w:after="0" w:line="230" w:lineRule="auto"/>
        <w:rPr>
          <w:sz w:val="20"/>
          <w:szCs w:val="20"/>
          <w:color w:val="auto"/>
        </w:rPr>
      </w:pPr>
      <w:r>
        <w:rPr>
          <w:rFonts w:ascii="Times New Roman" w:cs="Times New Roman" w:eastAsia="Times New Roman" w:hAnsi="Times New Roman"/>
          <w:sz w:val="11"/>
          <w:szCs w:val="11"/>
          <w:color w:val="auto"/>
        </w:rPr>
        <w:t>(ak) In addition to the interest earned based on the stated interest rate of this security, the Company is entitled to receive an additional interest amount of 4.83%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sz w:val="20"/>
          <w:szCs w:val="20"/>
          <w:color w:val="auto"/>
        </w:rPr>
      </w:pPr>
    </w:p>
    <w:p>
      <w:pPr>
        <w:ind w:right="320"/>
        <w:spacing w:after="0" w:line="230" w:lineRule="auto"/>
        <w:rPr>
          <w:sz w:val="20"/>
          <w:szCs w:val="20"/>
          <w:color w:val="auto"/>
        </w:rPr>
      </w:pPr>
      <w:r>
        <w:rPr>
          <w:rFonts w:ascii="Times New Roman" w:cs="Times New Roman" w:eastAsia="Times New Roman" w:hAnsi="Times New Roman"/>
          <w:sz w:val="11"/>
          <w:szCs w:val="11"/>
          <w:color w:val="auto"/>
        </w:rPr>
        <w:t>(al) In addition to the interest earned based on the stated interest rate of this security, the Company is entitled to receive an additional interest amount of 2.85%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sz w:val="20"/>
          <w:szCs w:val="20"/>
          <w:color w:val="auto"/>
        </w:rPr>
      </w:pPr>
    </w:p>
    <w:p>
      <w:pPr>
        <w:ind w:right="280"/>
        <w:spacing w:after="0" w:line="243" w:lineRule="auto"/>
        <w:rPr>
          <w:sz w:val="20"/>
          <w:szCs w:val="20"/>
          <w:color w:val="auto"/>
        </w:rPr>
      </w:pPr>
      <w:r>
        <w:rPr>
          <w:rFonts w:ascii="Times New Roman" w:cs="Times New Roman" w:eastAsia="Times New Roman" w:hAnsi="Times New Roman"/>
          <w:sz w:val="11"/>
          <w:szCs w:val="11"/>
          <w:color w:val="auto"/>
        </w:rPr>
        <w:t>(am) In addition to the interest earned based on the stated interest rate of this security, the Company is entitled to receive an additional interest amount of 6.13%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00"/>
        <w:spacing w:after="0" w:line="230" w:lineRule="auto"/>
        <w:rPr>
          <w:sz w:val="20"/>
          <w:szCs w:val="20"/>
          <w:color w:val="auto"/>
        </w:rPr>
      </w:pPr>
      <w:r>
        <w:rPr>
          <w:rFonts w:ascii="Times New Roman" w:cs="Times New Roman" w:eastAsia="Times New Roman" w:hAnsi="Times New Roman"/>
          <w:sz w:val="11"/>
          <w:szCs w:val="11"/>
          <w:color w:val="auto"/>
        </w:rPr>
        <w:t>(an) The Company sold a participating interest of approximately $13.5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spacing w:after="0" w:line="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1"/>
          <w:szCs w:val="11"/>
          <w:color w:val="auto"/>
        </w:rPr>
        <w:t>(ao) The investment is treated as a non-qualifying asset under Section 55(a) of the Investment Company Act of 1940, as amended (the “1940 Act”). Under the 1940 Act, the Company can not acquire any non-qualifying asset unless, at the time the acquisition is made, qualifying assets represent at least 70% of the Company's total assets. As of September 30, 2022, total non-qualifying assets at fair value represented 0.03% of the Company's total assets calculated in accordance with the 1940 Act.</w:t>
      </w:r>
    </w:p>
    <w:p>
      <w:pPr>
        <w:spacing w:after="0" w:line="1"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1"/>
          <w:szCs w:val="11"/>
          <w:color w:val="auto"/>
        </w:rPr>
        <w:t>(ap) In addition to the interest earned based on the stated interest rate of this security, the Company is entitled to receive an additional cash interest amount of 0.80%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sz w:val="20"/>
          <w:szCs w:val="20"/>
          <w:color w:val="auto"/>
        </w:rPr>
      </w:pPr>
    </w:p>
    <w:p>
      <w:pPr>
        <w:ind w:right="300"/>
        <w:spacing w:after="0" w:line="230" w:lineRule="auto"/>
        <w:rPr>
          <w:sz w:val="20"/>
          <w:szCs w:val="20"/>
          <w:color w:val="auto"/>
        </w:rPr>
      </w:pPr>
      <w:r>
        <w:rPr>
          <w:rFonts w:ascii="Times New Roman" w:cs="Times New Roman" w:eastAsia="Times New Roman" w:hAnsi="Times New Roman"/>
          <w:sz w:val="11"/>
          <w:szCs w:val="11"/>
          <w:color w:val="auto"/>
        </w:rPr>
        <w:t>(aq) In addition to the interest earned based on the stated interest rate of this security, the Company is entitled to receive an additional interest amount of 4.73%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sz w:val="20"/>
          <w:szCs w:val="20"/>
          <w:color w:val="auto"/>
        </w:rPr>
      </w:pPr>
    </w:p>
    <w:p>
      <w:pPr>
        <w:ind w:right="320"/>
        <w:spacing w:after="0" w:line="243" w:lineRule="auto"/>
        <w:rPr>
          <w:sz w:val="20"/>
          <w:szCs w:val="20"/>
          <w:color w:val="auto"/>
        </w:rPr>
      </w:pPr>
      <w:r>
        <w:rPr>
          <w:rFonts w:ascii="Times New Roman" w:cs="Times New Roman" w:eastAsia="Times New Roman" w:hAnsi="Times New Roman"/>
          <w:sz w:val="11"/>
          <w:szCs w:val="11"/>
          <w:color w:val="auto"/>
        </w:rPr>
        <w:t>(ar) In addition to the interest earned based on the stated interest rate of this security, the Company is entitled to receive an additional interest amount of 2.74%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320"/>
        <w:spacing w:after="0" w:line="230" w:lineRule="auto"/>
        <w:rPr>
          <w:sz w:val="20"/>
          <w:szCs w:val="20"/>
          <w:color w:val="auto"/>
        </w:rPr>
      </w:pPr>
      <w:r>
        <w:rPr>
          <w:rFonts w:ascii="Times New Roman" w:cs="Times New Roman" w:eastAsia="Times New Roman" w:hAnsi="Times New Roman"/>
          <w:sz w:val="11"/>
          <w:szCs w:val="11"/>
          <w:color w:val="auto"/>
        </w:rPr>
        <w:t>(as) In addition to the interest earned based on the stated interest rate of this security, the Company is entitled to receive an additional interest amount of 4.80%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sz w:val="20"/>
          <w:szCs w:val="20"/>
          <w:color w:val="auto"/>
        </w:rPr>
      </w:pPr>
    </w:p>
    <w:p>
      <w:pPr>
        <w:ind w:right="320"/>
        <w:spacing w:after="0" w:line="230" w:lineRule="auto"/>
        <w:rPr>
          <w:sz w:val="20"/>
          <w:szCs w:val="20"/>
          <w:color w:val="auto"/>
        </w:rPr>
      </w:pPr>
      <w:r>
        <w:rPr>
          <w:rFonts w:ascii="Times New Roman" w:cs="Times New Roman" w:eastAsia="Times New Roman" w:hAnsi="Times New Roman"/>
          <w:sz w:val="11"/>
          <w:szCs w:val="11"/>
          <w:color w:val="auto"/>
        </w:rPr>
        <w:t>(at) In addition to the interest earned based on the stated interest rate of this security, the Company is entitled to receive an additional interest amount of 2.27%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sz w:val="20"/>
          <w:szCs w:val="20"/>
          <w:color w:val="auto"/>
        </w:rPr>
      </w:pPr>
    </w:p>
    <w:p>
      <w:pPr>
        <w:ind w:right="300"/>
        <w:spacing w:after="0" w:line="243" w:lineRule="auto"/>
        <w:rPr>
          <w:sz w:val="20"/>
          <w:szCs w:val="20"/>
          <w:color w:val="auto"/>
        </w:rPr>
      </w:pPr>
      <w:r>
        <w:rPr>
          <w:rFonts w:ascii="Times New Roman" w:cs="Times New Roman" w:eastAsia="Times New Roman" w:hAnsi="Times New Roman"/>
          <w:sz w:val="11"/>
          <w:szCs w:val="11"/>
          <w:color w:val="auto"/>
        </w:rPr>
        <w:t>(au) In addition to the interest earned based on the stated interest rate of this security, the Company is entitled to receive an additional interest amount of 3.32%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300"/>
        <w:spacing w:after="0" w:line="232" w:lineRule="auto"/>
        <w:rPr>
          <w:sz w:val="20"/>
          <w:szCs w:val="20"/>
          <w:color w:val="auto"/>
        </w:rPr>
      </w:pPr>
      <w:r>
        <w:rPr>
          <w:rFonts w:ascii="Times New Roman" w:cs="Times New Roman" w:eastAsia="Times New Roman" w:hAnsi="Times New Roman"/>
          <w:sz w:val="11"/>
          <w:szCs w:val="11"/>
          <w:color w:val="auto"/>
        </w:rPr>
        <w:t>(av) In addition to the interest earned based on the stated interest rate of this security, the Company is entitled to receive an additional interest amount of 5.62%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(aw) This investment is classified as a Level 1 investment. For further detail on the fair value measurements, see Note 4 to the consolidated financial statements.</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90" w:right="4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118"/>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b w:val="1"/>
                <w:bCs w:val="1"/>
                <w:color w:val="auto"/>
              </w:rPr>
              <w:t>Portfolio Company (a)(b)</w:t>
            </w:r>
          </w:p>
        </w:tc>
        <w:tc>
          <w:tcPr>
            <w:tcW w:w="1820" w:type="dxa"/>
            <w:vAlign w:val="bottom"/>
          </w:tcPr>
          <w:p>
            <w:pPr>
              <w:spacing w:after="0"/>
              <w:rPr>
                <w:sz w:val="10"/>
                <w:szCs w:val="10"/>
                <w:color w:val="auto"/>
              </w:rPr>
            </w:pPr>
          </w:p>
        </w:tc>
        <w:tc>
          <w:tcPr>
            <w:tcW w:w="1400" w:type="dxa"/>
            <w:vAlign w:val="bottom"/>
          </w:tcPr>
          <w:p>
            <w:pPr>
              <w:ind w:left="360"/>
              <w:spacing w:after="0"/>
              <w:rPr>
                <w:sz w:val="20"/>
                <w:szCs w:val="20"/>
                <w:color w:val="auto"/>
              </w:rPr>
            </w:pPr>
            <w:r>
              <w:rPr>
                <w:rFonts w:ascii="Times New Roman" w:cs="Times New Roman" w:eastAsia="Times New Roman" w:hAnsi="Times New Roman"/>
                <w:sz w:val="9"/>
                <w:szCs w:val="9"/>
                <w:b w:val="1"/>
                <w:bCs w:val="1"/>
                <w:color w:val="auto"/>
              </w:rPr>
              <w:t>Variable Index</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b w:val="1"/>
                <w:bCs w:val="1"/>
                <w:color w:val="auto"/>
              </w:rPr>
              <w:t>Rate (e)</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b w:val="1"/>
                <w:bCs w:val="1"/>
                <w:color w:val="auto"/>
              </w:rPr>
              <w:t>Investment</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jc w:val="right"/>
              <w:ind w:right="55"/>
              <w:spacing w:after="0"/>
              <w:rPr>
                <w:sz w:val="20"/>
                <w:szCs w:val="20"/>
                <w:color w:val="auto"/>
              </w:rPr>
            </w:pPr>
            <w:r>
              <w:rPr>
                <w:rFonts w:ascii="Times New Roman" w:cs="Times New Roman" w:eastAsia="Times New Roman" w:hAnsi="Times New Roman"/>
                <w:sz w:val="9"/>
                <w:szCs w:val="9"/>
                <w:b w:val="1"/>
                <w:bCs w:val="1"/>
                <w:color w:val="auto"/>
                <w:w w:val="95"/>
              </w:rPr>
              <w:t>Principal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115"/>
              <w:spacing w:after="0"/>
              <w:rPr>
                <w:sz w:val="20"/>
                <w:szCs w:val="20"/>
                <w:color w:val="auto"/>
              </w:rPr>
            </w:pPr>
            <w:r>
              <w:rPr>
                <w:rFonts w:ascii="Times New Roman" w:cs="Times New Roman" w:eastAsia="Times New Roman" w:hAnsi="Times New Roman"/>
                <w:sz w:val="9"/>
                <w:szCs w:val="9"/>
                <w:b w:val="1"/>
                <w:bCs w:val="1"/>
                <w:color w:val="auto"/>
              </w:rPr>
              <w:t>Fair</w:t>
            </w:r>
          </w:p>
        </w:tc>
        <w:tc>
          <w:tcPr>
            <w:tcW w:w="100" w:type="dxa"/>
            <w:vAlign w:val="bottom"/>
          </w:tcPr>
          <w:p>
            <w:pPr>
              <w:spacing w:after="0"/>
              <w:rPr>
                <w:sz w:val="10"/>
                <w:szCs w:val="10"/>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b w:val="1"/>
                <w:bCs w:val="1"/>
                <w:color w:val="auto"/>
              </w:rPr>
              <w:t>Percent of</w:t>
            </w:r>
          </w:p>
        </w:tc>
      </w:tr>
      <w:tr>
        <w:trPr>
          <w:trHeight w:val="122"/>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b w:val="1"/>
                <w:bCs w:val="1"/>
                <w:color w:val="auto"/>
              </w:rPr>
              <w:t>Investment Type (c)</w:t>
            </w:r>
          </w:p>
        </w:tc>
        <w:tc>
          <w:tcPr>
            <w:tcW w:w="1820" w:type="dxa"/>
            <w:vAlign w:val="bottom"/>
          </w:tcPr>
          <w:p>
            <w:pPr>
              <w:ind w:left="10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1400" w:type="dxa"/>
            <w:vAlign w:val="bottom"/>
          </w:tcPr>
          <w:p>
            <w:pPr>
              <w:ind w:left="360"/>
              <w:spacing w:after="0"/>
              <w:rPr>
                <w:sz w:val="20"/>
                <w:szCs w:val="20"/>
                <w:color w:val="auto"/>
              </w:rPr>
            </w:pPr>
            <w:r>
              <w:rPr>
                <w:rFonts w:ascii="Times New Roman" w:cs="Times New Roman" w:eastAsia="Times New Roman" w:hAnsi="Times New Roman"/>
                <w:sz w:val="9"/>
                <w:szCs w:val="9"/>
                <w:b w:val="1"/>
                <w:bCs w:val="1"/>
                <w:color w:val="auto"/>
              </w:rPr>
              <w:t>Spread / Floor (d)</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b w:val="1"/>
                <w:bCs w:val="1"/>
                <w:color w:val="auto"/>
              </w:rPr>
              <w:t>Cash/PIK</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b w:val="1"/>
                <w:bCs w:val="1"/>
                <w:color w:val="auto"/>
              </w:rPr>
              <w:t>Date (f)</w:t>
            </w:r>
          </w:p>
        </w:tc>
        <w:tc>
          <w:tcPr>
            <w:tcW w:w="760" w:type="dxa"/>
            <w:vAlign w:val="bottom"/>
          </w:tcPr>
          <w:p>
            <w:pPr>
              <w:ind w:left="180"/>
              <w:spacing w:after="0"/>
              <w:rPr>
                <w:sz w:val="20"/>
                <w:szCs w:val="20"/>
                <w:color w:val="auto"/>
              </w:rPr>
            </w:pPr>
            <w:r>
              <w:rPr>
                <w:rFonts w:ascii="Times New Roman" w:cs="Times New Roman" w:eastAsia="Times New Roman" w:hAnsi="Times New Roman"/>
                <w:sz w:val="9"/>
                <w:szCs w:val="9"/>
                <w:b w:val="1"/>
                <w:bCs w:val="1"/>
                <w:color w:val="auto"/>
              </w:rPr>
              <w:t>Maturity</w:t>
            </w:r>
          </w:p>
        </w:tc>
        <w:tc>
          <w:tcPr>
            <w:tcW w:w="240" w:type="dxa"/>
            <w:vAlign w:val="bottom"/>
          </w:tcPr>
          <w:p>
            <w:pPr>
              <w:spacing w:after="0"/>
              <w:rPr>
                <w:sz w:val="10"/>
                <w:szCs w:val="10"/>
                <w:color w:val="auto"/>
              </w:rPr>
            </w:pP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9"/>
                <w:szCs w:val="9"/>
                <w:b w:val="1"/>
                <w:bCs w:val="1"/>
                <w:color w:val="auto"/>
              </w:rPr>
              <w:t>Amount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115"/>
              <w:spacing w:after="0"/>
              <w:rPr>
                <w:sz w:val="20"/>
                <w:szCs w:val="20"/>
                <w:color w:val="auto"/>
              </w:rPr>
            </w:pPr>
            <w:r>
              <w:rPr>
                <w:rFonts w:ascii="Times New Roman" w:cs="Times New Roman" w:eastAsia="Times New Roman" w:hAnsi="Times New Roman"/>
                <w:sz w:val="9"/>
                <w:szCs w:val="9"/>
                <w:b w:val="1"/>
                <w:bCs w:val="1"/>
                <w:color w:val="auto"/>
              </w:rPr>
              <w:t>Cost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35"/>
              <w:spacing w:after="0"/>
              <w:rPr>
                <w:sz w:val="20"/>
                <w:szCs w:val="20"/>
                <w:color w:val="auto"/>
              </w:rPr>
            </w:pPr>
            <w:r>
              <w:rPr>
                <w:rFonts w:ascii="Times New Roman" w:cs="Times New Roman" w:eastAsia="Times New Roman" w:hAnsi="Times New Roman"/>
                <w:sz w:val="9"/>
                <w:szCs w:val="9"/>
                <w:b w:val="1"/>
                <w:bCs w:val="1"/>
                <w:color w:val="auto"/>
                <w:w w:val="90"/>
              </w:rPr>
              <w:t>Value (g)</w:t>
            </w:r>
          </w:p>
        </w:tc>
        <w:tc>
          <w:tcPr>
            <w:tcW w:w="100" w:type="dxa"/>
            <w:vAlign w:val="bottom"/>
          </w:tcPr>
          <w:p>
            <w:pPr>
              <w:spacing w:after="0"/>
              <w:rPr>
                <w:sz w:val="10"/>
                <w:szCs w:val="10"/>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b w:val="1"/>
                <w:bCs w:val="1"/>
                <w:color w:val="auto"/>
              </w:rPr>
              <w:t>Net Assets</w:t>
            </w:r>
          </w:p>
        </w:tc>
      </w:tr>
      <w:tr>
        <w:trPr>
          <w:trHeight w:val="115"/>
        </w:trPr>
        <w:tc>
          <w:tcPr>
            <w:tcW w:w="9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82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920" w:type="dxa"/>
            <w:vAlign w:val="bottom"/>
            <w:tcBorders>
              <w:left w:val="single" w:sz="8" w:color="CFF0FC"/>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w w:val="97"/>
              </w:rPr>
              <w:t>Control Investments (t)</w:t>
            </w:r>
          </w:p>
        </w:tc>
        <w:tc>
          <w:tcPr>
            <w:tcW w:w="1600" w:type="dxa"/>
            <w:vAlign w:val="bottom"/>
            <w:tcBorders>
              <w:bottom w:val="single" w:sz="8" w:color="CFF0FC"/>
            </w:tcBorders>
            <w:gridSpan w:val="2"/>
            <w:shd w:val="clear" w:color="auto" w:fill="CFF0FC"/>
          </w:tcPr>
          <w:p>
            <w:pPr>
              <w:spacing w:after="0"/>
              <w:rPr>
                <w:sz w:val="9"/>
                <w:szCs w:val="9"/>
                <w:color w:val="auto"/>
              </w:rPr>
            </w:pPr>
          </w:p>
        </w:tc>
        <w:tc>
          <w:tcPr>
            <w:tcW w:w="1820" w:type="dxa"/>
            <w:vAlign w:val="bottom"/>
            <w:tcBorders>
              <w:bottom w:val="single" w:sz="8" w:color="CFF0FC"/>
            </w:tcBorders>
            <w:shd w:val="clear" w:color="auto" w:fill="CFF0FC"/>
          </w:tcPr>
          <w:p>
            <w:pPr>
              <w:spacing w:after="0"/>
              <w:rPr>
                <w:sz w:val="9"/>
                <w:szCs w:val="9"/>
                <w:color w:val="auto"/>
              </w:rPr>
            </w:pPr>
          </w:p>
        </w:tc>
        <w:tc>
          <w:tcPr>
            <w:tcW w:w="1400" w:type="dxa"/>
            <w:vAlign w:val="bottom"/>
            <w:tcBorders>
              <w:bottom w:val="single" w:sz="8" w:color="CFF0FC"/>
            </w:tcBorders>
            <w:shd w:val="clear" w:color="auto" w:fill="CFF0FC"/>
          </w:tcPr>
          <w:p>
            <w:pPr>
              <w:spacing w:after="0"/>
              <w:rPr>
                <w:sz w:val="9"/>
                <w:szCs w:val="9"/>
                <w:color w:val="auto"/>
              </w:rPr>
            </w:pPr>
          </w:p>
        </w:tc>
        <w:tc>
          <w:tcPr>
            <w:tcW w:w="94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shd w:val="clear" w:color="auto" w:fill="CFF0FC"/>
          </w:tcPr>
          <w:p>
            <w:pPr>
              <w:spacing w:after="0"/>
              <w:rPr>
                <w:sz w:val="9"/>
                <w:szCs w:val="9"/>
                <w:color w:val="auto"/>
              </w:rPr>
            </w:pPr>
          </w:p>
        </w:tc>
        <w:tc>
          <w:tcPr>
            <w:tcW w:w="240" w:type="dxa"/>
            <w:vAlign w:val="bottom"/>
            <w:tcBorders>
              <w:bottom w:val="single" w:sz="8" w:color="CFF0FC"/>
            </w:tcBorders>
            <w:shd w:val="clear" w:color="auto" w:fill="CFF0FC"/>
          </w:tcPr>
          <w:p>
            <w:pPr>
              <w:spacing w:after="0"/>
              <w:rPr>
                <w:sz w:val="9"/>
                <w:szCs w:val="9"/>
                <w:color w:val="auto"/>
              </w:rPr>
            </w:pPr>
          </w:p>
        </w:tc>
        <w:tc>
          <w:tcPr>
            <w:tcW w:w="46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400" w:type="dxa"/>
            <w:vAlign w:val="bottom"/>
            <w:tcBorders>
              <w:bottom w:val="single" w:sz="8" w:color="CFF0FC"/>
            </w:tcBorders>
            <w:shd w:val="clear" w:color="auto" w:fill="CFF0FC"/>
          </w:tcPr>
          <w:p>
            <w:pPr>
              <w:spacing w:after="0"/>
              <w:rPr>
                <w:sz w:val="9"/>
                <w:szCs w:val="9"/>
                <w:color w:val="auto"/>
              </w:rPr>
            </w:pPr>
          </w:p>
        </w:tc>
        <w:tc>
          <w:tcPr>
            <w:tcW w:w="20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42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66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r>
      <w:tr>
        <w:trPr>
          <w:trHeight w:val="114"/>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Hilco Plastics Holdings, LLC (dba Hilco Technologies) (n)</w:t>
            </w:r>
          </w:p>
        </w:tc>
        <w:tc>
          <w:tcPr>
            <w:tcW w:w="1820" w:type="dxa"/>
            <w:vAlign w:val="bottom"/>
          </w:tcPr>
          <w:p>
            <w:pPr>
              <w:ind w:left="100"/>
              <w:spacing w:after="0"/>
              <w:rPr>
                <w:sz w:val="20"/>
                <w:szCs w:val="20"/>
                <w:color w:val="auto"/>
              </w:rPr>
            </w:pPr>
            <w:r>
              <w:rPr>
                <w:rFonts w:ascii="Times New Roman" w:cs="Times New Roman" w:eastAsia="Times New Roman" w:hAnsi="Times New Roman"/>
                <w:sz w:val="9"/>
                <w:szCs w:val="9"/>
                <w:color w:val="auto"/>
              </w:rPr>
              <w:t>Component Manufacturing</w:t>
            </w: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(Units N/A)</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4/6/2021</w:t>
            </w: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3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0 %</w:t>
            </w:r>
          </w:p>
        </w:tc>
      </w:tr>
      <w:tr>
        <w:trPr>
          <w:trHeight w:val="121"/>
        </w:trPr>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Mesa Line Services, LLC (n)</w:t>
            </w:r>
          </w:p>
        </w:tc>
        <w:tc>
          <w:tcPr>
            <w:tcW w:w="1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Utilities: Services</w:t>
            </w: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(10 shares) (j)</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4/22/2021</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2,151</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US GreenFiber, LLC (n)</w:t>
            </w:r>
          </w:p>
        </w:tc>
        <w:tc>
          <w:tcPr>
            <w:tcW w:w="1820" w:type="dxa"/>
            <w:vAlign w:val="bottom"/>
          </w:tcPr>
          <w:p>
            <w:pPr>
              <w:ind w:left="100"/>
              <w:spacing w:after="0"/>
              <w:rPr>
                <w:sz w:val="20"/>
                <w:szCs w:val="20"/>
                <w:color w:val="auto"/>
              </w:rPr>
            </w:pPr>
            <w:r>
              <w:rPr>
                <w:rFonts w:ascii="Times New Roman" w:cs="Times New Roman" w:eastAsia="Times New Roman" w:hAnsi="Times New Roman"/>
                <w:sz w:val="9"/>
                <w:szCs w:val="9"/>
                <w:color w:val="auto"/>
              </w:rPr>
              <w:t>Building Products Manufacturing</w:t>
            </w: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(j)(y)</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10.00%/3.00%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7/3/2014</w:t>
            </w:r>
          </w:p>
        </w:tc>
        <w:tc>
          <w:tcPr>
            <w:tcW w:w="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8/30/2024</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5,226</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5,223</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(2,522 units) (h)(j)</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7/3/2014</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586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(425,508 units) (j)</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8/30/2019</w:t>
            </w: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2"/>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(1,022,813 units) (h)(j)</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7/1/2020</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1,023</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6,833</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0 %</w:t>
            </w:r>
          </w:p>
        </w:tc>
      </w:tr>
      <w:tr>
        <w:trPr>
          <w:trHeight w:val="121"/>
        </w:trPr>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gridSpan w:val="2"/>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5"/>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rPr>
              <w:t>Total Control Investments</w:t>
            </w:r>
          </w:p>
        </w:tc>
        <w:tc>
          <w:tcPr>
            <w:tcW w:w="182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3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6,833</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2,151</w:t>
            </w:r>
          </w:p>
        </w:tc>
        <w:tc>
          <w:tcPr>
            <w:tcW w:w="8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0 %</w:t>
            </w:r>
          </w:p>
        </w:tc>
      </w:tr>
      <w:tr>
        <w:trPr>
          <w:trHeight w:val="103"/>
        </w:trPr>
        <w:tc>
          <w:tcPr>
            <w:tcW w:w="920" w:type="dxa"/>
            <w:vAlign w:val="bottom"/>
            <w:tcBorders>
              <w:top w:val="single" w:sz="8" w:color="CFF0FC"/>
            </w:tcBorders>
          </w:tcPr>
          <w:p>
            <w:pPr>
              <w:spacing w:after="0"/>
              <w:rPr>
                <w:sz w:val="8"/>
                <w:szCs w:val="8"/>
                <w:color w:val="auto"/>
              </w:rPr>
            </w:pPr>
          </w:p>
        </w:tc>
        <w:tc>
          <w:tcPr>
            <w:tcW w:w="560" w:type="dxa"/>
            <w:vAlign w:val="bottom"/>
            <w:tcBorders>
              <w:top w:val="single" w:sz="8" w:color="CFF0FC"/>
            </w:tcBorders>
          </w:tcPr>
          <w:p>
            <w:pPr>
              <w:spacing w:after="0"/>
              <w:rPr>
                <w:sz w:val="8"/>
                <w:szCs w:val="8"/>
                <w:color w:val="auto"/>
              </w:rPr>
            </w:pPr>
          </w:p>
        </w:tc>
        <w:tc>
          <w:tcPr>
            <w:tcW w:w="1040" w:type="dxa"/>
            <w:vAlign w:val="bottom"/>
            <w:tcBorders>
              <w:top w:val="single" w:sz="8" w:color="CFF0FC"/>
            </w:tcBorders>
          </w:tcPr>
          <w:p>
            <w:pPr>
              <w:spacing w:after="0"/>
              <w:rPr>
                <w:sz w:val="8"/>
                <w:szCs w:val="8"/>
                <w:color w:val="auto"/>
              </w:rPr>
            </w:pPr>
          </w:p>
        </w:tc>
        <w:tc>
          <w:tcPr>
            <w:tcW w:w="1820" w:type="dxa"/>
            <w:vAlign w:val="bottom"/>
            <w:tcBorders>
              <w:top w:val="single" w:sz="8" w:color="CFF0FC"/>
            </w:tcBorders>
          </w:tcPr>
          <w:p>
            <w:pPr>
              <w:spacing w:after="0"/>
              <w:rPr>
                <w:sz w:val="8"/>
                <w:szCs w:val="8"/>
                <w:color w:val="auto"/>
              </w:rPr>
            </w:pPr>
          </w:p>
        </w:tc>
        <w:tc>
          <w:tcPr>
            <w:tcW w:w="1400" w:type="dxa"/>
            <w:vAlign w:val="bottom"/>
            <w:tcBorders>
              <w:top w:val="single" w:sz="8" w:color="CFF0FC"/>
            </w:tcBorders>
          </w:tcPr>
          <w:p>
            <w:pPr>
              <w:spacing w:after="0"/>
              <w:rPr>
                <w:sz w:val="8"/>
                <w:szCs w:val="8"/>
                <w:color w:val="auto"/>
              </w:rPr>
            </w:pPr>
          </w:p>
        </w:tc>
        <w:tc>
          <w:tcPr>
            <w:tcW w:w="940" w:type="dxa"/>
            <w:vAlign w:val="bottom"/>
            <w:tcBorders>
              <w:top w:val="single" w:sz="8" w:color="CFF0FC"/>
            </w:tcBorders>
          </w:tcPr>
          <w:p>
            <w:pPr>
              <w:spacing w:after="0"/>
              <w:rPr>
                <w:sz w:val="8"/>
                <w:szCs w:val="8"/>
                <w:color w:val="auto"/>
              </w:rPr>
            </w:pPr>
          </w:p>
        </w:tc>
        <w:tc>
          <w:tcPr>
            <w:tcW w:w="820" w:type="dxa"/>
            <w:vAlign w:val="bottom"/>
            <w:tcBorders>
              <w:top w:val="single" w:sz="8" w:color="CFF0FC"/>
            </w:tcBorders>
          </w:tcPr>
          <w:p>
            <w:pPr>
              <w:spacing w:after="0"/>
              <w:rPr>
                <w:sz w:val="8"/>
                <w:szCs w:val="8"/>
                <w:color w:val="auto"/>
              </w:rPr>
            </w:pPr>
          </w:p>
        </w:tc>
        <w:tc>
          <w:tcPr>
            <w:tcW w:w="76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46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66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r>
      <w:tr>
        <w:trPr>
          <w:trHeight w:val="108"/>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rPr>
              <w:t>Affiliate Investments (l)</w:t>
            </w:r>
          </w:p>
        </w:tc>
        <w:tc>
          <w:tcPr>
            <w:tcW w:w="1820" w:type="dxa"/>
            <w:vAlign w:val="bottom"/>
            <w:shd w:val="clear" w:color="auto" w:fill="CFF0FC"/>
          </w:tcPr>
          <w:p>
            <w:pPr>
              <w:spacing w:after="0"/>
              <w:rPr>
                <w:sz w:val="9"/>
                <w:szCs w:val="9"/>
                <w:color w:val="auto"/>
              </w:rPr>
            </w:pPr>
          </w:p>
        </w:tc>
        <w:tc>
          <w:tcPr>
            <w:tcW w:w="14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20"/>
        </w:trPr>
        <w:tc>
          <w:tcPr>
            <w:tcW w:w="920" w:type="dxa"/>
            <w:vAlign w:val="bottom"/>
            <w:tcBorders>
              <w:left w:val="single" w:sz="8" w:color="CFF0FC"/>
            </w:tcBorders>
            <w:shd w:val="clear" w:color="auto" w:fill="000000"/>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82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15"/>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Applegate Greenfiber Intermediate Inc. (fka US GreenFiber, LLC)</w:t>
            </w:r>
          </w:p>
        </w:tc>
        <w:tc>
          <w:tcPr>
            <w:tcW w:w="1820" w:type="dxa"/>
            <w:vAlign w:val="bottom"/>
          </w:tcPr>
          <w:p>
            <w:pPr>
              <w:ind w:left="100"/>
              <w:spacing w:after="0"/>
              <w:rPr>
                <w:sz w:val="20"/>
                <w:szCs w:val="20"/>
                <w:color w:val="auto"/>
              </w:rPr>
            </w:pPr>
            <w:r>
              <w:rPr>
                <w:rFonts w:ascii="Times New Roman" w:cs="Times New Roman" w:eastAsia="Times New Roman" w:hAnsi="Times New Roman"/>
                <w:sz w:val="9"/>
                <w:szCs w:val="9"/>
                <w:color w:val="auto"/>
              </w:rPr>
              <w:t>Building Products Manufacturing</w:t>
            </w: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5.00%/5.00%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12/31/2021</w:t>
            </w:r>
          </w:p>
        </w:tc>
        <w:tc>
          <w:tcPr>
            <w:tcW w:w="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12/31/2027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9,602</w:t>
            </w:r>
          </w:p>
        </w:tc>
        <w:tc>
          <w:tcPr>
            <w:tcW w:w="3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9,602</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9,602</w:t>
            </w: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(5,690units) (j)</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12/31/2021</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5,690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5,690</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(7,113 units) (j)</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12/31/2021</w:t>
            </w: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7,113</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7,113</w:t>
            </w: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2"/>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(2,012units) (j)</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12/31/2021</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22,405</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22,405</w:t>
            </w:r>
          </w:p>
        </w:tc>
        <w:tc>
          <w:tcPr>
            <w:tcW w:w="8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4 %</w:t>
            </w:r>
          </w:p>
        </w:tc>
      </w:tr>
      <w:tr>
        <w:trPr>
          <w:trHeight w:val="121"/>
        </w:trPr>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FAR Research Inc. (n)</w:t>
            </w:r>
          </w:p>
        </w:tc>
        <w:tc>
          <w:tcPr>
            <w:tcW w:w="1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Specialty Chemicals</w:t>
            </w: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(1,396 units)</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3/31/2014</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Medsurant Holdings, LLC</w:t>
            </w:r>
          </w:p>
        </w:tc>
        <w:tc>
          <w:tcPr>
            <w:tcW w:w="1820" w:type="dxa"/>
            <w:vAlign w:val="bottom"/>
          </w:tcPr>
          <w:p>
            <w:pPr>
              <w:ind w:left="100"/>
              <w:spacing w:after="0"/>
              <w:rPr>
                <w:sz w:val="20"/>
                <w:szCs w:val="20"/>
                <w:color w:val="auto"/>
              </w:rPr>
            </w:pPr>
            <w:r>
              <w:rPr>
                <w:rFonts w:ascii="Times New Roman" w:cs="Times New Roman" w:eastAsia="Times New Roman" w:hAnsi="Times New Roman"/>
                <w:sz w:val="9"/>
                <w:szCs w:val="9"/>
                <w:color w:val="auto"/>
              </w:rPr>
              <w:t>Healthcare Services</w:t>
            </w: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(84,997 units) (h)(j)</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4/12/2011</w:t>
            </w: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716</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833</w:t>
            </w: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2"/>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Warrant (252,588 units) (h)(j)(m)</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4/12/2011</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2,258</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2,829</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2,974</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3,662</w:t>
            </w:r>
          </w:p>
        </w:tc>
        <w:tc>
          <w:tcPr>
            <w:tcW w:w="8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Mirage Trailers LLC</w:t>
            </w:r>
          </w:p>
        </w:tc>
        <w:tc>
          <w:tcPr>
            <w:tcW w:w="1820" w:type="dxa"/>
            <w:vAlign w:val="bottom"/>
          </w:tcPr>
          <w:p>
            <w:pPr>
              <w:ind w:left="100"/>
              <w:spacing w:after="0"/>
              <w:rPr>
                <w:sz w:val="20"/>
                <w:szCs w:val="20"/>
                <w:color w:val="auto"/>
              </w:rPr>
            </w:pPr>
            <w:r>
              <w:rPr>
                <w:rFonts w:ascii="Times New Roman" w:cs="Times New Roman" w:eastAsia="Times New Roman" w:hAnsi="Times New Roman"/>
                <w:sz w:val="9"/>
                <w:szCs w:val="9"/>
                <w:color w:val="auto"/>
              </w:rPr>
              <w:t>Utility Equipment Manufacturing</w:t>
            </w: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(k)</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9"/>
                <w:szCs w:val="9"/>
                <w:color w:val="auto"/>
              </w:rPr>
              <w:t>(L + 10.00%) / (1.00%)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11.00%/5.00%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11/25/2015</w:t>
            </w:r>
          </w:p>
        </w:tc>
        <w:tc>
          <w:tcPr>
            <w:tcW w:w="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4/30/2022</w:t>
            </w: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6,705</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6,793</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6,705</w:t>
            </w: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(2,500,000 shares)</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11/25/2015</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2,188</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3,970</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8,981</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10,675</w:t>
            </w:r>
          </w:p>
        </w:tc>
        <w:tc>
          <w:tcPr>
            <w:tcW w:w="8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Pfanstiehl, Inc.</w:t>
            </w:r>
          </w:p>
        </w:tc>
        <w:tc>
          <w:tcPr>
            <w:tcW w:w="1820" w:type="dxa"/>
            <w:vAlign w:val="bottom"/>
          </w:tcPr>
          <w:p>
            <w:pPr>
              <w:ind w:left="100"/>
              <w:spacing w:after="0"/>
              <w:rPr>
                <w:sz w:val="20"/>
                <w:szCs w:val="20"/>
                <w:color w:val="auto"/>
              </w:rPr>
            </w:pPr>
            <w:r>
              <w:rPr>
                <w:rFonts w:ascii="Times New Roman" w:cs="Times New Roman" w:eastAsia="Times New Roman" w:hAnsi="Times New Roman"/>
                <w:sz w:val="9"/>
                <w:szCs w:val="9"/>
                <w:color w:val="auto"/>
              </w:rPr>
              <w:t>Healthcare Products</w:t>
            </w: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(4,250 units) (j)</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3/29/2013</w:t>
            </w: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425</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57,639</w:t>
            </w:r>
          </w:p>
        </w:tc>
        <w:tc>
          <w:tcPr>
            <w:tcW w:w="8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12 %</w:t>
            </w:r>
          </w:p>
        </w:tc>
      </w:tr>
      <w:tr>
        <w:trPr>
          <w:trHeight w:val="122"/>
        </w:trPr>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Pinnergy, Ltd.</w:t>
            </w:r>
          </w:p>
        </w:tc>
        <w:tc>
          <w:tcPr>
            <w:tcW w:w="1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Oil &amp; Gas Services</w:t>
            </w: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 Class A-2 (42,500 units) (j)</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10/13/2016</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3,000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21,178</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Spectra A&amp;D Acquisition, Inc. (fka FDS Avionics Corp.)</w:t>
            </w:r>
          </w:p>
        </w:tc>
        <w:tc>
          <w:tcPr>
            <w:tcW w:w="1820" w:type="dxa"/>
            <w:vAlign w:val="bottom"/>
          </w:tcPr>
          <w:p>
            <w:pPr>
              <w:ind w:left="100"/>
              <w:spacing w:after="0"/>
              <w:rPr>
                <w:sz w:val="20"/>
                <w:szCs w:val="20"/>
                <w:color w:val="auto"/>
              </w:rPr>
            </w:pPr>
            <w:r>
              <w:rPr>
                <w:rFonts w:ascii="Times New Roman" w:cs="Times New Roman" w:eastAsia="Times New Roman" w:hAnsi="Times New Roman"/>
                <w:sz w:val="9"/>
                <w:szCs w:val="9"/>
                <w:color w:val="auto"/>
              </w:rPr>
              <w:t>Aerospace &amp; Defense Manufacturing</w:t>
            </w: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(k)(ag)</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9"/>
                <w:szCs w:val="9"/>
                <w:color w:val="auto"/>
              </w:rPr>
              <w:t>(L + 5.50%) / (1.00%)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6.50%/0.00%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2/12/2021</w:t>
            </w:r>
          </w:p>
        </w:tc>
        <w:tc>
          <w:tcPr>
            <w:tcW w:w="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2/11/2026</w:t>
            </w: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13,000</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12,921</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13,000</w:t>
            </w: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(41,290 units) (j)</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2/12/2021</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2,609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4,129</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2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(12,035 units) (j)</w:t>
            </w:r>
          </w:p>
        </w:tc>
        <w:tc>
          <w:tcPr>
            <w:tcW w:w="1820" w:type="dxa"/>
            <w:vAlign w:val="bottom"/>
            <w:tcBorders>
              <w:bottom w:val="single" w:sz="8" w:color="CFF0FC"/>
            </w:tcBorders>
            <w:shd w:val="clear" w:color="auto" w:fill="CFF0FC"/>
          </w:tcPr>
          <w:p>
            <w:pPr>
              <w:spacing w:after="0"/>
              <w:rPr>
                <w:sz w:val="10"/>
                <w:szCs w:val="10"/>
                <w:color w:val="auto"/>
              </w:rPr>
            </w:pPr>
          </w:p>
        </w:tc>
        <w:tc>
          <w:tcPr>
            <w:tcW w:w="140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8/25/2021</w:t>
            </w:r>
          </w:p>
        </w:tc>
        <w:tc>
          <w:tcPr>
            <w:tcW w:w="76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1,204</w:t>
            </w:r>
          </w:p>
        </w:tc>
        <w:tc>
          <w:tcPr>
            <w:tcW w:w="2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1,230</w:t>
            </w:r>
          </w:p>
        </w:tc>
        <w:tc>
          <w:tcPr>
            <w:tcW w:w="10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r>
      <w:tr>
        <w:trPr>
          <w:trHeight w:val="115"/>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16,734</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18,359</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Steward Holding LLC (dba Steward Advanced Materials)</w:t>
            </w:r>
          </w:p>
        </w:tc>
        <w:tc>
          <w:tcPr>
            <w:tcW w:w="1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Aerospace &amp; Defense Manufacturing</w:t>
            </w: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(1,000,000 units)</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11/12/2015</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1,000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3,338</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920" w:type="dxa"/>
            <w:vAlign w:val="bottom"/>
            <w:tcBorders>
              <w:left w:val="single" w:sz="8" w:color="CFF0FC"/>
              <w:bottom w:val="single" w:sz="8" w:color="CFF0FC"/>
            </w:tcBorders>
            <w:shd w:val="clear" w:color="auto" w:fill="CFF0FC"/>
          </w:tcPr>
          <w:p>
            <w:pPr>
              <w:spacing w:after="0"/>
              <w:rPr>
                <w:sz w:val="10"/>
                <w:szCs w:val="10"/>
                <w:color w:val="auto"/>
              </w:rPr>
            </w:pPr>
          </w:p>
        </w:tc>
        <w:tc>
          <w:tcPr>
            <w:tcW w:w="560" w:type="dxa"/>
            <w:vAlign w:val="bottom"/>
            <w:tcBorders>
              <w:bottom w:val="single" w:sz="8" w:color="CFF0FC"/>
            </w:tcBorders>
            <w:shd w:val="clear" w:color="auto" w:fill="CFF0FC"/>
          </w:tcPr>
          <w:p>
            <w:pPr>
              <w:spacing w:after="0"/>
              <w:rPr>
                <w:sz w:val="10"/>
                <w:szCs w:val="10"/>
                <w:color w:val="auto"/>
              </w:rPr>
            </w:pPr>
          </w:p>
        </w:tc>
        <w:tc>
          <w:tcPr>
            <w:tcW w:w="1040" w:type="dxa"/>
            <w:vAlign w:val="bottom"/>
            <w:tcBorders>
              <w:bottom w:val="single" w:sz="8" w:color="CFF0FC"/>
            </w:tcBorders>
            <w:shd w:val="clear" w:color="auto" w:fill="CFF0FC"/>
          </w:tcPr>
          <w:p>
            <w:pPr>
              <w:spacing w:after="0"/>
              <w:rPr>
                <w:sz w:val="10"/>
                <w:szCs w:val="10"/>
                <w:color w:val="auto"/>
              </w:rPr>
            </w:pPr>
          </w:p>
        </w:tc>
        <w:tc>
          <w:tcPr>
            <w:tcW w:w="1820" w:type="dxa"/>
            <w:vAlign w:val="bottom"/>
            <w:tcBorders>
              <w:bottom w:val="single" w:sz="8" w:color="CFF0FC"/>
            </w:tcBorders>
            <w:shd w:val="clear" w:color="auto" w:fill="CFF0FC"/>
          </w:tcPr>
          <w:p>
            <w:pPr>
              <w:spacing w:after="0"/>
              <w:rPr>
                <w:sz w:val="10"/>
                <w:szCs w:val="10"/>
                <w:color w:val="auto"/>
              </w:rPr>
            </w:pPr>
          </w:p>
        </w:tc>
        <w:tc>
          <w:tcPr>
            <w:tcW w:w="140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gridSpan w:val="2"/>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spacing w:after="0"/>
              <w:rPr>
                <w:sz w:val="10"/>
                <w:szCs w:val="10"/>
                <w:color w:val="auto"/>
              </w:rPr>
            </w:pPr>
          </w:p>
        </w:tc>
        <w:tc>
          <w:tcPr>
            <w:tcW w:w="2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42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r>
      <w:tr>
        <w:trPr>
          <w:trHeight w:val="115"/>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b w:val="1"/>
                <w:bCs w:val="1"/>
                <w:color w:val="auto"/>
              </w:rPr>
              <w:t>Total Affiliate Investments</w:t>
            </w:r>
          </w:p>
        </w:tc>
        <w:tc>
          <w:tcPr>
            <w:tcW w:w="18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55,519</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137,284</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28 %</w:t>
            </w:r>
          </w:p>
        </w:tc>
      </w:tr>
      <w:tr>
        <w:trPr>
          <w:trHeight w:val="20"/>
        </w:trPr>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920" w:type="dxa"/>
            <w:vAlign w:val="bottom"/>
            <w:tcBorders>
              <w:left w:val="single" w:sz="8" w:color="CFF0FC"/>
            </w:tcBorders>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040" w:type="dxa"/>
            <w:vAlign w:val="bottom"/>
            <w:shd w:val="clear" w:color="auto" w:fill="CFF0FC"/>
          </w:tcPr>
          <w:p>
            <w:pPr>
              <w:spacing w:after="0"/>
              <w:rPr>
                <w:sz w:val="8"/>
                <w:szCs w:val="8"/>
                <w:color w:val="auto"/>
              </w:rPr>
            </w:pPr>
          </w:p>
        </w:tc>
        <w:tc>
          <w:tcPr>
            <w:tcW w:w="1820" w:type="dxa"/>
            <w:vAlign w:val="bottom"/>
            <w:shd w:val="clear" w:color="auto" w:fill="CFF0FC"/>
          </w:tcPr>
          <w:p>
            <w:pPr>
              <w:spacing w:after="0"/>
              <w:rPr>
                <w:sz w:val="8"/>
                <w:szCs w:val="8"/>
                <w:color w:val="auto"/>
              </w:rPr>
            </w:pPr>
          </w:p>
        </w:tc>
        <w:tc>
          <w:tcPr>
            <w:tcW w:w="140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08"/>
        </w:trPr>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9"/>
                <w:szCs w:val="9"/>
                <w:b w:val="1"/>
                <w:bCs w:val="1"/>
                <w:color w:val="auto"/>
                <w:w w:val="98"/>
              </w:rPr>
              <w:t>Non-control/Non-affiliate Investments</w:t>
            </w:r>
          </w:p>
        </w:tc>
        <w:tc>
          <w:tcPr>
            <w:tcW w:w="10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5"/>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2KDirect, Inc. (dba iPromote)</w:t>
            </w:r>
          </w:p>
        </w:tc>
        <w:tc>
          <w:tcPr>
            <w:tcW w:w="1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First Lien Debt (k)</w:t>
            </w:r>
          </w:p>
        </w:tc>
        <w:tc>
          <w:tcPr>
            <w:tcW w:w="1820" w:type="dxa"/>
            <w:vAlign w:val="bottom"/>
          </w:tcPr>
          <w:p>
            <w:pPr>
              <w:spacing w:after="0"/>
              <w:rPr>
                <w:sz w:val="10"/>
                <w:szCs w:val="10"/>
                <w:color w:val="auto"/>
              </w:rPr>
            </w:pPr>
          </w:p>
        </w:tc>
        <w:tc>
          <w:tcPr>
            <w:tcW w:w="1400" w:type="dxa"/>
            <w:vAlign w:val="bottom"/>
          </w:tcPr>
          <w:p>
            <w:pPr>
              <w:ind w:left="360"/>
              <w:spacing w:after="0"/>
              <w:rPr>
                <w:sz w:val="20"/>
                <w:szCs w:val="20"/>
                <w:color w:val="auto"/>
              </w:rPr>
            </w:pPr>
            <w:r>
              <w:rPr>
                <w:rFonts w:ascii="Times New Roman" w:cs="Times New Roman" w:eastAsia="Times New Roman" w:hAnsi="Times New Roman"/>
                <w:sz w:val="9"/>
                <w:szCs w:val="9"/>
                <w:color w:val="auto"/>
              </w:rPr>
              <w:t>(L + 6.75%) / (0.50%)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7.25%/0.00%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6/25/2021</w:t>
            </w:r>
          </w:p>
        </w:tc>
        <w:tc>
          <w:tcPr>
            <w:tcW w:w="7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6/25/2026</w:t>
            </w:r>
          </w:p>
        </w:tc>
        <w:tc>
          <w:tcPr>
            <w:tcW w:w="2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12,919</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12,841</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12,919</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(aa)(j)</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9"/>
                <w:szCs w:val="9"/>
                <w:color w:val="auto"/>
              </w:rPr>
              <w:t>(L + 6.75%) / (0.50%)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7.25%/0.00%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7/30/2021</w:t>
            </w:r>
          </w:p>
        </w:tc>
        <w:tc>
          <w:tcPr>
            <w:tcW w:w="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6/25/2026</w:t>
            </w: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3,975</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3,975</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3,975</w:t>
            </w: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2"/>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(1,000,000 units)</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6/25/2021</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1,000</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806</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17,816</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17,700</w:t>
            </w:r>
          </w:p>
        </w:tc>
        <w:tc>
          <w:tcPr>
            <w:tcW w:w="8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4 %</w:t>
            </w:r>
          </w:p>
        </w:tc>
      </w:tr>
      <w:tr>
        <w:trPr>
          <w:trHeight w:val="121"/>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Acendre Midco, Inc.</w:t>
            </w:r>
          </w:p>
        </w:tc>
        <w:tc>
          <w:tcPr>
            <w:tcW w:w="1820" w:type="dxa"/>
            <w:vAlign w:val="bottom"/>
          </w:tcPr>
          <w:p>
            <w:pPr>
              <w:ind w:left="10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9"/>
                <w:szCs w:val="9"/>
                <w:color w:val="auto"/>
              </w:rPr>
              <w:t>(L + 7.75%) / (0.50%)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8.25%/0.00%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10/6/2021</w:t>
            </w:r>
          </w:p>
        </w:tc>
        <w:tc>
          <w:tcPr>
            <w:tcW w:w="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10/6/2026</w:t>
            </w: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5,500</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5,485</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5,485</w:t>
            </w: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1820" w:type="dxa"/>
            <w:vAlign w:val="bottom"/>
          </w:tcPr>
          <w:p>
            <w:pPr>
              <w:spacing w:after="0"/>
              <w:rPr>
                <w:sz w:val="10"/>
                <w:szCs w:val="10"/>
                <w:color w:val="auto"/>
              </w:rPr>
            </w:pPr>
          </w:p>
        </w:tc>
        <w:tc>
          <w:tcPr>
            <w:tcW w:w="1400" w:type="dxa"/>
            <w:vAlign w:val="bottom"/>
          </w:tcPr>
          <w:p>
            <w:pPr>
              <w:ind w:left="360"/>
              <w:spacing w:after="0"/>
              <w:rPr>
                <w:sz w:val="20"/>
                <w:szCs w:val="20"/>
                <w:color w:val="auto"/>
              </w:rPr>
            </w:pPr>
            <w:r>
              <w:rPr>
                <w:rFonts w:ascii="Times New Roman" w:cs="Times New Roman" w:eastAsia="Times New Roman" w:hAnsi="Times New Roman"/>
                <w:sz w:val="9"/>
                <w:szCs w:val="9"/>
                <w:color w:val="auto"/>
              </w:rPr>
              <w:t>(L + 7.75%) / (0.50%)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8.25%/0.00%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10/6/2021</w:t>
            </w:r>
          </w:p>
        </w:tc>
        <w:tc>
          <w:tcPr>
            <w:tcW w:w="7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10/6/2026</w:t>
            </w:r>
          </w:p>
        </w:tc>
        <w:tc>
          <w:tcPr>
            <w:tcW w:w="2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12,500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12,436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12,436</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Revolving Loan ($1,000 unfunded commitment) (i)(j)</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10/6/2021</w:t>
            </w: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(500,000 shares) (j)</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10/6/2021</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371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371</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2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Warrant (150,000 shares) (j)(m)</w:t>
            </w:r>
          </w:p>
        </w:tc>
        <w:tc>
          <w:tcPr>
            <w:tcW w:w="1820" w:type="dxa"/>
            <w:vAlign w:val="bottom"/>
            <w:tcBorders>
              <w:bottom w:val="single" w:sz="8" w:color="CFF0FC"/>
            </w:tcBorders>
            <w:shd w:val="clear" w:color="auto" w:fill="CFF0FC"/>
          </w:tcPr>
          <w:p>
            <w:pPr>
              <w:spacing w:after="0"/>
              <w:rPr>
                <w:sz w:val="10"/>
                <w:szCs w:val="10"/>
                <w:color w:val="auto"/>
              </w:rPr>
            </w:pPr>
          </w:p>
        </w:tc>
        <w:tc>
          <w:tcPr>
            <w:tcW w:w="140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10/6/2021</w:t>
            </w:r>
          </w:p>
        </w:tc>
        <w:tc>
          <w:tcPr>
            <w:tcW w:w="76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129</w:t>
            </w:r>
          </w:p>
        </w:tc>
        <w:tc>
          <w:tcPr>
            <w:tcW w:w="2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129</w:t>
            </w:r>
          </w:p>
        </w:tc>
        <w:tc>
          <w:tcPr>
            <w:tcW w:w="10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r>
      <w:tr>
        <w:trPr>
          <w:trHeight w:val="115"/>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18,421</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18,421</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Aeronix Inc.</w:t>
            </w:r>
          </w:p>
        </w:tc>
        <w:tc>
          <w:tcPr>
            <w:tcW w:w="1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Aerospace &amp; Defense Manufacturing</w:t>
            </w: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First Lien Debt (ai)</w:t>
            </w:r>
          </w:p>
        </w:tc>
        <w:tc>
          <w:tcPr>
            <w:tcW w:w="1820" w:type="dxa"/>
            <w:vAlign w:val="bottom"/>
          </w:tcPr>
          <w:p>
            <w:pPr>
              <w:spacing w:after="0"/>
              <w:rPr>
                <w:sz w:val="10"/>
                <w:szCs w:val="10"/>
                <w:color w:val="auto"/>
              </w:rPr>
            </w:pPr>
          </w:p>
        </w:tc>
        <w:tc>
          <w:tcPr>
            <w:tcW w:w="1400" w:type="dxa"/>
            <w:vAlign w:val="bottom"/>
          </w:tcPr>
          <w:p>
            <w:pPr>
              <w:ind w:left="360"/>
              <w:spacing w:after="0"/>
              <w:rPr>
                <w:sz w:val="20"/>
                <w:szCs w:val="20"/>
                <w:color w:val="auto"/>
              </w:rPr>
            </w:pPr>
            <w:r>
              <w:rPr>
                <w:rFonts w:ascii="Times New Roman" w:cs="Times New Roman" w:eastAsia="Times New Roman" w:hAnsi="Times New Roman"/>
                <w:sz w:val="9"/>
                <w:szCs w:val="9"/>
                <w:color w:val="auto"/>
              </w:rPr>
              <w:t>(L + 5.88%) / (0.50%)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6.38%/0.00%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6/11/2021</w:t>
            </w:r>
          </w:p>
        </w:tc>
        <w:tc>
          <w:tcPr>
            <w:tcW w:w="7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6/11/2026</w:t>
            </w:r>
          </w:p>
        </w:tc>
        <w:tc>
          <w:tcPr>
            <w:tcW w:w="2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14,250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14,165</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14,250</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2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(500 units)</w:t>
            </w:r>
          </w:p>
        </w:tc>
        <w:tc>
          <w:tcPr>
            <w:tcW w:w="1820" w:type="dxa"/>
            <w:vAlign w:val="bottom"/>
            <w:tcBorders>
              <w:bottom w:val="single" w:sz="8" w:color="CFF0FC"/>
            </w:tcBorders>
            <w:shd w:val="clear" w:color="auto" w:fill="CFF0FC"/>
          </w:tcPr>
          <w:p>
            <w:pPr>
              <w:spacing w:after="0"/>
              <w:rPr>
                <w:sz w:val="10"/>
                <w:szCs w:val="10"/>
                <w:color w:val="auto"/>
              </w:rPr>
            </w:pPr>
          </w:p>
        </w:tc>
        <w:tc>
          <w:tcPr>
            <w:tcW w:w="140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6/11/2021</w:t>
            </w:r>
          </w:p>
        </w:tc>
        <w:tc>
          <w:tcPr>
            <w:tcW w:w="76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2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742</w:t>
            </w:r>
          </w:p>
        </w:tc>
        <w:tc>
          <w:tcPr>
            <w:tcW w:w="10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r>
      <w:tr>
        <w:trPr>
          <w:trHeight w:val="114"/>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14,665</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14,992</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3 %</w:t>
            </w:r>
          </w:p>
        </w:tc>
      </w:tr>
      <w:tr>
        <w:trPr>
          <w:trHeight w:val="122"/>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Allredi, LLC (fka Marco Group International OpCo, LLC)</w:t>
            </w:r>
          </w:p>
        </w:tc>
        <w:tc>
          <w:tcPr>
            <w:tcW w:w="1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Industrial Cleaning &amp; Coatings</w:t>
            </w: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Second Lien Debt</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10.50%/1.75%</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3/2/2020</w:t>
            </w:r>
          </w:p>
        </w:tc>
        <w:tc>
          <w:tcPr>
            <w:tcW w:w="7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9/2/2026</w:t>
            </w:r>
          </w:p>
        </w:tc>
        <w:tc>
          <w:tcPr>
            <w:tcW w:w="2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10,260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10,189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8,317</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(570,636 units) (h)(j)</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7/21/2017</w:t>
            </w: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637</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166</w:t>
            </w: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(39,443 units) (h)(j)</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11/24/2021</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22</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65</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10,848</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8,548</w:t>
            </w:r>
          </w:p>
        </w:tc>
        <w:tc>
          <w:tcPr>
            <w:tcW w:w="8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American AllWaste LLC (dba WasteWater Transport Services)</w:t>
            </w:r>
          </w:p>
        </w:tc>
        <w:tc>
          <w:tcPr>
            <w:tcW w:w="1820" w:type="dxa"/>
            <w:vAlign w:val="bottom"/>
          </w:tcPr>
          <w:p>
            <w:pPr>
              <w:ind w:left="100"/>
              <w:spacing w:after="0"/>
              <w:rPr>
                <w:sz w:val="20"/>
                <w:szCs w:val="20"/>
                <w:color w:val="auto"/>
              </w:rPr>
            </w:pPr>
            <w:r>
              <w:rPr>
                <w:rFonts w:ascii="Times New Roman" w:cs="Times New Roman" w:eastAsia="Times New Roman" w:hAnsi="Times New Roman"/>
                <w:sz w:val="9"/>
                <w:szCs w:val="9"/>
                <w:color w:val="auto"/>
              </w:rPr>
              <w:t>Environmental Industries</w:t>
            </w: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(j)(p)</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9"/>
                <w:szCs w:val="9"/>
                <w:color w:val="auto"/>
              </w:rPr>
              <w:t>(L + 6.15%) / (1.00%)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7.15%/0.00%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6/28/2021</w:t>
            </w:r>
          </w:p>
        </w:tc>
        <w:tc>
          <w:tcPr>
            <w:tcW w:w="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6/28/2026</w:t>
            </w: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20,500</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20,281</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20,281</w:t>
            </w: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First Lien Debt (j)(o)</w:t>
            </w:r>
          </w:p>
        </w:tc>
        <w:tc>
          <w:tcPr>
            <w:tcW w:w="1820" w:type="dxa"/>
            <w:vAlign w:val="bottom"/>
          </w:tcPr>
          <w:p>
            <w:pPr>
              <w:spacing w:after="0"/>
              <w:rPr>
                <w:sz w:val="10"/>
                <w:szCs w:val="10"/>
                <w:color w:val="auto"/>
              </w:rPr>
            </w:pPr>
          </w:p>
        </w:tc>
        <w:tc>
          <w:tcPr>
            <w:tcW w:w="1400" w:type="dxa"/>
            <w:vAlign w:val="bottom"/>
          </w:tcPr>
          <w:p>
            <w:pPr>
              <w:ind w:left="360"/>
              <w:spacing w:after="0"/>
              <w:rPr>
                <w:sz w:val="20"/>
                <w:szCs w:val="20"/>
                <w:color w:val="auto"/>
              </w:rPr>
            </w:pPr>
            <w:r>
              <w:rPr>
                <w:rFonts w:ascii="Times New Roman" w:cs="Times New Roman" w:eastAsia="Times New Roman" w:hAnsi="Times New Roman"/>
                <w:sz w:val="9"/>
                <w:szCs w:val="9"/>
                <w:color w:val="auto"/>
              </w:rPr>
              <w:t>(L + 3.75%) / (1.00%)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4.75%/0.00%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6/28/2021</w:t>
            </w:r>
          </w:p>
        </w:tc>
        <w:tc>
          <w:tcPr>
            <w:tcW w:w="7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12/31/2022</w:t>
            </w:r>
          </w:p>
        </w:tc>
        <w:tc>
          <w:tcPr>
            <w:tcW w:w="2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330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330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330</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(500 units) (h)(j)</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5/31/2018</w:t>
            </w: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439</w:t>
            </w: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Preferred Equity (207 units) (h)(j)</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8/6/2019</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250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187</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(141 units) (h)(j)</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11/2/2020</w:t>
            </w: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171</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128</w:t>
            </w: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Preferred Equity (74 units) (h)(j)</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12/29/2021</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97</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97</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21,629</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21,462</w:t>
            </w:r>
          </w:p>
        </w:tc>
        <w:tc>
          <w:tcPr>
            <w:tcW w:w="8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4 %</w:t>
            </w:r>
          </w:p>
        </w:tc>
      </w:tr>
      <w:tr>
        <w:trPr>
          <w:trHeight w:val="121"/>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Applied Data Corporation</w:t>
            </w:r>
          </w:p>
        </w:tc>
        <w:tc>
          <w:tcPr>
            <w:tcW w:w="1820" w:type="dxa"/>
            <w:vAlign w:val="bottom"/>
          </w:tcPr>
          <w:p>
            <w:pPr>
              <w:ind w:left="10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(k)(v)</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9"/>
                <w:szCs w:val="9"/>
                <w:color w:val="auto"/>
              </w:rPr>
              <w:t>(L + 6.25%) / (1.50%)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7.75%/0.00%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11/6/2020</w:t>
            </w:r>
          </w:p>
        </w:tc>
        <w:tc>
          <w:tcPr>
            <w:tcW w:w="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11/6/2025</w:t>
            </w: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11,500</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11,441</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11,500</w:t>
            </w: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(22 units)</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11/6/2020</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111</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2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(1,104,539 units)</w:t>
            </w:r>
          </w:p>
        </w:tc>
        <w:tc>
          <w:tcPr>
            <w:tcW w:w="1820" w:type="dxa"/>
            <w:vAlign w:val="bottom"/>
            <w:tcBorders>
              <w:bottom w:val="single" w:sz="8" w:color="CFF0FC"/>
            </w:tcBorders>
            <w:shd w:val="clear" w:color="auto" w:fill="CFF0FC"/>
          </w:tcPr>
          <w:p>
            <w:pPr>
              <w:spacing w:after="0"/>
              <w:rPr>
                <w:sz w:val="10"/>
                <w:szCs w:val="10"/>
                <w:color w:val="auto"/>
              </w:rPr>
            </w:pPr>
          </w:p>
        </w:tc>
        <w:tc>
          <w:tcPr>
            <w:tcW w:w="140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11/6/2020</w:t>
            </w:r>
          </w:p>
        </w:tc>
        <w:tc>
          <w:tcPr>
            <w:tcW w:w="76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1,105</w:t>
            </w:r>
          </w:p>
        </w:tc>
        <w:tc>
          <w:tcPr>
            <w:tcW w:w="2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1,194</w:t>
            </w:r>
          </w:p>
        </w:tc>
        <w:tc>
          <w:tcPr>
            <w:tcW w:w="10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r>
      <w:tr>
        <w:trPr>
          <w:trHeight w:val="115"/>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12,561</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12,805</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3 %</w:t>
            </w:r>
          </w:p>
        </w:tc>
      </w:tr>
      <w:tr>
        <w:trPr>
          <w:trHeight w:val="122"/>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Argo Turboserve Corporation</w:t>
            </w:r>
          </w:p>
        </w:tc>
        <w:tc>
          <w:tcPr>
            <w:tcW w:w="1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Business Services</w:t>
            </w: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1820" w:type="dxa"/>
            <w:vAlign w:val="bottom"/>
          </w:tcPr>
          <w:p>
            <w:pPr>
              <w:spacing w:after="0"/>
              <w:rPr>
                <w:sz w:val="10"/>
                <w:szCs w:val="10"/>
                <w:color w:val="auto"/>
              </w:rPr>
            </w:pPr>
          </w:p>
        </w:tc>
        <w:tc>
          <w:tcPr>
            <w:tcW w:w="1400" w:type="dxa"/>
            <w:vAlign w:val="bottom"/>
          </w:tcPr>
          <w:p>
            <w:pPr>
              <w:ind w:left="360"/>
              <w:spacing w:after="0"/>
              <w:rPr>
                <w:sz w:val="20"/>
                <w:szCs w:val="20"/>
                <w:color w:val="auto"/>
              </w:rPr>
            </w:pPr>
            <w:r>
              <w:rPr>
                <w:rFonts w:ascii="Times New Roman" w:cs="Times New Roman" w:eastAsia="Times New Roman" w:hAnsi="Times New Roman"/>
                <w:sz w:val="9"/>
                <w:szCs w:val="9"/>
                <w:color w:val="auto"/>
              </w:rPr>
              <w:t>(L + 12.00%) / (2.00%)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14.00%/0.00%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12/26/2018</w:t>
            </w:r>
          </w:p>
        </w:tc>
        <w:tc>
          <w:tcPr>
            <w:tcW w:w="7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6/28/2023</w:t>
            </w:r>
          </w:p>
        </w:tc>
        <w:tc>
          <w:tcPr>
            <w:tcW w:w="2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11,906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11,881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11,906</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Auto CRM LLC (dba Dealer Holdings)</w:t>
            </w:r>
          </w:p>
        </w:tc>
        <w:tc>
          <w:tcPr>
            <w:tcW w:w="1820" w:type="dxa"/>
            <w:vAlign w:val="bottom"/>
          </w:tcPr>
          <w:p>
            <w:pPr>
              <w:ind w:left="10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9"/>
                <w:szCs w:val="9"/>
                <w:color w:val="auto"/>
              </w:rPr>
              <w:t>(P + 5.50%) / (3.25%)</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8.75%/0.85%</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10/1/2021</w:t>
            </w:r>
          </w:p>
        </w:tc>
        <w:tc>
          <w:tcPr>
            <w:tcW w:w="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10/1/2026</w:t>
            </w: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7,516</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7,445</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7,445</w:t>
            </w: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0.00%/12.75%</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10/1/2021</w:t>
            </w:r>
          </w:p>
        </w:tc>
        <w:tc>
          <w:tcPr>
            <w:tcW w:w="7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12/31/2026</w:t>
            </w:r>
          </w:p>
        </w:tc>
        <w:tc>
          <w:tcPr>
            <w:tcW w:w="2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516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512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512</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2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(500 units) (j)</w:t>
            </w:r>
          </w:p>
        </w:tc>
        <w:tc>
          <w:tcPr>
            <w:tcW w:w="1820" w:type="dxa"/>
            <w:vAlign w:val="bottom"/>
            <w:tcBorders>
              <w:bottom w:val="single" w:sz="8" w:color="CFF0FC"/>
            </w:tcBorders>
            <w:shd w:val="clear" w:color="auto" w:fill="CFF0FC"/>
          </w:tcPr>
          <w:p>
            <w:pPr>
              <w:spacing w:after="0"/>
              <w:rPr>
                <w:sz w:val="10"/>
                <w:szCs w:val="10"/>
                <w:color w:val="auto"/>
              </w:rPr>
            </w:pPr>
          </w:p>
        </w:tc>
        <w:tc>
          <w:tcPr>
            <w:tcW w:w="140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10/1/2021</w:t>
            </w:r>
          </w:p>
        </w:tc>
        <w:tc>
          <w:tcPr>
            <w:tcW w:w="76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2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10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r>
      <w:tr>
        <w:trPr>
          <w:trHeight w:val="115"/>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8,457</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8,457</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AVC Investors, LLC (dba Auveco)</w:t>
            </w:r>
          </w:p>
        </w:tc>
        <w:tc>
          <w:tcPr>
            <w:tcW w:w="1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Specialty Distribution</w:t>
            </w: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(5,000 units) (j)</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1/3/2018</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382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751</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B&amp;B Roadway and Security Solutions, LLC (n)</w:t>
            </w:r>
          </w:p>
        </w:tc>
        <w:tc>
          <w:tcPr>
            <w:tcW w:w="1820" w:type="dxa"/>
            <w:vAlign w:val="bottom"/>
          </w:tcPr>
          <w:p>
            <w:pPr>
              <w:ind w:left="100"/>
              <w:spacing w:after="0"/>
              <w:rPr>
                <w:sz w:val="20"/>
                <w:szCs w:val="20"/>
                <w:color w:val="auto"/>
              </w:rPr>
            </w:pPr>
            <w:r>
              <w:rPr>
                <w:rFonts w:ascii="Times New Roman" w:cs="Times New Roman" w:eastAsia="Times New Roman" w:hAnsi="Times New Roman"/>
                <w:sz w:val="9"/>
                <w:szCs w:val="9"/>
                <w:color w:val="auto"/>
              </w:rPr>
              <w:t>Component Manufacturing</w:t>
            </w: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(50,000 units) (h)(j)</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2/27/2018</w:t>
            </w: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0 %</w:t>
            </w:r>
          </w:p>
        </w:tc>
      </w:tr>
      <w:tr>
        <w:trPr>
          <w:trHeight w:val="121"/>
        </w:trPr>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Bandon Fitness (Texas), Inc.</w:t>
            </w:r>
          </w:p>
        </w:tc>
        <w:tc>
          <w:tcPr>
            <w:tcW w:w="1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Retail</w:t>
            </w: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(545,810 units) (j)</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8/9/2019</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931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1,533</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BCM One Group Holdings, Inc.</w:t>
            </w:r>
          </w:p>
        </w:tc>
        <w:tc>
          <w:tcPr>
            <w:tcW w:w="1820" w:type="dxa"/>
            <w:vAlign w:val="bottom"/>
          </w:tcPr>
          <w:p>
            <w:pPr>
              <w:ind w:left="10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-7019290</wp:posOffset>
            </wp:positionV>
            <wp:extent cx="514350" cy="1028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 cy="10287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-4653280</wp:posOffset>
            </wp:positionV>
            <wp:extent cx="68580" cy="857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-4653280</wp:posOffset>
            </wp:positionV>
            <wp:extent cx="68580" cy="857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-4336415</wp:posOffset>
            </wp:positionV>
            <wp:extent cx="68580" cy="1117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-4336415</wp:posOffset>
            </wp:positionV>
            <wp:extent cx="68580" cy="1117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-3213100</wp:posOffset>
            </wp:positionV>
            <wp:extent cx="68580" cy="857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-3213100</wp:posOffset>
            </wp:positionV>
            <wp:extent cx="68580" cy="857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-2896235</wp:posOffset>
            </wp:positionV>
            <wp:extent cx="68580" cy="857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-2896235</wp:posOffset>
            </wp:positionV>
            <wp:extent cx="68580" cy="857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-1481455</wp:posOffset>
            </wp:positionV>
            <wp:extent cx="68580" cy="857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-1481455</wp:posOffset>
            </wp:positionV>
            <wp:extent cx="68580" cy="857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-855980</wp:posOffset>
            </wp:positionV>
            <wp:extent cx="68580" cy="857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-855980</wp:posOffset>
            </wp:positionV>
            <wp:extent cx="68580" cy="857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572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22"/>
        </w:trPr>
        <w:tc>
          <w:tcPr>
            <w:tcW w:w="2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3260" w:type="dxa"/>
            <w:vAlign w:val="bottom"/>
            <w:shd w:val="clear" w:color="auto" w:fill="CFF0FC"/>
          </w:tcPr>
          <w:p>
            <w:pPr>
              <w:spacing w:after="0"/>
              <w:rPr>
                <w:sz w:val="10"/>
                <w:szCs w:val="10"/>
                <w:color w:val="auto"/>
              </w:rPr>
            </w:pP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10.25%/0.00%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11/17/2021</w:t>
            </w:r>
          </w:p>
        </w:tc>
        <w:tc>
          <w:tcPr>
            <w:tcW w:w="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11/17/2028</w:t>
            </w:r>
          </w:p>
        </w:tc>
        <w:tc>
          <w:tcPr>
            <w:tcW w:w="78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10,000</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9,950</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9,950</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4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2"/>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Bedford Precision Parts LLC</w:t>
            </w:r>
          </w:p>
        </w:tc>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Specialty Distribution</w:t>
            </w: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4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(j)(s)</w:t>
            </w:r>
          </w:p>
        </w:tc>
        <w:tc>
          <w:tcPr>
            <w:tcW w:w="3260" w:type="dxa"/>
            <w:vAlign w:val="bottom"/>
          </w:tcPr>
          <w:p>
            <w:pPr>
              <w:ind w:left="2220"/>
              <w:spacing w:after="0"/>
              <w:rPr>
                <w:sz w:val="20"/>
                <w:szCs w:val="20"/>
                <w:color w:val="auto"/>
              </w:rPr>
            </w:pPr>
            <w:r>
              <w:rPr>
                <w:rFonts w:ascii="Times New Roman" w:cs="Times New Roman" w:eastAsia="Times New Roman" w:hAnsi="Times New Roman"/>
                <w:sz w:val="9"/>
                <w:szCs w:val="9"/>
                <w:color w:val="auto"/>
              </w:rPr>
              <w:t>(L + 6.25%) / (1.00%)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7.25%/0.00%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3/12/2019</w:t>
            </w:r>
          </w:p>
        </w:tc>
        <w:tc>
          <w:tcPr>
            <w:tcW w:w="900" w:type="dxa"/>
            <w:vAlign w:val="bottom"/>
          </w:tcPr>
          <w:p>
            <w:pPr>
              <w:ind w:left="180"/>
              <w:spacing w:after="0"/>
              <w:rPr>
                <w:sz w:val="20"/>
                <w:szCs w:val="20"/>
                <w:color w:val="auto"/>
              </w:rPr>
            </w:pPr>
            <w:r>
              <w:rPr>
                <w:rFonts w:ascii="Times New Roman" w:cs="Times New Roman" w:eastAsia="Times New Roman" w:hAnsi="Times New Roman"/>
                <w:sz w:val="9"/>
                <w:szCs w:val="9"/>
                <w:color w:val="auto"/>
              </w:rPr>
              <w:t>3/12/2024</w:t>
            </w:r>
          </w:p>
        </w:tc>
        <w:tc>
          <w:tcPr>
            <w:tcW w:w="78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4,531</w:t>
            </w: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4,514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4,531</w:t>
            </w:r>
          </w:p>
        </w:tc>
        <w:tc>
          <w:tcPr>
            <w:tcW w:w="860" w:type="dxa"/>
            <w:vAlign w:val="bottom"/>
          </w:tcPr>
          <w:p>
            <w:pPr>
              <w:spacing w:after="0"/>
              <w:rPr>
                <w:sz w:val="10"/>
                <w:szCs w:val="10"/>
                <w:color w:val="auto"/>
              </w:rPr>
            </w:pPr>
          </w:p>
        </w:tc>
      </w:tr>
      <w:tr>
        <w:trPr>
          <w:trHeight w:val="122"/>
        </w:trPr>
        <w:tc>
          <w:tcPr>
            <w:tcW w:w="24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(500,000 units) (h)(j)</w:t>
            </w:r>
          </w:p>
        </w:tc>
        <w:tc>
          <w:tcPr>
            <w:tcW w:w="326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3/12/2019</w:t>
            </w:r>
          </w:p>
        </w:tc>
        <w:tc>
          <w:tcPr>
            <w:tcW w:w="90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20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358</w:t>
            </w:r>
          </w:p>
        </w:tc>
        <w:tc>
          <w:tcPr>
            <w:tcW w:w="860" w:type="dxa"/>
            <w:vAlign w:val="bottom"/>
            <w:tcBorders>
              <w:bottom w:val="single" w:sz="8" w:color="CFF0FC"/>
            </w:tcBorders>
            <w:shd w:val="clear" w:color="auto" w:fill="CFF0FC"/>
          </w:tcPr>
          <w:p>
            <w:pPr>
              <w:spacing w:after="0"/>
              <w:rPr>
                <w:sz w:val="10"/>
                <w:szCs w:val="10"/>
                <w:color w:val="auto"/>
              </w:rPr>
            </w:pPr>
          </w:p>
        </w:tc>
      </w:tr>
      <w:tr>
        <w:trPr>
          <w:trHeight w:val="114"/>
        </w:trPr>
        <w:tc>
          <w:tcPr>
            <w:tcW w:w="2480" w:type="dxa"/>
            <w:vAlign w:val="bottom"/>
          </w:tcPr>
          <w:p>
            <w:pPr>
              <w:spacing w:after="0"/>
              <w:rPr>
                <w:sz w:val="9"/>
                <w:szCs w:val="9"/>
                <w:color w:val="auto"/>
              </w:rPr>
            </w:pPr>
          </w:p>
        </w:tc>
        <w:tc>
          <w:tcPr>
            <w:tcW w:w="3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5,014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4,889</w:t>
            </w: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Cardback Intermediate, LLC (dba Chargeback Gurus)</w:t>
            </w:r>
          </w:p>
        </w:tc>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4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(j)(ah)</w:t>
            </w:r>
          </w:p>
        </w:tc>
        <w:tc>
          <w:tcPr>
            <w:tcW w:w="3260" w:type="dxa"/>
            <w:vAlign w:val="bottom"/>
          </w:tcPr>
          <w:p>
            <w:pPr>
              <w:ind w:left="2220"/>
              <w:spacing w:after="0"/>
              <w:rPr>
                <w:sz w:val="20"/>
                <w:szCs w:val="20"/>
                <w:color w:val="auto"/>
              </w:rPr>
            </w:pPr>
            <w:r>
              <w:rPr>
                <w:rFonts w:ascii="Times New Roman" w:cs="Times New Roman" w:eastAsia="Times New Roman" w:hAnsi="Times New Roman"/>
                <w:sz w:val="9"/>
                <w:szCs w:val="9"/>
                <w:color w:val="auto"/>
              </w:rPr>
              <w:t>(L + 6.75%) / (0.75%)</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7.50%/0.00%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8/10/2021</w:t>
            </w:r>
          </w:p>
        </w:tc>
        <w:tc>
          <w:tcPr>
            <w:tcW w:w="900" w:type="dxa"/>
            <w:vAlign w:val="bottom"/>
          </w:tcPr>
          <w:p>
            <w:pPr>
              <w:ind w:left="180"/>
              <w:spacing w:after="0"/>
              <w:rPr>
                <w:sz w:val="20"/>
                <w:szCs w:val="20"/>
                <w:color w:val="auto"/>
              </w:rPr>
            </w:pPr>
            <w:r>
              <w:rPr>
                <w:rFonts w:ascii="Times New Roman" w:cs="Times New Roman" w:eastAsia="Times New Roman" w:hAnsi="Times New Roman"/>
                <w:sz w:val="9"/>
                <w:szCs w:val="9"/>
                <w:color w:val="auto"/>
              </w:rPr>
              <w:t>8/10/2026</w:t>
            </w:r>
          </w:p>
        </w:tc>
        <w:tc>
          <w:tcPr>
            <w:tcW w:w="78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14,000</w:t>
            </w: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13,928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13,928</w:t>
            </w:r>
          </w:p>
        </w:tc>
        <w:tc>
          <w:tcPr>
            <w:tcW w:w="860" w:type="dxa"/>
            <w:vAlign w:val="bottom"/>
          </w:tcPr>
          <w:p>
            <w:pPr>
              <w:spacing w:after="0"/>
              <w:rPr>
                <w:sz w:val="10"/>
                <w:szCs w:val="10"/>
                <w:color w:val="auto"/>
              </w:rPr>
            </w:pPr>
          </w:p>
        </w:tc>
      </w:tr>
      <w:tr>
        <w:trPr>
          <w:trHeight w:val="122"/>
        </w:trPr>
        <w:tc>
          <w:tcPr>
            <w:tcW w:w="2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(495 shares) (j)</w:t>
            </w:r>
          </w:p>
        </w:tc>
        <w:tc>
          <w:tcPr>
            <w:tcW w:w="32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8/10/2021</w:t>
            </w: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125</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125</w:t>
            </w:r>
          </w:p>
        </w:tc>
        <w:tc>
          <w:tcPr>
            <w:tcW w:w="860" w:type="dxa"/>
            <w:vAlign w:val="bottom"/>
            <w:shd w:val="clear" w:color="auto" w:fill="CFF0FC"/>
          </w:tcPr>
          <w:p>
            <w:pPr>
              <w:spacing w:after="0"/>
              <w:rPr>
                <w:sz w:val="10"/>
                <w:szCs w:val="10"/>
                <w:color w:val="auto"/>
              </w:rPr>
            </w:pPr>
          </w:p>
        </w:tc>
      </w:tr>
      <w:tr>
        <w:trPr>
          <w:trHeight w:val="121"/>
        </w:trPr>
        <w:tc>
          <w:tcPr>
            <w:tcW w:w="24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(495 shares) (j)</w:t>
            </w:r>
          </w:p>
        </w:tc>
        <w:tc>
          <w:tcPr>
            <w:tcW w:w="3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8/10/2021</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125</w:t>
            </w:r>
          </w:p>
        </w:tc>
        <w:tc>
          <w:tcPr>
            <w:tcW w:w="200" w:type="dxa"/>
            <w:vAlign w:val="bottom"/>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125</w:t>
            </w:r>
          </w:p>
        </w:tc>
        <w:tc>
          <w:tcPr>
            <w:tcW w:w="860" w:type="dxa"/>
            <w:vAlign w:val="bottom"/>
          </w:tcPr>
          <w:p>
            <w:pPr>
              <w:spacing w:after="0"/>
              <w:rPr>
                <w:sz w:val="10"/>
                <w:szCs w:val="10"/>
                <w:color w:val="auto"/>
              </w:rPr>
            </w:pPr>
          </w:p>
        </w:tc>
      </w:tr>
      <w:tr>
        <w:trPr>
          <w:trHeight w:val="115"/>
        </w:trPr>
        <w:tc>
          <w:tcPr>
            <w:tcW w:w="248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14,178</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14,178</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1"/>
        </w:trPr>
        <w:tc>
          <w:tcPr>
            <w:tcW w:w="24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Cardboard Box LLC (dba Anthony's Coal Fired Pizza) (aq)</w:t>
            </w:r>
          </w:p>
        </w:tc>
        <w:tc>
          <w:tcPr>
            <w:tcW w:w="3260" w:type="dxa"/>
            <w:vAlign w:val="bottom"/>
          </w:tcPr>
          <w:p>
            <w:pPr>
              <w:ind w:left="140"/>
              <w:spacing w:after="0"/>
              <w:rPr>
                <w:sz w:val="20"/>
                <w:szCs w:val="20"/>
                <w:color w:val="auto"/>
              </w:rPr>
            </w:pPr>
            <w:r>
              <w:rPr>
                <w:rFonts w:ascii="Times New Roman" w:cs="Times New Roman" w:eastAsia="Times New Roman" w:hAnsi="Times New Roman"/>
                <w:sz w:val="9"/>
                <w:szCs w:val="9"/>
                <w:color w:val="auto"/>
              </w:rPr>
              <w:t>Restaurants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2"/>
        </w:trPr>
        <w:tc>
          <w:tcPr>
            <w:tcW w:w="2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(521,021 units) (j)(ao)</w:t>
            </w:r>
          </w:p>
        </w:tc>
        <w:tc>
          <w:tcPr>
            <w:tcW w:w="32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12/15/2015</w:t>
            </w: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521</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74</w:t>
            </w:r>
          </w:p>
        </w:tc>
        <w:tc>
          <w:tcPr>
            <w:tcW w:w="860" w:type="dxa"/>
            <w:vAlign w:val="bottom"/>
            <w:shd w:val="clear" w:color="auto" w:fill="CFF0FC"/>
          </w:tcPr>
          <w:p>
            <w:pPr>
              <w:spacing w:after="0"/>
              <w:rPr>
                <w:sz w:val="10"/>
                <w:szCs w:val="10"/>
                <w:color w:val="auto"/>
              </w:rPr>
            </w:pPr>
          </w:p>
        </w:tc>
      </w:tr>
      <w:tr>
        <w:trPr>
          <w:trHeight w:val="122"/>
        </w:trPr>
        <w:tc>
          <w:tcPr>
            <w:tcW w:w="24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(1,043,133 units) (j)(ao)</w:t>
            </w:r>
          </w:p>
        </w:tc>
        <w:tc>
          <w:tcPr>
            <w:tcW w:w="3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12/6/2019</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96</w:t>
            </w:r>
          </w:p>
        </w:tc>
        <w:tc>
          <w:tcPr>
            <w:tcW w:w="200" w:type="dxa"/>
            <w:vAlign w:val="bottom"/>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283</w:t>
            </w:r>
          </w:p>
        </w:tc>
        <w:tc>
          <w:tcPr>
            <w:tcW w:w="860" w:type="dxa"/>
            <w:vAlign w:val="bottom"/>
          </w:tcPr>
          <w:p>
            <w:pPr>
              <w:spacing w:after="0"/>
              <w:rPr>
                <w:sz w:val="10"/>
                <w:szCs w:val="10"/>
                <w:color w:val="auto"/>
              </w:rPr>
            </w:pPr>
          </w:p>
        </w:tc>
      </w:tr>
      <w:tr>
        <w:trPr>
          <w:trHeight w:val="115"/>
        </w:trPr>
        <w:tc>
          <w:tcPr>
            <w:tcW w:w="248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617</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357</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1"/>
        </w:trPr>
        <w:tc>
          <w:tcPr>
            <w:tcW w:w="24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Combined Systems, Inc.</w:t>
            </w:r>
          </w:p>
        </w:tc>
        <w:tc>
          <w:tcPr>
            <w:tcW w:w="3260" w:type="dxa"/>
            <w:vAlign w:val="bottom"/>
          </w:tcPr>
          <w:p>
            <w:pPr>
              <w:ind w:left="140"/>
              <w:spacing w:after="0"/>
              <w:rPr>
                <w:sz w:val="20"/>
                <w:szCs w:val="20"/>
                <w:color w:val="auto"/>
              </w:rPr>
            </w:pPr>
            <w:r>
              <w:rPr>
                <w:rFonts w:ascii="Times New Roman" w:cs="Times New Roman" w:eastAsia="Times New Roman" w:hAnsi="Times New Roman"/>
                <w:sz w:val="9"/>
                <w:szCs w:val="9"/>
                <w:color w:val="auto"/>
              </w:rPr>
              <w:t>Aerospace &amp; Defense Manufacturing</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2"/>
        </w:trPr>
        <w:tc>
          <w:tcPr>
            <w:tcW w:w="2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w:t>
            </w:r>
          </w:p>
        </w:tc>
        <w:tc>
          <w:tcPr>
            <w:tcW w:w="326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9"/>
                <w:szCs w:val="9"/>
                <w:color w:val="auto"/>
              </w:rPr>
              <w:t>(L + 11.00%) / (2.00%)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13.00%/0.00%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1/31/2020</w:t>
            </w:r>
          </w:p>
        </w:tc>
        <w:tc>
          <w:tcPr>
            <w:tcW w:w="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1/31/2025</w:t>
            </w:r>
          </w:p>
        </w:tc>
        <w:tc>
          <w:tcPr>
            <w:tcW w:w="78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7,091</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7,055</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7,119</w:t>
            </w:r>
          </w:p>
        </w:tc>
        <w:tc>
          <w:tcPr>
            <w:tcW w:w="860" w:type="dxa"/>
            <w:vAlign w:val="bottom"/>
            <w:shd w:val="clear" w:color="auto" w:fill="CFF0FC"/>
          </w:tcPr>
          <w:p>
            <w:pPr>
              <w:spacing w:after="0"/>
              <w:rPr>
                <w:sz w:val="10"/>
                <w:szCs w:val="10"/>
                <w:color w:val="auto"/>
              </w:rPr>
            </w:pPr>
          </w:p>
        </w:tc>
      </w:tr>
      <w:tr>
        <w:trPr>
          <w:trHeight w:val="122"/>
        </w:trPr>
        <w:tc>
          <w:tcPr>
            <w:tcW w:w="24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Revolving Loan ($605 unfunded commitment) (j)(ac)</w:t>
            </w:r>
          </w:p>
        </w:tc>
        <w:tc>
          <w:tcPr>
            <w:tcW w:w="3260" w:type="dxa"/>
            <w:vAlign w:val="bottom"/>
          </w:tcPr>
          <w:p>
            <w:pPr>
              <w:ind w:left="2220"/>
              <w:spacing w:after="0"/>
              <w:rPr>
                <w:sz w:val="20"/>
                <w:szCs w:val="20"/>
                <w:color w:val="auto"/>
              </w:rPr>
            </w:pPr>
            <w:r>
              <w:rPr>
                <w:rFonts w:ascii="Times New Roman" w:cs="Times New Roman" w:eastAsia="Times New Roman" w:hAnsi="Times New Roman"/>
                <w:sz w:val="9"/>
                <w:szCs w:val="9"/>
                <w:color w:val="auto"/>
              </w:rPr>
              <w:t>(L + 10.00%) / (2.00%)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15.00%/0.00%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1/31/2020</w:t>
            </w:r>
          </w:p>
        </w:tc>
        <w:tc>
          <w:tcPr>
            <w:tcW w:w="90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1/31/2025</w:t>
            </w:r>
          </w:p>
        </w:tc>
        <w:tc>
          <w:tcPr>
            <w:tcW w:w="78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3,395</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3,380</w:t>
            </w:r>
          </w:p>
        </w:tc>
        <w:tc>
          <w:tcPr>
            <w:tcW w:w="200" w:type="dxa"/>
            <w:vAlign w:val="bottom"/>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3,395</w:t>
            </w:r>
          </w:p>
        </w:tc>
        <w:tc>
          <w:tcPr>
            <w:tcW w:w="860" w:type="dxa"/>
            <w:vAlign w:val="bottom"/>
          </w:tcPr>
          <w:p>
            <w:pPr>
              <w:spacing w:after="0"/>
              <w:rPr>
                <w:sz w:val="10"/>
                <w:szCs w:val="10"/>
                <w:color w:val="auto"/>
              </w:rPr>
            </w:pPr>
          </w:p>
        </w:tc>
      </w:tr>
      <w:tr>
        <w:trPr>
          <w:trHeight w:val="115"/>
        </w:trPr>
        <w:tc>
          <w:tcPr>
            <w:tcW w:w="248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10,435</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10,514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4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Comply365, LLC</w:t>
            </w:r>
          </w:p>
        </w:tc>
        <w:tc>
          <w:tcPr>
            <w:tcW w:w="3260" w:type="dxa"/>
            <w:vAlign w:val="bottom"/>
          </w:tcPr>
          <w:p>
            <w:pPr>
              <w:ind w:left="140"/>
              <w:spacing w:after="0"/>
              <w:rPr>
                <w:sz w:val="20"/>
                <w:szCs w:val="20"/>
                <w:color w:val="auto"/>
              </w:rPr>
            </w:pPr>
            <w:r>
              <w:rPr>
                <w:rFonts w:ascii="Times New Roman" w:cs="Times New Roman" w:eastAsia="Times New Roman" w:hAnsi="Times New Roman"/>
                <w:sz w:val="9"/>
                <w:szCs w:val="9"/>
                <w:color w:val="auto"/>
              </w:rPr>
              <w:t>Aerospace &amp; Defense Manufacturing</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2"/>
        </w:trPr>
        <w:tc>
          <w:tcPr>
            <w:tcW w:w="2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(ad)</w:t>
            </w:r>
          </w:p>
        </w:tc>
        <w:tc>
          <w:tcPr>
            <w:tcW w:w="326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9"/>
                <w:szCs w:val="9"/>
                <w:color w:val="auto"/>
              </w:rPr>
              <w:t>(L + 8.00%) / (1.00%)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9.00%/0.00%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12/11/2020</w:t>
            </w:r>
          </w:p>
        </w:tc>
        <w:tc>
          <w:tcPr>
            <w:tcW w:w="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12/11/2025</w:t>
            </w:r>
          </w:p>
        </w:tc>
        <w:tc>
          <w:tcPr>
            <w:tcW w:w="78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8,562</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8,447</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8,562</w:t>
            </w:r>
          </w:p>
        </w:tc>
        <w:tc>
          <w:tcPr>
            <w:tcW w:w="860" w:type="dxa"/>
            <w:vAlign w:val="bottom"/>
            <w:shd w:val="clear" w:color="auto" w:fill="CFF0FC"/>
          </w:tcPr>
          <w:p>
            <w:pPr>
              <w:spacing w:after="0"/>
              <w:rPr>
                <w:sz w:val="10"/>
                <w:szCs w:val="10"/>
                <w:color w:val="auto"/>
              </w:rPr>
            </w:pPr>
          </w:p>
        </w:tc>
      </w:tr>
      <w:tr>
        <w:trPr>
          <w:trHeight w:val="122"/>
        </w:trPr>
        <w:tc>
          <w:tcPr>
            <w:tcW w:w="24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(1,000,000 units)</w:t>
            </w:r>
          </w:p>
        </w:tc>
        <w:tc>
          <w:tcPr>
            <w:tcW w:w="3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12/11/2020</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1,000</w:t>
            </w:r>
          </w:p>
        </w:tc>
        <w:tc>
          <w:tcPr>
            <w:tcW w:w="200" w:type="dxa"/>
            <w:vAlign w:val="bottom"/>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1,341</w:t>
            </w:r>
          </w:p>
        </w:tc>
        <w:tc>
          <w:tcPr>
            <w:tcW w:w="860" w:type="dxa"/>
            <w:vAlign w:val="bottom"/>
          </w:tcPr>
          <w:p>
            <w:pPr>
              <w:spacing w:after="0"/>
              <w:rPr>
                <w:sz w:val="10"/>
                <w:szCs w:val="10"/>
                <w:color w:val="auto"/>
              </w:rPr>
            </w:pPr>
          </w:p>
        </w:tc>
      </w:tr>
      <w:tr>
        <w:trPr>
          <w:trHeight w:val="115"/>
        </w:trPr>
        <w:tc>
          <w:tcPr>
            <w:tcW w:w="248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9,447</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9,903</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4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CRS Solutions Holdings, LLC (dba CRS Texas)</w:t>
            </w:r>
          </w:p>
        </w:tc>
        <w:tc>
          <w:tcPr>
            <w:tcW w:w="3260" w:type="dxa"/>
            <w:vAlign w:val="bottom"/>
          </w:tcPr>
          <w:p>
            <w:pPr>
              <w:ind w:left="140"/>
              <w:spacing w:after="0"/>
              <w:rPr>
                <w:sz w:val="20"/>
                <w:szCs w:val="20"/>
                <w:color w:val="auto"/>
              </w:rPr>
            </w:pPr>
            <w:r>
              <w:rPr>
                <w:rFonts w:ascii="Times New Roman" w:cs="Times New Roman" w:eastAsia="Times New Roman" w:hAnsi="Times New Roman"/>
                <w:sz w:val="9"/>
                <w:szCs w:val="9"/>
                <w:color w:val="auto"/>
              </w:rPr>
              <w:t>Business Services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2"/>
        </w:trPr>
        <w:tc>
          <w:tcPr>
            <w:tcW w:w="2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(538,875 units) (h)(j)</w:t>
            </w:r>
          </w:p>
        </w:tc>
        <w:tc>
          <w:tcPr>
            <w:tcW w:w="32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3/14/2018</w:t>
            </w: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621</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686</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4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2"/>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Dataguise, Inc.</w:t>
            </w:r>
          </w:p>
        </w:tc>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4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260" w:type="dxa"/>
            <w:vAlign w:val="bottom"/>
          </w:tcPr>
          <w:p>
            <w:pPr>
              <w:spacing w:after="0"/>
              <w:rPr>
                <w:sz w:val="10"/>
                <w:szCs w:val="10"/>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11.00%/0.00%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12/31/2020</w:t>
            </w:r>
          </w:p>
        </w:tc>
        <w:tc>
          <w:tcPr>
            <w:tcW w:w="90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12/31/2023</w:t>
            </w:r>
          </w:p>
        </w:tc>
        <w:tc>
          <w:tcPr>
            <w:tcW w:w="78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19,850</w:t>
            </w: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19,783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19,800</w:t>
            </w:r>
          </w:p>
        </w:tc>
        <w:tc>
          <w:tcPr>
            <w:tcW w:w="860" w:type="dxa"/>
            <w:vAlign w:val="bottom"/>
          </w:tcPr>
          <w:p>
            <w:pPr>
              <w:spacing w:after="0"/>
              <w:rPr>
                <w:sz w:val="10"/>
                <w:szCs w:val="10"/>
                <w:color w:val="auto"/>
              </w:rPr>
            </w:pPr>
          </w:p>
        </w:tc>
      </w:tr>
      <w:tr>
        <w:trPr>
          <w:trHeight w:val="122"/>
        </w:trPr>
        <w:tc>
          <w:tcPr>
            <w:tcW w:w="24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(909 shares) (j)</w:t>
            </w:r>
          </w:p>
        </w:tc>
        <w:tc>
          <w:tcPr>
            <w:tcW w:w="326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12/31/2020</w:t>
            </w:r>
          </w:p>
        </w:tc>
        <w:tc>
          <w:tcPr>
            <w:tcW w:w="90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1,500</w:t>
            </w:r>
          </w:p>
        </w:tc>
        <w:tc>
          <w:tcPr>
            <w:tcW w:w="20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1,528</w:t>
            </w:r>
          </w:p>
        </w:tc>
        <w:tc>
          <w:tcPr>
            <w:tcW w:w="860" w:type="dxa"/>
            <w:vAlign w:val="bottom"/>
            <w:tcBorders>
              <w:bottom w:val="single" w:sz="8" w:color="CFF0FC"/>
            </w:tcBorders>
            <w:shd w:val="clear" w:color="auto" w:fill="CFF0FC"/>
          </w:tcPr>
          <w:p>
            <w:pPr>
              <w:spacing w:after="0"/>
              <w:rPr>
                <w:sz w:val="10"/>
                <w:szCs w:val="10"/>
                <w:color w:val="auto"/>
              </w:rPr>
            </w:pPr>
          </w:p>
        </w:tc>
      </w:tr>
      <w:tr>
        <w:trPr>
          <w:trHeight w:val="115"/>
        </w:trPr>
        <w:tc>
          <w:tcPr>
            <w:tcW w:w="2480" w:type="dxa"/>
            <w:vAlign w:val="bottom"/>
          </w:tcPr>
          <w:p>
            <w:pPr>
              <w:spacing w:after="0"/>
              <w:rPr>
                <w:sz w:val="9"/>
                <w:szCs w:val="9"/>
                <w:color w:val="auto"/>
              </w:rPr>
            </w:pPr>
          </w:p>
        </w:tc>
        <w:tc>
          <w:tcPr>
            <w:tcW w:w="3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21,283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21,328</w:t>
            </w: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Diversified Search LLC</w:t>
            </w:r>
          </w:p>
        </w:tc>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Business Services</w:t>
            </w: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4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(k)(r)</w:t>
            </w:r>
          </w:p>
        </w:tc>
        <w:tc>
          <w:tcPr>
            <w:tcW w:w="3260" w:type="dxa"/>
            <w:vAlign w:val="bottom"/>
          </w:tcPr>
          <w:p>
            <w:pPr>
              <w:ind w:left="2220"/>
              <w:spacing w:after="0"/>
              <w:rPr>
                <w:sz w:val="20"/>
                <w:szCs w:val="20"/>
                <w:color w:val="auto"/>
              </w:rPr>
            </w:pPr>
            <w:r>
              <w:rPr>
                <w:rFonts w:ascii="Times New Roman" w:cs="Times New Roman" w:eastAsia="Times New Roman" w:hAnsi="Times New Roman"/>
                <w:sz w:val="9"/>
                <w:szCs w:val="9"/>
                <w:color w:val="auto"/>
              </w:rPr>
              <w:t>(L + 6.50%) / (1.00%)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7.50%/0.00%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2/7/2019</w:t>
            </w:r>
          </w:p>
        </w:tc>
        <w:tc>
          <w:tcPr>
            <w:tcW w:w="900" w:type="dxa"/>
            <w:vAlign w:val="bottom"/>
          </w:tcPr>
          <w:p>
            <w:pPr>
              <w:ind w:left="180"/>
              <w:spacing w:after="0"/>
              <w:rPr>
                <w:sz w:val="20"/>
                <w:szCs w:val="20"/>
                <w:color w:val="auto"/>
              </w:rPr>
            </w:pPr>
            <w:r>
              <w:rPr>
                <w:rFonts w:ascii="Times New Roman" w:cs="Times New Roman" w:eastAsia="Times New Roman" w:hAnsi="Times New Roman"/>
                <w:sz w:val="9"/>
                <w:szCs w:val="9"/>
                <w:color w:val="auto"/>
              </w:rPr>
              <w:t>2/7/2024</w:t>
            </w:r>
          </w:p>
        </w:tc>
        <w:tc>
          <w:tcPr>
            <w:tcW w:w="78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18,355</w:t>
            </w: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18,190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18,355</w:t>
            </w:r>
          </w:p>
        </w:tc>
        <w:tc>
          <w:tcPr>
            <w:tcW w:w="860" w:type="dxa"/>
            <w:vAlign w:val="bottom"/>
          </w:tcPr>
          <w:p>
            <w:pPr>
              <w:spacing w:after="0"/>
              <w:rPr>
                <w:sz w:val="10"/>
                <w:szCs w:val="10"/>
                <w:color w:val="auto"/>
              </w:rPr>
            </w:pPr>
          </w:p>
        </w:tc>
      </w:tr>
      <w:tr>
        <w:trPr>
          <w:trHeight w:val="122"/>
        </w:trPr>
        <w:tc>
          <w:tcPr>
            <w:tcW w:w="24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(573 units) (h)(j)</w:t>
            </w:r>
          </w:p>
        </w:tc>
        <w:tc>
          <w:tcPr>
            <w:tcW w:w="326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2/7/2019</w:t>
            </w:r>
          </w:p>
        </w:tc>
        <w:tc>
          <w:tcPr>
            <w:tcW w:w="90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593</w:t>
            </w:r>
          </w:p>
        </w:tc>
        <w:tc>
          <w:tcPr>
            <w:tcW w:w="20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797</w:t>
            </w:r>
          </w:p>
        </w:tc>
        <w:tc>
          <w:tcPr>
            <w:tcW w:w="860" w:type="dxa"/>
            <w:vAlign w:val="bottom"/>
            <w:tcBorders>
              <w:bottom w:val="single" w:sz="8" w:color="CFF0FC"/>
            </w:tcBorders>
            <w:shd w:val="clear" w:color="auto" w:fill="CFF0FC"/>
          </w:tcPr>
          <w:p>
            <w:pPr>
              <w:spacing w:after="0"/>
              <w:rPr>
                <w:sz w:val="10"/>
                <w:szCs w:val="10"/>
                <w:color w:val="auto"/>
              </w:rPr>
            </w:pPr>
          </w:p>
        </w:tc>
      </w:tr>
      <w:tr>
        <w:trPr>
          <w:trHeight w:val="114"/>
        </w:trPr>
        <w:tc>
          <w:tcPr>
            <w:tcW w:w="2480" w:type="dxa"/>
            <w:vAlign w:val="bottom"/>
          </w:tcPr>
          <w:p>
            <w:pPr>
              <w:spacing w:after="0"/>
              <w:rPr>
                <w:sz w:val="9"/>
                <w:szCs w:val="9"/>
                <w:color w:val="auto"/>
              </w:rPr>
            </w:pPr>
          </w:p>
        </w:tc>
        <w:tc>
          <w:tcPr>
            <w:tcW w:w="3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18,783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19,152</w:t>
            </w: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EBL, LLC (EbLens)</w:t>
            </w:r>
          </w:p>
        </w:tc>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Retail</w:t>
            </w: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4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3260" w:type="dxa"/>
            <w:vAlign w:val="bottom"/>
          </w:tcPr>
          <w:p>
            <w:pPr>
              <w:spacing w:after="0"/>
              <w:rPr>
                <w:sz w:val="10"/>
                <w:szCs w:val="10"/>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12.00%/1.00%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7/13/2017</w:t>
            </w:r>
          </w:p>
        </w:tc>
        <w:tc>
          <w:tcPr>
            <w:tcW w:w="90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1/13/2023</w:t>
            </w:r>
          </w:p>
        </w:tc>
        <w:tc>
          <w:tcPr>
            <w:tcW w:w="78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9,326</w:t>
            </w: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9,305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9,036</w:t>
            </w:r>
          </w:p>
        </w:tc>
        <w:tc>
          <w:tcPr>
            <w:tcW w:w="860" w:type="dxa"/>
            <w:vAlign w:val="bottom"/>
          </w:tcPr>
          <w:p>
            <w:pPr>
              <w:spacing w:after="0"/>
              <w:rPr>
                <w:sz w:val="10"/>
                <w:szCs w:val="10"/>
                <w:color w:val="auto"/>
              </w:rPr>
            </w:pPr>
          </w:p>
        </w:tc>
      </w:tr>
      <w:tr>
        <w:trPr>
          <w:trHeight w:val="122"/>
        </w:trPr>
        <w:tc>
          <w:tcPr>
            <w:tcW w:w="24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(75,000 units) (j)</w:t>
            </w:r>
          </w:p>
        </w:tc>
        <w:tc>
          <w:tcPr>
            <w:tcW w:w="326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7/13/2017</w:t>
            </w:r>
          </w:p>
        </w:tc>
        <w:tc>
          <w:tcPr>
            <w:tcW w:w="90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750</w:t>
            </w:r>
          </w:p>
        </w:tc>
        <w:tc>
          <w:tcPr>
            <w:tcW w:w="20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230</w:t>
            </w:r>
          </w:p>
        </w:tc>
        <w:tc>
          <w:tcPr>
            <w:tcW w:w="860" w:type="dxa"/>
            <w:vAlign w:val="bottom"/>
            <w:tcBorders>
              <w:bottom w:val="single" w:sz="8" w:color="CFF0FC"/>
            </w:tcBorders>
            <w:shd w:val="clear" w:color="auto" w:fill="CFF0FC"/>
          </w:tcPr>
          <w:p>
            <w:pPr>
              <w:spacing w:after="0"/>
              <w:rPr>
                <w:sz w:val="10"/>
                <w:szCs w:val="10"/>
                <w:color w:val="auto"/>
              </w:rPr>
            </w:pPr>
          </w:p>
        </w:tc>
      </w:tr>
      <w:tr>
        <w:trPr>
          <w:trHeight w:val="114"/>
        </w:trPr>
        <w:tc>
          <w:tcPr>
            <w:tcW w:w="2480" w:type="dxa"/>
            <w:vAlign w:val="bottom"/>
          </w:tcPr>
          <w:p>
            <w:pPr>
              <w:spacing w:after="0"/>
              <w:rPr>
                <w:sz w:val="9"/>
                <w:szCs w:val="9"/>
                <w:color w:val="auto"/>
              </w:rPr>
            </w:pPr>
          </w:p>
        </w:tc>
        <w:tc>
          <w:tcPr>
            <w:tcW w:w="3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10,055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9,266</w:t>
            </w: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ECM Industries, LLC</w:t>
            </w:r>
          </w:p>
        </w:tc>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Component Manufacturing</w:t>
            </w: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4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(1,000,000 units) (h)(j)</w:t>
            </w:r>
          </w:p>
        </w:tc>
        <w:tc>
          <w:tcPr>
            <w:tcW w:w="3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4/30/2020</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243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1,397</w:t>
            </w: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48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4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Elements Brands, LLC</w:t>
            </w:r>
          </w:p>
        </w:tc>
        <w:tc>
          <w:tcPr>
            <w:tcW w:w="3260" w:type="dxa"/>
            <w:vAlign w:val="bottom"/>
          </w:tcPr>
          <w:p>
            <w:pPr>
              <w:ind w:left="140"/>
              <w:spacing w:after="0"/>
              <w:rPr>
                <w:sz w:val="20"/>
                <w:szCs w:val="20"/>
                <w:color w:val="auto"/>
              </w:rPr>
            </w:pPr>
            <w:r>
              <w:rPr>
                <w:rFonts w:ascii="Times New Roman" w:cs="Times New Roman" w:eastAsia="Times New Roman" w:hAnsi="Times New Roman"/>
                <w:sz w:val="9"/>
                <w:szCs w:val="9"/>
                <w:color w:val="auto"/>
              </w:rPr>
              <w:t>Consumer Products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2"/>
        </w:trPr>
        <w:tc>
          <w:tcPr>
            <w:tcW w:w="2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w:t>
            </w:r>
          </w:p>
        </w:tc>
        <w:tc>
          <w:tcPr>
            <w:tcW w:w="3260" w:type="dxa"/>
            <w:vAlign w:val="bottom"/>
            <w:shd w:val="clear" w:color="auto" w:fill="CFF0FC"/>
          </w:tcPr>
          <w:p>
            <w:pPr>
              <w:spacing w:after="0"/>
              <w:rPr>
                <w:sz w:val="10"/>
                <w:szCs w:val="10"/>
                <w:color w:val="auto"/>
              </w:rPr>
            </w:pP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12.25%/0.00%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12/31/2020</w:t>
            </w:r>
          </w:p>
        </w:tc>
        <w:tc>
          <w:tcPr>
            <w:tcW w:w="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12/31/2025</w:t>
            </w:r>
          </w:p>
        </w:tc>
        <w:tc>
          <w:tcPr>
            <w:tcW w:w="78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5,775</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5,748</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5,775</w:t>
            </w:r>
          </w:p>
        </w:tc>
        <w:tc>
          <w:tcPr>
            <w:tcW w:w="860" w:type="dxa"/>
            <w:vAlign w:val="bottom"/>
            <w:shd w:val="clear" w:color="auto" w:fill="CFF0FC"/>
          </w:tcPr>
          <w:p>
            <w:pPr>
              <w:spacing w:after="0"/>
              <w:rPr>
                <w:sz w:val="10"/>
                <w:szCs w:val="10"/>
                <w:color w:val="auto"/>
              </w:rPr>
            </w:pPr>
          </w:p>
        </w:tc>
      </w:tr>
      <w:tr>
        <w:trPr>
          <w:trHeight w:val="122"/>
        </w:trPr>
        <w:tc>
          <w:tcPr>
            <w:tcW w:w="24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Revolving Loan ($838 unfunded commitment) (i)(j)</w:t>
            </w:r>
          </w:p>
        </w:tc>
        <w:tc>
          <w:tcPr>
            <w:tcW w:w="3260" w:type="dxa"/>
            <w:vAlign w:val="bottom"/>
          </w:tcPr>
          <w:p>
            <w:pPr>
              <w:spacing w:after="0"/>
              <w:rPr>
                <w:sz w:val="10"/>
                <w:szCs w:val="10"/>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12.25%/0.00%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12/31/2020</w:t>
            </w:r>
          </w:p>
        </w:tc>
        <w:tc>
          <w:tcPr>
            <w:tcW w:w="90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12/31/2025</w:t>
            </w:r>
          </w:p>
        </w:tc>
        <w:tc>
          <w:tcPr>
            <w:tcW w:w="78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2,162</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2,149</w:t>
            </w:r>
          </w:p>
        </w:tc>
        <w:tc>
          <w:tcPr>
            <w:tcW w:w="200" w:type="dxa"/>
            <w:vAlign w:val="bottom"/>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2,162</w:t>
            </w:r>
          </w:p>
        </w:tc>
        <w:tc>
          <w:tcPr>
            <w:tcW w:w="860" w:type="dxa"/>
            <w:vAlign w:val="bottom"/>
          </w:tcPr>
          <w:p>
            <w:pPr>
              <w:spacing w:after="0"/>
              <w:rPr>
                <w:sz w:val="10"/>
                <w:szCs w:val="10"/>
                <w:color w:val="auto"/>
              </w:rPr>
            </w:pPr>
          </w:p>
        </w:tc>
      </w:tr>
      <w:tr>
        <w:trPr>
          <w:trHeight w:val="115"/>
        </w:trPr>
        <w:tc>
          <w:tcPr>
            <w:tcW w:w="248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7,897</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7,937</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99"/>
        </w:trPr>
        <w:tc>
          <w:tcPr>
            <w:tcW w:w="2480" w:type="dxa"/>
            <w:vAlign w:val="bottom"/>
          </w:tcPr>
          <w:p>
            <w:pPr>
              <w:ind w:left="20"/>
              <w:spacing w:after="0" w:line="99" w:lineRule="exact"/>
              <w:rPr>
                <w:sz w:val="20"/>
                <w:szCs w:val="20"/>
                <w:color w:val="auto"/>
              </w:rPr>
            </w:pPr>
            <w:r>
              <w:rPr>
                <w:rFonts w:ascii="Times New Roman" w:cs="Times New Roman" w:eastAsia="Times New Roman" w:hAnsi="Times New Roman"/>
                <w:sz w:val="9"/>
                <w:szCs w:val="9"/>
                <w:i w:val="1"/>
                <w:iCs w:val="1"/>
                <w:color w:val="auto"/>
              </w:rPr>
              <w:t>Frontline Food Services, LLC</w:t>
            </w:r>
          </w:p>
        </w:tc>
        <w:tc>
          <w:tcPr>
            <w:tcW w:w="3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117"/>
        </w:trPr>
        <w:tc>
          <w:tcPr>
            <w:tcW w:w="24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(f/k/a Accent Food Services, LLC)</w:t>
            </w:r>
          </w:p>
        </w:tc>
        <w:tc>
          <w:tcPr>
            <w:tcW w:w="3260" w:type="dxa"/>
            <w:vAlign w:val="bottom"/>
          </w:tcPr>
          <w:p>
            <w:pPr>
              <w:ind w:left="140"/>
              <w:spacing w:after="0"/>
              <w:rPr>
                <w:sz w:val="20"/>
                <w:szCs w:val="20"/>
                <w:color w:val="auto"/>
              </w:rPr>
            </w:pPr>
            <w:r>
              <w:rPr>
                <w:rFonts w:ascii="Times New Roman" w:cs="Times New Roman" w:eastAsia="Times New Roman" w:hAnsi="Times New Roman"/>
                <w:sz w:val="9"/>
                <w:szCs w:val="9"/>
                <w:color w:val="auto"/>
              </w:rPr>
              <w:t>Vending Equipment Manufacturing</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2"/>
        </w:trPr>
        <w:tc>
          <w:tcPr>
            <w:tcW w:w="2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(Class A Units) (46 units) (j)</w:t>
            </w:r>
          </w:p>
        </w:tc>
        <w:tc>
          <w:tcPr>
            <w:tcW w:w="32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12/31/2020</w:t>
            </w: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2,000</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1,431</w:t>
            </w:r>
          </w:p>
        </w:tc>
        <w:tc>
          <w:tcPr>
            <w:tcW w:w="860" w:type="dxa"/>
            <w:vAlign w:val="bottom"/>
            <w:shd w:val="clear" w:color="auto" w:fill="CFF0FC"/>
          </w:tcPr>
          <w:p>
            <w:pPr>
              <w:spacing w:after="0"/>
              <w:rPr>
                <w:sz w:val="10"/>
                <w:szCs w:val="10"/>
                <w:color w:val="auto"/>
              </w:rPr>
            </w:pPr>
          </w:p>
        </w:tc>
      </w:tr>
      <w:tr>
        <w:trPr>
          <w:trHeight w:val="121"/>
        </w:trPr>
        <w:tc>
          <w:tcPr>
            <w:tcW w:w="24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(Class B Units) (124 units) (j)</w:t>
            </w:r>
          </w:p>
        </w:tc>
        <w:tc>
          <w:tcPr>
            <w:tcW w:w="3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12/31/2020</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60" w:type="dxa"/>
            <w:vAlign w:val="bottom"/>
          </w:tcPr>
          <w:p>
            <w:pPr>
              <w:spacing w:after="0"/>
              <w:rPr>
                <w:sz w:val="10"/>
                <w:szCs w:val="10"/>
                <w:color w:val="auto"/>
              </w:rPr>
            </w:pPr>
          </w:p>
        </w:tc>
      </w:tr>
      <w:tr>
        <w:trPr>
          <w:trHeight w:val="122"/>
        </w:trPr>
        <w:tc>
          <w:tcPr>
            <w:tcW w:w="24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(Class C Units) (100 units) (j)</w:t>
            </w:r>
          </w:p>
        </w:tc>
        <w:tc>
          <w:tcPr>
            <w:tcW w:w="326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12/31/2020</w:t>
            </w:r>
          </w:p>
        </w:tc>
        <w:tc>
          <w:tcPr>
            <w:tcW w:w="90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60" w:type="dxa"/>
            <w:vAlign w:val="bottom"/>
            <w:tcBorders>
              <w:bottom w:val="single" w:sz="8" w:color="CFF0FC"/>
            </w:tcBorders>
            <w:shd w:val="clear" w:color="auto" w:fill="CFF0FC"/>
          </w:tcPr>
          <w:p>
            <w:pPr>
              <w:spacing w:after="0"/>
              <w:rPr>
                <w:sz w:val="10"/>
                <w:szCs w:val="10"/>
                <w:color w:val="auto"/>
              </w:rPr>
            </w:pPr>
          </w:p>
        </w:tc>
      </w:tr>
      <w:tr>
        <w:trPr>
          <w:trHeight w:val="115"/>
        </w:trPr>
        <w:tc>
          <w:tcPr>
            <w:tcW w:w="2480" w:type="dxa"/>
            <w:vAlign w:val="bottom"/>
          </w:tcPr>
          <w:p>
            <w:pPr>
              <w:spacing w:after="0"/>
              <w:rPr>
                <w:sz w:val="9"/>
                <w:szCs w:val="9"/>
                <w:color w:val="auto"/>
              </w:rPr>
            </w:pPr>
          </w:p>
        </w:tc>
        <w:tc>
          <w:tcPr>
            <w:tcW w:w="3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1,431</w:t>
            </w: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Global Plasma Solutions, Inc.</w:t>
            </w:r>
          </w:p>
        </w:tc>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Component Manufacturing</w:t>
            </w: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4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(947 shares) (j)</w:t>
            </w:r>
          </w:p>
        </w:tc>
        <w:tc>
          <w:tcPr>
            <w:tcW w:w="3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9/21/2018</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2,097</w:t>
            </w: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48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4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GP&amp;C Operations, LLC (dba Garlock Printing and Converting)</w:t>
            </w:r>
          </w:p>
        </w:tc>
        <w:tc>
          <w:tcPr>
            <w:tcW w:w="3260" w:type="dxa"/>
            <w:vAlign w:val="bottom"/>
          </w:tcPr>
          <w:p>
            <w:pPr>
              <w:ind w:left="140"/>
              <w:spacing w:after="0"/>
              <w:rPr>
                <w:sz w:val="20"/>
                <w:szCs w:val="20"/>
                <w:color w:val="auto"/>
              </w:rPr>
            </w:pPr>
            <w:r>
              <w:rPr>
                <w:rFonts w:ascii="Times New Roman" w:cs="Times New Roman" w:eastAsia="Times New Roman" w:hAnsi="Times New Roman"/>
                <w:sz w:val="9"/>
                <w:szCs w:val="9"/>
                <w:color w:val="auto"/>
              </w:rPr>
              <w:t>Component Manufacturing</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2"/>
        </w:trPr>
        <w:tc>
          <w:tcPr>
            <w:tcW w:w="2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(w)</w:t>
            </w:r>
          </w:p>
        </w:tc>
        <w:tc>
          <w:tcPr>
            <w:tcW w:w="326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9"/>
                <w:szCs w:val="9"/>
                <w:color w:val="auto"/>
              </w:rPr>
              <w:t>(L + 7.25%) / (1.00%)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8.25%/0.00%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1/22/2021</w:t>
            </w:r>
          </w:p>
        </w:tc>
        <w:tc>
          <w:tcPr>
            <w:tcW w:w="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1/22/2026</w:t>
            </w:r>
          </w:p>
        </w:tc>
        <w:tc>
          <w:tcPr>
            <w:tcW w:w="78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11,000</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10,866</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11,000</w:t>
            </w:r>
          </w:p>
        </w:tc>
        <w:tc>
          <w:tcPr>
            <w:tcW w:w="860" w:type="dxa"/>
            <w:vAlign w:val="bottom"/>
            <w:shd w:val="clear" w:color="auto" w:fill="CFF0FC"/>
          </w:tcPr>
          <w:p>
            <w:pPr>
              <w:spacing w:after="0"/>
              <w:rPr>
                <w:sz w:val="10"/>
                <w:szCs w:val="10"/>
                <w:color w:val="auto"/>
              </w:rPr>
            </w:pPr>
          </w:p>
        </w:tc>
      </w:tr>
      <w:tr>
        <w:trPr>
          <w:trHeight w:val="122"/>
        </w:trPr>
        <w:tc>
          <w:tcPr>
            <w:tcW w:w="24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(515,625 units) (h)(j)</w:t>
            </w:r>
          </w:p>
        </w:tc>
        <w:tc>
          <w:tcPr>
            <w:tcW w:w="3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1/22/2021</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516</w:t>
            </w:r>
          </w:p>
        </w:tc>
        <w:tc>
          <w:tcPr>
            <w:tcW w:w="200" w:type="dxa"/>
            <w:vAlign w:val="bottom"/>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432</w:t>
            </w:r>
          </w:p>
        </w:tc>
        <w:tc>
          <w:tcPr>
            <w:tcW w:w="860" w:type="dxa"/>
            <w:vAlign w:val="bottom"/>
          </w:tcPr>
          <w:p>
            <w:pPr>
              <w:spacing w:after="0"/>
              <w:rPr>
                <w:sz w:val="10"/>
                <w:szCs w:val="10"/>
                <w:color w:val="auto"/>
              </w:rPr>
            </w:pPr>
          </w:p>
        </w:tc>
      </w:tr>
      <w:tr>
        <w:trPr>
          <w:trHeight w:val="115"/>
        </w:trPr>
        <w:tc>
          <w:tcPr>
            <w:tcW w:w="248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11,382</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11,432</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4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Green Cubes Technology, LLC (dba Green Cubes)</w:t>
            </w:r>
          </w:p>
        </w:tc>
        <w:tc>
          <w:tcPr>
            <w:tcW w:w="3260" w:type="dxa"/>
            <w:vAlign w:val="bottom"/>
          </w:tcPr>
          <w:p>
            <w:pPr>
              <w:ind w:left="14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2"/>
        </w:trPr>
        <w:tc>
          <w:tcPr>
            <w:tcW w:w="2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26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9"/>
                <w:szCs w:val="9"/>
                <w:color w:val="auto"/>
              </w:rPr>
              <w:t>(L + 13.00%) / (0.00%)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13.21%/0.00%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12/17/2021</w:t>
            </w:r>
          </w:p>
        </w:tc>
        <w:tc>
          <w:tcPr>
            <w:tcW w:w="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12/17/2024</w:t>
            </w:r>
          </w:p>
        </w:tc>
        <w:tc>
          <w:tcPr>
            <w:tcW w:w="78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13,000</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12,928</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12,928</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2"/>
        </w:trPr>
        <w:tc>
          <w:tcPr>
            <w:tcW w:w="24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1"/>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Gurobi Optimization, LLC</w:t>
            </w:r>
          </w:p>
        </w:tc>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4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(3 shares)</w:t>
            </w:r>
          </w:p>
        </w:tc>
        <w:tc>
          <w:tcPr>
            <w:tcW w:w="3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12/19/2017</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607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2,569</w:t>
            </w: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48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4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Haematologic Technologies, Inc.</w:t>
            </w:r>
          </w:p>
        </w:tc>
        <w:tc>
          <w:tcPr>
            <w:tcW w:w="3260" w:type="dxa"/>
            <w:vAlign w:val="bottom"/>
          </w:tcPr>
          <w:p>
            <w:pPr>
              <w:ind w:left="140"/>
              <w:spacing w:after="0"/>
              <w:rPr>
                <w:sz w:val="20"/>
                <w:szCs w:val="20"/>
                <w:color w:val="auto"/>
              </w:rPr>
            </w:pPr>
            <w:r>
              <w:rPr>
                <w:rFonts w:ascii="Times New Roman" w:cs="Times New Roman" w:eastAsia="Times New Roman" w:hAnsi="Times New Roman"/>
                <w:sz w:val="9"/>
                <w:szCs w:val="9"/>
                <w:color w:val="auto"/>
              </w:rPr>
              <w:t>Healthcare Services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2"/>
        </w:trPr>
        <w:tc>
          <w:tcPr>
            <w:tcW w:w="2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(x)</w:t>
            </w:r>
          </w:p>
        </w:tc>
        <w:tc>
          <w:tcPr>
            <w:tcW w:w="326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9"/>
                <w:szCs w:val="9"/>
                <w:color w:val="auto"/>
              </w:rPr>
              <w:t>(L + 8.25%) / (2.00%)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10.25%/0.00%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10/11/2019</w:t>
            </w:r>
          </w:p>
        </w:tc>
        <w:tc>
          <w:tcPr>
            <w:tcW w:w="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10/11/2024</w:t>
            </w:r>
          </w:p>
        </w:tc>
        <w:tc>
          <w:tcPr>
            <w:tcW w:w="78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5,378</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5,355</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4,945</w:t>
            </w:r>
          </w:p>
        </w:tc>
        <w:tc>
          <w:tcPr>
            <w:tcW w:w="860" w:type="dxa"/>
            <w:vAlign w:val="bottom"/>
            <w:shd w:val="clear" w:color="auto" w:fill="CFF0FC"/>
          </w:tcPr>
          <w:p>
            <w:pPr>
              <w:spacing w:after="0"/>
              <w:rPr>
                <w:sz w:val="10"/>
                <w:szCs w:val="10"/>
                <w:color w:val="auto"/>
              </w:rPr>
            </w:pPr>
          </w:p>
        </w:tc>
      </w:tr>
      <w:tr>
        <w:trPr>
          <w:trHeight w:val="121"/>
        </w:trPr>
        <w:tc>
          <w:tcPr>
            <w:tcW w:w="24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(630 units) (h)(j)</w:t>
            </w:r>
          </w:p>
        </w:tc>
        <w:tc>
          <w:tcPr>
            <w:tcW w:w="3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10/11/2019</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630</w:t>
            </w:r>
          </w:p>
        </w:tc>
        <w:tc>
          <w:tcPr>
            <w:tcW w:w="200" w:type="dxa"/>
            <w:vAlign w:val="bottom"/>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120</w:t>
            </w:r>
          </w:p>
        </w:tc>
        <w:tc>
          <w:tcPr>
            <w:tcW w:w="860" w:type="dxa"/>
            <w:vAlign w:val="bottom"/>
          </w:tcPr>
          <w:p>
            <w:pPr>
              <w:spacing w:after="0"/>
              <w:rPr>
                <w:sz w:val="10"/>
                <w:szCs w:val="10"/>
                <w:color w:val="auto"/>
              </w:rPr>
            </w:pPr>
          </w:p>
        </w:tc>
      </w:tr>
      <w:tr>
        <w:trPr>
          <w:trHeight w:val="115"/>
        </w:trPr>
        <w:tc>
          <w:tcPr>
            <w:tcW w:w="248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5,985</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5,065</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4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Hallmark Health Care Solutions, Inc.</w:t>
            </w:r>
          </w:p>
        </w:tc>
        <w:tc>
          <w:tcPr>
            <w:tcW w:w="3260" w:type="dxa"/>
            <w:vAlign w:val="bottom"/>
          </w:tcPr>
          <w:p>
            <w:pPr>
              <w:ind w:left="140"/>
              <w:spacing w:after="0"/>
              <w:rPr>
                <w:sz w:val="20"/>
                <w:szCs w:val="20"/>
                <w:color w:val="auto"/>
              </w:rPr>
            </w:pPr>
            <w:r>
              <w:rPr>
                <w:rFonts w:ascii="Times New Roman" w:cs="Times New Roman" w:eastAsia="Times New Roman" w:hAnsi="Times New Roman"/>
                <w:sz w:val="9"/>
                <w:szCs w:val="9"/>
                <w:color w:val="auto"/>
              </w:rPr>
              <w:t>Healthcare Services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2"/>
        </w:trPr>
        <w:tc>
          <w:tcPr>
            <w:tcW w:w="2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(j)(ae)</w:t>
            </w:r>
          </w:p>
        </w:tc>
        <w:tc>
          <w:tcPr>
            <w:tcW w:w="326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9"/>
                <w:szCs w:val="9"/>
                <w:color w:val="auto"/>
              </w:rPr>
              <w:t>(L + 7.25%) / (1.50%)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8.75%/0.00%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12/4/2020</w:t>
            </w:r>
          </w:p>
        </w:tc>
        <w:tc>
          <w:tcPr>
            <w:tcW w:w="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12/4/2025</w:t>
            </w:r>
          </w:p>
        </w:tc>
        <w:tc>
          <w:tcPr>
            <w:tcW w:w="78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8,440</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8,390</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8,440</w:t>
            </w:r>
          </w:p>
        </w:tc>
        <w:tc>
          <w:tcPr>
            <w:tcW w:w="860" w:type="dxa"/>
            <w:vAlign w:val="bottom"/>
            <w:shd w:val="clear" w:color="auto" w:fill="CFF0FC"/>
          </w:tcPr>
          <w:p>
            <w:pPr>
              <w:spacing w:after="0"/>
              <w:rPr>
                <w:sz w:val="10"/>
                <w:szCs w:val="10"/>
                <w:color w:val="auto"/>
              </w:rPr>
            </w:pPr>
          </w:p>
        </w:tc>
      </w:tr>
      <w:tr>
        <w:trPr>
          <w:trHeight w:val="122"/>
        </w:trPr>
        <w:tc>
          <w:tcPr>
            <w:tcW w:w="24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(750,000 units) (j)</w:t>
            </w:r>
          </w:p>
        </w:tc>
        <w:tc>
          <w:tcPr>
            <w:tcW w:w="3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12/4/2020</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750</w:t>
            </w:r>
          </w:p>
        </w:tc>
        <w:tc>
          <w:tcPr>
            <w:tcW w:w="200" w:type="dxa"/>
            <w:vAlign w:val="bottom"/>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2,068</w:t>
            </w:r>
          </w:p>
        </w:tc>
        <w:tc>
          <w:tcPr>
            <w:tcW w:w="860" w:type="dxa"/>
            <w:vAlign w:val="bottom"/>
          </w:tcPr>
          <w:p>
            <w:pPr>
              <w:spacing w:after="0"/>
              <w:rPr>
                <w:sz w:val="10"/>
                <w:szCs w:val="10"/>
                <w:color w:val="auto"/>
              </w:rPr>
            </w:pPr>
          </w:p>
        </w:tc>
      </w:tr>
      <w:tr>
        <w:trPr>
          <w:trHeight w:val="115"/>
        </w:trPr>
        <w:tc>
          <w:tcPr>
            <w:tcW w:w="248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9,140</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10,508</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4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Healthfuse, LLC</w:t>
            </w:r>
          </w:p>
        </w:tc>
        <w:tc>
          <w:tcPr>
            <w:tcW w:w="3260" w:type="dxa"/>
            <w:vAlign w:val="bottom"/>
          </w:tcPr>
          <w:p>
            <w:pPr>
              <w:ind w:left="140"/>
              <w:spacing w:after="0"/>
              <w:rPr>
                <w:sz w:val="20"/>
                <w:szCs w:val="20"/>
                <w:color w:val="auto"/>
              </w:rPr>
            </w:pPr>
            <w:r>
              <w:rPr>
                <w:rFonts w:ascii="Times New Roman" w:cs="Times New Roman" w:eastAsia="Times New Roman" w:hAnsi="Times New Roman"/>
                <w:sz w:val="9"/>
                <w:szCs w:val="9"/>
                <w:color w:val="auto"/>
              </w:rPr>
              <w:t>Healthcare Services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2"/>
        </w:trPr>
        <w:tc>
          <w:tcPr>
            <w:tcW w:w="2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(af)</w:t>
            </w:r>
          </w:p>
        </w:tc>
        <w:tc>
          <w:tcPr>
            <w:tcW w:w="326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9"/>
                <w:szCs w:val="9"/>
                <w:color w:val="auto"/>
              </w:rPr>
              <w:t>(L + 7.25%) / (1.00%)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8.25%/0.00%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11/13/2020</w:t>
            </w:r>
          </w:p>
        </w:tc>
        <w:tc>
          <w:tcPr>
            <w:tcW w:w="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11/13/2025</w:t>
            </w:r>
          </w:p>
        </w:tc>
        <w:tc>
          <w:tcPr>
            <w:tcW w:w="78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5,940</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5,908</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5,940</w:t>
            </w:r>
          </w:p>
        </w:tc>
        <w:tc>
          <w:tcPr>
            <w:tcW w:w="860" w:type="dxa"/>
            <w:vAlign w:val="bottom"/>
            <w:shd w:val="clear" w:color="auto" w:fill="CFF0FC"/>
          </w:tcPr>
          <w:p>
            <w:pPr>
              <w:spacing w:after="0"/>
              <w:rPr>
                <w:sz w:val="10"/>
                <w:szCs w:val="10"/>
                <w:color w:val="auto"/>
              </w:rPr>
            </w:pPr>
          </w:p>
        </w:tc>
      </w:tr>
      <w:tr>
        <w:trPr>
          <w:trHeight w:val="122"/>
        </w:trPr>
        <w:tc>
          <w:tcPr>
            <w:tcW w:w="24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(197,980 units)</w:t>
            </w:r>
          </w:p>
        </w:tc>
        <w:tc>
          <w:tcPr>
            <w:tcW w:w="3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11/13/2020</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750</w:t>
            </w:r>
          </w:p>
        </w:tc>
        <w:tc>
          <w:tcPr>
            <w:tcW w:w="200" w:type="dxa"/>
            <w:vAlign w:val="bottom"/>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920</w:t>
            </w:r>
          </w:p>
        </w:tc>
        <w:tc>
          <w:tcPr>
            <w:tcW w:w="860" w:type="dxa"/>
            <w:vAlign w:val="bottom"/>
          </w:tcPr>
          <w:p>
            <w:pPr>
              <w:spacing w:after="0"/>
              <w:rPr>
                <w:sz w:val="10"/>
                <w:szCs w:val="10"/>
                <w:color w:val="auto"/>
              </w:rPr>
            </w:pPr>
          </w:p>
        </w:tc>
      </w:tr>
      <w:tr>
        <w:trPr>
          <w:trHeight w:val="115"/>
        </w:trPr>
        <w:tc>
          <w:tcPr>
            <w:tcW w:w="248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6,658</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6,860</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4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Hub Acquisition Sub, LLC (dba Hub Pen)</w:t>
            </w:r>
          </w:p>
        </w:tc>
        <w:tc>
          <w:tcPr>
            <w:tcW w:w="3260" w:type="dxa"/>
            <w:vAlign w:val="bottom"/>
          </w:tcPr>
          <w:p>
            <w:pPr>
              <w:ind w:left="140"/>
              <w:spacing w:after="0"/>
              <w:rPr>
                <w:sz w:val="20"/>
                <w:szCs w:val="20"/>
                <w:color w:val="auto"/>
              </w:rPr>
            </w:pPr>
            <w:r>
              <w:rPr>
                <w:rFonts w:ascii="Times New Roman" w:cs="Times New Roman" w:eastAsia="Times New Roman" w:hAnsi="Times New Roman"/>
                <w:sz w:val="9"/>
                <w:szCs w:val="9"/>
                <w:color w:val="auto"/>
              </w:rPr>
              <w:t>Promotional products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2"/>
        </w:trPr>
        <w:tc>
          <w:tcPr>
            <w:tcW w:w="2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(k)</w:t>
            </w:r>
          </w:p>
        </w:tc>
        <w:tc>
          <w:tcPr>
            <w:tcW w:w="3260" w:type="dxa"/>
            <w:vAlign w:val="bottom"/>
            <w:shd w:val="clear" w:color="auto" w:fill="CFF0FC"/>
          </w:tcPr>
          <w:p>
            <w:pPr>
              <w:spacing w:after="0"/>
              <w:rPr>
                <w:sz w:val="10"/>
                <w:szCs w:val="10"/>
                <w:color w:val="auto"/>
              </w:rPr>
            </w:pP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13.50%/0.00%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3/23/2016</w:t>
            </w:r>
          </w:p>
        </w:tc>
        <w:tc>
          <w:tcPr>
            <w:tcW w:w="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3/31/2023</w:t>
            </w:r>
          </w:p>
        </w:tc>
        <w:tc>
          <w:tcPr>
            <w:tcW w:w="78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25,000</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24,986</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22,501</w:t>
            </w:r>
          </w:p>
        </w:tc>
        <w:tc>
          <w:tcPr>
            <w:tcW w:w="860" w:type="dxa"/>
            <w:vAlign w:val="bottom"/>
            <w:shd w:val="clear" w:color="auto" w:fill="CFF0FC"/>
          </w:tcPr>
          <w:p>
            <w:pPr>
              <w:spacing w:after="0"/>
              <w:rPr>
                <w:sz w:val="10"/>
                <w:szCs w:val="10"/>
                <w:color w:val="auto"/>
              </w:rPr>
            </w:pPr>
          </w:p>
        </w:tc>
      </w:tr>
      <w:tr>
        <w:trPr>
          <w:trHeight w:val="121"/>
        </w:trPr>
        <w:tc>
          <w:tcPr>
            <w:tcW w:w="24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(3,750 units)</w:t>
            </w:r>
          </w:p>
        </w:tc>
        <w:tc>
          <w:tcPr>
            <w:tcW w:w="3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3/23/2016</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114</w:t>
            </w:r>
          </w:p>
        </w:tc>
        <w:tc>
          <w:tcPr>
            <w:tcW w:w="2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60" w:type="dxa"/>
            <w:vAlign w:val="bottom"/>
          </w:tcPr>
          <w:p>
            <w:pPr>
              <w:spacing w:after="0"/>
              <w:rPr>
                <w:sz w:val="10"/>
                <w:szCs w:val="10"/>
                <w:color w:val="auto"/>
              </w:rPr>
            </w:pPr>
          </w:p>
        </w:tc>
      </w:tr>
      <w:tr>
        <w:trPr>
          <w:trHeight w:val="122"/>
        </w:trPr>
        <w:tc>
          <w:tcPr>
            <w:tcW w:w="24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(868 units) (j)</w:t>
            </w:r>
          </w:p>
        </w:tc>
        <w:tc>
          <w:tcPr>
            <w:tcW w:w="326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10/16/2020</w:t>
            </w:r>
          </w:p>
        </w:tc>
        <w:tc>
          <w:tcPr>
            <w:tcW w:w="90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150</w:t>
            </w:r>
          </w:p>
        </w:tc>
        <w:tc>
          <w:tcPr>
            <w:tcW w:w="20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60" w:type="dxa"/>
            <w:vAlign w:val="bottom"/>
            <w:tcBorders>
              <w:bottom w:val="single" w:sz="8" w:color="CFF0FC"/>
            </w:tcBorders>
            <w:shd w:val="clear" w:color="auto" w:fill="CFF0FC"/>
          </w:tcPr>
          <w:p>
            <w:pPr>
              <w:spacing w:after="0"/>
              <w:rPr>
                <w:sz w:val="10"/>
                <w:szCs w:val="10"/>
                <w:color w:val="auto"/>
              </w:rPr>
            </w:pPr>
          </w:p>
        </w:tc>
      </w:tr>
      <w:tr>
        <w:trPr>
          <w:trHeight w:val="114"/>
        </w:trPr>
        <w:tc>
          <w:tcPr>
            <w:tcW w:w="2480" w:type="dxa"/>
            <w:vAlign w:val="bottom"/>
          </w:tcPr>
          <w:p>
            <w:pPr>
              <w:spacing w:after="0"/>
              <w:rPr>
                <w:sz w:val="9"/>
                <w:szCs w:val="9"/>
                <w:color w:val="auto"/>
              </w:rPr>
            </w:pPr>
          </w:p>
        </w:tc>
        <w:tc>
          <w:tcPr>
            <w:tcW w:w="3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25,250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22,501</w:t>
            </w: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5 %</w:t>
            </w:r>
          </w:p>
        </w:tc>
      </w:tr>
      <w:tr>
        <w:trPr>
          <w:trHeight w:val="122"/>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IBH Holdings, LLC (fka Inflexxion, Inc.)</w:t>
            </w:r>
          </w:p>
        </w:tc>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Business Services</w:t>
            </w: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4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(150,000 units)</w:t>
            </w:r>
          </w:p>
        </w:tc>
        <w:tc>
          <w:tcPr>
            <w:tcW w:w="3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6/20/2018</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203</w:t>
            </w: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48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4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Ipro Tech, LLC</w:t>
            </w:r>
          </w:p>
        </w:tc>
        <w:tc>
          <w:tcPr>
            <w:tcW w:w="3260" w:type="dxa"/>
            <w:vAlign w:val="bottom"/>
          </w:tcPr>
          <w:p>
            <w:pPr>
              <w:ind w:left="14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2"/>
        </w:trPr>
        <w:tc>
          <w:tcPr>
            <w:tcW w:w="2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(j)(u)</w:t>
            </w:r>
          </w:p>
        </w:tc>
        <w:tc>
          <w:tcPr>
            <w:tcW w:w="326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9"/>
                <w:szCs w:val="9"/>
                <w:color w:val="auto"/>
              </w:rPr>
              <w:t>(L + 7.00%) / (1.00%)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8.00%/1.00%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6/30/2020</w:t>
            </w:r>
          </w:p>
        </w:tc>
        <w:tc>
          <w:tcPr>
            <w:tcW w:w="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7/28/2025</w:t>
            </w:r>
          </w:p>
        </w:tc>
        <w:tc>
          <w:tcPr>
            <w:tcW w:w="78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19,380</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18,429</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19,012</w:t>
            </w:r>
          </w:p>
        </w:tc>
        <w:tc>
          <w:tcPr>
            <w:tcW w:w="860" w:type="dxa"/>
            <w:vAlign w:val="bottom"/>
            <w:shd w:val="clear" w:color="auto" w:fill="CFF0FC"/>
          </w:tcPr>
          <w:p>
            <w:pPr>
              <w:spacing w:after="0"/>
              <w:rPr>
                <w:sz w:val="10"/>
                <w:szCs w:val="10"/>
                <w:color w:val="auto"/>
              </w:rPr>
            </w:pPr>
          </w:p>
        </w:tc>
      </w:tr>
      <w:tr>
        <w:trPr>
          <w:trHeight w:val="121"/>
        </w:trPr>
        <w:tc>
          <w:tcPr>
            <w:tcW w:w="24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(682,075 units) (j)</w:t>
            </w:r>
          </w:p>
        </w:tc>
        <w:tc>
          <w:tcPr>
            <w:tcW w:w="3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7/28/2021</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682</w:t>
            </w:r>
          </w:p>
        </w:tc>
        <w:tc>
          <w:tcPr>
            <w:tcW w:w="200" w:type="dxa"/>
            <w:vAlign w:val="bottom"/>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682</w:t>
            </w:r>
          </w:p>
        </w:tc>
        <w:tc>
          <w:tcPr>
            <w:tcW w:w="860" w:type="dxa"/>
            <w:vAlign w:val="bottom"/>
          </w:tcPr>
          <w:p>
            <w:pPr>
              <w:spacing w:after="0"/>
              <w:rPr>
                <w:sz w:val="10"/>
                <w:szCs w:val="10"/>
                <w:color w:val="auto"/>
              </w:rPr>
            </w:pPr>
          </w:p>
        </w:tc>
      </w:tr>
      <w:tr>
        <w:trPr>
          <w:trHeight w:val="115"/>
        </w:trPr>
        <w:tc>
          <w:tcPr>
            <w:tcW w:w="248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19,111</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19,694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1"/>
        </w:trPr>
        <w:tc>
          <w:tcPr>
            <w:tcW w:w="24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ISI PSG Holdings, LLC (dba Incentive Solutions, Inc.)</w:t>
            </w:r>
          </w:p>
        </w:tc>
        <w:tc>
          <w:tcPr>
            <w:tcW w:w="3260" w:type="dxa"/>
            <w:vAlign w:val="bottom"/>
          </w:tcPr>
          <w:p>
            <w:pPr>
              <w:ind w:left="140"/>
              <w:spacing w:after="0"/>
              <w:rPr>
                <w:sz w:val="20"/>
                <w:szCs w:val="20"/>
                <w:color w:val="auto"/>
              </w:rPr>
            </w:pPr>
            <w:r>
              <w:rPr>
                <w:rFonts w:ascii="Times New Roman" w:cs="Times New Roman" w:eastAsia="Times New Roman" w:hAnsi="Times New Roman"/>
                <w:sz w:val="9"/>
                <w:szCs w:val="9"/>
                <w:color w:val="auto"/>
              </w:rPr>
              <w:t>Business Services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2"/>
        </w:trPr>
        <w:tc>
          <w:tcPr>
            <w:tcW w:w="2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(j)(aj)</w:t>
            </w:r>
          </w:p>
        </w:tc>
        <w:tc>
          <w:tcPr>
            <w:tcW w:w="326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9"/>
                <w:szCs w:val="9"/>
                <w:color w:val="auto"/>
              </w:rPr>
              <w:t>(L + 7.50%) / (0.50%)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8.00%/0.00%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4/5/2021</w:t>
            </w:r>
          </w:p>
        </w:tc>
        <w:tc>
          <w:tcPr>
            <w:tcW w:w="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4/5/2026</w:t>
            </w:r>
          </w:p>
        </w:tc>
        <w:tc>
          <w:tcPr>
            <w:tcW w:w="78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12,483</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12,394</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12,404</w:t>
            </w:r>
          </w:p>
        </w:tc>
        <w:tc>
          <w:tcPr>
            <w:tcW w:w="860" w:type="dxa"/>
            <w:vAlign w:val="bottom"/>
            <w:shd w:val="clear" w:color="auto" w:fill="CFF0FC"/>
          </w:tcPr>
          <w:p>
            <w:pPr>
              <w:spacing w:after="0"/>
              <w:rPr>
                <w:sz w:val="10"/>
                <w:szCs w:val="10"/>
                <w:color w:val="auto"/>
              </w:rPr>
            </w:pPr>
          </w:p>
        </w:tc>
      </w:tr>
      <w:tr>
        <w:trPr>
          <w:trHeight w:val="121"/>
        </w:trPr>
        <w:tc>
          <w:tcPr>
            <w:tcW w:w="24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(j)(an)</w:t>
            </w:r>
          </w:p>
        </w:tc>
        <w:tc>
          <w:tcPr>
            <w:tcW w:w="3260" w:type="dxa"/>
            <w:vAlign w:val="bottom"/>
          </w:tcPr>
          <w:p>
            <w:pPr>
              <w:ind w:left="2220"/>
              <w:spacing w:after="0"/>
              <w:rPr>
                <w:sz w:val="20"/>
                <w:szCs w:val="20"/>
                <w:color w:val="auto"/>
              </w:rPr>
            </w:pPr>
            <w:r>
              <w:rPr>
                <w:rFonts w:ascii="Times New Roman" w:cs="Times New Roman" w:eastAsia="Times New Roman" w:hAnsi="Times New Roman"/>
                <w:sz w:val="9"/>
                <w:szCs w:val="9"/>
                <w:color w:val="auto"/>
              </w:rPr>
              <w:t>(L + 7.50%) / (0.50%)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8.00%/0.00%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6/30/2021</w:t>
            </w:r>
          </w:p>
        </w:tc>
        <w:tc>
          <w:tcPr>
            <w:tcW w:w="900" w:type="dxa"/>
            <w:vAlign w:val="bottom"/>
          </w:tcPr>
          <w:p>
            <w:pPr>
              <w:ind w:left="180"/>
              <w:spacing w:after="0"/>
              <w:rPr>
                <w:sz w:val="20"/>
                <w:szCs w:val="20"/>
                <w:color w:val="auto"/>
              </w:rPr>
            </w:pPr>
            <w:r>
              <w:rPr>
                <w:rFonts w:ascii="Times New Roman" w:cs="Times New Roman" w:eastAsia="Times New Roman" w:hAnsi="Times New Roman"/>
                <w:sz w:val="9"/>
                <w:szCs w:val="9"/>
                <w:color w:val="auto"/>
              </w:rPr>
              <w:t>4/5/2026</w:t>
            </w:r>
          </w:p>
        </w:tc>
        <w:tc>
          <w:tcPr>
            <w:tcW w:w="78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13,331</w:t>
            </w: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13,331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13,247</w:t>
            </w:r>
          </w:p>
        </w:tc>
        <w:tc>
          <w:tcPr>
            <w:tcW w:w="860" w:type="dxa"/>
            <w:vAlign w:val="bottom"/>
          </w:tcPr>
          <w:p>
            <w:pPr>
              <w:spacing w:after="0"/>
              <w:rPr>
                <w:sz w:val="10"/>
                <w:szCs w:val="10"/>
                <w:color w:val="auto"/>
              </w:rPr>
            </w:pPr>
          </w:p>
        </w:tc>
      </w:tr>
      <w:tr>
        <w:trPr>
          <w:trHeight w:val="122"/>
        </w:trPr>
        <w:tc>
          <w:tcPr>
            <w:tcW w:w="24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(256,964 units) (h)(j)</w:t>
            </w:r>
          </w:p>
        </w:tc>
        <w:tc>
          <w:tcPr>
            <w:tcW w:w="326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4/5/2021</w:t>
            </w:r>
          </w:p>
        </w:tc>
        <w:tc>
          <w:tcPr>
            <w:tcW w:w="90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20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592</w:t>
            </w:r>
          </w:p>
        </w:tc>
        <w:tc>
          <w:tcPr>
            <w:tcW w:w="860" w:type="dxa"/>
            <w:vAlign w:val="bottom"/>
            <w:tcBorders>
              <w:bottom w:val="single" w:sz="8" w:color="CFF0FC"/>
            </w:tcBorders>
            <w:shd w:val="clear" w:color="auto" w:fill="CFF0FC"/>
          </w:tcPr>
          <w:p>
            <w:pPr>
              <w:spacing w:after="0"/>
              <w:rPr>
                <w:sz w:val="10"/>
                <w:szCs w:val="10"/>
                <w:color w:val="auto"/>
              </w:rPr>
            </w:pPr>
          </w:p>
        </w:tc>
      </w:tr>
      <w:tr>
        <w:trPr>
          <w:trHeight w:val="114"/>
        </w:trPr>
        <w:tc>
          <w:tcPr>
            <w:tcW w:w="2480" w:type="dxa"/>
            <w:vAlign w:val="bottom"/>
          </w:tcPr>
          <w:p>
            <w:pPr>
              <w:spacing w:after="0"/>
              <w:rPr>
                <w:sz w:val="9"/>
                <w:szCs w:val="9"/>
                <w:color w:val="auto"/>
              </w:rPr>
            </w:pPr>
          </w:p>
        </w:tc>
        <w:tc>
          <w:tcPr>
            <w:tcW w:w="3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26,225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26,243</w:t>
            </w: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5 %</w:t>
            </w:r>
          </w:p>
        </w:tc>
      </w:tr>
      <w:tr>
        <w:trPr>
          <w:trHeight w:val="122"/>
        </w:trPr>
        <w:tc>
          <w:tcPr>
            <w:tcW w:w="5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 xml:space="preserve">K2 Merger Agreement Agent, LLC (fka K2 Industrial Services, Inc.) (n) </w:t>
            </w:r>
            <w:r>
              <w:rPr>
                <w:rFonts w:ascii="Times New Roman" w:cs="Times New Roman" w:eastAsia="Times New Roman" w:hAnsi="Times New Roman"/>
                <w:sz w:val="9"/>
                <w:szCs w:val="9"/>
                <w:color w:val="auto"/>
              </w:rPr>
              <w:t>Industrial Cleaning &amp; Coatings</w:t>
            </w: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4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3260" w:type="dxa"/>
            <w:vAlign w:val="bottom"/>
          </w:tcPr>
          <w:p>
            <w:pPr>
              <w:spacing w:after="0"/>
              <w:rPr>
                <w:sz w:val="10"/>
                <w:szCs w:val="10"/>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0.00%/10.00%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1/28/2019</w:t>
            </w:r>
          </w:p>
        </w:tc>
        <w:tc>
          <w:tcPr>
            <w:tcW w:w="90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1/28/2023</w:t>
            </w:r>
          </w:p>
        </w:tc>
        <w:tc>
          <w:tcPr>
            <w:tcW w:w="78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2,368</w:t>
            </w: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2,368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2,368</w:t>
            </w: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48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4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The Kyjen Company, LLC (dba Outward Hound)</w:t>
            </w:r>
          </w:p>
        </w:tc>
        <w:tc>
          <w:tcPr>
            <w:tcW w:w="3260" w:type="dxa"/>
            <w:vAlign w:val="bottom"/>
          </w:tcPr>
          <w:p>
            <w:pPr>
              <w:ind w:left="140"/>
              <w:spacing w:after="0"/>
              <w:rPr>
                <w:sz w:val="20"/>
                <w:szCs w:val="20"/>
                <w:color w:val="auto"/>
              </w:rPr>
            </w:pPr>
            <w:r>
              <w:rPr>
                <w:rFonts w:ascii="Times New Roman" w:cs="Times New Roman" w:eastAsia="Times New Roman" w:hAnsi="Times New Roman"/>
                <w:sz w:val="9"/>
                <w:szCs w:val="9"/>
                <w:color w:val="auto"/>
              </w:rPr>
              <w:t>Consumer Products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2"/>
        </w:trPr>
        <w:tc>
          <w:tcPr>
            <w:tcW w:w="2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(855 shares) (j)</w:t>
            </w:r>
          </w:p>
        </w:tc>
        <w:tc>
          <w:tcPr>
            <w:tcW w:w="32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12/8/2017</w:t>
            </w: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933</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1,465</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1"/>
        </w:trPr>
        <w:tc>
          <w:tcPr>
            <w:tcW w:w="24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1"/>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Level Education Group, LLC (dba CE4Less)</w:t>
            </w:r>
          </w:p>
        </w:tc>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Business Services</w:t>
            </w: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4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(ak)</w:t>
            </w:r>
          </w:p>
        </w:tc>
        <w:tc>
          <w:tcPr>
            <w:tcW w:w="3260" w:type="dxa"/>
            <w:vAlign w:val="bottom"/>
          </w:tcPr>
          <w:p>
            <w:pPr>
              <w:ind w:left="2220"/>
              <w:spacing w:after="0"/>
              <w:rPr>
                <w:sz w:val="20"/>
                <w:szCs w:val="20"/>
                <w:color w:val="auto"/>
              </w:rPr>
            </w:pPr>
            <w:r>
              <w:rPr>
                <w:rFonts w:ascii="Times New Roman" w:cs="Times New Roman" w:eastAsia="Times New Roman" w:hAnsi="Times New Roman"/>
                <w:sz w:val="9"/>
                <w:szCs w:val="9"/>
                <w:color w:val="auto"/>
              </w:rPr>
              <w:t>(L + 6.75%) / (0.50%)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7.25%/0.00%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4/1/2021</w:t>
            </w:r>
          </w:p>
        </w:tc>
        <w:tc>
          <w:tcPr>
            <w:tcW w:w="900" w:type="dxa"/>
            <w:vAlign w:val="bottom"/>
          </w:tcPr>
          <w:p>
            <w:pPr>
              <w:ind w:left="180"/>
              <w:spacing w:after="0"/>
              <w:rPr>
                <w:sz w:val="20"/>
                <w:szCs w:val="20"/>
                <w:color w:val="auto"/>
              </w:rPr>
            </w:pPr>
            <w:r>
              <w:rPr>
                <w:rFonts w:ascii="Times New Roman" w:cs="Times New Roman" w:eastAsia="Times New Roman" w:hAnsi="Times New Roman"/>
                <w:sz w:val="9"/>
                <w:szCs w:val="9"/>
                <w:color w:val="auto"/>
              </w:rPr>
              <w:t>4/1/2026</w:t>
            </w:r>
          </w:p>
        </w:tc>
        <w:tc>
          <w:tcPr>
            <w:tcW w:w="78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5,431</w:t>
            </w: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5,396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5,431</w:t>
            </w:r>
          </w:p>
        </w:tc>
        <w:tc>
          <w:tcPr>
            <w:tcW w:w="860" w:type="dxa"/>
            <w:vAlign w:val="bottom"/>
          </w:tcPr>
          <w:p>
            <w:pPr>
              <w:spacing w:after="0"/>
              <w:rPr>
                <w:sz w:val="10"/>
                <w:szCs w:val="10"/>
                <w:color w:val="auto"/>
              </w:rPr>
            </w:pPr>
          </w:p>
        </w:tc>
      </w:tr>
      <w:tr>
        <w:trPr>
          <w:trHeight w:val="122"/>
        </w:trPr>
        <w:tc>
          <w:tcPr>
            <w:tcW w:w="24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(1,000,000 units) (j)</w:t>
            </w:r>
          </w:p>
        </w:tc>
        <w:tc>
          <w:tcPr>
            <w:tcW w:w="326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4/1/2021</w:t>
            </w:r>
          </w:p>
        </w:tc>
        <w:tc>
          <w:tcPr>
            <w:tcW w:w="90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1,000</w:t>
            </w:r>
          </w:p>
        </w:tc>
        <w:tc>
          <w:tcPr>
            <w:tcW w:w="20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1,313</w:t>
            </w:r>
          </w:p>
        </w:tc>
        <w:tc>
          <w:tcPr>
            <w:tcW w:w="860" w:type="dxa"/>
            <w:vAlign w:val="bottom"/>
            <w:tcBorders>
              <w:bottom w:val="single" w:sz="8" w:color="CFF0FC"/>
            </w:tcBorders>
            <w:shd w:val="clear" w:color="auto" w:fill="CFF0FC"/>
          </w:tcPr>
          <w:p>
            <w:pPr>
              <w:spacing w:after="0"/>
              <w:rPr>
                <w:sz w:val="10"/>
                <w:szCs w:val="10"/>
                <w:color w:val="auto"/>
              </w:rPr>
            </w:pPr>
          </w:p>
        </w:tc>
      </w:tr>
      <w:tr>
        <w:trPr>
          <w:trHeight w:val="115"/>
        </w:trPr>
        <w:tc>
          <w:tcPr>
            <w:tcW w:w="2480" w:type="dxa"/>
            <w:vAlign w:val="bottom"/>
          </w:tcPr>
          <w:p>
            <w:pPr>
              <w:spacing w:after="0"/>
              <w:rPr>
                <w:sz w:val="9"/>
                <w:szCs w:val="9"/>
                <w:color w:val="auto"/>
              </w:rPr>
            </w:pPr>
          </w:p>
        </w:tc>
        <w:tc>
          <w:tcPr>
            <w:tcW w:w="3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6,396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6,744</w:t>
            </w: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LifeSpan Biosciences, Inc.</w:t>
            </w:r>
          </w:p>
        </w:tc>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Healthcare Products</w:t>
            </w: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4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3260" w:type="dxa"/>
            <w:vAlign w:val="bottom"/>
          </w:tcPr>
          <w:p>
            <w:pPr>
              <w:spacing w:after="0"/>
              <w:rPr>
                <w:sz w:val="10"/>
                <w:szCs w:val="10"/>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11.50%/0.00%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3/19/2021</w:t>
            </w:r>
          </w:p>
        </w:tc>
        <w:tc>
          <w:tcPr>
            <w:tcW w:w="900" w:type="dxa"/>
            <w:vAlign w:val="bottom"/>
          </w:tcPr>
          <w:p>
            <w:pPr>
              <w:ind w:left="180"/>
              <w:spacing w:after="0"/>
              <w:rPr>
                <w:sz w:val="20"/>
                <w:szCs w:val="20"/>
                <w:color w:val="auto"/>
              </w:rPr>
            </w:pPr>
            <w:r>
              <w:rPr>
                <w:rFonts w:ascii="Times New Roman" w:cs="Times New Roman" w:eastAsia="Times New Roman" w:hAnsi="Times New Roman"/>
                <w:sz w:val="9"/>
                <w:szCs w:val="9"/>
                <w:color w:val="auto"/>
              </w:rPr>
              <w:t>9/19/2026</w:t>
            </w:r>
          </w:p>
        </w:tc>
        <w:tc>
          <w:tcPr>
            <w:tcW w:w="78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16,000</w:t>
            </w: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15,931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16,000</w:t>
            </w:r>
          </w:p>
        </w:tc>
        <w:tc>
          <w:tcPr>
            <w:tcW w:w="860" w:type="dxa"/>
            <w:vAlign w:val="bottom"/>
          </w:tcPr>
          <w:p>
            <w:pPr>
              <w:spacing w:after="0"/>
              <w:rPr>
                <w:sz w:val="10"/>
                <w:szCs w:val="10"/>
                <w:color w:val="auto"/>
              </w:rPr>
            </w:pPr>
          </w:p>
        </w:tc>
      </w:tr>
      <w:tr>
        <w:trPr>
          <w:trHeight w:val="122"/>
        </w:trPr>
        <w:tc>
          <w:tcPr>
            <w:tcW w:w="24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(100 shares) (j)</w:t>
            </w:r>
          </w:p>
        </w:tc>
        <w:tc>
          <w:tcPr>
            <w:tcW w:w="326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3/19/2021</w:t>
            </w:r>
          </w:p>
        </w:tc>
        <w:tc>
          <w:tcPr>
            <w:tcW w:w="90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1,000</w:t>
            </w:r>
          </w:p>
        </w:tc>
        <w:tc>
          <w:tcPr>
            <w:tcW w:w="20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981</w:t>
            </w:r>
          </w:p>
        </w:tc>
        <w:tc>
          <w:tcPr>
            <w:tcW w:w="860" w:type="dxa"/>
            <w:vAlign w:val="bottom"/>
            <w:tcBorders>
              <w:bottom w:val="single" w:sz="8" w:color="CFF0FC"/>
            </w:tcBorders>
            <w:shd w:val="clear" w:color="auto" w:fill="CFF0FC"/>
          </w:tcPr>
          <w:p>
            <w:pPr>
              <w:spacing w:after="0"/>
              <w:rPr>
                <w:sz w:val="10"/>
                <w:szCs w:val="10"/>
                <w:color w:val="auto"/>
              </w:rPr>
            </w:pPr>
          </w:p>
        </w:tc>
      </w:tr>
      <w:tr>
        <w:trPr>
          <w:trHeight w:val="114"/>
        </w:trPr>
        <w:tc>
          <w:tcPr>
            <w:tcW w:w="2480" w:type="dxa"/>
            <w:vAlign w:val="bottom"/>
          </w:tcPr>
          <w:p>
            <w:pPr>
              <w:spacing w:after="0"/>
              <w:rPr>
                <w:sz w:val="9"/>
                <w:szCs w:val="9"/>
                <w:color w:val="auto"/>
              </w:rPr>
            </w:pPr>
          </w:p>
        </w:tc>
        <w:tc>
          <w:tcPr>
            <w:tcW w:w="3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16,931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16,981</w:t>
            </w: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Midwest Transit Equipment, Inc.</w:t>
            </w:r>
          </w:p>
        </w:tc>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Transportation services</w:t>
            </w: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4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Warrant (7,192 shares) (j)(m)</w:t>
            </w:r>
          </w:p>
        </w:tc>
        <w:tc>
          <w:tcPr>
            <w:tcW w:w="3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6/23/2017</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180</w:t>
            </w:r>
          </w:p>
        </w:tc>
        <w:tc>
          <w:tcPr>
            <w:tcW w:w="2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60" w:type="dxa"/>
            <w:vAlign w:val="bottom"/>
          </w:tcPr>
          <w:p>
            <w:pPr>
              <w:spacing w:after="0"/>
              <w:rPr>
                <w:sz w:val="10"/>
                <w:szCs w:val="10"/>
                <w:color w:val="auto"/>
              </w:rPr>
            </w:pPr>
          </w:p>
        </w:tc>
      </w:tr>
      <w:tr>
        <w:trPr>
          <w:trHeight w:val="122"/>
        </w:trPr>
        <w:tc>
          <w:tcPr>
            <w:tcW w:w="24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Warrant (4.79% of Junior Subordinated Notes) (j)(q)</w:t>
            </w:r>
          </w:p>
        </w:tc>
        <w:tc>
          <w:tcPr>
            <w:tcW w:w="326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6/23/2017</w:t>
            </w:r>
          </w:p>
        </w:tc>
        <w:tc>
          <w:tcPr>
            <w:tcW w:w="90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190</w:t>
            </w:r>
          </w:p>
        </w:tc>
        <w:tc>
          <w:tcPr>
            <w:tcW w:w="20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246</w:t>
            </w:r>
          </w:p>
        </w:tc>
        <w:tc>
          <w:tcPr>
            <w:tcW w:w="860" w:type="dxa"/>
            <w:vAlign w:val="bottom"/>
            <w:tcBorders>
              <w:bottom w:val="single" w:sz="8" w:color="CFF0FC"/>
            </w:tcBorders>
            <w:shd w:val="clear" w:color="auto" w:fill="CFF0FC"/>
          </w:tcPr>
          <w:p>
            <w:pPr>
              <w:spacing w:after="0"/>
              <w:rPr>
                <w:sz w:val="10"/>
                <w:szCs w:val="10"/>
                <w:color w:val="auto"/>
              </w:rPr>
            </w:pPr>
          </w:p>
        </w:tc>
      </w:tr>
      <w:tr>
        <w:trPr>
          <w:trHeight w:val="115"/>
        </w:trPr>
        <w:tc>
          <w:tcPr>
            <w:tcW w:w="2480" w:type="dxa"/>
            <w:vAlign w:val="bottom"/>
          </w:tcPr>
          <w:p>
            <w:pPr>
              <w:spacing w:after="0"/>
              <w:rPr>
                <w:sz w:val="9"/>
                <w:szCs w:val="9"/>
                <w:color w:val="auto"/>
              </w:rPr>
            </w:pPr>
          </w:p>
        </w:tc>
        <w:tc>
          <w:tcPr>
            <w:tcW w:w="3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370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246</w:t>
            </w: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Mobilewalla, Inc.</w:t>
            </w:r>
          </w:p>
        </w:tc>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4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260" w:type="dxa"/>
            <w:vAlign w:val="bottom"/>
          </w:tcPr>
          <w:p>
            <w:pPr>
              <w:ind w:left="2220"/>
              <w:spacing w:after="0"/>
              <w:rPr>
                <w:sz w:val="20"/>
                <w:szCs w:val="20"/>
                <w:color w:val="auto"/>
              </w:rPr>
            </w:pPr>
            <w:r>
              <w:rPr>
                <w:rFonts w:ascii="Times New Roman" w:cs="Times New Roman" w:eastAsia="Times New Roman" w:hAnsi="Times New Roman"/>
                <w:sz w:val="9"/>
                <w:szCs w:val="9"/>
                <w:color w:val="auto"/>
              </w:rPr>
              <w:t>(L + 11.50%) / (0.50%)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12.00%/0.00%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12/17/2021</w:t>
            </w:r>
          </w:p>
        </w:tc>
        <w:tc>
          <w:tcPr>
            <w:tcW w:w="90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12/17/2024</w:t>
            </w:r>
          </w:p>
        </w:tc>
        <w:tc>
          <w:tcPr>
            <w:tcW w:w="78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5,715</w:t>
            </w: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5,687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5,687</w:t>
            </w: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480" w:type="dxa"/>
            <w:vAlign w:val="bottom"/>
            <w:shd w:val="clear" w:color="auto" w:fill="CFF0FC"/>
          </w:tcPr>
          <w:p>
            <w:pPr>
              <w:spacing w:after="0"/>
              <w:rPr>
                <w:sz w:val="10"/>
                <w:szCs w:val="10"/>
                <w:color w:val="auto"/>
              </w:rPr>
            </w:pPr>
          </w:p>
        </w:tc>
        <w:tc>
          <w:tcPr>
            <w:tcW w:w="32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4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Netbase Solutions, Inc. (dba Netbase Quid)</w:t>
            </w:r>
          </w:p>
        </w:tc>
        <w:tc>
          <w:tcPr>
            <w:tcW w:w="3260" w:type="dxa"/>
            <w:vAlign w:val="bottom"/>
          </w:tcPr>
          <w:p>
            <w:pPr>
              <w:ind w:left="14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2"/>
        </w:trPr>
        <w:tc>
          <w:tcPr>
            <w:tcW w:w="2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(k)(ap)</w:t>
            </w:r>
          </w:p>
        </w:tc>
        <w:tc>
          <w:tcPr>
            <w:tcW w:w="326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9"/>
                <w:szCs w:val="9"/>
                <w:color w:val="auto"/>
              </w:rPr>
              <w:t>(P + 5.50%) / (3.25%)</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8.75%/1.50%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11/18/2021</w:t>
            </w:r>
          </w:p>
        </w:tc>
        <w:tc>
          <w:tcPr>
            <w:tcW w:w="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11/18/2025</w:t>
            </w:r>
          </w:p>
        </w:tc>
        <w:tc>
          <w:tcPr>
            <w:tcW w:w="78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16,568</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16,448</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16,448</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-8717280</wp:posOffset>
            </wp:positionV>
            <wp:extent cx="68580" cy="857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-8717280</wp:posOffset>
            </wp:positionV>
            <wp:extent cx="68580" cy="857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-6823075</wp:posOffset>
            </wp:positionV>
            <wp:extent cx="68580" cy="857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-6823075</wp:posOffset>
            </wp:positionV>
            <wp:extent cx="68580" cy="857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-6505575</wp:posOffset>
            </wp:positionV>
            <wp:extent cx="68580" cy="857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-6505575</wp:posOffset>
            </wp:positionV>
            <wp:extent cx="68580" cy="857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-6188710</wp:posOffset>
            </wp:positionV>
            <wp:extent cx="68580" cy="857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-6188710</wp:posOffset>
            </wp:positionV>
            <wp:extent cx="68580" cy="857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-5185410</wp:posOffset>
            </wp:positionV>
            <wp:extent cx="68580" cy="857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-5185410</wp:posOffset>
            </wp:positionV>
            <wp:extent cx="68580" cy="857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-2828290</wp:posOffset>
            </wp:positionV>
            <wp:extent cx="68580" cy="857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-2828290</wp:posOffset>
            </wp:positionV>
            <wp:extent cx="68580" cy="857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-1885315</wp:posOffset>
            </wp:positionV>
            <wp:extent cx="68580" cy="857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-1885315</wp:posOffset>
            </wp:positionV>
            <wp:extent cx="68580" cy="857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-1104900</wp:posOffset>
            </wp:positionV>
            <wp:extent cx="68580" cy="857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-1104900</wp:posOffset>
            </wp:positionV>
            <wp:extent cx="68580" cy="857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-788035</wp:posOffset>
            </wp:positionV>
            <wp:extent cx="68580" cy="857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-788035</wp:posOffset>
            </wp:positionV>
            <wp:extent cx="68580" cy="857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-471170</wp:posOffset>
            </wp:positionV>
            <wp:extent cx="68580" cy="857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-471170</wp:posOffset>
            </wp:positionV>
            <wp:extent cx="68580" cy="857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5725"/>
                    </a:xfrm>
                    <a:prstGeom prst="rect">
                      <a:avLst/>
                    </a:prstGeom>
                    <a:noFill/>
                  </pic:spPr>
                </pic:pic>
              </a:graphicData>
            </a:graphic>
          </wp:anchor>
        </w:drawing>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068"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22"/>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NGT Acquisition Holdings, LLC (dba Techniks Industries)</w:t>
            </w:r>
          </w:p>
        </w:tc>
        <w:tc>
          <w:tcPr>
            <w:tcW w:w="3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Component Manufacturing</w:t>
            </w: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5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(378 units) (j)</w:t>
            </w:r>
          </w:p>
        </w:tc>
        <w:tc>
          <w:tcPr>
            <w:tcW w:w="3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5/24/2017</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204</w:t>
            </w: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560" w:type="dxa"/>
            <w:vAlign w:val="bottom"/>
            <w:shd w:val="clear" w:color="auto" w:fill="CFF0FC"/>
          </w:tcPr>
          <w:p>
            <w:pPr>
              <w:spacing w:after="0"/>
              <w:rPr>
                <w:sz w:val="10"/>
                <w:szCs w:val="10"/>
                <w:color w:val="auto"/>
              </w:rPr>
            </w:pPr>
          </w:p>
        </w:tc>
        <w:tc>
          <w:tcPr>
            <w:tcW w:w="31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56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OMC Investors, LLC (dba Ohio Medical Corporation)</w:t>
            </w:r>
          </w:p>
        </w:tc>
        <w:tc>
          <w:tcPr>
            <w:tcW w:w="3180" w:type="dxa"/>
            <w:vAlign w:val="bottom"/>
          </w:tcPr>
          <w:p>
            <w:pPr>
              <w:ind w:left="60"/>
              <w:spacing w:after="0"/>
              <w:rPr>
                <w:sz w:val="20"/>
                <w:szCs w:val="20"/>
                <w:color w:val="auto"/>
              </w:rPr>
            </w:pPr>
            <w:r>
              <w:rPr>
                <w:rFonts w:ascii="Times New Roman" w:cs="Times New Roman" w:eastAsia="Times New Roman" w:hAnsi="Times New Roman"/>
                <w:sz w:val="9"/>
                <w:szCs w:val="9"/>
                <w:color w:val="auto"/>
              </w:rPr>
              <w:t>Healthcare Products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2"/>
        </w:trPr>
        <w:tc>
          <w:tcPr>
            <w:tcW w:w="2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w:t>
            </w:r>
          </w:p>
        </w:tc>
        <w:tc>
          <w:tcPr>
            <w:tcW w:w="3180" w:type="dxa"/>
            <w:vAlign w:val="bottom"/>
            <w:shd w:val="clear" w:color="auto" w:fill="CFF0FC"/>
          </w:tcPr>
          <w:p>
            <w:pPr>
              <w:spacing w:after="0"/>
              <w:rPr>
                <w:sz w:val="10"/>
                <w:szCs w:val="10"/>
                <w:color w:val="auto"/>
              </w:rPr>
            </w:pP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13.00%/0.00%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1/26/2021</w:t>
            </w:r>
          </w:p>
        </w:tc>
        <w:tc>
          <w:tcPr>
            <w:tcW w:w="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6/30/2024</w:t>
            </w:r>
          </w:p>
        </w:tc>
        <w:tc>
          <w:tcPr>
            <w:tcW w:w="78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5,000</w:t>
            </w: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4,963</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5,000</w:t>
            </w:r>
          </w:p>
        </w:tc>
        <w:tc>
          <w:tcPr>
            <w:tcW w:w="860" w:type="dxa"/>
            <w:vAlign w:val="bottom"/>
            <w:shd w:val="clear" w:color="auto" w:fill="CFF0FC"/>
          </w:tcPr>
          <w:p>
            <w:pPr>
              <w:spacing w:after="0"/>
              <w:rPr>
                <w:sz w:val="10"/>
                <w:szCs w:val="10"/>
                <w:color w:val="auto"/>
              </w:rPr>
            </w:pPr>
          </w:p>
        </w:tc>
      </w:tr>
      <w:tr>
        <w:trPr>
          <w:trHeight w:val="122"/>
        </w:trPr>
        <w:tc>
          <w:tcPr>
            <w:tcW w:w="25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(5,000 units)</w:t>
            </w:r>
          </w:p>
        </w:tc>
        <w:tc>
          <w:tcPr>
            <w:tcW w:w="3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1/15/2016</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209</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743</w:t>
            </w:r>
          </w:p>
        </w:tc>
        <w:tc>
          <w:tcPr>
            <w:tcW w:w="860" w:type="dxa"/>
            <w:vAlign w:val="bottom"/>
          </w:tcPr>
          <w:p>
            <w:pPr>
              <w:spacing w:after="0"/>
              <w:rPr>
                <w:sz w:val="10"/>
                <w:szCs w:val="10"/>
                <w:color w:val="auto"/>
              </w:rPr>
            </w:pPr>
          </w:p>
        </w:tc>
      </w:tr>
      <w:tr>
        <w:trPr>
          <w:trHeight w:val="115"/>
        </w:trPr>
        <w:tc>
          <w:tcPr>
            <w:tcW w:w="2560" w:type="dxa"/>
            <w:vAlign w:val="bottom"/>
            <w:shd w:val="clear" w:color="auto" w:fill="CFF0FC"/>
          </w:tcPr>
          <w:p>
            <w:pPr>
              <w:spacing w:after="0"/>
              <w:rPr>
                <w:sz w:val="10"/>
                <w:szCs w:val="10"/>
                <w:color w:val="auto"/>
              </w:rPr>
            </w:pPr>
          </w:p>
        </w:tc>
        <w:tc>
          <w:tcPr>
            <w:tcW w:w="31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5,172</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5,743</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56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Palisade Company, LLC</w:t>
            </w:r>
          </w:p>
        </w:tc>
        <w:tc>
          <w:tcPr>
            <w:tcW w:w="3180" w:type="dxa"/>
            <w:vAlign w:val="bottom"/>
          </w:tcPr>
          <w:p>
            <w:pPr>
              <w:ind w:left="6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2"/>
        </w:trPr>
        <w:tc>
          <w:tcPr>
            <w:tcW w:w="2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(50 shares) (j)</w:t>
            </w:r>
          </w:p>
        </w:tc>
        <w:tc>
          <w:tcPr>
            <w:tcW w:w="31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11/15/2018</w:t>
            </w: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1,224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56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1"/>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Palmetto Moon, LLC</w:t>
            </w:r>
          </w:p>
        </w:tc>
        <w:tc>
          <w:tcPr>
            <w:tcW w:w="3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Retail</w:t>
            </w: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5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(499 units) (j)</w:t>
            </w:r>
          </w:p>
        </w:tc>
        <w:tc>
          <w:tcPr>
            <w:tcW w:w="3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11/3/2016</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265</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895</w:t>
            </w: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560" w:type="dxa"/>
            <w:vAlign w:val="bottom"/>
            <w:shd w:val="clear" w:color="auto" w:fill="CFF0FC"/>
          </w:tcPr>
          <w:p>
            <w:pPr>
              <w:spacing w:after="0"/>
              <w:rPr>
                <w:sz w:val="10"/>
                <w:szCs w:val="10"/>
                <w:color w:val="auto"/>
              </w:rPr>
            </w:pPr>
          </w:p>
        </w:tc>
        <w:tc>
          <w:tcPr>
            <w:tcW w:w="31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56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Pool &amp; Electrical Products, LLC (n)</w:t>
            </w:r>
          </w:p>
        </w:tc>
        <w:tc>
          <w:tcPr>
            <w:tcW w:w="3180" w:type="dxa"/>
            <w:vAlign w:val="bottom"/>
          </w:tcPr>
          <w:p>
            <w:pPr>
              <w:ind w:left="60"/>
              <w:spacing w:after="0"/>
              <w:rPr>
                <w:sz w:val="20"/>
                <w:szCs w:val="20"/>
                <w:color w:val="auto"/>
              </w:rPr>
            </w:pPr>
            <w:r>
              <w:rPr>
                <w:rFonts w:ascii="Times New Roman" w:cs="Times New Roman" w:eastAsia="Times New Roman" w:hAnsi="Times New Roman"/>
                <w:sz w:val="9"/>
                <w:szCs w:val="9"/>
                <w:color w:val="auto"/>
              </w:rPr>
              <w:t>Specialty Distribution</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2"/>
        </w:trPr>
        <w:tc>
          <w:tcPr>
            <w:tcW w:w="2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(15,000 units) (h)(j)</w:t>
            </w:r>
          </w:p>
        </w:tc>
        <w:tc>
          <w:tcPr>
            <w:tcW w:w="31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10/28/2020</w:t>
            </w: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549</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4,466</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56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2"/>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Power Grid Components, Inc.</w:t>
            </w:r>
          </w:p>
        </w:tc>
        <w:tc>
          <w:tcPr>
            <w:tcW w:w="3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Specialty Distribution</w:t>
            </w: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5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 (k)</w:t>
            </w:r>
          </w:p>
        </w:tc>
        <w:tc>
          <w:tcPr>
            <w:tcW w:w="3180" w:type="dxa"/>
            <w:vAlign w:val="bottom"/>
          </w:tcPr>
          <w:p>
            <w:pPr>
              <w:spacing w:after="0"/>
              <w:rPr>
                <w:sz w:val="10"/>
                <w:szCs w:val="10"/>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11.00%/1.00%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4/12/2018</w:t>
            </w:r>
          </w:p>
        </w:tc>
        <w:tc>
          <w:tcPr>
            <w:tcW w:w="90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12/2/2025</w:t>
            </w:r>
          </w:p>
        </w:tc>
        <w:tc>
          <w:tcPr>
            <w:tcW w:w="78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17,570</w:t>
            </w: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17,510</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17,570</w:t>
            </w:r>
          </w:p>
        </w:tc>
        <w:tc>
          <w:tcPr>
            <w:tcW w:w="860" w:type="dxa"/>
            <w:vAlign w:val="bottom"/>
          </w:tcPr>
          <w:p>
            <w:pPr>
              <w:spacing w:after="0"/>
              <w:rPr>
                <w:sz w:val="10"/>
                <w:szCs w:val="10"/>
                <w:color w:val="auto"/>
              </w:rPr>
            </w:pPr>
          </w:p>
        </w:tc>
      </w:tr>
      <w:tr>
        <w:trPr>
          <w:trHeight w:val="122"/>
        </w:trPr>
        <w:tc>
          <w:tcPr>
            <w:tcW w:w="2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(392 shares) (j)</w:t>
            </w:r>
          </w:p>
        </w:tc>
        <w:tc>
          <w:tcPr>
            <w:tcW w:w="31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4/12/2018</w:t>
            </w: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392</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564</w:t>
            </w:r>
          </w:p>
        </w:tc>
        <w:tc>
          <w:tcPr>
            <w:tcW w:w="860" w:type="dxa"/>
            <w:vAlign w:val="bottom"/>
            <w:shd w:val="clear" w:color="auto" w:fill="CFF0FC"/>
          </w:tcPr>
          <w:p>
            <w:pPr>
              <w:spacing w:after="0"/>
              <w:rPr>
                <w:sz w:val="10"/>
                <w:szCs w:val="10"/>
                <w:color w:val="auto"/>
              </w:rPr>
            </w:pPr>
          </w:p>
        </w:tc>
      </w:tr>
      <w:tr>
        <w:trPr>
          <w:trHeight w:val="121"/>
        </w:trPr>
        <w:tc>
          <w:tcPr>
            <w:tcW w:w="25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(48 shares) (j)</w:t>
            </w:r>
          </w:p>
        </w:tc>
        <w:tc>
          <w:tcPr>
            <w:tcW w:w="3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12/2/2019</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48</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70</w:t>
            </w:r>
          </w:p>
        </w:tc>
        <w:tc>
          <w:tcPr>
            <w:tcW w:w="860" w:type="dxa"/>
            <w:vAlign w:val="bottom"/>
          </w:tcPr>
          <w:p>
            <w:pPr>
              <w:spacing w:after="0"/>
              <w:rPr>
                <w:sz w:val="10"/>
                <w:szCs w:val="10"/>
                <w:color w:val="auto"/>
              </w:rPr>
            </w:pPr>
          </w:p>
        </w:tc>
      </w:tr>
      <w:tr>
        <w:trPr>
          <w:trHeight w:val="122"/>
        </w:trPr>
        <w:tc>
          <w:tcPr>
            <w:tcW w:w="25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(10,622 shares) (j)</w:t>
            </w:r>
          </w:p>
        </w:tc>
        <w:tc>
          <w:tcPr>
            <w:tcW w:w="318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4/12/2018</w:t>
            </w:r>
          </w:p>
        </w:tc>
        <w:tc>
          <w:tcPr>
            <w:tcW w:w="90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462</w:t>
            </w:r>
          </w:p>
        </w:tc>
        <w:tc>
          <w:tcPr>
            <w:tcW w:w="2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259</w:t>
            </w:r>
          </w:p>
        </w:tc>
        <w:tc>
          <w:tcPr>
            <w:tcW w:w="860" w:type="dxa"/>
            <w:vAlign w:val="bottom"/>
            <w:tcBorders>
              <w:bottom w:val="single" w:sz="8" w:color="CFF0FC"/>
            </w:tcBorders>
            <w:shd w:val="clear" w:color="auto" w:fill="CFF0FC"/>
          </w:tcPr>
          <w:p>
            <w:pPr>
              <w:spacing w:after="0"/>
              <w:rPr>
                <w:sz w:val="10"/>
                <w:szCs w:val="10"/>
                <w:color w:val="auto"/>
              </w:rPr>
            </w:pPr>
          </w:p>
        </w:tc>
      </w:tr>
      <w:tr>
        <w:trPr>
          <w:trHeight w:val="115"/>
        </w:trPr>
        <w:tc>
          <w:tcPr>
            <w:tcW w:w="25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18,412</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18,463</w:t>
            </w: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PowerGrid Services Acquisition, LLC</w:t>
            </w:r>
          </w:p>
        </w:tc>
        <w:tc>
          <w:tcPr>
            <w:tcW w:w="3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Utilities: Services</w:t>
            </w: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5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3180" w:type="dxa"/>
            <w:vAlign w:val="bottom"/>
          </w:tcPr>
          <w:p>
            <w:pPr>
              <w:ind w:left="2140"/>
              <w:spacing w:after="0"/>
              <w:rPr>
                <w:sz w:val="20"/>
                <w:szCs w:val="20"/>
                <w:color w:val="auto"/>
              </w:rPr>
            </w:pPr>
            <w:r>
              <w:rPr>
                <w:rFonts w:ascii="Times New Roman" w:cs="Times New Roman" w:eastAsia="Times New Roman" w:hAnsi="Times New Roman"/>
                <w:sz w:val="9"/>
                <w:szCs w:val="9"/>
                <w:color w:val="auto"/>
              </w:rPr>
              <w:t>(L + 9.50%) / (1.00%)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10.50%/0.00%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9/21/2021</w:t>
            </w:r>
          </w:p>
        </w:tc>
        <w:tc>
          <w:tcPr>
            <w:tcW w:w="900" w:type="dxa"/>
            <w:vAlign w:val="bottom"/>
          </w:tcPr>
          <w:p>
            <w:pPr>
              <w:ind w:left="180"/>
              <w:spacing w:after="0"/>
              <w:rPr>
                <w:sz w:val="20"/>
                <w:szCs w:val="20"/>
                <w:color w:val="auto"/>
              </w:rPr>
            </w:pPr>
            <w:r>
              <w:rPr>
                <w:rFonts w:ascii="Times New Roman" w:cs="Times New Roman" w:eastAsia="Times New Roman" w:hAnsi="Times New Roman"/>
                <w:sz w:val="9"/>
                <w:szCs w:val="9"/>
                <w:color w:val="auto"/>
              </w:rPr>
              <w:t>3/21/2029</w:t>
            </w:r>
          </w:p>
        </w:tc>
        <w:tc>
          <w:tcPr>
            <w:tcW w:w="78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10,831</w:t>
            </w: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10,779</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10,779</w:t>
            </w:r>
          </w:p>
        </w:tc>
        <w:tc>
          <w:tcPr>
            <w:tcW w:w="860" w:type="dxa"/>
            <w:vAlign w:val="bottom"/>
          </w:tcPr>
          <w:p>
            <w:pPr>
              <w:spacing w:after="0"/>
              <w:rPr>
                <w:sz w:val="10"/>
                <w:szCs w:val="10"/>
                <w:color w:val="auto"/>
              </w:rPr>
            </w:pPr>
          </w:p>
        </w:tc>
      </w:tr>
      <w:tr>
        <w:trPr>
          <w:trHeight w:val="122"/>
        </w:trPr>
        <w:tc>
          <w:tcPr>
            <w:tcW w:w="25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(5,000 units) (h)(j)</w:t>
            </w:r>
          </w:p>
        </w:tc>
        <w:tc>
          <w:tcPr>
            <w:tcW w:w="318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9/21/2021</w:t>
            </w:r>
          </w:p>
        </w:tc>
        <w:tc>
          <w:tcPr>
            <w:tcW w:w="90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2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860" w:type="dxa"/>
            <w:vAlign w:val="bottom"/>
            <w:tcBorders>
              <w:bottom w:val="single" w:sz="8" w:color="CFF0FC"/>
            </w:tcBorders>
            <w:shd w:val="clear" w:color="auto" w:fill="CFF0FC"/>
          </w:tcPr>
          <w:p>
            <w:pPr>
              <w:spacing w:after="0"/>
              <w:rPr>
                <w:sz w:val="10"/>
                <w:szCs w:val="10"/>
                <w:color w:val="auto"/>
              </w:rPr>
            </w:pPr>
          </w:p>
        </w:tc>
      </w:tr>
      <w:tr>
        <w:trPr>
          <w:trHeight w:val="114"/>
        </w:trPr>
        <w:tc>
          <w:tcPr>
            <w:tcW w:w="25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11,279</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11,279</w:t>
            </w: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Prime AE Group, Inc.</w:t>
            </w:r>
          </w:p>
        </w:tc>
        <w:tc>
          <w:tcPr>
            <w:tcW w:w="3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Business Services</w:t>
            </w: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5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180" w:type="dxa"/>
            <w:vAlign w:val="bottom"/>
          </w:tcPr>
          <w:p>
            <w:pPr>
              <w:ind w:left="2140"/>
              <w:spacing w:after="0"/>
              <w:rPr>
                <w:sz w:val="20"/>
                <w:szCs w:val="20"/>
                <w:color w:val="auto"/>
              </w:rPr>
            </w:pPr>
            <w:r>
              <w:rPr>
                <w:rFonts w:ascii="Times New Roman" w:cs="Times New Roman" w:eastAsia="Times New Roman" w:hAnsi="Times New Roman"/>
                <w:sz w:val="9"/>
                <w:szCs w:val="9"/>
                <w:color w:val="auto"/>
              </w:rPr>
              <w:t>(L + 6.25%) / (2.00%)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8.25%/0.00%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11/25/2019</w:t>
            </w:r>
          </w:p>
        </w:tc>
        <w:tc>
          <w:tcPr>
            <w:tcW w:w="90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11/25/2024</w:t>
            </w:r>
          </w:p>
        </w:tc>
        <w:tc>
          <w:tcPr>
            <w:tcW w:w="78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6,167</w:t>
            </w: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6,055</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6,167</w:t>
            </w:r>
          </w:p>
        </w:tc>
        <w:tc>
          <w:tcPr>
            <w:tcW w:w="860" w:type="dxa"/>
            <w:vAlign w:val="bottom"/>
          </w:tcPr>
          <w:p>
            <w:pPr>
              <w:spacing w:after="0"/>
              <w:rPr>
                <w:sz w:val="10"/>
                <w:szCs w:val="10"/>
                <w:color w:val="auto"/>
              </w:rPr>
            </w:pPr>
          </w:p>
        </w:tc>
      </w:tr>
      <w:tr>
        <w:trPr>
          <w:trHeight w:val="122"/>
        </w:trPr>
        <w:tc>
          <w:tcPr>
            <w:tcW w:w="25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(900,000 shares) (j)</w:t>
            </w:r>
          </w:p>
        </w:tc>
        <w:tc>
          <w:tcPr>
            <w:tcW w:w="318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11/25/2019</w:t>
            </w:r>
          </w:p>
        </w:tc>
        <w:tc>
          <w:tcPr>
            <w:tcW w:w="90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900</w:t>
            </w:r>
          </w:p>
        </w:tc>
        <w:tc>
          <w:tcPr>
            <w:tcW w:w="2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462</w:t>
            </w:r>
          </w:p>
        </w:tc>
        <w:tc>
          <w:tcPr>
            <w:tcW w:w="860" w:type="dxa"/>
            <w:vAlign w:val="bottom"/>
            <w:tcBorders>
              <w:bottom w:val="single" w:sz="8" w:color="CFF0FC"/>
            </w:tcBorders>
            <w:shd w:val="clear" w:color="auto" w:fill="CFF0FC"/>
          </w:tcPr>
          <w:p>
            <w:pPr>
              <w:spacing w:after="0"/>
              <w:rPr>
                <w:sz w:val="10"/>
                <w:szCs w:val="10"/>
                <w:color w:val="auto"/>
              </w:rPr>
            </w:pPr>
          </w:p>
        </w:tc>
      </w:tr>
      <w:tr>
        <w:trPr>
          <w:trHeight w:val="114"/>
        </w:trPr>
        <w:tc>
          <w:tcPr>
            <w:tcW w:w="25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6,955</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6,629</w:t>
            </w: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Pugh Lubricants, LLC (n)</w:t>
            </w:r>
          </w:p>
        </w:tc>
        <w:tc>
          <w:tcPr>
            <w:tcW w:w="3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Specialty Distribution</w:t>
            </w: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5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(3,062 units) (h)(j)</w:t>
            </w:r>
          </w:p>
        </w:tc>
        <w:tc>
          <w:tcPr>
            <w:tcW w:w="3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11/10/2016</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560" w:type="dxa"/>
            <w:vAlign w:val="bottom"/>
            <w:shd w:val="clear" w:color="auto" w:fill="CFF0FC"/>
          </w:tcPr>
          <w:p>
            <w:pPr>
              <w:spacing w:after="0"/>
              <w:rPr>
                <w:sz w:val="10"/>
                <w:szCs w:val="10"/>
                <w:color w:val="auto"/>
              </w:rPr>
            </w:pPr>
          </w:p>
        </w:tc>
        <w:tc>
          <w:tcPr>
            <w:tcW w:w="31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56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Rhino Assembly Company, LLC</w:t>
            </w:r>
          </w:p>
        </w:tc>
        <w:tc>
          <w:tcPr>
            <w:tcW w:w="3180" w:type="dxa"/>
            <w:vAlign w:val="bottom"/>
          </w:tcPr>
          <w:p>
            <w:pPr>
              <w:ind w:left="60"/>
              <w:spacing w:after="0"/>
              <w:rPr>
                <w:sz w:val="20"/>
                <w:szCs w:val="20"/>
                <w:color w:val="auto"/>
              </w:rPr>
            </w:pPr>
            <w:r>
              <w:rPr>
                <w:rFonts w:ascii="Times New Roman" w:cs="Times New Roman" w:eastAsia="Times New Roman" w:hAnsi="Times New Roman"/>
                <w:sz w:val="9"/>
                <w:szCs w:val="9"/>
                <w:color w:val="auto"/>
              </w:rPr>
              <w:t>Specialty Distribution</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2"/>
        </w:trPr>
        <w:tc>
          <w:tcPr>
            <w:tcW w:w="2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(k)</w:t>
            </w:r>
          </w:p>
        </w:tc>
        <w:tc>
          <w:tcPr>
            <w:tcW w:w="3180" w:type="dxa"/>
            <w:vAlign w:val="bottom"/>
            <w:shd w:val="clear" w:color="auto" w:fill="CFF0FC"/>
          </w:tcPr>
          <w:p>
            <w:pPr>
              <w:spacing w:after="0"/>
              <w:rPr>
                <w:sz w:val="10"/>
                <w:szCs w:val="10"/>
                <w:color w:val="auto"/>
              </w:rPr>
            </w:pP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12.00%/1.00%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8/11/2017</w:t>
            </w:r>
          </w:p>
        </w:tc>
        <w:tc>
          <w:tcPr>
            <w:tcW w:w="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2/11/2023</w:t>
            </w:r>
          </w:p>
        </w:tc>
        <w:tc>
          <w:tcPr>
            <w:tcW w:w="78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13,804</w:t>
            </w: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13,791</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13,804</w:t>
            </w:r>
          </w:p>
        </w:tc>
        <w:tc>
          <w:tcPr>
            <w:tcW w:w="860" w:type="dxa"/>
            <w:vAlign w:val="bottom"/>
            <w:shd w:val="clear" w:color="auto" w:fill="CFF0FC"/>
          </w:tcPr>
          <w:p>
            <w:pPr>
              <w:spacing w:after="0"/>
              <w:rPr>
                <w:sz w:val="10"/>
                <w:szCs w:val="10"/>
                <w:color w:val="auto"/>
              </w:rPr>
            </w:pPr>
          </w:p>
        </w:tc>
      </w:tr>
      <w:tr>
        <w:trPr>
          <w:trHeight w:val="121"/>
        </w:trPr>
        <w:tc>
          <w:tcPr>
            <w:tcW w:w="25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Delayed Draw Commitment ($875 unfunded commitment) (i)(j)</w:t>
            </w:r>
          </w:p>
        </w:tc>
        <w:tc>
          <w:tcPr>
            <w:tcW w:w="3180" w:type="dxa"/>
            <w:vAlign w:val="bottom"/>
          </w:tcPr>
          <w:p>
            <w:pPr>
              <w:spacing w:after="0"/>
              <w:rPr>
                <w:sz w:val="10"/>
                <w:szCs w:val="10"/>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12.00%/1.00%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8/11/2017</w:t>
            </w:r>
          </w:p>
        </w:tc>
        <w:tc>
          <w:tcPr>
            <w:tcW w:w="900" w:type="dxa"/>
            <w:vAlign w:val="bottom"/>
          </w:tcPr>
          <w:p>
            <w:pPr>
              <w:ind w:left="180"/>
              <w:spacing w:after="0"/>
              <w:rPr>
                <w:sz w:val="20"/>
                <w:szCs w:val="20"/>
                <w:color w:val="auto"/>
              </w:rPr>
            </w:pPr>
            <w:r>
              <w:rPr>
                <w:rFonts w:ascii="Times New Roman" w:cs="Times New Roman" w:eastAsia="Times New Roman" w:hAnsi="Times New Roman"/>
                <w:sz w:val="9"/>
                <w:szCs w:val="9"/>
                <w:color w:val="auto"/>
              </w:rPr>
              <w:t>5/17/2022</w:t>
            </w:r>
          </w:p>
        </w:tc>
        <w:tc>
          <w:tcPr>
            <w:tcW w:w="900" w:type="dxa"/>
            <w:vAlign w:val="bottom"/>
            <w:gridSpan w:val="2"/>
          </w:tcPr>
          <w:p>
            <w:pPr>
              <w:jc w:val="right"/>
              <w:ind w:right="315"/>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60" w:type="dxa"/>
            <w:vAlign w:val="bottom"/>
          </w:tcPr>
          <w:p>
            <w:pPr>
              <w:spacing w:after="0"/>
              <w:rPr>
                <w:sz w:val="10"/>
                <w:szCs w:val="10"/>
                <w:color w:val="auto"/>
              </w:rPr>
            </w:pPr>
          </w:p>
        </w:tc>
      </w:tr>
      <w:tr>
        <w:trPr>
          <w:trHeight w:val="122"/>
        </w:trPr>
        <w:tc>
          <w:tcPr>
            <w:tcW w:w="2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(Class A Units) (8,864 units) (h)(j)</w:t>
            </w:r>
          </w:p>
        </w:tc>
        <w:tc>
          <w:tcPr>
            <w:tcW w:w="31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8/11/2017</w:t>
            </w: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925</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1,115</w:t>
            </w:r>
          </w:p>
        </w:tc>
        <w:tc>
          <w:tcPr>
            <w:tcW w:w="860" w:type="dxa"/>
            <w:vAlign w:val="bottom"/>
            <w:shd w:val="clear" w:color="auto" w:fill="CFF0FC"/>
          </w:tcPr>
          <w:p>
            <w:pPr>
              <w:spacing w:after="0"/>
              <w:rPr>
                <w:sz w:val="10"/>
                <w:szCs w:val="10"/>
                <w:color w:val="auto"/>
              </w:rPr>
            </w:pPr>
          </w:p>
        </w:tc>
      </w:tr>
      <w:tr>
        <w:trPr>
          <w:trHeight w:val="121"/>
        </w:trPr>
        <w:tc>
          <w:tcPr>
            <w:tcW w:w="25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(Units N/A) (h)(j)</w:t>
            </w:r>
          </w:p>
        </w:tc>
        <w:tc>
          <w:tcPr>
            <w:tcW w:w="3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12/10/2020</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268</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282</w:t>
            </w:r>
          </w:p>
        </w:tc>
        <w:tc>
          <w:tcPr>
            <w:tcW w:w="860" w:type="dxa"/>
            <w:vAlign w:val="bottom"/>
          </w:tcPr>
          <w:p>
            <w:pPr>
              <w:spacing w:after="0"/>
              <w:rPr>
                <w:sz w:val="10"/>
                <w:szCs w:val="10"/>
                <w:color w:val="auto"/>
              </w:rPr>
            </w:pPr>
          </w:p>
        </w:tc>
      </w:tr>
      <w:tr>
        <w:trPr>
          <w:trHeight w:val="122"/>
        </w:trPr>
        <w:tc>
          <w:tcPr>
            <w:tcW w:w="25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(Class W Units) (710 units) (h)(j)</w:t>
            </w:r>
          </w:p>
        </w:tc>
        <w:tc>
          <w:tcPr>
            <w:tcW w:w="318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12/10/2020</w:t>
            </w:r>
          </w:p>
        </w:tc>
        <w:tc>
          <w:tcPr>
            <w:tcW w:w="90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60" w:type="dxa"/>
            <w:vAlign w:val="bottom"/>
            <w:tcBorders>
              <w:bottom w:val="single" w:sz="8" w:color="CFF0FC"/>
            </w:tcBorders>
            <w:shd w:val="clear" w:color="auto" w:fill="CFF0FC"/>
          </w:tcPr>
          <w:p>
            <w:pPr>
              <w:spacing w:after="0"/>
              <w:rPr>
                <w:sz w:val="10"/>
                <w:szCs w:val="10"/>
                <w:color w:val="auto"/>
              </w:rPr>
            </w:pPr>
          </w:p>
        </w:tc>
      </w:tr>
      <w:tr>
        <w:trPr>
          <w:trHeight w:val="115"/>
        </w:trPr>
        <w:tc>
          <w:tcPr>
            <w:tcW w:w="25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14,984</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15,201</w:t>
            </w: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2"/>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Road Safety Services, Inc.</w:t>
            </w:r>
          </w:p>
        </w:tc>
        <w:tc>
          <w:tcPr>
            <w:tcW w:w="3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Business Services</w:t>
            </w: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5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w:t>
            </w:r>
          </w:p>
        </w:tc>
        <w:tc>
          <w:tcPr>
            <w:tcW w:w="3180" w:type="dxa"/>
            <w:vAlign w:val="bottom"/>
          </w:tcPr>
          <w:p>
            <w:pPr>
              <w:spacing w:after="0"/>
              <w:rPr>
                <w:sz w:val="10"/>
                <w:szCs w:val="10"/>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11.25%/2.00%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9/18/2018</w:t>
            </w:r>
          </w:p>
        </w:tc>
        <w:tc>
          <w:tcPr>
            <w:tcW w:w="900" w:type="dxa"/>
            <w:vAlign w:val="bottom"/>
          </w:tcPr>
          <w:p>
            <w:pPr>
              <w:ind w:left="180"/>
              <w:spacing w:after="0"/>
              <w:rPr>
                <w:sz w:val="20"/>
                <w:szCs w:val="20"/>
                <w:color w:val="auto"/>
              </w:rPr>
            </w:pPr>
            <w:r>
              <w:rPr>
                <w:rFonts w:ascii="Times New Roman" w:cs="Times New Roman" w:eastAsia="Times New Roman" w:hAnsi="Times New Roman"/>
                <w:sz w:val="9"/>
                <w:szCs w:val="9"/>
                <w:color w:val="auto"/>
              </w:rPr>
              <w:t>9/18/2025</w:t>
            </w:r>
          </w:p>
        </w:tc>
        <w:tc>
          <w:tcPr>
            <w:tcW w:w="78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15,525</w:t>
            </w: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15,481</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15,525</w:t>
            </w:r>
          </w:p>
        </w:tc>
        <w:tc>
          <w:tcPr>
            <w:tcW w:w="860" w:type="dxa"/>
            <w:vAlign w:val="bottom"/>
          </w:tcPr>
          <w:p>
            <w:pPr>
              <w:spacing w:after="0"/>
              <w:rPr>
                <w:sz w:val="10"/>
                <w:szCs w:val="10"/>
                <w:color w:val="auto"/>
              </w:rPr>
            </w:pPr>
          </w:p>
        </w:tc>
      </w:tr>
      <w:tr>
        <w:trPr>
          <w:trHeight w:val="122"/>
        </w:trPr>
        <w:tc>
          <w:tcPr>
            <w:tcW w:w="25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(779 units)</w:t>
            </w:r>
          </w:p>
        </w:tc>
        <w:tc>
          <w:tcPr>
            <w:tcW w:w="318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9/18/2018</w:t>
            </w:r>
          </w:p>
        </w:tc>
        <w:tc>
          <w:tcPr>
            <w:tcW w:w="90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1,121</w:t>
            </w:r>
          </w:p>
        </w:tc>
        <w:tc>
          <w:tcPr>
            <w:tcW w:w="2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1,285</w:t>
            </w:r>
          </w:p>
        </w:tc>
        <w:tc>
          <w:tcPr>
            <w:tcW w:w="860" w:type="dxa"/>
            <w:vAlign w:val="bottom"/>
            <w:tcBorders>
              <w:bottom w:val="single" w:sz="8" w:color="CFF0FC"/>
            </w:tcBorders>
            <w:shd w:val="clear" w:color="auto" w:fill="CFF0FC"/>
          </w:tcPr>
          <w:p>
            <w:pPr>
              <w:spacing w:after="0"/>
              <w:rPr>
                <w:sz w:val="10"/>
                <w:szCs w:val="10"/>
                <w:color w:val="auto"/>
              </w:rPr>
            </w:pPr>
          </w:p>
        </w:tc>
      </w:tr>
      <w:tr>
        <w:trPr>
          <w:trHeight w:val="115"/>
        </w:trPr>
        <w:tc>
          <w:tcPr>
            <w:tcW w:w="25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16,602</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16,810</w:t>
            </w: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SES Investors, LLC (dba SES Foam)</w:t>
            </w:r>
          </w:p>
        </w:tc>
        <w:tc>
          <w:tcPr>
            <w:tcW w:w="3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Building Products Manufacturing</w:t>
            </w: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5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(6,000 units) (h)(j)</w:t>
            </w:r>
          </w:p>
        </w:tc>
        <w:tc>
          <w:tcPr>
            <w:tcW w:w="3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9/8/2016</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404</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4,089</w:t>
            </w: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560" w:type="dxa"/>
            <w:vAlign w:val="bottom"/>
            <w:shd w:val="clear" w:color="auto" w:fill="CFF0FC"/>
          </w:tcPr>
          <w:p>
            <w:pPr>
              <w:spacing w:after="0"/>
              <w:rPr>
                <w:sz w:val="10"/>
                <w:szCs w:val="10"/>
                <w:color w:val="auto"/>
              </w:rPr>
            </w:pPr>
          </w:p>
        </w:tc>
        <w:tc>
          <w:tcPr>
            <w:tcW w:w="31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56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SpendMend LLC</w:t>
            </w:r>
          </w:p>
        </w:tc>
        <w:tc>
          <w:tcPr>
            <w:tcW w:w="3180" w:type="dxa"/>
            <w:vAlign w:val="bottom"/>
          </w:tcPr>
          <w:p>
            <w:pPr>
              <w:ind w:left="60"/>
              <w:spacing w:after="0"/>
              <w:rPr>
                <w:sz w:val="20"/>
                <w:szCs w:val="20"/>
                <w:color w:val="auto"/>
              </w:rPr>
            </w:pPr>
            <w:r>
              <w:rPr>
                <w:rFonts w:ascii="Times New Roman" w:cs="Times New Roman" w:eastAsia="Times New Roman" w:hAnsi="Times New Roman"/>
                <w:sz w:val="9"/>
                <w:szCs w:val="9"/>
                <w:color w:val="auto"/>
              </w:rPr>
              <w:t>Business Services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2"/>
        </w:trPr>
        <w:tc>
          <w:tcPr>
            <w:tcW w:w="2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(1,000,000 units)</w:t>
            </w:r>
          </w:p>
        </w:tc>
        <w:tc>
          <w:tcPr>
            <w:tcW w:w="31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1/8/2018</w:t>
            </w: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994</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6,257</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56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2"/>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Suited Connector LLC</w:t>
            </w:r>
          </w:p>
        </w:tc>
        <w:tc>
          <w:tcPr>
            <w:tcW w:w="3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5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3180" w:type="dxa"/>
            <w:vAlign w:val="bottom"/>
          </w:tcPr>
          <w:p>
            <w:pPr>
              <w:spacing w:after="0"/>
              <w:rPr>
                <w:sz w:val="10"/>
                <w:szCs w:val="10"/>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12.00%/0.00%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10/29/2021</w:t>
            </w:r>
          </w:p>
        </w:tc>
        <w:tc>
          <w:tcPr>
            <w:tcW w:w="900" w:type="dxa"/>
            <w:vAlign w:val="bottom"/>
          </w:tcPr>
          <w:p>
            <w:pPr>
              <w:ind w:left="180"/>
              <w:spacing w:after="0"/>
              <w:rPr>
                <w:sz w:val="20"/>
                <w:szCs w:val="20"/>
                <w:color w:val="auto"/>
              </w:rPr>
            </w:pPr>
            <w:r>
              <w:rPr>
                <w:rFonts w:ascii="Times New Roman" w:cs="Times New Roman" w:eastAsia="Times New Roman" w:hAnsi="Times New Roman"/>
                <w:sz w:val="9"/>
                <w:szCs w:val="9"/>
                <w:color w:val="auto"/>
              </w:rPr>
              <w:t>6/1/2028</w:t>
            </w:r>
          </w:p>
        </w:tc>
        <w:tc>
          <w:tcPr>
            <w:tcW w:w="78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16,000</w:t>
            </w: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15,921</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15,921</w:t>
            </w:r>
          </w:p>
        </w:tc>
        <w:tc>
          <w:tcPr>
            <w:tcW w:w="860" w:type="dxa"/>
            <w:vAlign w:val="bottom"/>
          </w:tcPr>
          <w:p>
            <w:pPr>
              <w:spacing w:after="0"/>
              <w:rPr>
                <w:sz w:val="10"/>
                <w:szCs w:val="10"/>
                <w:color w:val="auto"/>
              </w:rPr>
            </w:pPr>
          </w:p>
        </w:tc>
      </w:tr>
      <w:tr>
        <w:trPr>
          <w:trHeight w:val="122"/>
        </w:trPr>
        <w:tc>
          <w:tcPr>
            <w:tcW w:w="25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(7,500 units) (h)(j)</w:t>
            </w:r>
          </w:p>
        </w:tc>
        <w:tc>
          <w:tcPr>
            <w:tcW w:w="318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12/1/2021</w:t>
            </w:r>
          </w:p>
        </w:tc>
        <w:tc>
          <w:tcPr>
            <w:tcW w:w="90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750</w:t>
            </w:r>
          </w:p>
        </w:tc>
        <w:tc>
          <w:tcPr>
            <w:tcW w:w="2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750</w:t>
            </w:r>
          </w:p>
        </w:tc>
        <w:tc>
          <w:tcPr>
            <w:tcW w:w="860" w:type="dxa"/>
            <w:vAlign w:val="bottom"/>
            <w:tcBorders>
              <w:bottom w:val="single" w:sz="8" w:color="CFF0FC"/>
            </w:tcBorders>
            <w:shd w:val="clear" w:color="auto" w:fill="CFF0FC"/>
          </w:tcPr>
          <w:p>
            <w:pPr>
              <w:spacing w:after="0"/>
              <w:rPr>
                <w:sz w:val="10"/>
                <w:szCs w:val="10"/>
                <w:color w:val="auto"/>
              </w:rPr>
            </w:pPr>
          </w:p>
        </w:tc>
      </w:tr>
      <w:tr>
        <w:trPr>
          <w:trHeight w:val="115"/>
        </w:trPr>
        <w:tc>
          <w:tcPr>
            <w:tcW w:w="25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16,671</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16,671</w:t>
            </w: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2"/>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TransGo, LLC</w:t>
            </w:r>
          </w:p>
        </w:tc>
        <w:tc>
          <w:tcPr>
            <w:tcW w:w="3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Component Manufacturing</w:t>
            </w: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5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(500 units) (j)</w:t>
            </w:r>
          </w:p>
        </w:tc>
        <w:tc>
          <w:tcPr>
            <w:tcW w:w="3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2/28/2017</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428</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1,878</w:t>
            </w: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560" w:type="dxa"/>
            <w:vAlign w:val="bottom"/>
            <w:shd w:val="clear" w:color="auto" w:fill="CFF0FC"/>
          </w:tcPr>
          <w:p>
            <w:pPr>
              <w:spacing w:after="0"/>
              <w:rPr>
                <w:sz w:val="10"/>
                <w:szCs w:val="10"/>
                <w:color w:val="auto"/>
              </w:rPr>
            </w:pPr>
          </w:p>
        </w:tc>
        <w:tc>
          <w:tcPr>
            <w:tcW w:w="31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56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The Tranzonic Companies</w:t>
            </w:r>
          </w:p>
        </w:tc>
        <w:tc>
          <w:tcPr>
            <w:tcW w:w="3180" w:type="dxa"/>
            <w:vAlign w:val="bottom"/>
          </w:tcPr>
          <w:p>
            <w:pPr>
              <w:ind w:left="60"/>
              <w:spacing w:after="0"/>
              <w:rPr>
                <w:sz w:val="20"/>
                <w:szCs w:val="20"/>
                <w:color w:val="auto"/>
              </w:rPr>
            </w:pPr>
            <w:r>
              <w:rPr>
                <w:rFonts w:ascii="Times New Roman" w:cs="Times New Roman" w:eastAsia="Times New Roman" w:hAnsi="Times New Roman"/>
                <w:sz w:val="9"/>
                <w:szCs w:val="9"/>
                <w:color w:val="auto"/>
              </w:rPr>
              <w:t>Specialty Distribution</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2"/>
        </w:trPr>
        <w:tc>
          <w:tcPr>
            <w:tcW w:w="2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(5,653 units) (j)</w:t>
            </w:r>
          </w:p>
        </w:tc>
        <w:tc>
          <w:tcPr>
            <w:tcW w:w="31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3/27/2018</w:t>
            </w: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565</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802</w:t>
            </w:r>
          </w:p>
        </w:tc>
        <w:tc>
          <w:tcPr>
            <w:tcW w:w="860" w:type="dxa"/>
            <w:vAlign w:val="bottom"/>
            <w:shd w:val="clear" w:color="auto" w:fill="CFF0FC"/>
          </w:tcPr>
          <w:p>
            <w:pPr>
              <w:spacing w:after="0"/>
              <w:rPr>
                <w:sz w:val="10"/>
                <w:szCs w:val="10"/>
                <w:color w:val="auto"/>
              </w:rPr>
            </w:pPr>
          </w:p>
        </w:tc>
      </w:tr>
      <w:tr>
        <w:trPr>
          <w:trHeight w:val="121"/>
        </w:trPr>
        <w:tc>
          <w:tcPr>
            <w:tcW w:w="25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(1 units) (j)</w:t>
            </w:r>
          </w:p>
        </w:tc>
        <w:tc>
          <w:tcPr>
            <w:tcW w:w="3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3/27/2018</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1,231</w:t>
            </w:r>
          </w:p>
        </w:tc>
        <w:tc>
          <w:tcPr>
            <w:tcW w:w="860" w:type="dxa"/>
            <w:vAlign w:val="bottom"/>
          </w:tcPr>
          <w:p>
            <w:pPr>
              <w:spacing w:after="0"/>
              <w:rPr>
                <w:sz w:val="10"/>
                <w:szCs w:val="10"/>
                <w:color w:val="auto"/>
              </w:rPr>
            </w:pPr>
          </w:p>
        </w:tc>
      </w:tr>
      <w:tr>
        <w:trPr>
          <w:trHeight w:val="115"/>
        </w:trPr>
        <w:tc>
          <w:tcPr>
            <w:tcW w:w="2560" w:type="dxa"/>
            <w:vAlign w:val="bottom"/>
            <w:shd w:val="clear" w:color="auto" w:fill="CFF0FC"/>
          </w:tcPr>
          <w:p>
            <w:pPr>
              <w:spacing w:after="0"/>
              <w:rPr>
                <w:sz w:val="10"/>
                <w:szCs w:val="10"/>
                <w:color w:val="auto"/>
              </w:rPr>
            </w:pPr>
          </w:p>
        </w:tc>
        <w:tc>
          <w:tcPr>
            <w:tcW w:w="31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565</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2,033</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56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UBEO, LLC</w:t>
            </w:r>
          </w:p>
        </w:tc>
        <w:tc>
          <w:tcPr>
            <w:tcW w:w="3180" w:type="dxa"/>
            <w:vAlign w:val="bottom"/>
          </w:tcPr>
          <w:p>
            <w:pPr>
              <w:ind w:left="60"/>
              <w:spacing w:after="0"/>
              <w:rPr>
                <w:sz w:val="20"/>
                <w:szCs w:val="20"/>
                <w:color w:val="auto"/>
              </w:rPr>
            </w:pPr>
            <w:r>
              <w:rPr>
                <w:rFonts w:ascii="Times New Roman" w:cs="Times New Roman" w:eastAsia="Times New Roman" w:hAnsi="Times New Roman"/>
                <w:sz w:val="9"/>
                <w:szCs w:val="9"/>
                <w:color w:val="auto"/>
              </w:rPr>
              <w:t>Business Services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2"/>
        </w:trPr>
        <w:tc>
          <w:tcPr>
            <w:tcW w:w="2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(705,000 units) (h)(j)</w:t>
            </w:r>
          </w:p>
        </w:tc>
        <w:tc>
          <w:tcPr>
            <w:tcW w:w="31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4/3/2018</w:t>
            </w: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645</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884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56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2"/>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United Biologics, LLC</w:t>
            </w:r>
          </w:p>
        </w:tc>
        <w:tc>
          <w:tcPr>
            <w:tcW w:w="3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Healthcare Services</w:t>
            </w: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5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(98,377 units) (h)(j)</w:t>
            </w:r>
          </w:p>
        </w:tc>
        <w:tc>
          <w:tcPr>
            <w:tcW w:w="3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4/1/2012</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1,008</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60" w:type="dxa"/>
            <w:vAlign w:val="bottom"/>
          </w:tcPr>
          <w:p>
            <w:pPr>
              <w:spacing w:after="0"/>
              <w:rPr>
                <w:sz w:val="10"/>
                <w:szCs w:val="10"/>
                <w:color w:val="auto"/>
              </w:rPr>
            </w:pPr>
          </w:p>
        </w:tc>
      </w:tr>
      <w:tr>
        <w:trPr>
          <w:trHeight w:val="122"/>
        </w:trPr>
        <w:tc>
          <w:tcPr>
            <w:tcW w:w="25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Warrant (57,469 units) (j)(m)</w:t>
            </w:r>
          </w:p>
        </w:tc>
        <w:tc>
          <w:tcPr>
            <w:tcW w:w="318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3/5/2012</w:t>
            </w:r>
          </w:p>
        </w:tc>
        <w:tc>
          <w:tcPr>
            <w:tcW w:w="90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566</w:t>
            </w:r>
          </w:p>
        </w:tc>
        <w:tc>
          <w:tcPr>
            <w:tcW w:w="2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60" w:type="dxa"/>
            <w:vAlign w:val="bottom"/>
            <w:tcBorders>
              <w:bottom w:val="single" w:sz="8" w:color="CFF0FC"/>
            </w:tcBorders>
            <w:shd w:val="clear" w:color="auto" w:fill="CFF0FC"/>
          </w:tcPr>
          <w:p>
            <w:pPr>
              <w:spacing w:after="0"/>
              <w:rPr>
                <w:sz w:val="10"/>
                <w:szCs w:val="10"/>
                <w:color w:val="auto"/>
              </w:rPr>
            </w:pPr>
          </w:p>
        </w:tc>
      </w:tr>
      <w:tr>
        <w:trPr>
          <w:trHeight w:val="114"/>
        </w:trPr>
        <w:tc>
          <w:tcPr>
            <w:tcW w:w="25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1,574</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UPG Company, LLC</w:t>
            </w:r>
          </w:p>
        </w:tc>
        <w:tc>
          <w:tcPr>
            <w:tcW w:w="3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Component Manufacturing</w:t>
            </w: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5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(j)(al)</w:t>
            </w:r>
          </w:p>
        </w:tc>
        <w:tc>
          <w:tcPr>
            <w:tcW w:w="3180" w:type="dxa"/>
            <w:vAlign w:val="bottom"/>
          </w:tcPr>
          <w:p>
            <w:pPr>
              <w:ind w:left="2140"/>
              <w:spacing w:after="0"/>
              <w:rPr>
                <w:sz w:val="20"/>
                <w:szCs w:val="20"/>
                <w:color w:val="auto"/>
              </w:rPr>
            </w:pPr>
            <w:r>
              <w:rPr>
                <w:rFonts w:ascii="Times New Roman" w:cs="Times New Roman" w:eastAsia="Times New Roman" w:hAnsi="Times New Roman"/>
                <w:sz w:val="9"/>
                <w:szCs w:val="9"/>
                <w:color w:val="auto"/>
              </w:rPr>
              <w:t>(L + 8.25%) / (0.50%)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8.75%/0.00%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6/21/2021</w:t>
            </w:r>
          </w:p>
        </w:tc>
        <w:tc>
          <w:tcPr>
            <w:tcW w:w="900" w:type="dxa"/>
            <w:vAlign w:val="bottom"/>
          </w:tcPr>
          <w:p>
            <w:pPr>
              <w:ind w:left="180"/>
              <w:spacing w:after="0"/>
              <w:rPr>
                <w:sz w:val="20"/>
                <w:szCs w:val="20"/>
                <w:color w:val="auto"/>
              </w:rPr>
            </w:pPr>
            <w:r>
              <w:rPr>
                <w:rFonts w:ascii="Times New Roman" w:cs="Times New Roman" w:eastAsia="Times New Roman" w:hAnsi="Times New Roman"/>
                <w:sz w:val="9"/>
                <w:szCs w:val="9"/>
                <w:color w:val="auto"/>
              </w:rPr>
              <w:t>6/21/2024</w:t>
            </w:r>
          </w:p>
        </w:tc>
        <w:tc>
          <w:tcPr>
            <w:tcW w:w="78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12,000</w:t>
            </w: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11,922</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12,000</w:t>
            </w: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2"/>
        </w:trPr>
        <w:tc>
          <w:tcPr>
            <w:tcW w:w="2560" w:type="dxa"/>
            <w:vAlign w:val="bottom"/>
            <w:shd w:val="clear" w:color="auto" w:fill="CFF0FC"/>
          </w:tcPr>
          <w:p>
            <w:pPr>
              <w:spacing w:after="0"/>
              <w:rPr>
                <w:sz w:val="10"/>
                <w:szCs w:val="10"/>
                <w:color w:val="auto"/>
              </w:rPr>
            </w:pPr>
          </w:p>
        </w:tc>
        <w:tc>
          <w:tcPr>
            <w:tcW w:w="31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56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Virginia Tile Company, LLC</w:t>
            </w:r>
          </w:p>
        </w:tc>
        <w:tc>
          <w:tcPr>
            <w:tcW w:w="3180" w:type="dxa"/>
            <w:vAlign w:val="bottom"/>
          </w:tcPr>
          <w:p>
            <w:pPr>
              <w:ind w:left="60"/>
              <w:spacing w:after="0"/>
              <w:rPr>
                <w:sz w:val="20"/>
                <w:szCs w:val="20"/>
                <w:color w:val="auto"/>
              </w:rPr>
            </w:pPr>
            <w:r>
              <w:rPr>
                <w:rFonts w:ascii="Times New Roman" w:cs="Times New Roman" w:eastAsia="Times New Roman" w:hAnsi="Times New Roman"/>
                <w:sz w:val="9"/>
                <w:szCs w:val="9"/>
                <w:color w:val="auto"/>
              </w:rPr>
              <w:t>Specialty Distribution</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2"/>
        </w:trPr>
        <w:tc>
          <w:tcPr>
            <w:tcW w:w="2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(17 units) (j)</w:t>
            </w:r>
          </w:p>
        </w:tc>
        <w:tc>
          <w:tcPr>
            <w:tcW w:w="31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12/19/2014</w:t>
            </w: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342</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933</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1"/>
        </w:trPr>
        <w:tc>
          <w:tcPr>
            <w:tcW w:w="256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2"/>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Western's Smokehouse, LLC</w:t>
            </w:r>
          </w:p>
        </w:tc>
        <w:tc>
          <w:tcPr>
            <w:tcW w:w="3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Consumer Products</w:t>
            </w: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5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(j)(ab)</w:t>
            </w:r>
          </w:p>
        </w:tc>
        <w:tc>
          <w:tcPr>
            <w:tcW w:w="3180" w:type="dxa"/>
            <w:vAlign w:val="bottom"/>
          </w:tcPr>
          <w:p>
            <w:pPr>
              <w:ind w:left="2140"/>
              <w:spacing w:after="0"/>
              <w:rPr>
                <w:sz w:val="20"/>
                <w:szCs w:val="20"/>
                <w:color w:val="auto"/>
              </w:rPr>
            </w:pPr>
            <w:r>
              <w:rPr>
                <w:rFonts w:ascii="Times New Roman" w:cs="Times New Roman" w:eastAsia="Times New Roman" w:hAnsi="Times New Roman"/>
                <w:sz w:val="9"/>
                <w:szCs w:val="9"/>
                <w:color w:val="auto"/>
              </w:rPr>
              <w:t>(L + 6.50%) / (1.25%)</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7.75%/0.00%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2/28/2020</w:t>
            </w:r>
          </w:p>
        </w:tc>
        <w:tc>
          <w:tcPr>
            <w:tcW w:w="90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12/23/2024</w:t>
            </w:r>
          </w:p>
        </w:tc>
        <w:tc>
          <w:tcPr>
            <w:tcW w:w="78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9,625</w:t>
            </w: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9,532</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9,625</w:t>
            </w: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560" w:type="dxa"/>
            <w:vAlign w:val="bottom"/>
            <w:shd w:val="clear" w:color="auto" w:fill="CFF0FC"/>
          </w:tcPr>
          <w:p>
            <w:pPr>
              <w:spacing w:after="0"/>
              <w:rPr>
                <w:sz w:val="10"/>
                <w:szCs w:val="10"/>
                <w:color w:val="auto"/>
              </w:rPr>
            </w:pPr>
          </w:p>
        </w:tc>
        <w:tc>
          <w:tcPr>
            <w:tcW w:w="31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56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Winona Foods, Inc.</w:t>
            </w:r>
          </w:p>
        </w:tc>
        <w:tc>
          <w:tcPr>
            <w:tcW w:w="3180" w:type="dxa"/>
            <w:vAlign w:val="bottom"/>
          </w:tcPr>
          <w:p>
            <w:pPr>
              <w:ind w:left="60"/>
              <w:spacing w:after="0"/>
              <w:rPr>
                <w:sz w:val="20"/>
                <w:szCs w:val="20"/>
                <w:color w:val="auto"/>
              </w:rPr>
            </w:pPr>
            <w:r>
              <w:rPr>
                <w:rFonts w:ascii="Times New Roman" w:cs="Times New Roman" w:eastAsia="Times New Roman" w:hAnsi="Times New Roman"/>
                <w:sz w:val="9"/>
                <w:szCs w:val="9"/>
                <w:color w:val="auto"/>
              </w:rPr>
              <w:t>Specialty Distribution</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2"/>
        </w:trPr>
        <w:tc>
          <w:tcPr>
            <w:tcW w:w="2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(j)(am)</w:t>
            </w:r>
          </w:p>
        </w:tc>
        <w:tc>
          <w:tcPr>
            <w:tcW w:w="3180" w:type="dxa"/>
            <w:vAlign w:val="bottom"/>
            <w:shd w:val="clear" w:color="auto" w:fill="CFF0FC"/>
          </w:tcPr>
          <w:p>
            <w:pPr>
              <w:ind w:left="2140"/>
              <w:spacing w:after="0"/>
              <w:rPr>
                <w:sz w:val="20"/>
                <w:szCs w:val="20"/>
                <w:color w:val="auto"/>
              </w:rPr>
            </w:pPr>
            <w:r>
              <w:rPr>
                <w:rFonts w:ascii="Times New Roman" w:cs="Times New Roman" w:eastAsia="Times New Roman" w:hAnsi="Times New Roman"/>
                <w:sz w:val="9"/>
                <w:szCs w:val="9"/>
                <w:color w:val="auto"/>
              </w:rPr>
              <w:t>(L + 12.00%) / (1.00%)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13.00%/0.00%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4/1/2021</w:t>
            </w:r>
          </w:p>
        </w:tc>
        <w:tc>
          <w:tcPr>
            <w:tcW w:w="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4/1/2026</w:t>
            </w:r>
          </w:p>
        </w:tc>
        <w:tc>
          <w:tcPr>
            <w:tcW w:w="78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4,000</w:t>
            </w: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3,879</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4,000</w:t>
            </w:r>
          </w:p>
        </w:tc>
        <w:tc>
          <w:tcPr>
            <w:tcW w:w="860" w:type="dxa"/>
            <w:vAlign w:val="bottom"/>
            <w:shd w:val="clear" w:color="auto" w:fill="CFF0FC"/>
          </w:tcPr>
          <w:p>
            <w:pPr>
              <w:spacing w:after="0"/>
              <w:rPr>
                <w:sz w:val="10"/>
                <w:szCs w:val="10"/>
                <w:color w:val="auto"/>
              </w:rPr>
            </w:pPr>
          </w:p>
        </w:tc>
      </w:tr>
      <w:tr>
        <w:trPr>
          <w:trHeight w:val="122"/>
        </w:trPr>
        <w:tc>
          <w:tcPr>
            <w:tcW w:w="25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w:t>
            </w:r>
          </w:p>
        </w:tc>
        <w:tc>
          <w:tcPr>
            <w:tcW w:w="3180" w:type="dxa"/>
            <w:vAlign w:val="bottom"/>
          </w:tcPr>
          <w:p>
            <w:pPr>
              <w:ind w:left="2140"/>
              <w:spacing w:after="0"/>
              <w:rPr>
                <w:sz w:val="20"/>
                <w:szCs w:val="20"/>
                <w:color w:val="auto"/>
              </w:rPr>
            </w:pPr>
            <w:r>
              <w:rPr>
                <w:rFonts w:ascii="Times New Roman" w:cs="Times New Roman" w:eastAsia="Times New Roman" w:hAnsi="Times New Roman"/>
                <w:sz w:val="9"/>
                <w:szCs w:val="9"/>
                <w:color w:val="auto"/>
              </w:rPr>
              <w:t>(L + 13.00%) / (1.00%)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14.00%/0.00%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4/1/2021</w:t>
            </w:r>
          </w:p>
        </w:tc>
        <w:tc>
          <w:tcPr>
            <w:tcW w:w="900" w:type="dxa"/>
            <w:vAlign w:val="bottom"/>
          </w:tcPr>
          <w:p>
            <w:pPr>
              <w:ind w:left="180"/>
              <w:spacing w:after="0"/>
              <w:rPr>
                <w:sz w:val="20"/>
                <w:szCs w:val="20"/>
                <w:color w:val="auto"/>
              </w:rPr>
            </w:pPr>
            <w:r>
              <w:rPr>
                <w:rFonts w:ascii="Times New Roman" w:cs="Times New Roman" w:eastAsia="Times New Roman" w:hAnsi="Times New Roman"/>
                <w:sz w:val="9"/>
                <w:szCs w:val="9"/>
                <w:color w:val="auto"/>
              </w:rPr>
              <w:t>4/1/2026</w:t>
            </w:r>
          </w:p>
        </w:tc>
        <w:tc>
          <w:tcPr>
            <w:tcW w:w="78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7,000</w:t>
            </w: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6,955</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7,000</w:t>
            </w:r>
          </w:p>
        </w:tc>
        <w:tc>
          <w:tcPr>
            <w:tcW w:w="860" w:type="dxa"/>
            <w:vAlign w:val="bottom"/>
          </w:tcPr>
          <w:p>
            <w:pPr>
              <w:spacing w:after="0"/>
              <w:rPr>
                <w:sz w:val="10"/>
                <w:szCs w:val="10"/>
                <w:color w:val="auto"/>
              </w:rPr>
            </w:pPr>
          </w:p>
        </w:tc>
      </w:tr>
      <w:tr>
        <w:trPr>
          <w:trHeight w:val="115"/>
        </w:trPr>
        <w:tc>
          <w:tcPr>
            <w:tcW w:w="2560" w:type="dxa"/>
            <w:vAlign w:val="bottom"/>
            <w:shd w:val="clear" w:color="auto" w:fill="CFF0FC"/>
          </w:tcPr>
          <w:p>
            <w:pPr>
              <w:spacing w:after="0"/>
              <w:rPr>
                <w:sz w:val="10"/>
                <w:szCs w:val="10"/>
                <w:color w:val="auto"/>
              </w:rPr>
            </w:pPr>
          </w:p>
        </w:tc>
        <w:tc>
          <w:tcPr>
            <w:tcW w:w="31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10,834</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11,000</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56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Wonderware Holdings, LLC (dba CORE Business Technologies)</w:t>
            </w:r>
          </w:p>
        </w:tc>
        <w:tc>
          <w:tcPr>
            <w:tcW w:w="3180" w:type="dxa"/>
            <w:vAlign w:val="bottom"/>
          </w:tcPr>
          <w:p>
            <w:pPr>
              <w:ind w:left="6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2"/>
        </w:trPr>
        <w:tc>
          <w:tcPr>
            <w:tcW w:w="2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($2,000 unfunded commitment) (k)(z)</w:t>
            </w:r>
          </w:p>
        </w:tc>
        <w:tc>
          <w:tcPr>
            <w:tcW w:w="3180" w:type="dxa"/>
            <w:vAlign w:val="bottom"/>
            <w:shd w:val="clear" w:color="auto" w:fill="CFF0FC"/>
          </w:tcPr>
          <w:p>
            <w:pPr>
              <w:ind w:left="2140"/>
              <w:spacing w:after="0"/>
              <w:rPr>
                <w:sz w:val="20"/>
                <w:szCs w:val="20"/>
                <w:color w:val="auto"/>
              </w:rPr>
            </w:pPr>
            <w:r>
              <w:rPr>
                <w:rFonts w:ascii="Times New Roman" w:cs="Times New Roman" w:eastAsia="Times New Roman" w:hAnsi="Times New Roman"/>
                <w:sz w:val="9"/>
                <w:szCs w:val="9"/>
                <w:color w:val="auto"/>
              </w:rPr>
              <w:t>(L + 7.25%) / (1.00%)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8.25%/0.00%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2/10/2021</w:t>
            </w:r>
          </w:p>
        </w:tc>
        <w:tc>
          <w:tcPr>
            <w:tcW w:w="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2/9/2026</w:t>
            </w:r>
          </w:p>
        </w:tc>
        <w:tc>
          <w:tcPr>
            <w:tcW w:w="78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6,500</w:t>
            </w: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6,460</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6,500</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56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2"/>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Worldwide Express Operations, LLC</w:t>
            </w:r>
          </w:p>
        </w:tc>
        <w:tc>
          <w:tcPr>
            <w:tcW w:w="3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Transportation services</w:t>
            </w: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21"/>
        </w:trPr>
        <w:tc>
          <w:tcPr>
            <w:tcW w:w="25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3180" w:type="dxa"/>
            <w:vAlign w:val="bottom"/>
          </w:tcPr>
          <w:p>
            <w:pPr>
              <w:ind w:left="2140"/>
              <w:spacing w:after="0"/>
              <w:rPr>
                <w:sz w:val="20"/>
                <w:szCs w:val="20"/>
                <w:color w:val="auto"/>
              </w:rPr>
            </w:pPr>
            <w:r>
              <w:rPr>
                <w:rFonts w:ascii="Times New Roman" w:cs="Times New Roman" w:eastAsia="Times New Roman" w:hAnsi="Times New Roman"/>
                <w:sz w:val="9"/>
                <w:szCs w:val="9"/>
                <w:color w:val="auto"/>
              </w:rPr>
              <w:t>(L + 7.00%) / (0.75%)</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7.75%/0.00%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8/2/2021</w:t>
            </w:r>
          </w:p>
        </w:tc>
        <w:tc>
          <w:tcPr>
            <w:tcW w:w="900" w:type="dxa"/>
            <w:vAlign w:val="bottom"/>
          </w:tcPr>
          <w:p>
            <w:pPr>
              <w:ind w:left="180"/>
              <w:spacing w:after="0"/>
              <w:rPr>
                <w:sz w:val="20"/>
                <w:szCs w:val="20"/>
                <w:color w:val="auto"/>
              </w:rPr>
            </w:pPr>
            <w:r>
              <w:rPr>
                <w:rFonts w:ascii="Times New Roman" w:cs="Times New Roman" w:eastAsia="Times New Roman" w:hAnsi="Times New Roman"/>
                <w:sz w:val="9"/>
                <w:szCs w:val="9"/>
                <w:color w:val="auto"/>
              </w:rPr>
              <w:t>7/26/2029</w:t>
            </w:r>
          </w:p>
        </w:tc>
        <w:tc>
          <w:tcPr>
            <w:tcW w:w="78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20,000</w:t>
            </w: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19,383</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19,383</w:t>
            </w:r>
          </w:p>
        </w:tc>
        <w:tc>
          <w:tcPr>
            <w:tcW w:w="860" w:type="dxa"/>
            <w:vAlign w:val="bottom"/>
          </w:tcPr>
          <w:p>
            <w:pPr>
              <w:spacing w:after="0"/>
              <w:rPr>
                <w:sz w:val="10"/>
                <w:szCs w:val="10"/>
                <w:color w:val="auto"/>
              </w:rPr>
            </w:pPr>
          </w:p>
        </w:tc>
      </w:tr>
      <w:tr>
        <w:trPr>
          <w:trHeight w:val="122"/>
        </w:trPr>
        <w:tc>
          <w:tcPr>
            <w:tcW w:w="2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(795,000) (j)</w:t>
            </w:r>
          </w:p>
        </w:tc>
        <w:tc>
          <w:tcPr>
            <w:tcW w:w="31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7/21/2021</w:t>
            </w: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795</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795</w:t>
            </w:r>
          </w:p>
        </w:tc>
        <w:tc>
          <w:tcPr>
            <w:tcW w:w="860" w:type="dxa"/>
            <w:vAlign w:val="bottom"/>
            <w:shd w:val="clear" w:color="auto" w:fill="CFF0FC"/>
          </w:tcPr>
          <w:p>
            <w:pPr>
              <w:spacing w:after="0"/>
              <w:rPr>
                <w:sz w:val="10"/>
                <w:szCs w:val="10"/>
                <w:color w:val="auto"/>
              </w:rPr>
            </w:pPr>
          </w:p>
        </w:tc>
      </w:tr>
      <w:tr>
        <w:trPr>
          <w:trHeight w:val="122"/>
        </w:trPr>
        <w:tc>
          <w:tcPr>
            <w:tcW w:w="25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(752,380 units) (h)(j)</w:t>
            </w:r>
          </w:p>
        </w:tc>
        <w:tc>
          <w:tcPr>
            <w:tcW w:w="3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7/26/2021</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225</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225</w:t>
            </w:r>
          </w:p>
        </w:tc>
        <w:tc>
          <w:tcPr>
            <w:tcW w:w="860" w:type="dxa"/>
            <w:vAlign w:val="bottom"/>
          </w:tcPr>
          <w:p>
            <w:pPr>
              <w:spacing w:after="0"/>
              <w:rPr>
                <w:sz w:val="10"/>
                <w:szCs w:val="10"/>
                <w:color w:val="auto"/>
              </w:rPr>
            </w:pPr>
          </w:p>
        </w:tc>
      </w:tr>
      <w:tr>
        <w:trPr>
          <w:trHeight w:val="115"/>
        </w:trPr>
        <w:tc>
          <w:tcPr>
            <w:tcW w:w="2560" w:type="dxa"/>
            <w:vAlign w:val="bottom"/>
            <w:shd w:val="clear" w:color="auto" w:fill="CFF0FC"/>
          </w:tcPr>
          <w:p>
            <w:pPr>
              <w:spacing w:after="0"/>
              <w:rPr>
                <w:sz w:val="10"/>
                <w:szCs w:val="10"/>
                <w:color w:val="auto"/>
              </w:rPr>
            </w:pPr>
          </w:p>
        </w:tc>
        <w:tc>
          <w:tcPr>
            <w:tcW w:w="31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20,403</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20,403</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1"/>
        </w:trPr>
        <w:tc>
          <w:tcPr>
            <w:tcW w:w="256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Xeeva, Inc.</w:t>
            </w:r>
          </w:p>
        </w:tc>
        <w:tc>
          <w:tcPr>
            <w:tcW w:w="3180" w:type="dxa"/>
            <w:vAlign w:val="bottom"/>
          </w:tcPr>
          <w:p>
            <w:pPr>
              <w:ind w:left="6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2"/>
        </w:trPr>
        <w:tc>
          <w:tcPr>
            <w:tcW w:w="2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180" w:type="dxa"/>
            <w:vAlign w:val="bottom"/>
            <w:shd w:val="clear" w:color="auto" w:fill="CFF0FC"/>
          </w:tcPr>
          <w:p>
            <w:pPr>
              <w:ind w:left="2140"/>
              <w:spacing w:after="0"/>
              <w:rPr>
                <w:sz w:val="20"/>
                <w:szCs w:val="20"/>
                <w:color w:val="auto"/>
              </w:rPr>
            </w:pPr>
            <w:r>
              <w:rPr>
                <w:rFonts w:ascii="Times New Roman" w:cs="Times New Roman" w:eastAsia="Times New Roman" w:hAnsi="Times New Roman"/>
                <w:sz w:val="9"/>
                <w:szCs w:val="9"/>
                <w:color w:val="auto"/>
              </w:rPr>
              <w:t>(L + 10.50%) / (1.50%)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12.00%/0.00%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2/11/2021</w:t>
            </w:r>
          </w:p>
        </w:tc>
        <w:tc>
          <w:tcPr>
            <w:tcW w:w="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2/11/2026</w:t>
            </w:r>
          </w:p>
        </w:tc>
        <w:tc>
          <w:tcPr>
            <w:tcW w:w="78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8,900</w:t>
            </w: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8,857</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8,900</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56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60" w:type="dxa"/>
            <w:vAlign w:val="bottom"/>
          </w:tcPr>
          <w:p>
            <w:pPr>
              <w:spacing w:after="0"/>
              <w:rPr>
                <w:sz w:val="10"/>
                <w:szCs w:val="10"/>
                <w:color w:val="auto"/>
              </w:rPr>
            </w:pPr>
          </w:p>
        </w:tc>
      </w:tr>
      <w:tr>
        <w:trPr>
          <w:trHeight w:val="155"/>
        </w:trPr>
        <w:tc>
          <w:tcPr>
            <w:tcW w:w="2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rPr>
              <w:t>Total Non-control/Non-affiliate Investments</w:t>
            </w:r>
          </w:p>
        </w:tc>
        <w:tc>
          <w:tcPr>
            <w:tcW w:w="318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559,434</w:t>
            </w:r>
          </w:p>
        </w:tc>
        <w:tc>
          <w:tcPr>
            <w:tcW w:w="2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579,689</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119 %</w:t>
            </w:r>
          </w:p>
        </w:tc>
      </w:tr>
      <w:tr>
        <w:trPr>
          <w:trHeight w:val="103"/>
        </w:trPr>
        <w:tc>
          <w:tcPr>
            <w:tcW w:w="25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r>
      <w:tr>
        <w:trPr>
          <w:trHeight w:val="155"/>
        </w:trPr>
        <w:tc>
          <w:tcPr>
            <w:tcW w:w="2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rPr>
              <w:t>Total Investments</w:t>
            </w:r>
          </w:p>
        </w:tc>
        <w:tc>
          <w:tcPr>
            <w:tcW w:w="318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621,786</w:t>
            </w:r>
          </w:p>
        </w:tc>
        <w:tc>
          <w:tcPr>
            <w:tcW w:w="2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719,124</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-5862955</wp:posOffset>
            </wp:positionV>
            <wp:extent cx="68580" cy="857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-5862955</wp:posOffset>
            </wp:positionV>
            <wp:extent cx="68580" cy="857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-5545455</wp:posOffset>
            </wp:positionV>
            <wp:extent cx="68580" cy="857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-5545455</wp:posOffset>
            </wp:positionV>
            <wp:extent cx="68580" cy="857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-5228590</wp:posOffset>
            </wp:positionV>
            <wp:extent cx="68580" cy="857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-5228590</wp:posOffset>
            </wp:positionV>
            <wp:extent cx="68580" cy="857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-4448175</wp:posOffset>
            </wp:positionV>
            <wp:extent cx="68580" cy="857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-4448175</wp:posOffset>
            </wp:positionV>
            <wp:extent cx="68580" cy="857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-4131310</wp:posOffset>
            </wp:positionV>
            <wp:extent cx="68580" cy="857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-4131310</wp:posOffset>
            </wp:positionV>
            <wp:extent cx="68580" cy="857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-3350895</wp:posOffset>
            </wp:positionV>
            <wp:extent cx="68580" cy="857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-3350895</wp:posOffset>
            </wp:positionV>
            <wp:extent cx="68580" cy="857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-2253615</wp:posOffset>
            </wp:positionV>
            <wp:extent cx="68580" cy="857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-2253615</wp:posOffset>
            </wp:positionV>
            <wp:extent cx="68580" cy="857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-213995</wp:posOffset>
            </wp:positionV>
            <wp:extent cx="514350" cy="1111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 cy="11112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-25400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-8255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See Note 3 to the consolidated financial statements for portfolio composition by geographic location.</w:t>
      </w:r>
    </w:p>
    <w:p>
      <w:pPr>
        <w:spacing w:after="0" w:line="7" w:lineRule="exact"/>
        <w:rPr>
          <w:rFonts w:ascii="Times New Roman" w:cs="Times New Roman" w:eastAsia="Times New Roman" w:hAnsi="Times New Roman"/>
          <w:sz w:val="11"/>
          <w:szCs w:val="11"/>
          <w:color w:val="auto"/>
        </w:rPr>
      </w:pPr>
    </w:p>
    <w:p>
      <w:pPr>
        <w:ind w:left="160" w:hanging="152"/>
        <w:spacing w:after="0" w:line="230" w:lineRule="auto"/>
        <w:tabs>
          <w:tab w:leader="none" w:pos="1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Equity ownership may be held in shares or units of companies related to the portfolio companies.</w:t>
      </w:r>
    </w:p>
    <w:p>
      <w:pPr>
        <w:ind w:left="160" w:hanging="152"/>
        <w:spacing w:after="0"/>
        <w:tabs>
          <w:tab w:leader="none" w:pos="1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All debt investments are income producing, unless otherwise indicated. Equity investments are non-income producing unless otherwise noted.</w:t>
      </w:r>
    </w:p>
    <w:p>
      <w:pPr>
        <w:spacing w:after="0" w:line="1" w:lineRule="exact"/>
        <w:rPr>
          <w:rFonts w:ascii="Times New Roman" w:cs="Times New Roman" w:eastAsia="Times New Roman" w:hAnsi="Times New Roman"/>
          <w:sz w:val="11"/>
          <w:szCs w:val="11"/>
          <w:color w:val="auto"/>
        </w:rPr>
      </w:pPr>
    </w:p>
    <w:p>
      <w:pPr>
        <w:ind w:right="140" w:firstLine="8"/>
        <w:spacing w:after="0" w:line="236" w:lineRule="auto"/>
        <w:tabs>
          <w:tab w:leader="none" w:pos="153"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Variable rate investments bear interest at a rate indexed to LIBOR (L) or Prime (P), which are reset monthly, bimonthly, quarterly, or semi-annually. Certain variable rate investments also include a LIBOR or Prime interest rate floor. For each investment, the Company has provided the spread over the reference rate and the LIBOR or Prime floor, if any, as of December 31, 2021.</w:t>
      </w:r>
    </w:p>
    <w:p>
      <w:pPr>
        <w:spacing w:after="0" w:line="1" w:lineRule="exact"/>
        <w:rPr>
          <w:rFonts w:ascii="Times New Roman" w:cs="Times New Roman" w:eastAsia="Times New Roman" w:hAnsi="Times New Roman"/>
          <w:sz w:val="11"/>
          <w:szCs w:val="11"/>
          <w:color w:val="auto"/>
        </w:rPr>
      </w:pPr>
    </w:p>
    <w:p>
      <w:pPr>
        <w:ind w:left="160" w:hanging="152"/>
        <w:spacing w:after="0" w:line="230" w:lineRule="auto"/>
        <w:tabs>
          <w:tab w:leader="none" w:pos="1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Rate includes the cash interest or dividend rate and paid-in-kind interest or dividend rate, if any, as of December 31, 2021. Generally, payment-in-kind interest can be paid-in-kind or all in cash.</w:t>
      </w:r>
    </w:p>
    <w:p>
      <w:pPr>
        <w:ind w:left="140" w:hanging="132"/>
        <w:spacing w:after="0" w:line="230" w:lineRule="auto"/>
        <w:tabs>
          <w:tab w:leader="none" w:pos="14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Investment date represents the date of the initial investment in the security.</w:t>
      </w:r>
    </w:p>
    <w:p>
      <w:pPr>
        <w:ind w:right="300" w:firstLine="8"/>
        <w:spacing w:after="0" w:line="236" w:lineRule="auto"/>
        <w:tabs>
          <w:tab w:leader="none" w:pos="153"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ind w:left="160" w:hanging="152"/>
        <w:spacing w:after="0"/>
        <w:tabs>
          <w:tab w:leader="none" w:pos="1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Investment is held by a taxable subsidiary of the Company.</w:t>
      </w:r>
    </w:p>
    <w:p>
      <w:pPr>
        <w:spacing w:after="0" w:line="1" w:lineRule="exact"/>
        <w:rPr>
          <w:rFonts w:ascii="Times New Roman" w:cs="Times New Roman" w:eastAsia="Times New Roman" w:hAnsi="Times New Roman"/>
          <w:sz w:val="11"/>
          <w:szCs w:val="11"/>
          <w:color w:val="auto"/>
        </w:rPr>
      </w:pPr>
    </w:p>
    <w:p>
      <w:pPr>
        <w:ind w:right="540" w:firstLine="8"/>
        <w:spacing w:after="0" w:line="230" w:lineRule="auto"/>
        <w:tabs>
          <w:tab w:leader="none" w:pos="129"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disclosed commitment represents the unfunded amount as of December 31, 2021. The Company is earning 0.50% interest on the unfunded balance of the commitment. The interest rate disclosed represents the rate which will be earned if the commitment is funded.</w:t>
      </w:r>
    </w:p>
    <w:p>
      <w:pPr>
        <w:ind w:right="260" w:firstLine="8"/>
        <w:spacing w:after="0" w:line="236" w:lineRule="auto"/>
        <w:tabs>
          <w:tab w:leader="none" w:pos="129"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right="260" w:firstLine="8"/>
        <w:spacing w:after="0"/>
        <w:tabs>
          <w:tab w:leader="none" w:pos="153"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-1268730</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4" w:name="page15"/>
    <w:bookmarkEnd w:id="14"/>
    <w:p>
      <w:pPr>
        <w:ind w:right="80" w:firstLine="8"/>
        <w:spacing w:after="0" w:line="254" w:lineRule="auto"/>
        <w:tabs>
          <w:tab w:leader="none" w:pos="129"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ind w:left="200" w:hanging="192"/>
        <w:spacing w:after="0"/>
        <w:tabs>
          <w:tab w:leader="none" w:pos="200"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Warrants entitle the Company to purchase a predetermined number of shares or units of common equity, and are non-income producing. The purchase price and number of shares are subject to adjustment under certain conditions until the expiration date, if</w:t>
      </w:r>
    </w:p>
    <w:p>
      <w:pPr>
        <w:spacing w:after="0" w:line="6" w:lineRule="exact"/>
        <w:rPr>
          <w:rFonts w:ascii="Times New Roman" w:cs="Times New Roman" w:eastAsia="Times New Roman" w:hAnsi="Times New Roman"/>
          <w:sz w:val="10"/>
          <w:szCs w:val="10"/>
          <w:color w:val="auto"/>
        </w:rPr>
      </w:pPr>
    </w:p>
    <w:p>
      <w:pPr>
        <w:spacing w:after="0" w:line="23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1"/>
          <w:szCs w:val="11"/>
          <w:color w:val="auto"/>
        </w:rPr>
        <w:t>any.</w:t>
      </w:r>
    </w:p>
    <w:p>
      <w:pPr>
        <w:ind w:left="160" w:hanging="152"/>
        <w:spacing w:after="0" w:line="230" w:lineRule="auto"/>
        <w:tabs>
          <w:tab w:leader="none" w:pos="16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Investment in portfolio company that has sold its operations and is in the process of winding down.</w:t>
      </w:r>
    </w:p>
    <w:p>
      <w:pPr>
        <w:ind w:right="300" w:firstLine="8"/>
        <w:spacing w:after="0" w:line="236" w:lineRule="auto"/>
        <w:tabs>
          <w:tab w:leader="none" w:pos="153"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sold a participating interest of approximately $0.3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ind w:right="460" w:firstLine="8"/>
        <w:spacing w:after="0" w:line="236" w:lineRule="auto"/>
        <w:tabs>
          <w:tab w:leader="none" w:pos="153"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4.07%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Times New Roman" w:cs="Times New Roman" w:eastAsia="Times New Roman" w:hAnsi="Times New Roman"/>
          <w:sz w:val="11"/>
          <w:szCs w:val="11"/>
          <w:color w:val="auto"/>
        </w:rPr>
      </w:pPr>
    </w:p>
    <w:p>
      <w:pPr>
        <w:ind w:left="160" w:hanging="152"/>
        <w:spacing w:after="0" w:line="230" w:lineRule="auto"/>
        <w:tabs>
          <w:tab w:leader="none" w:pos="16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Warrant entitles the Company to purchase 4.79% of the outstanding principal of Junior Subordinated Notes prior to exercise, and is non-income producing.</w:t>
      </w:r>
    </w:p>
    <w:p>
      <w:pPr>
        <w:ind w:right="460" w:firstLine="8"/>
        <w:spacing w:after="0" w:line="236" w:lineRule="auto"/>
        <w:tabs>
          <w:tab w:leader="none" w:pos="135"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4.84%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60" w:firstLine="8"/>
        <w:spacing w:after="0" w:line="236" w:lineRule="auto"/>
        <w:tabs>
          <w:tab w:leader="none" w:pos="141"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2.64%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Times New Roman" w:cs="Times New Roman" w:eastAsia="Times New Roman" w:hAnsi="Times New Roman"/>
          <w:sz w:val="11"/>
          <w:szCs w:val="11"/>
          <w:color w:val="auto"/>
        </w:rPr>
      </w:pPr>
    </w:p>
    <w:p>
      <w:pPr>
        <w:ind w:firstLine="8"/>
        <w:spacing w:after="0" w:line="230" w:lineRule="auto"/>
        <w:tabs>
          <w:tab w:leader="none" w:pos="129"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ind w:right="160" w:firstLine="8"/>
        <w:spacing w:after="0" w:line="267" w:lineRule="auto"/>
        <w:tabs>
          <w:tab w:leader="none" w:pos="153"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addition to the interest earned based on the stated interest rate of this security, the Company is entitled to receive an additional cash interest amount of 2.99% and PIK interest amount of 1.00%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60" w:firstLine="8"/>
        <w:spacing w:after="0" w:line="230" w:lineRule="auto"/>
        <w:tabs>
          <w:tab w:leader="none" w:pos="153"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7.56%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20" w:firstLine="8"/>
        <w:spacing w:after="0" w:line="230" w:lineRule="auto"/>
        <w:tabs>
          <w:tab w:leader="none" w:pos="177"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7.05%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60" w:firstLine="8"/>
        <w:spacing w:after="0" w:line="243" w:lineRule="auto"/>
        <w:tabs>
          <w:tab w:leader="none" w:pos="153"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2.81%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160" w:hanging="152"/>
        <w:spacing w:after="0" w:line="230" w:lineRule="auto"/>
        <w:tabs>
          <w:tab w:leader="none" w:pos="16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Investment was on PIK only non-accrual status as of December 31, 2021, meaning the Company has ceased recognizing PIK interest income on the investment.</w:t>
      </w:r>
    </w:p>
    <w:p>
      <w:pPr>
        <w:ind w:right="460" w:firstLine="8"/>
        <w:spacing w:after="0" w:line="230" w:lineRule="auto"/>
        <w:tabs>
          <w:tab w:leader="none" w:pos="147"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5.70%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260" w:firstLine="8"/>
        <w:spacing w:after="0" w:line="243" w:lineRule="auto"/>
        <w:tabs>
          <w:tab w:leader="none" w:pos="195"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sold a participating interest of approximately $4.0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ind w:right="40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(ab) In addition to the interest earned based on the stated interest rate of this security, the Company is entitled to receive an additional interest amount of 3.43%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60"/>
        <w:spacing w:after="0" w:line="236"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(ac) The disclosed commitment represents the unfunded amount as of December 31, 2021. The Company is earning 1.00% interest on the unfunded balance of the commitment. The interest rate disclosed represents the rate earned on the outstanding, funded balance of the commitment.</w:t>
      </w:r>
    </w:p>
    <w:p>
      <w:pPr>
        <w:ind w:right="400"/>
        <w:spacing w:after="0" w:line="236"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 In addition to the interest earned based on the stated interest rate of this security, the Company is entitled to receive an additional interest amount of 3.29%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Times New Roman" w:cs="Times New Roman" w:eastAsia="Times New Roman" w:hAnsi="Times New Roman"/>
          <w:sz w:val="11"/>
          <w:szCs w:val="11"/>
          <w:color w:val="auto"/>
        </w:rPr>
      </w:pPr>
    </w:p>
    <w:p>
      <w:pPr>
        <w:ind w:right="40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(ae) In addition to the interest earned based on the stated interest rate of this security, the Company is entitled to receive an additional interest amount of 3.53%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20"/>
        <w:spacing w:after="0" w:line="236"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(af) In addition to the interest earned based on the stated interest rate of this security, the Company is entitled to receive an additional interest amount of 3.50%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00"/>
        <w:spacing w:after="0" w:line="236"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(ag) In addition to the interest earned based on the stated interest rate of this security, the Company is entitled to receive an additional interest amount of 5.60%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Times New Roman" w:cs="Times New Roman" w:eastAsia="Times New Roman" w:hAnsi="Times New Roman"/>
          <w:sz w:val="11"/>
          <w:szCs w:val="11"/>
          <w:color w:val="auto"/>
        </w:rPr>
      </w:pPr>
    </w:p>
    <w:p>
      <w:pPr>
        <w:ind w:right="40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(ah) In addition to the interest earned based on the stated interest rate of this security, the Company is entitled to receive an additional interest amount of 1.74%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20"/>
        <w:spacing w:after="0" w:line="243"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(ai) In addition to the interest earned based on the stated interest rate of this security, the Company is entitled to receive an additional interest amount of 4.86%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4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(aj) In addition to the interest earned based on the stated interest rate of this security, the Company is entitled to receive an additional interest amount of 4.11%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00"/>
        <w:spacing w:after="0" w:line="236"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(ak) In addition to the interest earned based on the stated interest rate of this security, the Company is entitled to receive an additional interest amount of 4.83%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20"/>
        <w:spacing w:after="0" w:line="236"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(al) In addition to the interest earned based on the stated interest rate of this security, the Company is entitled to receive an additional interest amount of 3.46%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Times New Roman" w:cs="Times New Roman" w:eastAsia="Times New Roman" w:hAnsi="Times New Roman"/>
          <w:sz w:val="11"/>
          <w:szCs w:val="11"/>
          <w:color w:val="auto"/>
        </w:rPr>
      </w:pPr>
    </w:p>
    <w:p>
      <w:pPr>
        <w:ind w:right="38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 In addition to the interest earned based on the stated interest rate of this security, the Company is entitled to receive an additional interest amount of 7.54%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200"/>
        <w:spacing w:after="0" w:line="236"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 The Company sold a participating interest of approximately $13.5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ind w:right="100"/>
        <w:spacing w:after="0" w:line="236"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(ao) The investment is treated as a non-qualifying asset under Section 55(a) of the Investment Company Act of 1940, as amended (the “1940 Act”). Under the 1940 Act, the Company can not acquire any non-qualifying asset unless, at the time the acquisition is made, qualifying assets represent at least 70% of the Company's total assets. As of December 31, 2021, total non-qualifying assets at fair value represented 0.04% of the Company's total assets calculated in accordance with the 1940 Act.</w:t>
      </w:r>
    </w:p>
    <w:p>
      <w:pPr>
        <w:spacing w:after="0" w:line="1" w:lineRule="exact"/>
        <w:rPr>
          <w:rFonts w:ascii="Times New Roman" w:cs="Times New Roman" w:eastAsia="Times New Roman" w:hAnsi="Times New Roman"/>
          <w:sz w:val="11"/>
          <w:szCs w:val="11"/>
          <w:color w:val="auto"/>
        </w:rPr>
      </w:pPr>
    </w:p>
    <w:p>
      <w:pPr>
        <w:ind w:right="12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(ap) In addition to the interest earned based on the stated interest rate of this security, the Company is entitled to receive an additional cash interest amount of 2.25% and PIK interest amount of 1.87%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(aq) This investment is classified as a Level 1 investment. For further detail on the fair value measurements, see Note 4 to the consolidated financial statements.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Nature of Business</w:t>
      </w:r>
    </w:p>
    <w:p>
      <w:pPr>
        <w:spacing w:after="0" w:line="162"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Fidus Investment Corporation (“FIC,” and together with its subsidiaries, the “Company”), a Maryland corporation, operates as an externally managed, closed-end, non-diversified business development company (“BDC”) under the Investment Company Act of 1940, as amended (“1940 Act”). FIC completed its initial public offering, or IPO, in June 2011. In addition, for U.S. federal income tax purposes, the Company has elected, and intends to qualify annually, to be treated as a regulated investment company (“RIC”) under Subchapter M of the Internal Revenue Code of 1986, as amended (the “Code”).</w:t>
      </w:r>
    </w:p>
    <w:p>
      <w:pPr>
        <w:spacing w:after="0" w:line="123" w:lineRule="exact"/>
        <w:rPr>
          <w:sz w:val="20"/>
          <w:szCs w:val="20"/>
          <w:color w:val="auto"/>
        </w:rPr>
      </w:pPr>
    </w:p>
    <w:p>
      <w:pPr>
        <w:jc w:val="both"/>
        <w:ind w:firstLine="479"/>
        <w:spacing w:after="0" w:line="245" w:lineRule="auto"/>
        <w:rPr>
          <w:sz w:val="20"/>
          <w:szCs w:val="20"/>
          <w:color w:val="auto"/>
        </w:rPr>
      </w:pPr>
      <w:r>
        <w:rPr>
          <w:rFonts w:ascii="Times New Roman" w:cs="Times New Roman" w:eastAsia="Times New Roman" w:hAnsi="Times New Roman"/>
          <w:sz w:val="18"/>
          <w:szCs w:val="18"/>
          <w:color w:val="auto"/>
        </w:rPr>
        <w:t>The Company provides customized debt and equity financing solutions to lower middle-market companies, and may make investments directly or through its two wholly-owned investment company subsidiaries, Fidus Mezzanine Capital II, L.P. (“Fund II”) and Fidus Mezzanine Capital III, L.P. (“Fund III”) (collectively, Fund II and Fund III are referred to as the “Funds”). The Funds are licensed by the U.S. Small Business Administration (the “SBA”) as small business investment companies (“SBIC”). The SBIC licenses allow the Funds to obtain leverage by issuing SBA-guaranteed debentures (“SBA debentures”), subject to the issuance of leverage commitments by the SBA and other customary procedures. As SBICs, the Funds are subject to regulations of and oversight by the SBA under the Small Business Investment Act of 1958, as amended (the “SBIC Act”), concerning, among other things, the size and nature of the companies in which they may invest and the structure of those investments.</w:t>
      </w:r>
    </w:p>
    <w:p>
      <w:pPr>
        <w:spacing w:after="0" w:line="127"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We believe that utilizing both FIC and the Funds as investment vehicles provides us with access to a broader array of investment opportunities. Given our access to lower cost capital through the SBA’s SBIC debenture program, we expect that we will continue to make investments through the Funds until the earlier of the end of the Funds' investment period, if applicable, or the Funds reach their borrowing limit under the program. For two or more SBICs under common control, the maximum amount of outstanding SBA debentures cannot exceed $350,000.</w:t>
      </w:r>
    </w:p>
    <w:p>
      <w:pPr>
        <w:spacing w:after="0" w:line="123" w:lineRule="exact"/>
        <w:rPr>
          <w:sz w:val="20"/>
          <w:szCs w:val="20"/>
          <w:color w:val="auto"/>
        </w:rPr>
      </w:pPr>
    </w:p>
    <w:p>
      <w:pPr>
        <w:jc w:val="both"/>
        <w:ind w:firstLine="479"/>
        <w:spacing w:after="0" w:line="282" w:lineRule="auto"/>
        <w:rPr>
          <w:sz w:val="20"/>
          <w:szCs w:val="20"/>
          <w:color w:val="auto"/>
        </w:rPr>
      </w:pPr>
      <w:r>
        <w:rPr>
          <w:rFonts w:ascii="Times New Roman" w:cs="Times New Roman" w:eastAsia="Times New Roman" w:hAnsi="Times New Roman"/>
          <w:sz w:val="18"/>
          <w:szCs w:val="18"/>
          <w:color w:val="auto"/>
        </w:rPr>
        <w:t>Fund II and Fund III are not registered under the 1940 Act and rely on the exclusion from the definition of investment company contained in Section 3(c)(7) of the 1940 Act.</w:t>
      </w:r>
    </w:p>
    <w:p>
      <w:pPr>
        <w:spacing w:after="0" w:line="94"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The Company pays a quarterly base management fee and an incentive fee to Fidus Investment Advisors, LLC, our investment advisor (the “Investment Advisor” or “Fidus Investment Advisors”) under an investment advisory agreement (the “Investment Advisory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160" w:lineRule="exact"/>
        <w:rPr>
          <w:sz w:val="20"/>
          <w:szCs w:val="20"/>
          <w:color w:val="auto"/>
        </w:rPr>
      </w:pPr>
    </w:p>
    <w:p>
      <w:pPr>
        <w:jc w:val="both"/>
        <w:ind w:firstLine="478"/>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accompanying consolidated financial statements of the Company have been prepared in accordance with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accepted accounting principles in the United States of America (“GAAP”) pursuant to the requirements for reporting on Form 10-Q, Accounting Standards Codification (“ASC”) 946, </w:t>
      </w:r>
      <w:r>
        <w:rPr>
          <w:rFonts w:ascii="Times New Roman" w:cs="Times New Roman" w:eastAsia="Times New Roman" w:hAnsi="Times New Roman"/>
          <w:sz w:val="18"/>
          <w:szCs w:val="18"/>
          <w:i w:val="1"/>
          <w:iCs w:val="1"/>
          <w:color w:val="auto"/>
        </w:rPr>
        <w:t>Financial Services – Investment Companies</w:t>
      </w:r>
      <w:r>
        <w:rPr>
          <w:rFonts w:ascii="Times New Roman" w:cs="Times New Roman" w:eastAsia="Times New Roman" w:hAnsi="Times New Roman"/>
          <w:sz w:val="18"/>
          <w:szCs w:val="18"/>
          <w:color w:val="auto"/>
        </w:rPr>
        <w:t xml:space="preserve"> (“ASC 946”), and Articles 6 or 10 of Regulation S-X. In the opinion of management, the consolidated financial statements reflect all adjustments and reclassifications that are necessary for the fair presentation of financial results as of and for the periods presented. Certain prior period amounts have been reclassified to conform to the current period presentation. The current period’s results of operation are not necessarily indicative of results that ultimately may be achieved for the year. Therefore, the unaudited financial statements and notes should be read in conjunction with the audited financial statements and notes thereto for the year ended December 31, 2021.</w:t>
      </w:r>
    </w:p>
    <w:p>
      <w:pPr>
        <w:spacing w:after="0" w:line="127" w:lineRule="exact"/>
        <w:rPr>
          <w:sz w:val="20"/>
          <w:szCs w:val="20"/>
          <w:color w:val="auto"/>
        </w:rPr>
      </w:pPr>
    </w:p>
    <w:p>
      <w:pPr>
        <w:jc w:val="both"/>
        <w:ind w:firstLine="47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the consolidated financial statements in conformity with GAAP requires management to make estimates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13" w:lineRule="exact"/>
        <w:rPr>
          <w:sz w:val="20"/>
          <w:szCs w:val="20"/>
          <w:color w:val="auto"/>
        </w:rPr>
      </w:pPr>
    </w:p>
    <w:p>
      <w:pPr>
        <w:jc w:val="both"/>
        <w:ind w:firstLine="47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Consolidation: </w:t>
      </w:r>
      <w:r>
        <w:rPr>
          <w:rFonts w:ascii="Times New Roman" w:cs="Times New Roman" w:eastAsia="Times New Roman" w:hAnsi="Times New Roman"/>
          <w:sz w:val="18"/>
          <w:szCs w:val="18"/>
          <w:color w:val="auto"/>
        </w:rPr>
        <w:t>Pursuant to Article 6 of Regulation S-X and ASC 946, the Company will generally not consolidate its investments in a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an investment company subsidiary or a controlled operating company whose business consists of providing services to the Company. As a result, the consolidated financial statements of the Company include only the accounts of the Company and its wholly-owned subsidiaries, including the Funds. All significant intercompany balances and transactions have been eliminated.</w:t>
      </w:r>
    </w:p>
    <w:p>
      <w:pPr>
        <w:spacing w:after="0" w:line="12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i w:val="1"/>
          <w:iCs w:val="1"/>
          <w:color w:val="auto"/>
        </w:rPr>
        <w:t xml:space="preserve">Investment risks: </w:t>
      </w:r>
      <w:r>
        <w:rPr>
          <w:rFonts w:ascii="Times New Roman" w:cs="Times New Roman" w:eastAsia="Times New Roman" w:hAnsi="Times New Roman"/>
          <w:sz w:val="18"/>
          <w:szCs w:val="18"/>
          <w:color w:val="auto"/>
        </w:rPr>
        <w:t>The Company’s investments are subject to a variety of risks. These risks may include, but are not limited to the following:</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jc w:val="both"/>
        <w:ind w:left="1240" w:hanging="378"/>
        <w:spacing w:after="0" w:line="239"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 risk - </w:t>
      </w:r>
      <w:r>
        <w:rPr>
          <w:rFonts w:ascii="Times New Roman" w:cs="Times New Roman" w:eastAsia="Times New Roman" w:hAnsi="Times New Roman"/>
          <w:sz w:val="18"/>
          <w:szCs w:val="18"/>
          <w:color w:val="auto"/>
        </w:rPr>
        <w:t>In contrast to investment-grade bonds (the market prices of which change primarily as a reaction to changes in interest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market prices of high-yield bonds (which are also affected by changes in interest rates) are influenced much more by credit factors and financial results of the issuer as well as general economic factors that influence the financial markets as a whole. The portfolio companies in which the Company invests may be unseasoned, unprofitable and/or have little established operating history or earnings. These companies may also lack technical, marketing, financial, and other resources or may be dependent upon the success of one product or service, a unique distribution channel, or the effectiveness of a manager or management team, as compared to larger, more established entities. The failure of a single product, service or distribution channel, or the loss or the ineffectiveness of a key executive or executives within the management team may have a materially adverse impact on such companies. Furthermore, these companies may be more vulnerable to competition and to overall economic conditions than larger, more established entities.</w:t>
      </w:r>
    </w:p>
    <w:p>
      <w:pPr>
        <w:spacing w:after="0" w:line="147" w:lineRule="exact"/>
        <w:rPr>
          <w:rFonts w:ascii="Times New Roman" w:cs="Times New Roman" w:eastAsia="Times New Roman" w:hAnsi="Times New Roman"/>
          <w:sz w:val="18"/>
          <w:szCs w:val="18"/>
          <w:color w:val="auto"/>
        </w:rPr>
      </w:pPr>
    </w:p>
    <w:p>
      <w:pPr>
        <w:jc w:val="both"/>
        <w:ind w:left="1240" w:hanging="379"/>
        <w:spacing w:after="0" w:line="251"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Credit risk - </w:t>
      </w:r>
      <w:r>
        <w:rPr>
          <w:rFonts w:ascii="Times New Roman" w:cs="Times New Roman" w:eastAsia="Times New Roman" w:hAnsi="Times New Roman"/>
          <w:sz w:val="18"/>
          <w:szCs w:val="18"/>
          <w:color w:val="auto"/>
        </w:rPr>
        <w:t>Credit risk represents the risk that the Company would incur if the counterparties failed to perform pursuant to the terms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agreements with the Company. Issues of high-yield debt securities in which the Company invests are more likely to default on interest or principal than are issues of investment-grade securities.</w:t>
      </w:r>
    </w:p>
    <w:p>
      <w:pPr>
        <w:spacing w:after="0" w:line="133" w:lineRule="exact"/>
        <w:rPr>
          <w:rFonts w:ascii="Times New Roman" w:cs="Times New Roman" w:eastAsia="Times New Roman" w:hAnsi="Times New Roman"/>
          <w:sz w:val="18"/>
          <w:szCs w:val="18"/>
          <w:color w:val="auto"/>
        </w:rPr>
      </w:pPr>
    </w:p>
    <w:p>
      <w:pPr>
        <w:ind w:left="1240" w:right="20" w:hanging="379"/>
        <w:spacing w:after="0" w:line="268"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Liquidity risk - </w:t>
      </w:r>
      <w:r>
        <w:rPr>
          <w:rFonts w:ascii="Times New Roman" w:cs="Times New Roman" w:eastAsia="Times New Roman" w:hAnsi="Times New Roman"/>
          <w:sz w:val="18"/>
          <w:szCs w:val="18"/>
          <w:color w:val="auto"/>
        </w:rPr>
        <w:t>Liquidity risk represents the possibility that the Company may not be able to sell its investments quickly or at a reasonable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(given the lack of an established market).</w:t>
      </w:r>
    </w:p>
    <w:p>
      <w:pPr>
        <w:spacing w:after="0" w:line="104" w:lineRule="exact"/>
        <w:rPr>
          <w:rFonts w:ascii="Times New Roman" w:cs="Times New Roman" w:eastAsia="Times New Roman" w:hAnsi="Times New Roman"/>
          <w:sz w:val="18"/>
          <w:szCs w:val="18"/>
          <w:color w:val="auto"/>
        </w:rPr>
      </w:pPr>
    </w:p>
    <w:p>
      <w:pPr>
        <w:ind w:left="1240" w:hanging="379"/>
        <w:spacing w:after="0" w:line="284"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rate risk - </w:t>
      </w:r>
      <w:r>
        <w:rPr>
          <w:rFonts w:ascii="Times New Roman" w:cs="Times New Roman" w:eastAsia="Times New Roman" w:hAnsi="Times New Roman"/>
          <w:sz w:val="18"/>
          <w:szCs w:val="18"/>
          <w:color w:val="auto"/>
        </w:rPr>
        <w:t>Interest rate risk represents the likelihood that a change in interest rates could have an adverse impact on the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 interest-bearing financial instrument.</w:t>
      </w:r>
    </w:p>
    <w:p>
      <w:pPr>
        <w:spacing w:after="0" w:line="90" w:lineRule="exact"/>
        <w:rPr>
          <w:rFonts w:ascii="Times New Roman" w:cs="Times New Roman" w:eastAsia="Times New Roman" w:hAnsi="Times New Roman"/>
          <w:sz w:val="18"/>
          <w:szCs w:val="18"/>
          <w:color w:val="auto"/>
        </w:rPr>
      </w:pPr>
    </w:p>
    <w:p>
      <w:pPr>
        <w:jc w:val="both"/>
        <w:ind w:left="1240" w:hanging="379"/>
        <w:spacing w:after="0" w:line="259"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Prepayment risk - </w:t>
      </w:r>
      <w:r>
        <w:rPr>
          <w:rFonts w:ascii="Times New Roman" w:cs="Times New Roman" w:eastAsia="Times New Roman" w:hAnsi="Times New Roman"/>
          <w:sz w:val="18"/>
          <w:szCs w:val="18"/>
          <w:color w:val="auto"/>
        </w:rPr>
        <w:t>Certain of the Company’s debt investments allow for prepayment of principal without penalty. Downward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interest rates may cause prepayments to occur at a faster than expected rate, thereby effectively shortening the maturity of the debt investments and making the instrument less likely to be an income producing instrument through the stated maturity date.</w:t>
      </w:r>
    </w:p>
    <w:p>
      <w:pPr>
        <w:spacing w:after="0" w:line="112" w:lineRule="exact"/>
        <w:rPr>
          <w:rFonts w:ascii="Times New Roman" w:cs="Times New Roman" w:eastAsia="Times New Roman" w:hAnsi="Times New Roman"/>
          <w:sz w:val="18"/>
          <w:szCs w:val="18"/>
          <w:color w:val="auto"/>
        </w:rPr>
      </w:pPr>
    </w:p>
    <w:p>
      <w:pPr>
        <w:jc w:val="both"/>
        <w:ind w:left="1240" w:hanging="379"/>
        <w:spacing w:after="0" w:line="259"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Off-Balance sheet risk - </w:t>
      </w:r>
      <w:r>
        <w:rPr>
          <w:rFonts w:ascii="Times New Roman" w:cs="Times New Roman" w:eastAsia="Times New Roman" w:hAnsi="Times New Roman"/>
          <w:sz w:val="18"/>
          <w:szCs w:val="18"/>
          <w:color w:val="auto"/>
        </w:rPr>
        <w:t>Some of the Company’s financial instruments contain off-balance sheet risk. Generally, these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represent future commitments to purchase other financial instruments at defined terms at defined future dates. See Note 7 for further details.</w:t>
      </w:r>
    </w:p>
    <w:p>
      <w:pPr>
        <w:spacing w:after="0" w:line="113" w:lineRule="exact"/>
        <w:rPr>
          <w:sz w:val="20"/>
          <w:szCs w:val="20"/>
          <w:color w:val="auto"/>
        </w:rPr>
      </w:pPr>
    </w:p>
    <w:p>
      <w:pPr>
        <w:jc w:val="both"/>
        <w:ind w:firstLine="478"/>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The Company measures and discloses fair value with respect to substantially all of its financial instruments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accordance with ASC Topic 820 —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Topic 820”). ASC Topic 820 defines fair value, establishes a framework used to measure fair value, and requires disclosures for fair value measurements, including the categorization of financial instruments into a three-level hierarchy based on the transparency of valuation inputs. See Note 4 to the consolidated financial statements for further discussion regarding the fair value measurements and hierarchy.</w:t>
      </w:r>
    </w:p>
    <w:p>
      <w:pPr>
        <w:spacing w:after="0" w:line="123" w:lineRule="exact"/>
        <w:rPr>
          <w:sz w:val="20"/>
          <w:szCs w:val="20"/>
          <w:color w:val="auto"/>
        </w:rPr>
      </w:pPr>
    </w:p>
    <w:p>
      <w:pPr>
        <w:jc w:val="both"/>
        <w:ind w:firstLine="47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Investment classification: </w:t>
      </w:r>
      <w:r>
        <w:rPr>
          <w:rFonts w:ascii="Times New Roman" w:cs="Times New Roman" w:eastAsia="Times New Roman" w:hAnsi="Times New Roman"/>
          <w:sz w:val="18"/>
          <w:szCs w:val="18"/>
          <w:color w:val="auto"/>
        </w:rPr>
        <w:t>The Company classifies its investments in accordance with the requirements of the 1940 Act. Under the 1940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Investments” are defined as investments in those companies where the Company owns more than 25% of the voting securities of such company or has rights to maintain greater than 50% of the board representation. Under the 1940 Act, “Affiliate Investments” are defined as investments in those companies where the Company owns between 5% and 25% of the voting securities of such company. “Non-Control/Non-Affiliate Investments” are those that neither qualify as Control Investments nor Affiliate Investments.</w:t>
      </w:r>
    </w:p>
    <w:p>
      <w:pPr>
        <w:spacing w:after="0" w:line="119" w:lineRule="exact"/>
        <w:rPr>
          <w:sz w:val="20"/>
          <w:szCs w:val="20"/>
          <w:color w:val="auto"/>
        </w:rPr>
      </w:pPr>
    </w:p>
    <w:p>
      <w:pPr>
        <w:jc w:val="both"/>
        <w:ind w:firstLine="478"/>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Segments: </w:t>
      </w:r>
      <w:r>
        <w:rPr>
          <w:rFonts w:ascii="Times New Roman" w:cs="Times New Roman" w:eastAsia="Times New Roman" w:hAnsi="Times New Roman"/>
          <w:sz w:val="18"/>
          <w:szCs w:val="18"/>
          <w:color w:val="auto"/>
        </w:rPr>
        <w:t>In accordance with ASC Topic 280 —</w:t>
      </w:r>
      <w:r>
        <w:rPr>
          <w:rFonts w:ascii="Times New Roman" w:cs="Times New Roman" w:eastAsia="Times New Roman" w:hAnsi="Times New Roman"/>
          <w:sz w:val="18"/>
          <w:szCs w:val="18"/>
          <w:i w:val="1"/>
          <w:iCs w:val="1"/>
          <w:color w:val="auto"/>
        </w:rPr>
        <w:t xml:space="preserve"> Segment Reporting</w:t>
      </w:r>
      <w:r>
        <w:rPr>
          <w:rFonts w:ascii="Times New Roman" w:cs="Times New Roman" w:eastAsia="Times New Roman" w:hAnsi="Times New Roman"/>
          <w:sz w:val="18"/>
          <w:szCs w:val="18"/>
          <w:color w:val="auto"/>
        </w:rPr>
        <w:t>, the Company has determined that it has a single reporting segment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unit structure.</w:t>
      </w:r>
    </w:p>
    <w:p>
      <w:pPr>
        <w:spacing w:after="0" w:line="118" w:lineRule="exact"/>
        <w:rPr>
          <w:sz w:val="20"/>
          <w:szCs w:val="20"/>
          <w:color w:val="auto"/>
        </w:rPr>
      </w:pPr>
    </w:p>
    <w:p>
      <w:pPr>
        <w:jc w:val="both"/>
        <w:ind w:firstLine="47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Cash and cash equivalents are highly liquid investments with an original maturity of three months or less at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The Company places its cash in financial institutions and, at times, such balances may be in excess of the Federal Deposit Insurance Corporation insurance limits. The Company does not believe its cash balances are exposed to any significant credit risk.</w:t>
      </w:r>
    </w:p>
    <w:p>
      <w:pPr>
        <w:spacing w:after="0" w:line="134" w:lineRule="exact"/>
        <w:rPr>
          <w:sz w:val="20"/>
          <w:szCs w:val="20"/>
          <w:color w:val="auto"/>
        </w:rPr>
      </w:pPr>
    </w:p>
    <w:p>
      <w:pPr>
        <w:jc w:val="both"/>
        <w:ind w:firstLine="478"/>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Deferred financing costs: </w:t>
      </w:r>
      <w:r>
        <w:rPr>
          <w:rFonts w:ascii="Times New Roman" w:cs="Times New Roman" w:eastAsia="Times New Roman" w:hAnsi="Times New Roman"/>
          <w:sz w:val="18"/>
          <w:szCs w:val="18"/>
          <w:color w:val="auto"/>
        </w:rPr>
        <w:t>Deferred financing costs consist of fees and expenses paid in connection with the SBA debentures, the Credit Facility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Notes (as defined in Note 6). Deferred financing costs are capitalized and amortized to interest and financing expenses over the term of the debt agreement using the effective interest method. Unamortized deferred financing costs are presented as an offset to the corresponding debt liabilities on the consolidated statements of assets and liabilities.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37" w:lineRule="exact"/>
        <w:rPr>
          <w:sz w:val="20"/>
          <w:szCs w:val="20"/>
          <w:color w:val="auto"/>
        </w:rPr>
      </w:pPr>
    </w:p>
    <w:p>
      <w:pPr>
        <w:jc w:val="both"/>
        <w:ind w:firstLine="47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Realized losses on extinguishment of debt: </w:t>
      </w:r>
      <w:r>
        <w:rPr>
          <w:rFonts w:ascii="Times New Roman" w:cs="Times New Roman" w:eastAsia="Times New Roman" w:hAnsi="Times New Roman"/>
          <w:sz w:val="18"/>
          <w:szCs w:val="18"/>
          <w:color w:val="auto"/>
        </w:rPr>
        <w:t>Upon the repayment of debt obligations which are deemed to be extinguishments, the difference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principal amount due at maturity adjusted for any unamortized deferred financing costs is recognized as a loss (i.e., the unamortized deferred financing costs are recognized as a loss upon extinguishment of the underlying debt obligation).</w:t>
      </w:r>
    </w:p>
    <w:p>
      <w:pPr>
        <w:spacing w:after="0" w:line="113" w:lineRule="exact"/>
        <w:rPr>
          <w:sz w:val="20"/>
          <w:szCs w:val="20"/>
          <w:color w:val="auto"/>
        </w:rPr>
      </w:pPr>
    </w:p>
    <w:p>
      <w:pPr>
        <w:jc w:val="both"/>
        <w:ind w:firstLine="478"/>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Deferred offering costs: </w:t>
      </w:r>
      <w:r>
        <w:rPr>
          <w:rFonts w:ascii="Times New Roman" w:cs="Times New Roman" w:eastAsia="Times New Roman" w:hAnsi="Times New Roman"/>
          <w:sz w:val="18"/>
          <w:szCs w:val="18"/>
          <w:color w:val="auto"/>
        </w:rPr>
        <w:t>Deferred offering costs include registration expenses related to the shelf registration statement filing pursuant to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may offer, from time to time, in one or more offerings of its securities. These expenses primarily consist of U.S. Securities and Exchange Commission (“SEC”) registration fees, legal fees and accounting fees incurred. These expenses are included in prepaid expenses and other assets on the consolidated statements of assets and liabilities. Upon the completion of an equity offering or a debt offering, the deferred expenses are charged to additional paid-in capital or deferred financing costs, respectively. If no offering is completed prior to the expiration of the registration statement, the deferred costs are charged to expense.</w:t>
      </w:r>
    </w:p>
    <w:p>
      <w:pPr>
        <w:spacing w:after="0" w:line="141" w:lineRule="exact"/>
        <w:rPr>
          <w:sz w:val="20"/>
          <w:szCs w:val="20"/>
          <w:color w:val="auto"/>
        </w:rPr>
      </w:pPr>
    </w:p>
    <w:p>
      <w:pPr>
        <w:jc w:val="both"/>
        <w:ind w:firstLine="478"/>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Realized gains or losses and unrealized appreciation or depreciation on investments: </w:t>
      </w:r>
      <w:r>
        <w:rPr>
          <w:rFonts w:ascii="Times New Roman" w:cs="Times New Roman" w:eastAsia="Times New Roman" w:hAnsi="Times New Roman"/>
          <w:sz w:val="18"/>
          <w:szCs w:val="18"/>
          <w:color w:val="auto"/>
        </w:rPr>
        <w:t>Realized gains or losses on investments are recorded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or disposition of a portfolio 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in good faith by the Company’s board of directors (the “Board”) through the application of the Company’s valuation policy, as well as reclassifications of any prior period unrealized appreciation or depreciation on exited investments to realized gains or losses on investments.</w:t>
      </w:r>
    </w:p>
    <w:p>
      <w:pPr>
        <w:spacing w:after="0" w:line="141" w:lineRule="exact"/>
        <w:rPr>
          <w:sz w:val="20"/>
          <w:szCs w:val="20"/>
          <w:color w:val="auto"/>
        </w:rPr>
      </w:pPr>
    </w:p>
    <w:p>
      <w:pPr>
        <w:jc w:val="both"/>
        <w:ind w:firstLine="478"/>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Interest and dividend income: </w:t>
      </w:r>
      <w:r>
        <w:rPr>
          <w:rFonts w:ascii="Times New Roman" w:cs="Times New Roman" w:eastAsia="Times New Roman" w:hAnsi="Times New Roman"/>
          <w:sz w:val="18"/>
          <w:szCs w:val="18"/>
          <w:color w:val="auto"/>
        </w:rPr>
        <w:t>Interest and dividend income are recorded on the accrual basis to the extent that the Company expects to collect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spacing w:after="0" w:line="141" w:lineRule="exact"/>
        <w:rPr>
          <w:sz w:val="20"/>
          <w:szCs w:val="20"/>
          <w:color w:val="auto"/>
        </w:rPr>
      </w:pPr>
    </w:p>
    <w:p>
      <w:pPr>
        <w:jc w:val="both"/>
        <w:ind w:firstLine="478"/>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PIK income: </w:t>
      </w:r>
      <w:r>
        <w:rPr>
          <w:rFonts w:ascii="Times New Roman" w:cs="Times New Roman" w:eastAsia="Times New Roman" w:hAnsi="Times New Roman"/>
          <w:sz w:val="18"/>
          <w:szCs w:val="18"/>
          <w:color w:val="auto"/>
        </w:rPr>
        <w:t>Certain of the Company’s investments contain a payment-in-kind (“PIK”) income provision. The PIK income, computed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rate specified in the applicable investment agreement, is added to the principal balance of the investment, rather than being paid in cash, and recorded as interest or dividend income, as applicable, on the consolidated statements of operations. Generally, PIK can be paid-in-kind or all in cash. The Company stops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the Company’s taxable income and, therefore, affects the amount the Company is required to pay to shareholders in the form of dividends in order to maintain the Company’s tax treatment as a RIC and to avoid corporate federal income tax, even though the Company has not yet collected the cash.</w:t>
      </w:r>
    </w:p>
    <w:p>
      <w:pPr>
        <w:spacing w:after="0" w:line="126" w:lineRule="exact"/>
        <w:rPr>
          <w:sz w:val="20"/>
          <w:szCs w:val="20"/>
          <w:color w:val="auto"/>
        </w:rPr>
      </w:pPr>
    </w:p>
    <w:p>
      <w:pPr>
        <w:jc w:val="both"/>
        <w:ind w:firstLine="478"/>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Non-accrual: </w:t>
      </w:r>
      <w:r>
        <w:rPr>
          <w:rFonts w:ascii="Times New Roman" w:cs="Times New Roman" w:eastAsia="Times New Roman" w:hAnsi="Times New Roman"/>
          <w:sz w:val="18"/>
          <w:szCs w:val="18"/>
          <w:color w:val="auto"/>
        </w:rPr>
        <w:t>Debt investments or preferred equity investments (for which the Company is accruing PIK dividends) are placed on non-accrual status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principal, 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w:t>
      </w:r>
    </w:p>
    <w:p>
      <w:pPr>
        <w:spacing w:after="0" w:line="126" w:lineRule="exact"/>
        <w:rPr>
          <w:sz w:val="20"/>
          <w:szCs w:val="20"/>
          <w:color w:val="auto"/>
        </w:rPr>
      </w:pPr>
    </w:p>
    <w:p>
      <w:pPr>
        <w:jc w:val="both"/>
        <w:ind w:firstLine="47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Origination and closing fees: </w:t>
      </w:r>
      <w:r>
        <w:rPr>
          <w:rFonts w:ascii="Times New Roman" w:cs="Times New Roman" w:eastAsia="Times New Roman" w:hAnsi="Times New Roman"/>
          <w:sz w:val="18"/>
          <w:szCs w:val="18"/>
          <w:color w:val="auto"/>
        </w:rPr>
        <w:t>The Company also typically receives debt investment origination or closing fees in connection with such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debt investment origination and closing fees are capitalized as unearned income and offset against investment cost basis on the consolidated statements of assets and liabilities and accreted into interest income over the life of the investment. Upon the prepayment of a debt investment, any unaccreted debt investment origination and closing fees are accelerated into interest income.</w:t>
      </w:r>
    </w:p>
    <w:p>
      <w:pPr>
        <w:spacing w:after="0" w:line="120" w:lineRule="exact"/>
        <w:rPr>
          <w:sz w:val="20"/>
          <w:szCs w:val="20"/>
          <w:color w:val="auto"/>
        </w:rPr>
      </w:pPr>
    </w:p>
    <w:p>
      <w:pPr>
        <w:jc w:val="both"/>
        <w:ind w:firstLine="478"/>
        <w:spacing w:after="0" w:line="245" w:lineRule="auto"/>
        <w:rPr>
          <w:sz w:val="20"/>
          <w:szCs w:val="20"/>
          <w:color w:val="auto"/>
        </w:rPr>
      </w:pP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In connection with the Company’s debt investments, the Company will sometimes receive warrants or other equity-related securities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borrower (“Warrants”). The Company determines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original issue discount (“OID”), and accreted into interest income using the effective interest method over the term of the debt investment. Upon the prepayment of a debt investment, any unaccreted OID is accelerated into interest income.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37" w:lineRule="exact"/>
        <w:rPr>
          <w:sz w:val="20"/>
          <w:szCs w:val="20"/>
          <w:color w:val="auto"/>
        </w:rPr>
      </w:pPr>
    </w:p>
    <w:p>
      <w:pPr>
        <w:jc w:val="both"/>
        <w:ind w:firstLine="478"/>
        <w:spacing w:after="0" w:line="251" w:lineRule="auto"/>
        <w:rPr>
          <w:sz w:val="20"/>
          <w:szCs w:val="20"/>
          <w:color w:val="auto"/>
        </w:rPr>
      </w:pPr>
      <w:r>
        <w:rPr>
          <w:rFonts w:ascii="Times New Roman" w:cs="Times New Roman" w:eastAsia="Times New Roman" w:hAnsi="Times New Roman"/>
          <w:sz w:val="18"/>
          <w:szCs w:val="18"/>
          <w:i w:val="1"/>
          <w:iCs w:val="1"/>
          <w:color w:val="auto"/>
        </w:rPr>
        <w:t>Fee income</w:t>
      </w:r>
      <w:r>
        <w:rPr>
          <w:rFonts w:ascii="Times New Roman" w:cs="Times New Roman" w:eastAsia="Times New Roman" w:hAnsi="Times New Roman"/>
          <w:sz w:val="18"/>
          <w:szCs w:val="18"/>
          <w:color w:val="auto"/>
        </w:rPr>
        <w:t>: Transaction fees earned in connection with the Company’s investments are recognized as fee income and are generally non-recurring.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fees typically include fees for services, including structuring and advisory services, provided to portfolio companies. The Company recognizes income from fees for providing such structuring and advisory services when the services are rendered or the transactions are completed. Upon the prepayment of a debt investment, any prepayment penalties are recorded as fee income when earned.</w:t>
      </w:r>
    </w:p>
    <w:p>
      <w:pPr>
        <w:spacing w:after="0" w:line="120" w:lineRule="exact"/>
        <w:rPr>
          <w:sz w:val="20"/>
          <w:szCs w:val="20"/>
          <w:color w:val="auto"/>
        </w:rPr>
      </w:pPr>
    </w:p>
    <w:p>
      <w:pPr>
        <w:jc w:val="both"/>
        <w:ind w:firstLine="479"/>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Partial loan and equity sales: </w:t>
      </w:r>
      <w:r>
        <w:rPr>
          <w:rFonts w:ascii="Times New Roman" w:cs="Times New Roman" w:eastAsia="Times New Roman" w:hAnsi="Times New Roman"/>
          <w:sz w:val="18"/>
          <w:szCs w:val="18"/>
          <w:color w:val="auto"/>
        </w:rPr>
        <w:t>The Company follows the guidance in ASC 860,</w:t>
      </w:r>
      <w:r>
        <w:rPr>
          <w:rFonts w:ascii="Times New Roman" w:cs="Times New Roman" w:eastAsia="Times New Roman" w:hAnsi="Times New Roman"/>
          <w:sz w:val="18"/>
          <w:szCs w:val="18"/>
          <w:i w:val="1"/>
          <w:iCs w:val="1"/>
          <w:color w:val="auto"/>
        </w:rPr>
        <w:t xml:space="preserve"> Transfers and Servicing, </w:t>
      </w:r>
      <w:r>
        <w:rPr>
          <w:rFonts w:ascii="Times New Roman" w:cs="Times New Roman" w:eastAsia="Times New Roman" w:hAnsi="Times New Roman"/>
          <w:sz w:val="18"/>
          <w:szCs w:val="18"/>
          <w:color w:val="auto"/>
        </w:rPr>
        <w:t>when accounting for loan (debt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participations, equity assignments and other partial loan sales. 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the Company’s consolidated statements of assets and liabilities and the proceeds recorded as a secured borrowing until the definition is met. For these partial loan sales, the interest earned on the entire loan balance is recorded within “interest income” and the interest earned by the buyer in the partial loan sale is recorded within “interest and financing expenses” in the accompanying consolidated statements of operations.</w:t>
      </w:r>
    </w:p>
    <w:p>
      <w:pPr>
        <w:spacing w:after="0" w:line="127" w:lineRule="exact"/>
        <w:rPr>
          <w:sz w:val="20"/>
          <w:szCs w:val="20"/>
          <w:color w:val="auto"/>
        </w:rPr>
      </w:pPr>
    </w:p>
    <w:p>
      <w:pPr>
        <w:jc w:val="both"/>
        <w:ind w:firstLine="478"/>
        <w:spacing w:after="0" w:line="235"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Company has elected, and intends to qualify annually, to be treated for U.S. federal income tax purposes as a RIC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Subchapter M of the Code, which will generally relieve the Company from U.S. federal income taxes with respect to all income distributed to stockholders. To maintain the tax treatment of a RIC, the Company is required to timely distribute to its stockholders at least 90.0% of “investment company taxable income,” as defined by Subchapter M of the Code, each year. Depending on the level of taxable income earned in a tax year, the Company may choose to carry forward taxable income in excess of current year distributions into the next tax year; however, the Company will pay a 4.0% excise tax if it does not distribute at least 98.0% of the current year’s ordinary taxable income. Any such carryover taxable income must be distributed through a dividend declared prior to the later of the date on which the final tax return related to the year in which the Company generated such taxable income is filed or the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the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month following the close of such taxable year. In addition, the Company will be subject to federal excise tax if it does not distribute at least 98.2% of its net capital gains realized, computed for any one year period ending October 31.</w:t>
      </w:r>
    </w:p>
    <w:p>
      <w:pPr>
        <w:spacing w:after="0" w:line="131" w:lineRule="exact"/>
        <w:rPr>
          <w:sz w:val="20"/>
          <w:szCs w:val="20"/>
          <w:color w:val="auto"/>
        </w:rPr>
      </w:pPr>
    </w:p>
    <w:p>
      <w:pPr>
        <w:jc w:val="both"/>
        <w:ind w:right="20" w:firstLine="478"/>
        <w:spacing w:after="0" w:line="282" w:lineRule="auto"/>
        <w:rPr>
          <w:sz w:val="20"/>
          <w:szCs w:val="20"/>
          <w:color w:val="auto"/>
        </w:rPr>
      </w:pPr>
      <w:r>
        <w:rPr>
          <w:rFonts w:ascii="Times New Roman" w:cs="Times New Roman" w:eastAsia="Times New Roman" w:hAnsi="Times New Roman"/>
          <w:sz w:val="18"/>
          <w:szCs w:val="18"/>
          <w:color w:val="auto"/>
        </w:rPr>
        <w:t>In the future, the Funds may be limited by provisions of the SBIC Act and SBA regulations governing SBICs from making certain distributions to FIC that may be necessary to enable FIC to make the minimum distributions required to maintain the tax treatment of a RIC.</w:t>
      </w:r>
    </w:p>
    <w:p>
      <w:pPr>
        <w:spacing w:after="0" w:line="94" w:lineRule="exact"/>
        <w:rPr>
          <w:sz w:val="20"/>
          <w:szCs w:val="20"/>
          <w:color w:val="auto"/>
        </w:rPr>
      </w:pPr>
    </w:p>
    <w:p>
      <w:pPr>
        <w:jc w:val="both"/>
        <w:ind w:firstLine="478"/>
        <w:spacing w:after="0" w:line="243" w:lineRule="auto"/>
        <w:rPr>
          <w:sz w:val="20"/>
          <w:szCs w:val="20"/>
          <w:color w:val="auto"/>
        </w:rPr>
      </w:pPr>
      <w:r>
        <w:rPr>
          <w:rFonts w:ascii="Times New Roman" w:cs="Times New Roman" w:eastAsia="Times New Roman" w:hAnsi="Times New Roman"/>
          <w:sz w:val="18"/>
          <w:szCs w:val="18"/>
          <w:color w:val="auto"/>
        </w:rPr>
        <w:t>The Company has certain wholly-owned taxable subsidiaries (the “Taxable Subsidiaries”), each of which generally holds one or more of the Company’s portfolio investments listed on the consolidated schedules of investments. The Taxable Subsidiaries are consolidated for financial reporting purposes, such that the Company’s consolidated financial statements reflect the Company’s investment in the portfolio company investments owned by the Taxable Subsidiaries. The purpose of the Taxable Subsidiaries is to permit the Company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the Company for U.S. federal corporate income tax purposes, and each Taxable Subsidiary will be subject to U.S. federal corporate income tax on its taxable income. Any such income or expense is reflected in the consolidated statements of operations.</w:t>
      </w:r>
    </w:p>
    <w:p>
      <w:pPr>
        <w:spacing w:after="0" w:line="132" w:lineRule="exact"/>
        <w:rPr>
          <w:sz w:val="20"/>
          <w:szCs w:val="20"/>
          <w:color w:val="auto"/>
        </w:rPr>
      </w:pPr>
    </w:p>
    <w:p>
      <w:pPr>
        <w:jc w:val="both"/>
        <w:ind w:firstLine="478"/>
        <w:spacing w:after="0" w:line="250" w:lineRule="auto"/>
        <w:rPr>
          <w:sz w:val="20"/>
          <w:szCs w:val="20"/>
          <w:color w:val="auto"/>
        </w:rPr>
      </w:pPr>
      <w:r>
        <w:rPr>
          <w:rFonts w:ascii="Times New Roman" w:cs="Times New Roman" w:eastAsia="Times New Roman" w:hAnsi="Times New Roman"/>
          <w:sz w:val="18"/>
          <w:szCs w:val="18"/>
          <w:color w:val="auto"/>
        </w:rPr>
        <w:t>U.S. federal income tax regulations differ from GAAP, and as a result, distributions in accordance with tax regulations may differ from net investment income and realized gains recognized under GAAP. Differences may be permanent or temporary. Permanent differences may arise as a result of, among other items, a difference in the book and tax basis of certain assets and nondeductible federal income taxes. Temporary differences arise when certain items of income, expense, gain or loss are recognized at some time in the future.</w:t>
      </w:r>
    </w:p>
    <w:p>
      <w:pPr>
        <w:spacing w:after="0" w:line="135" w:lineRule="exact"/>
        <w:rPr>
          <w:sz w:val="20"/>
          <w:szCs w:val="20"/>
          <w:color w:val="auto"/>
        </w:rPr>
      </w:pPr>
    </w:p>
    <w:p>
      <w:pPr>
        <w:jc w:val="both"/>
        <w:ind w:firstLine="478"/>
        <w:spacing w:after="0" w:line="244" w:lineRule="auto"/>
        <w:rPr>
          <w:sz w:val="20"/>
          <w:szCs w:val="20"/>
          <w:color w:val="auto"/>
        </w:rPr>
      </w:pPr>
      <w:r>
        <w:rPr>
          <w:rFonts w:ascii="Times New Roman" w:cs="Times New Roman" w:eastAsia="Times New Roman" w:hAnsi="Times New Roman"/>
          <w:sz w:val="18"/>
          <w:szCs w:val="18"/>
          <w:color w:val="auto"/>
        </w:rPr>
        <w:t xml:space="preserve">ASC Topic 740 —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xml:space="preserve"> (“ASC Topic 740”) provides guidance for how uncertain tax positions should be recognized, measured, presented and disclosed in the consolidated financial statements. ASC Topic 740 requires the evaluation of tax positions taken in the course of preparing the Company’s tax returns to determine whether the tax positions are “more-likely-than-not” to be respected by the applicable tax authorities. Tax benefits of positions not deemed to meet the more-likely-than-not threshold would be recorded as a tax expense in the current year. It is the Company’s policy to recognize accrued interest and penalties related to uncertain tax benefits included in the income tax provision, if any. There were no material uncertain income tax positions at September 30, 2022 and December 31, 2021. The Company’s tax returns are generally subject to examination by U.S. federal and most state tax authorities for a period of three years from the date the respective returns are filed, and, accordingly, the Company’s 2019 through 2021 tax years remain subject to examination.</w:t>
      </w:r>
    </w:p>
    <w:p>
      <w:pPr>
        <w:spacing w:after="0" w:line="126" w:lineRule="exact"/>
        <w:rPr>
          <w:sz w:val="20"/>
          <w:szCs w:val="20"/>
          <w:color w:val="auto"/>
        </w:rPr>
      </w:pPr>
    </w:p>
    <w:p>
      <w:pPr>
        <w:jc w:val="both"/>
        <w:ind w:firstLine="478"/>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Dividends to stockholders: </w:t>
      </w:r>
      <w:r>
        <w:rPr>
          <w:rFonts w:ascii="Times New Roman" w:cs="Times New Roman" w:eastAsia="Times New Roman" w:hAnsi="Times New Roman"/>
          <w:sz w:val="18"/>
          <w:szCs w:val="18"/>
          <w:color w:val="auto"/>
        </w:rPr>
        <w:t>Dividends to stockholders are recorded on the record date with respect to such distributions. The amount, if any,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distributed to stockholders, is determined by the Board each quarter and is generally based upon the earnings estimated by management. Net realized capital gains, if any, may be distributed at least annually, although the Company may decide to retain such capital gains for investment.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39" w:lineRule="exact"/>
        <w:rPr>
          <w:sz w:val="20"/>
          <w:szCs w:val="20"/>
          <w:color w:val="auto"/>
        </w:rPr>
      </w:pPr>
    </w:p>
    <w:p>
      <w:pPr>
        <w:jc w:val="both"/>
        <w:ind w:firstLine="478"/>
        <w:spacing w:after="0" w:line="246" w:lineRule="auto"/>
        <w:rPr>
          <w:sz w:val="20"/>
          <w:szCs w:val="20"/>
          <w:color w:val="auto"/>
        </w:rPr>
      </w:pPr>
      <w:r>
        <w:rPr>
          <w:rFonts w:ascii="Times New Roman" w:cs="Times New Roman" w:eastAsia="Times New Roman" w:hAnsi="Times New Roman"/>
          <w:sz w:val="18"/>
          <w:szCs w:val="18"/>
          <w:color w:val="auto"/>
        </w:rPr>
        <w:t>The determination of the tax attributes for the Company’s distributions is made annually, and is based upon the Company’s taxable income and distributions paid to its stockholders for the full year. Ordinary dividend distributions from a RIC do not qualify for the preferential tax rate on qualified dividend income from domestic corporations and qualified foreign corporations, except to the extent that the RIC received the income in the form of qualifying dividends from domestic corporations and qualified foreign corporations. The tax characterization of the Company’s distributions generally includes both ordinary income and capital gains but may also include qualified dividends or return of capital.</w:t>
      </w:r>
    </w:p>
    <w:p>
      <w:pPr>
        <w:spacing w:after="0" w:line="141" w:lineRule="exact"/>
        <w:rPr>
          <w:sz w:val="20"/>
          <w:szCs w:val="20"/>
          <w:color w:val="auto"/>
        </w:rPr>
      </w:pPr>
    </w:p>
    <w:p>
      <w:pPr>
        <w:jc w:val="both"/>
        <w:ind w:firstLine="478"/>
        <w:spacing w:after="0" w:line="243" w:lineRule="auto"/>
        <w:rPr>
          <w:sz w:val="20"/>
          <w:szCs w:val="20"/>
          <w:color w:val="auto"/>
        </w:rPr>
      </w:pPr>
      <w:r>
        <w:rPr>
          <w:rFonts w:ascii="Times New Roman" w:cs="Times New Roman" w:eastAsia="Times New Roman" w:hAnsi="Times New Roman"/>
          <w:sz w:val="18"/>
          <w:szCs w:val="18"/>
          <w:color w:val="auto"/>
        </w:rPr>
        <w:t>The Company has adopted a dividend reinvestment plan (“DRIP”) that provides for the reinvestment of dividends on behalf of its stockholders, unless a stockholder has elected to receive dividends in cash. As a result, if the Company declares a cash dividend, the Company’s stockholders who have not “opted out” of the DRIP at least two days prior to the dividend payment date will have their cash dividend automatically reinvested into additional shares of the Company’s common stock. The Company has the option to satisfy the share requirements of the DRIP through the issuance of new shares of common stock or through open market purchases of common stock by the DRIP plan administrator. Newly issued shares are valued based upon the final closing price of the Company’s common stock on a date determined by the Board. Shares purchased in the open market to satisfy the DRIP requirements will be valued based upon the average price of the applicable shares purchased by the DRIP plan administrator before any associated brokerage or other costs. See Note 9 to the consolidated financial statements regarding dividend declarations and distributions.</w:t>
      </w:r>
    </w:p>
    <w:p>
      <w:pPr>
        <w:spacing w:after="0" w:line="130" w:lineRule="exact"/>
        <w:rPr>
          <w:sz w:val="20"/>
          <w:szCs w:val="20"/>
          <w:color w:val="auto"/>
        </w:rPr>
      </w:pPr>
    </w:p>
    <w:p>
      <w:pPr>
        <w:jc w:val="both"/>
        <w:ind w:firstLine="47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Earnings and net asset value per share: </w:t>
      </w:r>
      <w:r>
        <w:rPr>
          <w:rFonts w:ascii="Times New Roman" w:cs="Times New Roman" w:eastAsia="Times New Roman" w:hAnsi="Times New Roman"/>
          <w:sz w:val="18"/>
          <w:szCs w:val="18"/>
          <w:color w:val="auto"/>
        </w:rPr>
        <w:t>The earnings per share calculations for the three and nine months ended September 30, 2022 and 2021,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computed utilizing the weighted average shares outstanding for the period. Net asset value per share is calculated using the number of shares outstanding as of the end of the period.</w:t>
      </w:r>
    </w:p>
    <w:p>
      <w:pPr>
        <w:spacing w:after="0" w:line="113" w:lineRule="exact"/>
        <w:rPr>
          <w:sz w:val="20"/>
          <w:szCs w:val="20"/>
          <w:color w:val="auto"/>
        </w:rPr>
      </w:pPr>
    </w:p>
    <w:p>
      <w:pPr>
        <w:jc w:val="both"/>
        <w:ind w:firstLine="478"/>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Stock Repurchase Program: </w:t>
      </w:r>
      <w:r>
        <w:rPr>
          <w:rFonts w:ascii="Times New Roman" w:cs="Times New Roman" w:eastAsia="Times New Roman" w:hAnsi="Times New Roman"/>
          <w:sz w:val="18"/>
          <w:szCs w:val="18"/>
          <w:color w:val="auto"/>
        </w:rPr>
        <w:t>The Company has an open market stock repurchase program (the “Stock Repurchase Program”) under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may acquire up to $5,000 of its outstanding common stock. Under the Stock Repurchase Program, the Company may, but is not obligated to, repurchase outstanding common stock in the open market from time to time provided that the Company complies with the prohibitions under its insider trading policies and the requirements of Rule 10b-18 of the Securities Exchange Act of 1934, as amended (the “Exchange Act”), including certain price, market value and timing constraints. The timing, manner, price and amount of any share repurchases will be determined by the Company’s management, in its discretion, based upon the evaluation of economic and market conditions, stock price, capital availability, applicable legal and regulatory requirements and other corporate considerations. On October 31, 2022, the Board extended the Stock Repurchase Program through December 31, 2023, or until the approved dollar amount has been used to repurchase shares. The Stock Repurchase Program does not require the Company to repurchase any specific number of shares and the Company cannot assure that any shares will be repurchased under the Stock Repurchase Program. The Stock Repurchase Program may be suspended, extended, modified or discontinued at any time. The Company did not make any repurchases of common stock during the three and nine months ended September 30, 2022 and 2021. Refer to Note 8 for additional information concerning stock repurchases.</w:t>
      </w:r>
    </w:p>
    <w:p>
      <w:pPr>
        <w:spacing w:after="0" w:line="1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Recent accounting pronouncement:</w:t>
      </w:r>
    </w:p>
    <w:p>
      <w:pPr>
        <w:spacing w:after="0" w:line="173" w:lineRule="exact"/>
        <w:rPr>
          <w:sz w:val="20"/>
          <w:szCs w:val="20"/>
          <w:color w:val="auto"/>
        </w:rPr>
      </w:pPr>
    </w:p>
    <w:p>
      <w:pPr>
        <w:jc w:val="both"/>
        <w:ind w:firstLine="562"/>
        <w:spacing w:after="0" w:line="245" w:lineRule="auto"/>
        <w:rPr>
          <w:sz w:val="20"/>
          <w:szCs w:val="20"/>
          <w:color w:val="auto"/>
        </w:rPr>
      </w:pPr>
      <w:r>
        <w:rPr>
          <w:rFonts w:ascii="Times New Roman" w:cs="Times New Roman" w:eastAsia="Times New Roman" w:hAnsi="Times New Roman"/>
          <w:sz w:val="18"/>
          <w:szCs w:val="18"/>
          <w:color w:val="auto"/>
        </w:rPr>
        <w:t>In June 2022, the Financial Accounting Standards Board (“FASB”) issued Accounting Standards Update (“ASU”) No. 2022-03, “Fair Value Measurement of Equity Securities Subject to Contractual Sale Restrictions (Topic 820),” which clarifies that a contractual sale restriction prohibiting the sale of an equity security is a characteristic of the reporting entity holding the equity security and is not included in the equity security’s unit of account. Accordingly, an entity should not consider the contractual sale restriction when measuring the equity security’s fair value. In addition, ASU No. 2022-03 prohibits an entity from recognizing a contractual sale restriction as a separate unit of account. ASU No. 2022-03’s amendments are effective for fiscal years beginning after December 15, 2023, with early adoption permitted. The Company is currently evaluating the impact of the adoption of ASU No. 2022-03 on its consolidated financial statements.</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SEC Regulation S-K Update:</w:t>
      </w:r>
    </w:p>
    <w:p>
      <w:pPr>
        <w:spacing w:after="0" w:line="160" w:lineRule="exact"/>
        <w:rPr>
          <w:sz w:val="20"/>
          <w:szCs w:val="20"/>
          <w:color w:val="auto"/>
        </w:rPr>
      </w:pPr>
    </w:p>
    <w:p>
      <w:pPr>
        <w:jc w:val="both"/>
        <w:ind w:firstLine="562"/>
        <w:spacing w:after="0" w:line="247" w:lineRule="auto"/>
        <w:rPr>
          <w:sz w:val="20"/>
          <w:szCs w:val="20"/>
          <w:color w:val="auto"/>
        </w:rPr>
      </w:pPr>
      <w:r>
        <w:rPr>
          <w:rFonts w:ascii="Times New Roman" w:cs="Times New Roman" w:eastAsia="Times New Roman" w:hAnsi="Times New Roman"/>
          <w:sz w:val="18"/>
          <w:szCs w:val="18"/>
          <w:color w:val="auto"/>
        </w:rPr>
        <w:t>In November 2020, the SEC issued a final rule that modernized and simplifies Management's Discussion and Analysis and certain financial disclosure requirements in Regulation S-K (the “Amendments”). Specifically, the Amendments: (i) eliminate Item 301 of Regulation S-K (Selected Financial Data); (ii) simplify Item 302 of Regulation S-K (Supplementary Financial Information); and (iii) amend certain aspects of Item 303 of Regulation S-K (Management's Discussion and Analysis of Financial Condition and Results of Operations). The Amendments became effective on February 10, 2021 and compliance was required for the registrants' fiscal year ending on or after August 9, 2021. The Company adopted the Amendments on the effective date which did not have a material impact on the Company’s Consolidated Financial Statements.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Portfolio Company Investments</w:t>
      </w:r>
    </w:p>
    <w:p>
      <w:pPr>
        <w:spacing w:after="0" w:line="162" w:lineRule="exact"/>
        <w:rPr>
          <w:sz w:val="20"/>
          <w:szCs w:val="20"/>
          <w:color w:val="auto"/>
        </w:rPr>
      </w:pPr>
    </w:p>
    <w:p>
      <w:pPr>
        <w:jc w:val="both"/>
        <w:ind w:firstLine="478"/>
        <w:spacing w:after="0" w:line="245" w:lineRule="auto"/>
        <w:rPr>
          <w:sz w:val="20"/>
          <w:szCs w:val="20"/>
          <w:color w:val="auto"/>
        </w:rPr>
      </w:pPr>
      <w:r>
        <w:rPr>
          <w:rFonts w:ascii="Times New Roman" w:cs="Times New Roman" w:eastAsia="Times New Roman" w:hAnsi="Times New Roman"/>
          <w:sz w:val="18"/>
          <w:szCs w:val="18"/>
          <w:color w:val="auto"/>
        </w:rPr>
        <w:t>The Company’s portfolio investments principally consist of secured and unsecured debt, equity warrants and direct equity investments primarily in privately held companies. The debt investments may or may not be secured by either a first or second lien on the assets of the portfolio company. The debt investments generally bear interest at fixed rates or variable rates, and generally mature between five and seven years from the original investment. In connection with a debt investment, the Company also may receive nominally priced equity warrants and/or make a direct equity investment in the portfolio company. The Company’s warrants or equity investments may be investments in a holding company related to the portfolio company. In addition, the Company periodically makes equity investments in its portfolio companies through Taxable Subsidiaries. In both situations, the investment is generally reported under the name of the operating company on the consolidated schedules of investments.</w:t>
      </w:r>
    </w:p>
    <w:p>
      <w:pPr>
        <w:spacing w:after="0" w:line="127" w:lineRule="exact"/>
        <w:rPr>
          <w:sz w:val="20"/>
          <w:szCs w:val="20"/>
          <w:color w:val="auto"/>
        </w:rPr>
      </w:pPr>
    </w:p>
    <w:p>
      <w:pPr>
        <w:jc w:val="both"/>
        <w:ind w:firstLine="478"/>
        <w:spacing w:after="0" w:line="250" w:lineRule="auto"/>
        <w:rPr>
          <w:sz w:val="20"/>
          <w:szCs w:val="20"/>
          <w:color w:val="auto"/>
        </w:rPr>
      </w:pPr>
      <w:r>
        <w:rPr>
          <w:rFonts w:ascii="Times New Roman" w:cs="Times New Roman" w:eastAsia="Times New Roman" w:hAnsi="Times New Roman"/>
          <w:sz w:val="18"/>
          <w:szCs w:val="18"/>
          <w:color w:val="auto"/>
        </w:rPr>
        <w:t>As of September 30, 2022, the Company had active investments in 75 portfolio companies and residual investments in thirteen portfolio companies that have sold their underlying operations. The aggregate fair value of the total portfolio was $856,914 and the weighted average effective yield on the Company’s debt investments was 12.9% as of such date. As of September 30, 2022, the Company held equity investments in 77.3% of its portfolio companies and the average fully diluted equity ownership in those portfolio companies was 3.7%.</w:t>
      </w:r>
    </w:p>
    <w:p>
      <w:pPr>
        <w:spacing w:after="0" w:line="137" w:lineRule="exact"/>
        <w:rPr>
          <w:sz w:val="20"/>
          <w:szCs w:val="20"/>
          <w:color w:val="auto"/>
        </w:rPr>
      </w:pPr>
    </w:p>
    <w:p>
      <w:pPr>
        <w:jc w:val="both"/>
        <w:ind w:firstLine="478"/>
        <w:spacing w:after="0" w:line="250" w:lineRule="auto"/>
        <w:rPr>
          <w:sz w:val="20"/>
          <w:szCs w:val="20"/>
          <w:color w:val="auto"/>
        </w:rPr>
      </w:pPr>
      <w:r>
        <w:rPr>
          <w:rFonts w:ascii="Times New Roman" w:cs="Times New Roman" w:eastAsia="Times New Roman" w:hAnsi="Times New Roman"/>
          <w:sz w:val="18"/>
          <w:szCs w:val="18"/>
          <w:color w:val="auto"/>
        </w:rPr>
        <w:t>As of December 31, 2021, the Company had active investments in 70 portfolio companies and residual investments in eight portfolio companies that have sold their underlying operations. The aggregate fair value of the total portfolio was $719,124 and the weighted average effective yield on the Company’s debt investments was 12.3% as of such date. As of December 31, 2021, the Company held equity investments in 82.1% of its portfolio companies and the average fully diluted equity ownership in those portfolio companies was 4.7%.</w:t>
      </w:r>
    </w:p>
    <w:p>
      <w:pPr>
        <w:spacing w:after="0" w:line="123" w:lineRule="exact"/>
        <w:rPr>
          <w:sz w:val="20"/>
          <w:szCs w:val="20"/>
          <w:color w:val="auto"/>
        </w:rPr>
      </w:pPr>
    </w:p>
    <w:p>
      <w:pPr>
        <w:jc w:val="both"/>
        <w:ind w:firstLine="478"/>
        <w:spacing w:after="0" w:line="246" w:lineRule="auto"/>
        <w:rPr>
          <w:sz w:val="20"/>
          <w:szCs w:val="20"/>
          <w:color w:val="auto"/>
        </w:rPr>
      </w:pPr>
      <w:r>
        <w:rPr>
          <w:rFonts w:ascii="Times New Roman" w:cs="Times New Roman" w:eastAsia="Times New Roman" w:hAnsi="Times New Roman"/>
          <w:sz w:val="18"/>
          <w:szCs w:val="18"/>
          <w:color w:val="auto"/>
        </w:rPr>
        <w:t>The weighted average yield of the Company’s debt investments is not the same as a return on investment for its stockholders but, rather, relates to a portion of the Company’s investment portfolio and is calculated before the payment of all of the Company’s and its subsidiaries’ fees and expenses. The weighted average yields were computed using the effective interest rates for debt investments at cost as of September 30, 2022 and December 31, 2021, including accretion of OID and debt investment origination fees, but excluding investments on non-accrual status and investments recorded as a secured borrowing, if any.</w:t>
      </w:r>
    </w:p>
    <w:p>
      <w:pPr>
        <w:spacing w:after="0" w:line="141" w:lineRule="exact"/>
        <w:rPr>
          <w:sz w:val="20"/>
          <w:szCs w:val="20"/>
          <w:color w:val="auto"/>
        </w:rPr>
      </w:pPr>
    </w:p>
    <w:p>
      <w:pPr>
        <w:jc w:val="both"/>
        <w:ind w:firstLine="478"/>
        <w:spacing w:after="0" w:line="250" w:lineRule="auto"/>
        <w:rPr>
          <w:sz w:val="20"/>
          <w:szCs w:val="20"/>
          <w:color w:val="auto"/>
        </w:rPr>
      </w:pPr>
      <w:r>
        <w:rPr>
          <w:rFonts w:ascii="Times New Roman" w:cs="Times New Roman" w:eastAsia="Times New Roman" w:hAnsi="Times New Roman"/>
          <w:sz w:val="18"/>
          <w:szCs w:val="18"/>
          <w:color w:val="auto"/>
        </w:rPr>
        <w:t>Purchases of debt and equity investments for the nine months ended September 30, 2022 and 2021 totaled $267,950 and $245,544, respectively. Proceeds from sales and repayments, including principal, return of capital distributions and realized gains, of portfolio investments for the nine months ended September 30, 2022 and 2021 totaled $128,255 and $319,036, respectively.</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Investments by type with corresponding percentage of total portfolio investments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r>
      <w:tr>
        <w:trPr>
          <w:trHeight w:val="158"/>
        </w:trPr>
        <w:tc>
          <w:tcPr>
            <w:tcW w:w="2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3"/>
          </w:tcPr>
          <w:p>
            <w:pPr>
              <w:jc w:val="center"/>
              <w:ind w:left="148"/>
              <w:spacing w:after="0" w:line="15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3"/>
          </w:tcPr>
          <w:p>
            <w:pPr>
              <w:jc w:val="center"/>
              <w:ind w:left="8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3"/>
          </w:tcPr>
          <w:p>
            <w:pPr>
              <w:jc w:val="center"/>
              <w:ind w:left="108"/>
              <w:spacing w:after="0" w:line="15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3"/>
          </w:tcPr>
          <w:p>
            <w:pPr>
              <w:jc w:val="center"/>
              <w:ind w:left="12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87"/>
        </w:trPr>
        <w:tc>
          <w:tcPr>
            <w:tcW w:w="2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r>
      <w:tr>
        <w:trPr>
          <w:trHeight w:val="169"/>
        </w:trPr>
        <w:tc>
          <w:tcPr>
            <w:tcW w:w="216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4"/>
                <w:szCs w:val="14"/>
                <w:color w:val="auto"/>
              </w:rPr>
              <w:t>First Lien Debt</w:t>
            </w:r>
            <w:r>
              <w:rPr>
                <w:rFonts w:ascii="Times New Roman" w:cs="Times New Roman" w:eastAsia="Times New Roman" w:hAnsi="Times New Roman"/>
                <w:sz w:val="19"/>
                <w:szCs w:val="19"/>
                <w:color w:val="auto"/>
                <w:vertAlign w:val="superscript"/>
              </w:rPr>
              <w:t>(1)</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488,334</w:t>
            </w: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48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354,922</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3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487,999</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32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353,306</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36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r>
      <w:tr>
        <w:trPr>
          <w:trHeight w:val="175"/>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 Debt</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177,222</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158,815</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200,028</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168,573</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360" w:type="dxa"/>
            <w:vAlign w:val="bottom"/>
          </w:tcPr>
          <w:p>
            <w:pPr>
              <w:spacing w:after="0"/>
              <w:rPr>
                <w:sz w:val="15"/>
                <w:szCs w:val="15"/>
                <w:color w:val="auto"/>
              </w:rPr>
            </w:pPr>
          </w:p>
        </w:tc>
      </w:tr>
      <w:tr>
        <w:trPr>
          <w:trHeight w:val="175"/>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81,759</w:t>
            </w: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4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36,064</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80,477</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35,995</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360" w:type="dxa"/>
            <w:vAlign w:val="bottom"/>
            <w:shd w:val="clear" w:color="auto" w:fill="CFF0FC"/>
          </w:tcPr>
          <w:p>
            <w:pPr>
              <w:spacing w:after="0"/>
              <w:rPr>
                <w:sz w:val="15"/>
                <w:szCs w:val="15"/>
                <w:color w:val="auto"/>
              </w:rPr>
            </w:pPr>
          </w:p>
        </w:tc>
      </w:tr>
      <w:tr>
        <w:trPr>
          <w:trHeight w:val="175"/>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106,951</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166,119</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55,563</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60,589</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360" w:type="dxa"/>
            <w:vAlign w:val="bottom"/>
          </w:tcPr>
          <w:p>
            <w:pPr>
              <w:spacing w:after="0"/>
              <w:rPr>
                <w:sz w:val="15"/>
                <w:szCs w:val="15"/>
                <w:color w:val="auto"/>
              </w:rPr>
            </w:pPr>
          </w:p>
        </w:tc>
      </w:tr>
      <w:tr>
        <w:trPr>
          <w:trHeight w:val="175"/>
        </w:trPr>
        <w:tc>
          <w:tcPr>
            <w:tcW w:w="2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24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2,648</w:t>
            </w:r>
          </w:p>
        </w:tc>
        <w:tc>
          <w:tcPr>
            <w:tcW w:w="24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4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3,204</w:t>
            </w: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3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3,323</w:t>
            </w:r>
          </w:p>
        </w:tc>
        <w:tc>
          <w:tcPr>
            <w:tcW w:w="2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3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3,323</w:t>
            </w:r>
          </w:p>
        </w:tc>
        <w:tc>
          <w:tcPr>
            <w:tcW w:w="2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360" w:type="dxa"/>
            <w:vAlign w:val="bottom"/>
            <w:tcBorders>
              <w:bottom w:val="single" w:sz="8" w:color="CFF0FC"/>
            </w:tcBorders>
            <w:shd w:val="clear" w:color="auto" w:fill="CFF0FC"/>
          </w:tcPr>
          <w:p>
            <w:pPr>
              <w:spacing w:after="0"/>
              <w:rPr>
                <w:sz w:val="15"/>
                <w:szCs w:val="15"/>
                <w:color w:val="auto"/>
              </w:rPr>
            </w:pPr>
          </w:p>
        </w:tc>
      </w:tr>
      <w:tr>
        <w:trPr>
          <w:trHeight w:val="169"/>
        </w:trPr>
        <w:tc>
          <w:tcPr>
            <w:tcW w:w="21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40" w:type="dxa"/>
            <w:vAlign w:val="bottom"/>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856,914</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gridSpan w:val="2"/>
          </w:tcPr>
          <w:p>
            <w:pPr>
              <w:jc w:val="right"/>
              <w:ind w:right="288"/>
              <w:spacing w:after="0" w:line="155" w:lineRule="exact"/>
              <w:rPr>
                <w:sz w:val="20"/>
                <w:szCs w:val="20"/>
                <w:color w:val="auto"/>
              </w:rPr>
            </w:pPr>
            <w:r>
              <w:rPr>
                <w:rFonts w:ascii="Times New Roman" w:cs="Times New Roman" w:eastAsia="Times New Roman" w:hAnsi="Times New Roman"/>
                <w:sz w:val="14"/>
                <w:szCs w:val="14"/>
                <w:color w:val="auto"/>
              </w:rPr>
              <w:t xml:space="preserve">100.0 </w:t>
            </w:r>
            <w:r>
              <w:rPr>
                <w:rFonts w:ascii="Times New Roman" w:cs="Times New Roman" w:eastAsia="Times New Roman" w:hAnsi="Times New Roman"/>
                <w:sz w:val="14"/>
                <w:szCs w:val="14"/>
                <w:color w:val="auto"/>
                <w:highlight w:val="white"/>
              </w:rPr>
              <w:t>%</w:t>
            </w:r>
          </w:p>
        </w:tc>
        <w:tc>
          <w:tcPr>
            <w:tcW w:w="20" w:type="dxa"/>
            <w:vAlign w:val="bottom"/>
          </w:tcPr>
          <w:p>
            <w:pPr>
              <w:spacing w:after="0"/>
              <w:rPr>
                <w:sz w:val="14"/>
                <w:szCs w:val="14"/>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719,124</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 xml:space="preserve">100.0 </w:t>
            </w:r>
            <w:r>
              <w:rPr>
                <w:rFonts w:ascii="Times New Roman" w:cs="Times New Roman" w:eastAsia="Times New Roman" w:hAnsi="Times New Roman"/>
                <w:sz w:val="14"/>
                <w:szCs w:val="14"/>
                <w:color w:val="auto"/>
                <w:highlight w:val="white"/>
              </w:rPr>
              <w:t>%</w:t>
            </w:r>
          </w:p>
        </w:tc>
        <w:tc>
          <w:tcPr>
            <w:tcW w:w="24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827,390</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gridSpan w:val="2"/>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 xml:space="preserve">100.0 </w:t>
            </w:r>
            <w:r>
              <w:rPr>
                <w:rFonts w:ascii="Times New Roman" w:cs="Times New Roman" w:eastAsia="Times New Roman" w:hAnsi="Times New Roman"/>
                <w:sz w:val="14"/>
                <w:szCs w:val="14"/>
                <w:color w:val="auto"/>
                <w:highlight w:val="white"/>
              </w:rPr>
              <w:t>%</w:t>
            </w:r>
          </w:p>
        </w:tc>
        <w:tc>
          <w:tcPr>
            <w:tcW w:w="240" w:type="dxa"/>
            <w:vAlign w:val="bottom"/>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621,786</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gridSpan w:val="2"/>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rPr>
              <w:t xml:space="preserve">100.0 </w:t>
            </w:r>
            <w:r>
              <w:rPr>
                <w:rFonts w:ascii="Times New Roman" w:cs="Times New Roman" w:eastAsia="Times New Roman" w:hAnsi="Times New Roman"/>
                <w:sz w:val="14"/>
                <w:szCs w:val="14"/>
                <w:color w:val="auto"/>
                <w:highlight w:val="white"/>
              </w:rPr>
              <w:t>%</w:t>
            </w:r>
          </w:p>
        </w:tc>
      </w:tr>
      <w:tr>
        <w:trPr>
          <w:trHeight w:val="20"/>
        </w:trPr>
        <w:tc>
          <w:tcPr>
            <w:tcW w:w="2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-145415</wp:posOffset>
            </wp:positionV>
            <wp:extent cx="76835" cy="146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-145415</wp:posOffset>
            </wp:positionV>
            <wp:extent cx="77470" cy="146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-145415</wp:posOffset>
            </wp:positionV>
            <wp:extent cx="68580" cy="146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-145415</wp:posOffset>
            </wp:positionV>
            <wp:extent cx="68580" cy="146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65" w:lineRule="exact"/>
        <w:rPr>
          <w:sz w:val="20"/>
          <w:szCs w:val="20"/>
          <w:color w:val="auto"/>
        </w:rPr>
      </w:pPr>
    </w:p>
    <w:p>
      <w:pPr>
        <w:ind w:firstLine="8"/>
        <w:spacing w:after="0" w:line="282" w:lineRule="auto"/>
        <w:tabs>
          <w:tab w:leader="none" w:pos="5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unitranche investments, which account for 43.1% and 44.4% of our portfolio on a fair value and cost basis as of September 30, 2022, respectively. Includes unitranche investments, which account for 40.2% and 46.3% of our portfolio on a fair value and cost basis as of December 31, 2021, respectively.</w:t>
      </w:r>
    </w:p>
    <w:p>
      <w:pPr>
        <w:spacing w:after="0" w:line="126"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All investments made by the Company as of September 30, 2022 and December 31, 2021 were made in portfolio companies headquartered in the United States. The following table shows portfolio composition by geographic region at fair value and cost and as a percentage of total investments. The geographic composition is determined by the location of the corporate headquarters of the portfolio company, which may not be indicative of the primary source of the portfolio company’s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r>
      <w:tr>
        <w:trPr>
          <w:trHeight w:val="158"/>
        </w:trPr>
        <w:tc>
          <w:tcPr>
            <w:tcW w:w="2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3"/>
          </w:tcPr>
          <w:p>
            <w:pPr>
              <w:jc w:val="center"/>
              <w:ind w:left="88"/>
              <w:spacing w:after="0" w:line="15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3"/>
          </w:tcPr>
          <w:p>
            <w:pPr>
              <w:jc w:val="center"/>
              <w:ind w:left="12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3"/>
          </w:tcPr>
          <w:p>
            <w:pPr>
              <w:jc w:val="center"/>
              <w:ind w:left="88"/>
              <w:spacing w:after="0" w:line="15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3"/>
          </w:tcPr>
          <w:p>
            <w:pPr>
              <w:jc w:val="center"/>
              <w:ind w:left="12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87"/>
        </w:trPr>
        <w:tc>
          <w:tcPr>
            <w:tcW w:w="2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r>
      <w:tr>
        <w:trPr>
          <w:trHeight w:val="169"/>
        </w:trPr>
        <w:tc>
          <w:tcPr>
            <w:tcW w:w="2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Midwest</w:t>
            </w:r>
          </w:p>
        </w:tc>
        <w:tc>
          <w:tcPr>
            <w:tcW w:w="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185,994</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48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157,222</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44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140,728</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44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89,865</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36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r>
      <w:tr>
        <w:trPr>
          <w:trHeight w:val="175"/>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Southeast</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250,549</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219,988</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252,173</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197,380</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360" w:type="dxa"/>
            <w:vAlign w:val="bottom"/>
          </w:tcPr>
          <w:p>
            <w:pPr>
              <w:spacing w:after="0"/>
              <w:rPr>
                <w:sz w:val="15"/>
                <w:szCs w:val="15"/>
                <w:color w:val="auto"/>
              </w:rPr>
            </w:pPr>
          </w:p>
        </w:tc>
      </w:tr>
      <w:tr>
        <w:trPr>
          <w:trHeight w:val="175"/>
        </w:trPr>
        <w:tc>
          <w:tcPr>
            <w:tcW w:w="2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Northeast</w:t>
            </w:r>
          </w:p>
        </w:tc>
        <w:tc>
          <w:tcPr>
            <w:tcW w:w="2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123,890</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4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126,569</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4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128,203</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4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127,809</w:t>
            </w: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360" w:type="dxa"/>
            <w:vAlign w:val="bottom"/>
            <w:shd w:val="clear" w:color="auto" w:fill="CFF0FC"/>
          </w:tcPr>
          <w:p>
            <w:pPr>
              <w:spacing w:after="0"/>
              <w:rPr>
                <w:sz w:val="15"/>
                <w:szCs w:val="15"/>
                <w:color w:val="auto"/>
              </w:rPr>
            </w:pPr>
          </w:p>
        </w:tc>
      </w:tr>
      <w:tr>
        <w:trPr>
          <w:trHeight w:val="175"/>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West</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154,927</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105,918</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160,958</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100,098</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360" w:type="dxa"/>
            <w:vAlign w:val="bottom"/>
          </w:tcPr>
          <w:p>
            <w:pPr>
              <w:spacing w:after="0"/>
              <w:rPr>
                <w:sz w:val="15"/>
                <w:szCs w:val="15"/>
                <w:color w:val="auto"/>
              </w:rPr>
            </w:pPr>
          </w:p>
        </w:tc>
      </w:tr>
      <w:tr>
        <w:trPr>
          <w:trHeight w:val="176"/>
        </w:trPr>
        <w:tc>
          <w:tcPr>
            <w:tcW w:w="2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Southwest</w:t>
            </w:r>
          </w:p>
        </w:tc>
        <w:tc>
          <w:tcPr>
            <w:tcW w:w="2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141,554</w:t>
            </w:r>
          </w:p>
        </w:tc>
        <w:tc>
          <w:tcPr>
            <w:tcW w:w="2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4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109,427</w:t>
            </w:r>
          </w:p>
        </w:tc>
        <w:tc>
          <w:tcPr>
            <w:tcW w:w="2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4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145,328</w:t>
            </w:r>
          </w:p>
        </w:tc>
        <w:tc>
          <w:tcPr>
            <w:tcW w:w="2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4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106,634</w:t>
            </w:r>
          </w:p>
        </w:tc>
        <w:tc>
          <w:tcPr>
            <w:tcW w:w="22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360" w:type="dxa"/>
            <w:vAlign w:val="bottom"/>
            <w:tcBorders>
              <w:bottom w:val="single" w:sz="8" w:color="CFF0FC"/>
            </w:tcBorders>
            <w:shd w:val="clear" w:color="auto" w:fill="CFF0FC"/>
          </w:tcPr>
          <w:p>
            <w:pPr>
              <w:spacing w:after="0"/>
              <w:rPr>
                <w:sz w:val="15"/>
                <w:szCs w:val="15"/>
                <w:color w:val="auto"/>
              </w:rPr>
            </w:pPr>
          </w:p>
        </w:tc>
      </w:tr>
      <w:tr>
        <w:trPr>
          <w:trHeight w:val="169"/>
        </w:trPr>
        <w:tc>
          <w:tcPr>
            <w:tcW w:w="21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60" w:type="dxa"/>
            <w:vAlign w:val="bottom"/>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856,914</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right"/>
              <w:ind w:right="288"/>
              <w:spacing w:after="0" w:line="155" w:lineRule="exact"/>
              <w:rPr>
                <w:sz w:val="20"/>
                <w:szCs w:val="20"/>
                <w:color w:val="auto"/>
              </w:rPr>
            </w:pPr>
            <w:r>
              <w:rPr>
                <w:rFonts w:ascii="Times New Roman" w:cs="Times New Roman" w:eastAsia="Times New Roman" w:hAnsi="Times New Roman"/>
                <w:sz w:val="14"/>
                <w:szCs w:val="14"/>
                <w:color w:val="auto"/>
              </w:rPr>
              <w:t xml:space="preserve">100.0 </w:t>
            </w:r>
            <w:r>
              <w:rPr>
                <w:rFonts w:ascii="Times New Roman" w:cs="Times New Roman" w:eastAsia="Times New Roman" w:hAnsi="Times New Roman"/>
                <w:sz w:val="14"/>
                <w:szCs w:val="14"/>
                <w:color w:val="auto"/>
                <w:highlight w:val="white"/>
              </w:rPr>
              <w:t>%</w:t>
            </w:r>
          </w:p>
        </w:tc>
        <w:tc>
          <w:tcPr>
            <w:tcW w:w="240" w:type="dxa"/>
            <w:vAlign w:val="bottom"/>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719,124</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jc w:val="right"/>
              <w:ind w:right="248"/>
              <w:spacing w:after="0" w:line="155" w:lineRule="exact"/>
              <w:rPr>
                <w:sz w:val="20"/>
                <w:szCs w:val="20"/>
                <w:color w:val="auto"/>
              </w:rPr>
            </w:pPr>
            <w:r>
              <w:rPr>
                <w:rFonts w:ascii="Times New Roman" w:cs="Times New Roman" w:eastAsia="Times New Roman" w:hAnsi="Times New Roman"/>
                <w:sz w:val="14"/>
                <w:szCs w:val="14"/>
                <w:color w:val="auto"/>
              </w:rPr>
              <w:t xml:space="preserve">100.0 </w:t>
            </w:r>
            <w:r>
              <w:rPr>
                <w:rFonts w:ascii="Times New Roman" w:cs="Times New Roman" w:eastAsia="Times New Roman" w:hAnsi="Times New Roman"/>
                <w:sz w:val="14"/>
                <w:szCs w:val="14"/>
                <w:color w:val="auto"/>
                <w:highlight w:val="white"/>
              </w:rPr>
              <w:t>%</w:t>
            </w:r>
          </w:p>
        </w:tc>
        <w:tc>
          <w:tcPr>
            <w:tcW w:w="240" w:type="dxa"/>
            <w:vAlign w:val="bottom"/>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827,390</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2"/>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rPr>
              <w:t xml:space="preserve">100.0 </w:t>
            </w:r>
            <w:r>
              <w:rPr>
                <w:rFonts w:ascii="Times New Roman" w:cs="Times New Roman" w:eastAsia="Times New Roman" w:hAnsi="Times New Roman"/>
                <w:sz w:val="14"/>
                <w:szCs w:val="14"/>
                <w:color w:val="auto"/>
                <w:highlight w:val="white"/>
              </w:rPr>
              <w:t>%</w:t>
            </w:r>
          </w:p>
        </w:tc>
        <w:tc>
          <w:tcPr>
            <w:tcW w:w="24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621,786</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gridSpan w:val="2"/>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rPr>
              <w:t xml:space="preserve">100.0 </w:t>
            </w:r>
            <w:r>
              <w:rPr>
                <w:rFonts w:ascii="Times New Roman" w:cs="Times New Roman" w:eastAsia="Times New Roman" w:hAnsi="Times New Roman"/>
                <w:sz w:val="14"/>
                <w:szCs w:val="14"/>
                <w:color w:val="auto"/>
                <w:highlight w:val="white"/>
              </w:rPr>
              <w:t>%</w:t>
            </w:r>
          </w:p>
        </w:tc>
      </w:tr>
      <w:tr>
        <w:trPr>
          <w:trHeight w:val="20"/>
        </w:trPr>
        <w:tc>
          <w:tcPr>
            <w:tcW w:w="2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-144780</wp:posOffset>
            </wp:positionV>
            <wp:extent cx="76835" cy="1454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-144780</wp:posOffset>
            </wp:positionV>
            <wp:extent cx="77470" cy="1454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-144780</wp:posOffset>
            </wp:positionV>
            <wp:extent cx="68580" cy="1454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-144780</wp:posOffset>
            </wp:positionV>
            <wp:extent cx="68580" cy="1454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ind w:left="480"/>
        <w:spacing w:after="0"/>
        <w:rPr>
          <w:sz w:val="20"/>
          <w:szCs w:val="20"/>
          <w:color w:val="auto"/>
        </w:rPr>
      </w:pPr>
      <w:r>
        <w:rPr>
          <w:rFonts w:ascii="Times New Roman" w:cs="Times New Roman" w:eastAsia="Times New Roman" w:hAnsi="Times New Roman"/>
          <w:sz w:val="18"/>
          <w:szCs w:val="18"/>
          <w:color w:val="auto"/>
        </w:rPr>
        <w:t>The following table shows portfolio composition by type and by geographic region at fair value as a percentage of net assets.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jc w:val="right"/>
              <w:ind w:right="1048"/>
              <w:spacing w:after="0"/>
              <w:rPr>
                <w:sz w:val="20"/>
                <w:szCs w:val="20"/>
                <w:color w:val="auto"/>
              </w:rPr>
            </w:pPr>
            <w:r>
              <w:rPr>
                <w:rFonts w:ascii="Times New Roman" w:cs="Times New Roman" w:eastAsia="Times New Roman" w:hAnsi="Times New Roman"/>
                <w:sz w:val="14"/>
                <w:szCs w:val="14"/>
                <w:b w:val="1"/>
                <w:bCs w:val="1"/>
                <w:color w:val="auto"/>
              </w:rPr>
              <w:t>By Type</w:t>
            </w:r>
          </w:p>
        </w:tc>
        <w:tc>
          <w:tcPr>
            <w:tcW w:w="1440" w:type="dxa"/>
            <w:vAlign w:val="bottom"/>
            <w:tcBorders>
              <w:bottom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By Geographic Region</w:t>
            </w:r>
          </w:p>
        </w:tc>
        <w:tc>
          <w:tcPr>
            <w:tcW w:w="144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r>
      <w:tr>
        <w:trPr>
          <w:trHeight w:val="158"/>
        </w:trPr>
        <w:tc>
          <w:tcPr>
            <w:tcW w:w="2160" w:type="dxa"/>
            <w:vAlign w:val="bottom"/>
          </w:tcPr>
          <w:p>
            <w:pPr>
              <w:spacing w:after="0"/>
              <w:rPr>
                <w:sz w:val="13"/>
                <w:szCs w:val="13"/>
                <w:color w:val="auto"/>
              </w:rPr>
            </w:pPr>
          </w:p>
        </w:tc>
        <w:tc>
          <w:tcPr>
            <w:tcW w:w="2040" w:type="dxa"/>
            <w:vAlign w:val="bottom"/>
            <w:gridSpan w:val="2"/>
          </w:tcPr>
          <w:p>
            <w:pPr>
              <w:jc w:val="right"/>
              <w:ind w:right="828"/>
              <w:spacing w:after="0" w:line="15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40" w:type="dxa"/>
            <w:vAlign w:val="bottom"/>
          </w:tcPr>
          <w:p>
            <w:pPr>
              <w:jc w:val="right"/>
              <w:ind w:right="22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980" w:type="dxa"/>
            <w:vAlign w:val="bottom"/>
            <w:gridSpan w:val="2"/>
          </w:tcPr>
          <w:p>
            <w:pPr>
              <w:jc w:val="right"/>
              <w:ind w:right="768"/>
              <w:spacing w:after="0" w:line="15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40" w:type="dxa"/>
            <w:vAlign w:val="bottom"/>
          </w:tcPr>
          <w:p>
            <w:pPr>
              <w:jc w:val="right"/>
              <w:ind w:right="22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3"/>
                <w:szCs w:val="13"/>
                <w:color w:val="auto"/>
              </w:rPr>
            </w:pPr>
          </w:p>
        </w:tc>
      </w:tr>
      <w:tr>
        <w:trPr>
          <w:trHeight w:val="187"/>
        </w:trPr>
        <w:tc>
          <w:tcPr>
            <w:tcW w:w="2160" w:type="dxa"/>
            <w:vAlign w:val="bottom"/>
          </w:tcPr>
          <w:p>
            <w:pPr>
              <w:spacing w:after="0"/>
              <w:rPr>
                <w:sz w:val="16"/>
                <w:szCs w:val="16"/>
                <w:color w:val="auto"/>
              </w:rPr>
            </w:pPr>
          </w:p>
        </w:tc>
        <w:tc>
          <w:tcPr>
            <w:tcW w:w="142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6"/>
                <w:szCs w:val="16"/>
                <w:color w:val="auto"/>
              </w:rPr>
            </w:pPr>
          </w:p>
        </w:tc>
        <w:tc>
          <w:tcPr>
            <w:tcW w:w="14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14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6"/>
                <w:szCs w:val="16"/>
                <w:color w:val="auto"/>
              </w:rPr>
            </w:pPr>
          </w:p>
        </w:tc>
      </w:tr>
      <w:tr>
        <w:trPr>
          <w:trHeight w:val="16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First Lien Debt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62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60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Midwest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58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40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r>
      <w:tr>
        <w:trPr>
          <w:trHeight w:val="175"/>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 Debt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6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6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Southeast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5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400" w:type="dxa"/>
            <w:vAlign w:val="bottom"/>
          </w:tcPr>
          <w:p>
            <w:pPr>
              <w:spacing w:after="0"/>
              <w:rPr>
                <w:sz w:val="15"/>
                <w:szCs w:val="15"/>
                <w:color w:val="auto"/>
              </w:rPr>
            </w:pPr>
          </w:p>
        </w:tc>
      </w:tr>
      <w:tr>
        <w:trPr>
          <w:trHeight w:val="17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6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6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Northeast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5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400" w:type="dxa"/>
            <w:vAlign w:val="bottom"/>
            <w:shd w:val="clear" w:color="auto" w:fill="CCEEFF"/>
          </w:tcPr>
          <w:p>
            <w:pPr>
              <w:spacing w:after="0"/>
              <w:rPr>
                <w:sz w:val="15"/>
                <w:szCs w:val="15"/>
                <w:color w:val="auto"/>
              </w:rPr>
            </w:pPr>
          </w:p>
        </w:tc>
      </w:tr>
      <w:tr>
        <w:trPr>
          <w:trHeight w:val="176"/>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6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6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West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5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400" w:type="dxa"/>
            <w:vAlign w:val="bottom"/>
          </w:tcPr>
          <w:p>
            <w:pPr>
              <w:spacing w:after="0"/>
              <w:rPr>
                <w:sz w:val="15"/>
                <w:szCs w:val="15"/>
                <w:color w:val="auto"/>
              </w:rPr>
            </w:pPr>
          </w:p>
        </w:tc>
      </w:tr>
      <w:tr>
        <w:trPr>
          <w:trHeight w:val="175"/>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62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6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Southwest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5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400" w:type="dxa"/>
            <w:vAlign w:val="bottom"/>
            <w:tcBorders>
              <w:bottom w:val="single" w:sz="8" w:color="CCEEFF"/>
            </w:tcBorders>
            <w:shd w:val="clear" w:color="auto" w:fill="CCEEFF"/>
          </w:tcPr>
          <w:p>
            <w:pPr>
              <w:spacing w:after="0"/>
              <w:rPr>
                <w:sz w:val="15"/>
                <w:szCs w:val="15"/>
                <w:color w:val="auto"/>
              </w:rPr>
            </w:pPr>
          </w:p>
        </w:tc>
      </w:tr>
      <w:tr>
        <w:trPr>
          <w:trHeight w:val="169"/>
        </w:trPr>
        <w:tc>
          <w:tcPr>
            <w:tcW w:w="21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040" w:type="dxa"/>
            <w:vAlign w:val="bottom"/>
            <w:gridSpan w:val="2"/>
          </w:tcPr>
          <w:p>
            <w:pPr>
              <w:jc w:val="right"/>
              <w:ind w:right="408"/>
              <w:spacing w:after="0" w:line="155" w:lineRule="exact"/>
              <w:rPr>
                <w:sz w:val="20"/>
                <w:szCs w:val="20"/>
                <w:color w:val="auto"/>
              </w:rPr>
            </w:pPr>
            <w:r>
              <w:rPr>
                <w:rFonts w:ascii="Times New Roman" w:cs="Times New Roman" w:eastAsia="Times New Roman" w:hAnsi="Times New Roman"/>
                <w:sz w:val="14"/>
                <w:szCs w:val="14"/>
                <w:color w:val="auto"/>
              </w:rPr>
              <w:t xml:space="preserve">180.6 </w:t>
            </w:r>
            <w:r>
              <w:rPr>
                <w:rFonts w:ascii="Times New Roman" w:cs="Times New Roman" w:eastAsia="Times New Roman" w:hAnsi="Times New Roman"/>
                <w:sz w:val="14"/>
                <w:szCs w:val="14"/>
                <w:color w:val="auto"/>
                <w:highlight w:val="white"/>
              </w:rPr>
              <w:t>%</w:t>
            </w:r>
          </w:p>
        </w:tc>
        <w:tc>
          <w:tcPr>
            <w:tcW w:w="2040" w:type="dxa"/>
            <w:vAlign w:val="bottom"/>
            <w:gridSpan w:val="2"/>
          </w:tcPr>
          <w:p>
            <w:pPr>
              <w:jc w:val="right"/>
              <w:ind w:right="388"/>
              <w:spacing w:after="0" w:line="155" w:lineRule="exact"/>
              <w:rPr>
                <w:sz w:val="20"/>
                <w:szCs w:val="20"/>
                <w:color w:val="auto"/>
              </w:rPr>
            </w:pPr>
            <w:r>
              <w:rPr>
                <w:rFonts w:ascii="Times New Roman" w:cs="Times New Roman" w:eastAsia="Times New Roman" w:hAnsi="Times New Roman"/>
                <w:sz w:val="14"/>
                <w:szCs w:val="14"/>
                <w:color w:val="auto"/>
              </w:rPr>
              <w:t xml:space="preserve">147.4 </w:t>
            </w:r>
            <w:r>
              <w:rPr>
                <w:rFonts w:ascii="Times New Roman" w:cs="Times New Roman" w:eastAsia="Times New Roman" w:hAnsi="Times New Roman"/>
                <w:sz w:val="14"/>
                <w:szCs w:val="14"/>
                <w:color w:val="auto"/>
                <w:highlight w:val="white"/>
              </w:rPr>
              <w:t>%</w:t>
            </w:r>
          </w:p>
        </w:tc>
        <w:tc>
          <w:tcPr>
            <w:tcW w:w="11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980" w:type="dxa"/>
            <w:vAlign w:val="bottom"/>
            <w:gridSpan w:val="2"/>
          </w:tcPr>
          <w:p>
            <w:pPr>
              <w:jc w:val="right"/>
              <w:ind w:right="368"/>
              <w:spacing w:after="0" w:line="155" w:lineRule="exact"/>
              <w:rPr>
                <w:sz w:val="20"/>
                <w:szCs w:val="20"/>
                <w:color w:val="auto"/>
              </w:rPr>
            </w:pPr>
            <w:r>
              <w:rPr>
                <w:rFonts w:ascii="Times New Roman" w:cs="Times New Roman" w:eastAsia="Times New Roman" w:hAnsi="Times New Roman"/>
                <w:sz w:val="14"/>
                <w:szCs w:val="14"/>
                <w:color w:val="auto"/>
              </w:rPr>
              <w:t xml:space="preserve">180.6 </w:t>
            </w:r>
            <w:r>
              <w:rPr>
                <w:rFonts w:ascii="Times New Roman" w:cs="Times New Roman" w:eastAsia="Times New Roman" w:hAnsi="Times New Roman"/>
                <w:sz w:val="14"/>
                <w:szCs w:val="14"/>
                <w:color w:val="auto"/>
                <w:highlight w:val="white"/>
              </w:rPr>
              <w:t>%</w:t>
            </w:r>
          </w:p>
        </w:tc>
        <w:tc>
          <w:tcPr>
            <w:tcW w:w="1840" w:type="dxa"/>
            <w:vAlign w:val="bottom"/>
            <w:gridSpan w:val="2"/>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rPr>
              <w:t xml:space="preserve">147.4 </w:t>
            </w:r>
            <w:r>
              <w:rPr>
                <w:rFonts w:ascii="Times New Roman" w:cs="Times New Roman" w:eastAsia="Times New Roman" w:hAnsi="Times New Roman"/>
                <w:sz w:val="14"/>
                <w:szCs w:val="14"/>
                <w:color w:val="auto"/>
                <w:highlight w:val="white"/>
              </w:rPr>
              <w:t>%</w:t>
            </w:r>
          </w:p>
        </w:tc>
      </w:tr>
      <w:tr>
        <w:trPr>
          <w:trHeight w:val="20"/>
        </w:trPr>
        <w:tc>
          <w:tcPr>
            <w:tcW w:w="21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479"/>
        <w:spacing w:after="0" w:line="258" w:lineRule="auto"/>
        <w:rPr>
          <w:sz w:val="20"/>
          <w:szCs w:val="20"/>
          <w:color w:val="auto"/>
        </w:rPr>
      </w:pPr>
      <w:r>
        <w:rPr>
          <w:rFonts w:ascii="Times New Roman" w:cs="Times New Roman" w:eastAsia="Times New Roman" w:hAnsi="Times New Roman"/>
          <w:sz w:val="18"/>
          <w:szCs w:val="18"/>
          <w:color w:val="auto"/>
        </w:rPr>
        <w:t>As of September 30, 2022 and December 31, 2021, the Company had no portfolio company investments that represented more than 10% of the total investment portfolio on a fair value or cost basis. As of September 30, 2022 and December 31, 2021, the Company's investment in Pfanstiehl, Inc. totaled $51,796 and $57,639 or 5.7% and 6.4% of total assets, respectively.</w:t>
      </w:r>
    </w:p>
    <w:p>
      <w:pPr>
        <w:spacing w:after="0" w:line="115"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As of September 30, 2022, the Company had debt investments in three portfolio companies on non-accrual status. As of December 31, 2021, the Company had a debt investment in one portfolio company on non-accrual status.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 2022</w:t>
            </w:r>
          </w:p>
        </w:tc>
        <w:tc>
          <w:tcPr>
            <w:tcW w:w="6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3"/>
                <w:szCs w:val="13"/>
                <w:b w:val="1"/>
                <w:bCs w:val="1"/>
                <w:color w:val="auto"/>
                <w:w w:val="97"/>
              </w:rPr>
              <w:t>December 31, 2021</w:t>
            </w:r>
          </w:p>
        </w:tc>
        <w:tc>
          <w:tcPr>
            <w:tcW w:w="6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337"/>
              <w:spacing w:after="0" w:line="142" w:lineRule="exact"/>
              <w:rPr>
                <w:sz w:val="20"/>
                <w:szCs w:val="20"/>
                <w:color w:val="auto"/>
              </w:rPr>
            </w:pPr>
            <w:r>
              <w:rPr>
                <w:rFonts w:ascii="Times New Roman" w:cs="Times New Roman" w:eastAsia="Times New Roman" w:hAnsi="Times New Roman"/>
                <w:sz w:val="13"/>
                <w:szCs w:val="13"/>
                <w:b w:val="1"/>
                <w:bCs w:val="1"/>
                <w:color w:val="auto"/>
              </w:rPr>
              <w:t>Fair</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ind w:left="200"/>
              <w:spacing w:after="0" w:line="142" w:lineRule="exact"/>
              <w:rPr>
                <w:sz w:val="20"/>
                <w:szCs w:val="20"/>
                <w:color w:val="auto"/>
              </w:rPr>
            </w:pPr>
            <w:r>
              <w:rPr>
                <w:rFonts w:ascii="Times New Roman" w:cs="Times New Roman" w:eastAsia="Times New Roman" w:hAnsi="Times New Roman"/>
                <w:sz w:val="13"/>
                <w:szCs w:val="13"/>
                <w:b w:val="1"/>
                <w:bCs w:val="1"/>
                <w:color w:val="auto"/>
              </w:rPr>
              <w:t>Fair</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220" w:type="dxa"/>
            <w:vAlign w:val="bottom"/>
          </w:tcPr>
          <w:p>
            <w:pPr>
              <w:spacing w:after="0"/>
              <w:rPr>
                <w:sz w:val="15"/>
                <w:szCs w:val="15"/>
                <w:color w:val="auto"/>
              </w:rPr>
            </w:pPr>
          </w:p>
        </w:tc>
        <w:tc>
          <w:tcPr>
            <w:tcW w:w="82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w w:val="86"/>
              </w:rPr>
              <w:t>Cost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EBL, LLC (EbLens)</w:t>
            </w:r>
          </w:p>
        </w:tc>
        <w:tc>
          <w:tcPr>
            <w:tcW w:w="16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2,427</w:t>
            </w:r>
          </w:p>
        </w:tc>
        <w:tc>
          <w:tcPr>
            <w:tcW w:w="260" w:type="dxa"/>
            <w:vAlign w:val="bottom"/>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9,333</w:t>
            </w: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(1)</w:t>
            </w:r>
          </w:p>
        </w:tc>
        <w:tc>
          <w:tcPr>
            <w:tcW w:w="400" w:type="dxa"/>
            <w:vAlign w:val="bottom"/>
            <w:tcBorders>
              <w:top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(1)</w:t>
            </w:r>
          </w:p>
        </w:tc>
        <w:tc>
          <w:tcPr>
            <w:tcW w:w="0" w:type="dxa"/>
            <w:vAlign w:val="bottom"/>
          </w:tcPr>
          <w:p>
            <w:pPr>
              <w:spacing w:after="0"/>
              <w:rPr>
                <w:sz w:val="1"/>
                <w:szCs w:val="1"/>
                <w:color w:val="auto"/>
              </w:rPr>
            </w:pPr>
          </w:p>
        </w:tc>
      </w:tr>
      <w:tr>
        <w:trPr>
          <w:trHeight w:val="107"/>
        </w:trPr>
        <w:tc>
          <w:tcPr>
            <w:tcW w:w="5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US GreenFiber, LLC</w:t>
            </w:r>
          </w:p>
        </w:tc>
        <w:tc>
          <w:tcPr>
            <w:tcW w:w="22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5,223</w:t>
            </w: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vMerge w:val="restart"/>
          </w:tcPr>
          <w:p>
            <w:pPr>
              <w:ind w:left="70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(2)</w:t>
            </w:r>
          </w:p>
        </w:tc>
        <w:tc>
          <w:tcPr>
            <w:tcW w:w="4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5,223</w:t>
            </w:r>
          </w:p>
        </w:tc>
        <w:tc>
          <w:tcPr>
            <w:tcW w:w="2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(2)</w:t>
            </w:r>
          </w:p>
        </w:tc>
        <w:tc>
          <w:tcPr>
            <w:tcW w:w="0" w:type="dxa"/>
            <w:vAlign w:val="bottom"/>
          </w:tcPr>
          <w:p>
            <w:pPr>
              <w:spacing w:after="0"/>
              <w:rPr>
                <w:sz w:val="1"/>
                <w:szCs w:val="1"/>
                <w:color w:val="auto"/>
              </w:rPr>
            </w:pPr>
          </w:p>
        </w:tc>
      </w:tr>
      <w:tr>
        <w:trPr>
          <w:trHeight w:val="55"/>
        </w:trPr>
        <w:tc>
          <w:tcPr>
            <w:tcW w:w="58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K2 Merger Agreement Agent, LLC (fka K2 Industrial Services, Inc.)</w:t>
            </w:r>
          </w:p>
        </w:tc>
        <w:tc>
          <w:tcPr>
            <w:tcW w:w="2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2,169</w:t>
            </w:r>
          </w:p>
        </w:tc>
        <w:tc>
          <w:tcPr>
            <w:tcW w:w="2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2,368</w:t>
            </w:r>
          </w:p>
        </w:tc>
        <w:tc>
          <w:tcPr>
            <w:tcW w:w="2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(1)</w:t>
            </w:r>
          </w:p>
        </w:tc>
        <w:tc>
          <w:tcPr>
            <w:tcW w:w="4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(1)</w:t>
            </w:r>
          </w:p>
        </w:tc>
        <w:tc>
          <w:tcPr>
            <w:tcW w:w="0" w:type="dxa"/>
            <w:vAlign w:val="bottom"/>
          </w:tcPr>
          <w:p>
            <w:pPr>
              <w:spacing w:after="0"/>
              <w:rPr>
                <w:sz w:val="1"/>
                <w:szCs w:val="1"/>
                <w:color w:val="auto"/>
              </w:rPr>
            </w:pPr>
          </w:p>
        </w:tc>
      </w:tr>
      <w:tr>
        <w:trPr>
          <w:trHeight w:val="155"/>
        </w:trPr>
        <w:tc>
          <w:tcPr>
            <w:tcW w:w="586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4,596</w:t>
            </w:r>
          </w:p>
        </w:tc>
        <w:tc>
          <w:tcPr>
            <w:tcW w:w="260" w:type="dxa"/>
            <w:vAlign w:val="bottom"/>
            <w:tcBorders>
              <w:top w:val="single" w:sz="8" w:color="CCEEFF"/>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16,924</w:t>
            </w:r>
          </w:p>
        </w:tc>
        <w:tc>
          <w:tcPr>
            <w:tcW w:w="240" w:type="dxa"/>
            <w:vAlign w:val="bottom"/>
            <w:tcBorders>
              <w:top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top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5,223</w:t>
            </w:r>
          </w:p>
        </w:tc>
        <w:tc>
          <w:tcPr>
            <w:tcW w:w="2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-136525</wp:posOffset>
            </wp:positionV>
            <wp:extent cx="7747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-136525</wp:posOffset>
            </wp:positionV>
            <wp:extent cx="76835"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-136525</wp:posOffset>
            </wp:positionV>
            <wp:extent cx="6858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-136525</wp:posOffset>
            </wp:positionV>
            <wp:extent cx="68580"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160" w:lineRule="exact"/>
        <w:rPr>
          <w:sz w:val="20"/>
          <w:szCs w:val="20"/>
          <w:color w:val="auto"/>
        </w:rPr>
      </w:pPr>
    </w:p>
    <w:p>
      <w:pPr>
        <w:ind w:left="360" w:hanging="339"/>
        <w:spacing w:after="0"/>
        <w:tabs>
          <w:tab w:leader="none" w:pos="3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company debt investment was not on non-accrual status as of December 31, 2021.</w:t>
      </w:r>
    </w:p>
    <w:p>
      <w:pPr>
        <w:spacing w:after="0" w:line="17" w:lineRule="exact"/>
        <w:rPr>
          <w:rFonts w:ascii="Times New Roman" w:cs="Times New Roman" w:eastAsia="Times New Roman" w:hAnsi="Times New Roman"/>
          <w:sz w:val="14"/>
          <w:szCs w:val="14"/>
          <w:color w:val="auto"/>
        </w:rPr>
      </w:pPr>
    </w:p>
    <w:p>
      <w:pPr>
        <w:ind w:left="360" w:hanging="339"/>
        <w:spacing w:after="0"/>
        <w:tabs>
          <w:tab w:leader="none" w:pos="3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company was on PIK-only non-accrual status at December 31, 2021, meaning the Company has ceased recognizing PIK interest income on the investment.</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Schedule of Investments In and Advances To Affiliates</w:t>
      </w:r>
    </w:p>
    <w:p>
      <w:pPr>
        <w:spacing w:after="0" w:line="173"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The table below represents the fair value of control and affiliate investments as of December 31, 2021 and any additions and reductions made to such investments during the nine months ended September 30, 2022, the ending fair value as of September 30, 2022, and the total investment income earned on such investments during the period.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9"/>
                <w:szCs w:val="9"/>
                <w:b w:val="1"/>
                <w:bCs w:val="1"/>
                <w:color w:val="auto"/>
              </w:rPr>
              <w:t>Nine Months Ended September 30, 2022</w:t>
            </w: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jc w:val="center"/>
              <w:ind w:right="55"/>
              <w:spacing w:after="0" w:line="91" w:lineRule="exact"/>
              <w:rPr>
                <w:sz w:val="20"/>
                <w:szCs w:val="20"/>
                <w:color w:val="auto"/>
              </w:rPr>
            </w:pPr>
            <w:r>
              <w:rPr>
                <w:rFonts w:ascii="Times New Roman" w:cs="Times New Roman" w:eastAsia="Times New Roman" w:hAnsi="Times New Roman"/>
                <w:sz w:val="9"/>
                <w:szCs w:val="9"/>
                <w:b w:val="1"/>
                <w:bCs w:val="1"/>
                <w:color w:val="auto"/>
              </w:rPr>
              <w:t>September 30,</w:t>
            </w: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b w:val="1"/>
                <w:bCs w:val="1"/>
                <w:color w:val="auto"/>
              </w:rPr>
              <w:t>Net Realized</w:t>
            </w:r>
          </w:p>
        </w:tc>
        <w:tc>
          <w:tcPr>
            <w:tcW w:w="740" w:type="dxa"/>
            <w:vAlign w:val="bottom"/>
            <w:gridSpan w:val="3"/>
          </w:tcPr>
          <w:p>
            <w:pPr>
              <w:jc w:val="center"/>
              <w:ind w:right="120"/>
              <w:spacing w:after="0" w:line="91" w:lineRule="exact"/>
              <w:rPr>
                <w:sz w:val="20"/>
                <w:szCs w:val="20"/>
                <w:color w:val="auto"/>
              </w:rPr>
            </w:pPr>
            <w:r>
              <w:rPr>
                <w:rFonts w:ascii="Times New Roman" w:cs="Times New Roman" w:eastAsia="Times New Roman" w:hAnsi="Times New Roman"/>
                <w:sz w:val="9"/>
                <w:szCs w:val="9"/>
                <w:b w:val="1"/>
                <w:bCs w:val="1"/>
                <w:color w:val="auto"/>
                <w:w w:val="98"/>
              </w:rPr>
              <w:t>Net Change in</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jc w:val="center"/>
              <w:ind w:right="55"/>
              <w:spacing w:after="0" w:line="92" w:lineRule="exact"/>
              <w:rPr>
                <w:sz w:val="20"/>
                <w:szCs w:val="20"/>
                <w:color w:val="auto"/>
              </w:rPr>
            </w:pPr>
            <w:r>
              <w:rPr>
                <w:rFonts w:ascii="Times New Roman" w:cs="Times New Roman" w:eastAsia="Times New Roman" w:hAnsi="Times New Roman"/>
                <w:sz w:val="9"/>
                <w:szCs w:val="9"/>
                <w:b w:val="1"/>
                <w:bCs w:val="1"/>
                <w:color w:val="auto"/>
              </w:rPr>
              <w:t>2022 Principal</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jc w:val="center"/>
              <w:ind w:right="35"/>
              <w:spacing w:after="0" w:line="92" w:lineRule="exact"/>
              <w:rPr>
                <w:sz w:val="20"/>
                <w:szCs w:val="20"/>
                <w:color w:val="auto"/>
              </w:rPr>
            </w:pPr>
            <w:r>
              <w:rPr>
                <w:rFonts w:ascii="Times New Roman" w:cs="Times New Roman" w:eastAsia="Times New Roman" w:hAnsi="Times New Roman"/>
                <w:sz w:val="9"/>
                <w:szCs w:val="9"/>
                <w:b w:val="1"/>
                <w:bCs w:val="1"/>
                <w:color w:val="auto"/>
              </w:rPr>
              <w:t>December 31,</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2"/>
          </w:tcPr>
          <w:p>
            <w:pPr>
              <w:jc w:val="center"/>
              <w:ind w:right="200"/>
              <w:spacing w:after="0" w:line="92" w:lineRule="exact"/>
              <w:rPr>
                <w:sz w:val="20"/>
                <w:szCs w:val="20"/>
                <w:color w:val="auto"/>
              </w:rPr>
            </w:pPr>
            <w:r>
              <w:rPr>
                <w:rFonts w:ascii="Times New Roman" w:cs="Times New Roman" w:eastAsia="Times New Roman" w:hAnsi="Times New Roman"/>
                <w:sz w:val="9"/>
                <w:szCs w:val="9"/>
                <w:b w:val="1"/>
                <w:bCs w:val="1"/>
                <w:color w:val="auto"/>
                <w:w w:val="99"/>
              </w:rPr>
              <w:t>Unrealized</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gridSpan w:val="2"/>
          </w:tcPr>
          <w:p>
            <w:pPr>
              <w:jc w:val="center"/>
              <w:ind w:right="280"/>
              <w:spacing w:after="0" w:line="92" w:lineRule="exact"/>
              <w:rPr>
                <w:sz w:val="20"/>
                <w:szCs w:val="20"/>
                <w:color w:val="auto"/>
              </w:rPr>
            </w:pPr>
            <w:r>
              <w:rPr>
                <w:rFonts w:ascii="Times New Roman" w:cs="Times New Roman" w:eastAsia="Times New Roman" w:hAnsi="Times New Roman"/>
                <w:sz w:val="9"/>
                <w:szCs w:val="9"/>
                <w:b w:val="1"/>
                <w:bCs w:val="1"/>
                <w:color w:val="auto"/>
              </w:rPr>
              <w:t>Payment-in-</w:t>
            </w: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660" w:type="dxa"/>
            <w:vAlign w:val="bottom"/>
            <w:vMerge w:val="restart"/>
          </w:tcPr>
          <w:p>
            <w:pPr>
              <w:ind w:left="20"/>
              <w:spacing w:after="0"/>
              <w:rPr>
                <w:sz w:val="20"/>
                <w:szCs w:val="20"/>
                <w:color w:val="auto"/>
              </w:rPr>
            </w:pPr>
            <w:r>
              <w:rPr>
                <w:rFonts w:ascii="Times New Roman" w:cs="Times New Roman" w:eastAsia="Times New Roman" w:hAnsi="Times New Roman"/>
                <w:sz w:val="9"/>
                <w:szCs w:val="9"/>
                <w:b w:val="1"/>
                <w:bCs w:val="1"/>
                <w:color w:val="auto"/>
              </w:rPr>
              <w:t xml:space="preserve">Portfolio Company </w:t>
            </w:r>
            <w:r>
              <w:rPr>
                <w:rFonts w:ascii="Times New Roman" w:cs="Times New Roman" w:eastAsia="Times New Roman" w:hAnsi="Times New Roman"/>
                <w:sz w:val="12"/>
                <w:szCs w:val="12"/>
                <w:b w:val="1"/>
                <w:bCs w:val="1"/>
                <w:color w:val="auto"/>
                <w:vertAlign w:val="superscript"/>
              </w:rPr>
              <w:t>(1)</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jc w:val="center"/>
              <w:ind w:right="35"/>
              <w:spacing w:after="0" w:line="95" w:lineRule="exact"/>
              <w:rPr>
                <w:sz w:val="20"/>
                <w:szCs w:val="20"/>
                <w:color w:val="auto"/>
              </w:rPr>
            </w:pPr>
            <w:r>
              <w:rPr>
                <w:rFonts w:ascii="Times New Roman" w:cs="Times New Roman" w:eastAsia="Times New Roman" w:hAnsi="Times New Roman"/>
                <w:sz w:val="9"/>
                <w:szCs w:val="9"/>
                <w:b w:val="1"/>
                <w:bCs w:val="1"/>
                <w:color w:val="auto"/>
              </w:rPr>
              <w:t>Amount - Debt</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jc w:val="center"/>
              <w:ind w:right="35"/>
              <w:spacing w:after="0" w:line="95" w:lineRule="exact"/>
              <w:rPr>
                <w:sz w:val="20"/>
                <w:szCs w:val="20"/>
                <w:color w:val="auto"/>
              </w:rPr>
            </w:pPr>
            <w:r>
              <w:rPr>
                <w:rFonts w:ascii="Times New Roman" w:cs="Times New Roman" w:eastAsia="Times New Roman" w:hAnsi="Times New Roman"/>
                <w:sz w:val="9"/>
                <w:szCs w:val="9"/>
                <w:b w:val="1"/>
                <w:bCs w:val="1"/>
                <w:color w:val="auto"/>
                <w:w w:val="99"/>
              </w:rPr>
              <w:t>2021</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89"/>
              </w:rPr>
              <w:t>Gross Additions</w:t>
            </w:r>
            <w:r>
              <w:rPr>
                <w:rFonts w:ascii="Times New Roman" w:cs="Times New Roman" w:eastAsia="Times New Roman" w:hAnsi="Times New Roman"/>
                <w:sz w:val="12"/>
                <w:szCs w:val="12"/>
                <w:b w:val="1"/>
                <w:bCs w:val="1"/>
                <w:color w:val="auto"/>
                <w:w w:val="89"/>
                <w:vertAlign w:val="subscript"/>
              </w:rPr>
              <w:t>(2)</w:t>
            </w: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2"/>
          </w:tcPr>
          <w:p>
            <w:pPr>
              <w:jc w:val="right"/>
              <w:ind w:right="480"/>
              <w:spacing w:after="0" w:line="95" w:lineRule="exact"/>
              <w:rPr>
                <w:sz w:val="20"/>
                <w:szCs w:val="20"/>
                <w:color w:val="auto"/>
              </w:rPr>
            </w:pPr>
            <w:r>
              <w:rPr>
                <w:rFonts w:ascii="Times New Roman" w:cs="Times New Roman" w:eastAsia="Times New Roman" w:hAnsi="Times New Roman"/>
                <w:sz w:val="9"/>
                <w:szCs w:val="9"/>
                <w:b w:val="1"/>
                <w:bCs w:val="1"/>
                <w:color w:val="auto"/>
              </w:rPr>
              <w:t>Gross</w:t>
            </w:r>
          </w:p>
        </w:tc>
        <w:tc>
          <w:tcPr>
            <w:tcW w:w="60" w:type="dxa"/>
            <w:vAlign w:val="bottom"/>
          </w:tcPr>
          <w:p>
            <w:pPr>
              <w:spacing w:after="0"/>
              <w:rPr>
                <w:sz w:val="8"/>
                <w:szCs w:val="8"/>
                <w:color w:val="auto"/>
              </w:rPr>
            </w:pPr>
          </w:p>
        </w:tc>
        <w:tc>
          <w:tcPr>
            <w:tcW w:w="880" w:type="dxa"/>
            <w:vAlign w:val="bottom"/>
            <w:gridSpan w:val="2"/>
          </w:tcPr>
          <w:p>
            <w:pPr>
              <w:jc w:val="center"/>
              <w:ind w:right="320"/>
              <w:spacing w:after="0" w:line="95" w:lineRule="exact"/>
              <w:rPr>
                <w:sz w:val="20"/>
                <w:szCs w:val="20"/>
                <w:color w:val="auto"/>
              </w:rPr>
            </w:pPr>
            <w:r>
              <w:rPr>
                <w:rFonts w:ascii="Times New Roman" w:cs="Times New Roman" w:eastAsia="Times New Roman" w:hAnsi="Times New Roman"/>
                <w:sz w:val="9"/>
                <w:szCs w:val="9"/>
                <w:b w:val="1"/>
                <w:bCs w:val="1"/>
                <w:color w:val="auto"/>
              </w:rPr>
              <w:t>September 30,</w:t>
            </w:r>
          </w:p>
        </w:tc>
        <w:tc>
          <w:tcPr>
            <w:tcW w:w="80" w:type="dxa"/>
            <w:vAlign w:val="bottom"/>
          </w:tcPr>
          <w:p>
            <w:pPr>
              <w:spacing w:after="0"/>
              <w:rPr>
                <w:sz w:val="8"/>
                <w:szCs w:val="8"/>
                <w:color w:val="auto"/>
              </w:rPr>
            </w:pPr>
          </w:p>
        </w:tc>
        <w:tc>
          <w:tcPr>
            <w:tcW w:w="680" w:type="dxa"/>
            <w:vAlign w:val="bottom"/>
            <w:gridSpan w:val="2"/>
          </w:tcPr>
          <w:p>
            <w:pPr>
              <w:jc w:val="right"/>
              <w:ind w:right="380"/>
              <w:spacing w:after="0" w:line="95" w:lineRule="exact"/>
              <w:rPr>
                <w:sz w:val="20"/>
                <w:szCs w:val="20"/>
                <w:color w:val="auto"/>
              </w:rPr>
            </w:pPr>
            <w:r>
              <w:rPr>
                <w:rFonts w:ascii="Times New Roman" w:cs="Times New Roman" w:eastAsia="Times New Roman" w:hAnsi="Times New Roman"/>
                <w:sz w:val="9"/>
                <w:szCs w:val="9"/>
                <w:b w:val="1"/>
                <w:bCs w:val="1"/>
                <w:color w:val="auto"/>
              </w:rPr>
              <w:t>Gains</w:t>
            </w:r>
          </w:p>
        </w:tc>
        <w:tc>
          <w:tcPr>
            <w:tcW w:w="740" w:type="dxa"/>
            <w:vAlign w:val="bottom"/>
            <w:gridSpan w:val="3"/>
          </w:tcPr>
          <w:p>
            <w:pPr>
              <w:jc w:val="center"/>
              <w:ind w:right="120"/>
              <w:spacing w:after="0" w:line="95" w:lineRule="exact"/>
              <w:rPr>
                <w:sz w:val="20"/>
                <w:szCs w:val="20"/>
                <w:color w:val="auto"/>
              </w:rPr>
            </w:pPr>
            <w:r>
              <w:rPr>
                <w:rFonts w:ascii="Times New Roman" w:cs="Times New Roman" w:eastAsia="Times New Roman" w:hAnsi="Times New Roman"/>
                <w:sz w:val="9"/>
                <w:szCs w:val="9"/>
                <w:b w:val="1"/>
                <w:bCs w:val="1"/>
                <w:color w:val="auto"/>
                <w:w w:val="98"/>
              </w:rPr>
              <w:t>Appreciation</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jc w:val="right"/>
              <w:ind w:right="75"/>
              <w:spacing w:after="0" w:line="95" w:lineRule="exact"/>
              <w:rPr>
                <w:sz w:val="20"/>
                <w:szCs w:val="20"/>
                <w:color w:val="auto"/>
              </w:rPr>
            </w:pPr>
            <w:r>
              <w:rPr>
                <w:rFonts w:ascii="Times New Roman" w:cs="Times New Roman" w:eastAsia="Times New Roman" w:hAnsi="Times New Roman"/>
                <w:sz w:val="9"/>
                <w:szCs w:val="9"/>
                <w:b w:val="1"/>
                <w:bCs w:val="1"/>
                <w:color w:val="auto"/>
                <w:w w:val="99"/>
              </w:rPr>
              <w:t>Interest</w:t>
            </w:r>
          </w:p>
        </w:tc>
        <w:tc>
          <w:tcPr>
            <w:tcW w:w="280" w:type="dxa"/>
            <w:vAlign w:val="bottom"/>
          </w:tcPr>
          <w:p>
            <w:pPr>
              <w:spacing w:after="0"/>
              <w:rPr>
                <w:sz w:val="8"/>
                <w:szCs w:val="8"/>
                <w:color w:val="auto"/>
              </w:rPr>
            </w:pPr>
          </w:p>
        </w:tc>
        <w:tc>
          <w:tcPr>
            <w:tcW w:w="760" w:type="dxa"/>
            <w:vAlign w:val="bottom"/>
            <w:gridSpan w:val="2"/>
          </w:tcPr>
          <w:p>
            <w:pPr>
              <w:jc w:val="center"/>
              <w:ind w:right="280"/>
              <w:spacing w:after="0" w:line="95" w:lineRule="exact"/>
              <w:rPr>
                <w:sz w:val="20"/>
                <w:szCs w:val="20"/>
                <w:color w:val="auto"/>
              </w:rPr>
            </w:pPr>
            <w:r>
              <w:rPr>
                <w:rFonts w:ascii="Times New Roman" w:cs="Times New Roman" w:eastAsia="Times New Roman" w:hAnsi="Times New Roman"/>
                <w:sz w:val="9"/>
                <w:szCs w:val="9"/>
                <w:b w:val="1"/>
                <w:bCs w:val="1"/>
                <w:color w:val="auto"/>
                <w:w w:val="96"/>
              </w:rPr>
              <w:t>kind Interest</w:t>
            </w:r>
          </w:p>
        </w:tc>
        <w:tc>
          <w:tcPr>
            <w:tcW w:w="80" w:type="dxa"/>
            <w:vAlign w:val="bottom"/>
          </w:tcPr>
          <w:p>
            <w:pPr>
              <w:spacing w:after="0"/>
              <w:rPr>
                <w:sz w:val="8"/>
                <w:szCs w:val="8"/>
                <w:color w:val="auto"/>
              </w:rPr>
            </w:pPr>
          </w:p>
        </w:tc>
        <w:tc>
          <w:tcPr>
            <w:tcW w:w="500" w:type="dxa"/>
            <w:vAlign w:val="bottom"/>
          </w:tcPr>
          <w:p>
            <w:pPr>
              <w:jc w:val="right"/>
              <w:ind w:right="75"/>
              <w:spacing w:after="0" w:line="95" w:lineRule="exact"/>
              <w:rPr>
                <w:sz w:val="20"/>
                <w:szCs w:val="20"/>
                <w:color w:val="auto"/>
              </w:rPr>
            </w:pPr>
            <w:r>
              <w:rPr>
                <w:rFonts w:ascii="Times New Roman" w:cs="Times New Roman" w:eastAsia="Times New Roman" w:hAnsi="Times New Roman"/>
                <w:sz w:val="9"/>
                <w:szCs w:val="9"/>
                <w:b w:val="1"/>
                <w:bCs w:val="1"/>
                <w:color w:val="auto"/>
              </w:rPr>
              <w:t>Dividend</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center"/>
              <w:ind w:right="35"/>
              <w:spacing w:after="0"/>
              <w:rPr>
                <w:sz w:val="20"/>
                <w:szCs w:val="20"/>
                <w:color w:val="auto"/>
              </w:rPr>
            </w:pPr>
            <w:r>
              <w:rPr>
                <w:rFonts w:ascii="Times New Roman" w:cs="Times New Roman" w:eastAsia="Times New Roman" w:hAnsi="Times New Roman"/>
                <w:sz w:val="9"/>
                <w:szCs w:val="9"/>
                <w:b w:val="1"/>
                <w:bCs w:val="1"/>
                <w:color w:val="auto"/>
                <w:w w:val="98"/>
              </w:rPr>
              <w:t>Investments</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ind w:right="15"/>
              <w:spacing w:after="0"/>
              <w:rPr>
                <w:sz w:val="20"/>
                <w:szCs w:val="20"/>
                <w:color w:val="auto"/>
              </w:rPr>
            </w:pPr>
            <w:r>
              <w:rPr>
                <w:rFonts w:ascii="Times New Roman" w:cs="Times New Roman" w:eastAsia="Times New Roman" w:hAnsi="Times New Roman"/>
                <w:sz w:val="9"/>
                <w:szCs w:val="9"/>
                <w:b w:val="1"/>
                <w:bCs w:val="1"/>
                <w:color w:val="auto"/>
                <w:w w:val="96"/>
              </w:rPr>
              <w:t>Fair Value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right"/>
              <w:ind w:right="320"/>
              <w:spacing w:after="0" w:line="122" w:lineRule="exact"/>
              <w:rPr>
                <w:sz w:val="20"/>
                <w:szCs w:val="20"/>
                <w:color w:val="auto"/>
              </w:rPr>
            </w:pPr>
            <w:r>
              <w:rPr>
                <w:rFonts w:ascii="Times New Roman" w:cs="Times New Roman" w:eastAsia="Times New Roman" w:hAnsi="Times New Roman"/>
                <w:sz w:val="9"/>
                <w:szCs w:val="9"/>
                <w:b w:val="1"/>
                <w:bCs w:val="1"/>
                <w:color w:val="auto"/>
                <w:w w:val="95"/>
              </w:rPr>
              <w:t xml:space="preserve">Reductions </w:t>
            </w:r>
            <w:r>
              <w:rPr>
                <w:rFonts w:ascii="Times New Roman" w:cs="Times New Roman" w:eastAsia="Times New Roman" w:hAnsi="Times New Roman"/>
                <w:sz w:val="12"/>
                <w:szCs w:val="12"/>
                <w:b w:val="1"/>
                <w:bCs w:val="1"/>
                <w:color w:val="auto"/>
                <w:w w:val="95"/>
                <w:vertAlign w:val="superscript"/>
              </w:rPr>
              <w:t>(3)</w:t>
            </w:r>
          </w:p>
        </w:tc>
        <w:tc>
          <w:tcPr>
            <w:tcW w:w="940" w:type="dxa"/>
            <w:vAlign w:val="bottom"/>
            <w:gridSpan w:val="3"/>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7"/>
              </w:rPr>
              <w:t>2022 Fair Value</w:t>
            </w:r>
          </w:p>
        </w:tc>
        <w:tc>
          <w:tcPr>
            <w:tcW w:w="80" w:type="dxa"/>
            <w:vAlign w:val="bottom"/>
          </w:tcPr>
          <w:p>
            <w:pPr>
              <w:spacing w:after="0"/>
              <w:rPr>
                <w:sz w:val="10"/>
                <w:szCs w:val="10"/>
                <w:color w:val="auto"/>
              </w:rPr>
            </w:pPr>
          </w:p>
        </w:tc>
        <w:tc>
          <w:tcPr>
            <w:tcW w:w="680" w:type="dxa"/>
            <w:vAlign w:val="bottom"/>
            <w:gridSpan w:val="2"/>
          </w:tcPr>
          <w:p>
            <w:pPr>
              <w:jc w:val="right"/>
              <w:ind w:right="280"/>
              <w:spacing w:after="0" w:line="122" w:lineRule="exact"/>
              <w:rPr>
                <w:sz w:val="20"/>
                <w:szCs w:val="20"/>
                <w:color w:val="auto"/>
              </w:rPr>
            </w:pPr>
            <w:r>
              <w:rPr>
                <w:rFonts w:ascii="Times New Roman" w:cs="Times New Roman" w:eastAsia="Times New Roman" w:hAnsi="Times New Roman"/>
                <w:sz w:val="9"/>
                <w:szCs w:val="9"/>
                <w:b w:val="1"/>
                <w:bCs w:val="1"/>
                <w:color w:val="auto"/>
                <w:w w:val="89"/>
              </w:rPr>
              <w:t xml:space="preserve">(Losses) </w:t>
            </w:r>
            <w:r>
              <w:rPr>
                <w:rFonts w:ascii="Times New Roman" w:cs="Times New Roman" w:eastAsia="Times New Roman" w:hAnsi="Times New Roman"/>
                <w:sz w:val="12"/>
                <w:szCs w:val="12"/>
                <w:b w:val="1"/>
                <w:bCs w:val="1"/>
                <w:color w:val="auto"/>
                <w:w w:val="89"/>
                <w:vertAlign w:val="superscript"/>
              </w:rPr>
              <w:t>(4)</w:t>
            </w:r>
          </w:p>
        </w:tc>
        <w:tc>
          <w:tcPr>
            <w:tcW w:w="740" w:type="dxa"/>
            <w:vAlign w:val="bottom"/>
            <w:gridSpan w:val="3"/>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rPr>
              <w:t>(Depreciation)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ind w:right="75"/>
              <w:spacing w:after="0"/>
              <w:rPr>
                <w:sz w:val="20"/>
                <w:szCs w:val="20"/>
                <w:color w:val="auto"/>
              </w:rPr>
            </w:pPr>
            <w:r>
              <w:rPr>
                <w:rFonts w:ascii="Times New Roman" w:cs="Times New Roman" w:eastAsia="Times New Roman" w:hAnsi="Times New Roman"/>
                <w:sz w:val="9"/>
                <w:szCs w:val="9"/>
                <w:b w:val="1"/>
                <w:bCs w:val="1"/>
                <w:color w:val="auto"/>
              </w:rPr>
              <w:t>Income</w:t>
            </w:r>
          </w:p>
        </w:tc>
        <w:tc>
          <w:tcPr>
            <w:tcW w:w="280" w:type="dxa"/>
            <w:vAlign w:val="bottom"/>
          </w:tcPr>
          <w:p>
            <w:pPr>
              <w:spacing w:after="0"/>
              <w:rPr>
                <w:sz w:val="10"/>
                <w:szCs w:val="10"/>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9"/>
                <w:szCs w:val="9"/>
                <w:b w:val="1"/>
                <w:bCs w:val="1"/>
                <w:color w:val="auto"/>
                <w:w w:val="98"/>
              </w:rPr>
              <w:t>Income</w:t>
            </w:r>
          </w:p>
        </w:tc>
        <w:tc>
          <w:tcPr>
            <w:tcW w:w="80" w:type="dxa"/>
            <w:vAlign w:val="bottom"/>
          </w:tcPr>
          <w:p>
            <w:pPr>
              <w:spacing w:after="0"/>
              <w:rPr>
                <w:sz w:val="10"/>
                <w:szCs w:val="10"/>
                <w:color w:val="auto"/>
              </w:rPr>
            </w:pPr>
          </w:p>
        </w:tc>
        <w:tc>
          <w:tcPr>
            <w:tcW w:w="500" w:type="dxa"/>
            <w:vAlign w:val="bottom"/>
          </w:tcPr>
          <w:p>
            <w:pPr>
              <w:jc w:val="right"/>
              <w:ind w:right="95"/>
              <w:spacing w:after="0"/>
              <w:rPr>
                <w:sz w:val="20"/>
                <w:szCs w:val="20"/>
                <w:color w:val="auto"/>
              </w:rPr>
            </w:pPr>
            <w:r>
              <w:rPr>
                <w:rFonts w:ascii="Times New Roman" w:cs="Times New Roman" w:eastAsia="Times New Roman" w:hAnsi="Times New Roman"/>
                <w:sz w:val="9"/>
                <w:szCs w:val="9"/>
                <w:b w:val="1"/>
                <w:bCs w:val="1"/>
                <w:color w:val="auto"/>
              </w:rPr>
              <w:t>Income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75"/>
              <w:spacing w:after="0"/>
              <w:rPr>
                <w:sz w:val="20"/>
                <w:szCs w:val="20"/>
                <w:color w:val="auto"/>
              </w:rPr>
            </w:pPr>
            <w:r>
              <w:rPr>
                <w:rFonts w:ascii="Times New Roman" w:cs="Times New Roman" w:eastAsia="Times New Roman" w:hAnsi="Times New Roman"/>
                <w:sz w:val="9"/>
                <w:szCs w:val="9"/>
                <w:b w:val="1"/>
                <w:bCs w:val="1"/>
                <w:color w:val="auto"/>
              </w:rPr>
              <w:t>Fee 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Control Investments</w:t>
            </w:r>
          </w:p>
        </w:tc>
        <w:tc>
          <w:tcPr>
            <w:tcW w:w="12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60" w:type="dxa"/>
            <w:vAlign w:val="bottom"/>
          </w:tcPr>
          <w:p>
            <w:pPr>
              <w:ind w:left="20"/>
              <w:spacing w:after="0" w:line="99" w:lineRule="exact"/>
              <w:rPr>
                <w:sz w:val="20"/>
                <w:szCs w:val="20"/>
                <w:color w:val="auto"/>
              </w:rPr>
            </w:pPr>
            <w:r>
              <w:rPr>
                <w:rFonts w:ascii="Times New Roman" w:cs="Times New Roman" w:eastAsia="Times New Roman" w:hAnsi="Times New Roman"/>
                <w:sz w:val="9"/>
                <w:szCs w:val="9"/>
                <w:color w:val="auto"/>
              </w:rPr>
              <w:t>Hilco Plastics Holdings, LLC (dba Hilco</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660" w:type="dxa"/>
            <w:vAlign w:val="bottom"/>
          </w:tcPr>
          <w:p>
            <w:pPr>
              <w:ind w:left="20"/>
              <w:spacing w:after="0"/>
              <w:rPr>
                <w:sz w:val="20"/>
                <w:szCs w:val="20"/>
                <w:color w:val="auto"/>
              </w:rPr>
            </w:pPr>
            <w:r>
              <w:rPr>
                <w:rFonts w:ascii="Times New Roman" w:cs="Times New Roman" w:eastAsia="Times New Roman" w:hAnsi="Times New Roman"/>
                <w:sz w:val="9"/>
                <w:szCs w:val="9"/>
                <w:color w:val="auto"/>
              </w:rPr>
              <w:t>Technologies)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gridSpan w:val="3"/>
          </w:tcPr>
          <w:p>
            <w:pPr>
              <w:jc w:val="right"/>
              <w:ind w:right="155"/>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9"/>
                <w:szCs w:val="9"/>
                <w:color w:val="auto"/>
                <w:w w:val="87"/>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Mesa Line Services, LLC</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2,151</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134</w:t>
            </w: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9"/>
                <w:szCs w:val="9"/>
                <w:color w:val="auto"/>
              </w:rPr>
              <w:t>(2,285 )</w:t>
            </w:r>
          </w:p>
        </w:tc>
        <w:tc>
          <w:tcPr>
            <w:tcW w:w="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135</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(2,151 )</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tcPr>
          <w:p>
            <w:pPr>
              <w:ind w:left="20"/>
              <w:spacing w:after="0"/>
              <w:rPr>
                <w:sz w:val="20"/>
                <w:szCs w:val="20"/>
                <w:color w:val="auto"/>
              </w:rPr>
            </w:pPr>
            <w:r>
              <w:rPr>
                <w:rFonts w:ascii="Times New Roman" w:cs="Times New Roman" w:eastAsia="Times New Roman" w:hAnsi="Times New Roman"/>
                <w:sz w:val="9"/>
                <w:szCs w:val="9"/>
                <w:color w:val="auto"/>
              </w:rPr>
              <w:t>US GreenFiber, LLC</w:t>
            </w:r>
          </w:p>
        </w:tc>
        <w:tc>
          <w:tcPr>
            <w:tcW w:w="1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5,226</w:t>
            </w:r>
          </w:p>
        </w:tc>
        <w:tc>
          <w:tcPr>
            <w:tcW w:w="2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Total Control Investments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5,226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2,151</w:t>
            </w:r>
          </w:p>
        </w:tc>
        <w:tc>
          <w:tcPr>
            <w:tcW w:w="500" w:type="dxa"/>
            <w:vAlign w:val="bottom"/>
            <w:gridSpan w:val="3"/>
            <w:shd w:val="clear" w:color="auto" w:fill="CCEEFF"/>
          </w:tcPr>
          <w:p>
            <w:pPr>
              <w:jc w:val="right"/>
              <w:ind w:right="155"/>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9"/>
                <w:szCs w:val="9"/>
                <w:color w:val="auto"/>
              </w:rPr>
              <w:t>(2,285 )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135</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(2,151 )</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660" w:type="dxa"/>
            <w:vAlign w:val="bottom"/>
            <w:tcBorders>
              <w:top w:val="single" w:sz="8" w:color="CCEEFF"/>
            </w:tcBorders>
          </w:tcPr>
          <w:p>
            <w:pPr>
              <w:ind w:left="20"/>
              <w:spacing w:after="0" w:line="102" w:lineRule="exact"/>
              <w:rPr>
                <w:sz w:val="20"/>
                <w:szCs w:val="20"/>
                <w:color w:val="auto"/>
              </w:rPr>
            </w:pPr>
            <w:r>
              <w:rPr>
                <w:rFonts w:ascii="Times New Roman" w:cs="Times New Roman" w:eastAsia="Times New Roman" w:hAnsi="Times New Roman"/>
                <w:sz w:val="9"/>
                <w:szCs w:val="9"/>
                <w:b w:val="1"/>
                <w:bCs w:val="1"/>
                <w:color w:val="auto"/>
              </w:rPr>
              <w:t>Affiliate Investments</w:t>
            </w:r>
          </w:p>
        </w:tc>
        <w:tc>
          <w:tcPr>
            <w:tcW w:w="120" w:type="dxa"/>
            <w:vAlign w:val="bottom"/>
            <w:tcBorders>
              <w:top w:val="single" w:sz="8" w:color="CCEEFF"/>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40" w:type="dxa"/>
            <w:vAlign w:val="bottom"/>
            <w:tcBorders>
              <w:top w:val="single" w:sz="8" w:color="CCEEFF"/>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60" w:type="dxa"/>
            <w:vAlign w:val="bottom"/>
            <w:tcBorders>
              <w:top w:val="single" w:sz="8" w:color="CCEEFF"/>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40" w:type="dxa"/>
            <w:vAlign w:val="bottom"/>
            <w:tcBorders>
              <w:top w:val="single" w:sz="8" w:color="CCEEFF"/>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4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60" w:type="dxa"/>
            <w:vAlign w:val="bottom"/>
            <w:shd w:val="clear" w:color="auto" w:fill="CCEEFF"/>
          </w:tcPr>
          <w:p>
            <w:pPr>
              <w:ind w:left="20"/>
              <w:spacing w:after="0" w:line="100" w:lineRule="exact"/>
              <w:rPr>
                <w:sz w:val="20"/>
                <w:szCs w:val="20"/>
                <w:color w:val="auto"/>
              </w:rPr>
            </w:pPr>
            <w:r>
              <w:rPr>
                <w:rFonts w:ascii="Times New Roman" w:cs="Times New Roman" w:eastAsia="Times New Roman" w:hAnsi="Times New Roman"/>
                <w:sz w:val="9"/>
                <w:szCs w:val="9"/>
                <w:color w:val="auto"/>
              </w:rPr>
              <w:t>Applegate Greenfiber Intermediate Inc.</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80" w:type="dxa"/>
            <w:vAlign w:val="bottom"/>
            <w:tcBorders>
              <w:right w:val="single" w:sz="8" w:color="CCEEFF"/>
            </w:tcBorders>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(fka US GreenFiber, LLC)</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9,602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22,405</w:t>
            </w:r>
          </w:p>
        </w:tc>
        <w:tc>
          <w:tcPr>
            <w:tcW w:w="500" w:type="dxa"/>
            <w:vAlign w:val="bottom"/>
            <w:gridSpan w:val="3"/>
            <w:shd w:val="clear" w:color="auto" w:fill="CCEEFF"/>
          </w:tcPr>
          <w:p>
            <w:pPr>
              <w:jc w:val="right"/>
              <w:ind w:right="155"/>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12,802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9"/>
                <w:szCs w:val="9"/>
                <w:color w:val="auto"/>
              </w:rPr>
              <w:t>(13,587 )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21,620</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w w:val="87"/>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(785 )</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728</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60" w:type="dxa"/>
            <w:vAlign w:val="bottom"/>
          </w:tcPr>
          <w:p>
            <w:pPr>
              <w:ind w:left="20"/>
              <w:spacing w:after="0"/>
              <w:rPr>
                <w:sz w:val="20"/>
                <w:szCs w:val="20"/>
                <w:color w:val="auto"/>
              </w:rPr>
            </w:pPr>
            <w:r>
              <w:rPr>
                <w:rFonts w:ascii="Times New Roman" w:cs="Times New Roman" w:eastAsia="Times New Roman" w:hAnsi="Times New Roman"/>
                <w:sz w:val="9"/>
                <w:szCs w:val="9"/>
                <w:color w:val="auto"/>
              </w:rPr>
              <w:t>FAR Research Inc.</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Medsurant Holdings, LLC</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3,662</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9"/>
                <w:szCs w:val="9"/>
                <w:color w:val="auto"/>
              </w:rPr>
              <w:t>(1,120 )</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2,542</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(1,120 )</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60" w:type="dxa"/>
            <w:vAlign w:val="bottom"/>
          </w:tcPr>
          <w:p>
            <w:pPr>
              <w:ind w:left="20"/>
              <w:spacing w:after="0"/>
              <w:rPr>
                <w:sz w:val="20"/>
                <w:szCs w:val="20"/>
                <w:color w:val="auto"/>
              </w:rPr>
            </w:pPr>
            <w:r>
              <w:rPr>
                <w:rFonts w:ascii="Times New Roman" w:cs="Times New Roman" w:eastAsia="Times New Roman" w:hAnsi="Times New Roman"/>
                <w:sz w:val="9"/>
                <w:szCs w:val="9"/>
                <w:color w:val="auto"/>
              </w:rPr>
              <w:t>Mirage Trailers LLC</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10,675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355</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9"/>
                <w:szCs w:val="9"/>
                <w:color w:val="auto"/>
              </w:rPr>
              <w:t>(11,030 )</w:t>
            </w:r>
          </w:p>
        </w:tc>
        <w:tc>
          <w:tcPr>
            <w:tcW w:w="60" w:type="dxa"/>
            <w:vAlign w:val="bottom"/>
          </w:tcPr>
          <w:p>
            <w:pPr>
              <w:spacing w:after="0"/>
              <w:rPr>
                <w:sz w:val="10"/>
                <w:szCs w:val="1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324</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(1,694 )</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248</w:t>
            </w:r>
          </w:p>
        </w:tc>
        <w:tc>
          <w:tcPr>
            <w:tcW w:w="2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Pfanstiehl, Inc.</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10,000</w:t>
            </w: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57,639</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34,332</w:t>
            </w: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9"/>
                <w:szCs w:val="9"/>
                <w:color w:val="auto"/>
              </w:rPr>
              <w:t>(40,175 )</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51,796</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24,330</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(15,625 )</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166</w:t>
            </w:r>
          </w:p>
        </w:tc>
        <w:tc>
          <w:tcPr>
            <w:tcW w:w="280" w:type="dxa"/>
            <w:vAlign w:val="bottom"/>
            <w:tcBorders>
              <w:right w:val="single" w:sz="8" w:color="CCEEFF"/>
            </w:tcBorders>
            <w:shd w:val="clear" w:color="auto" w:fill="CCEEFF"/>
          </w:tcPr>
          <w:p>
            <w:pPr>
              <w:spacing w:after="0"/>
              <w:rPr>
                <w:sz w:val="10"/>
                <w:szCs w:val="10"/>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150</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20"/>
              <w:spacing w:after="0" w:line="135" w:lineRule="exact"/>
              <w:rPr>
                <w:sz w:val="20"/>
                <w:szCs w:val="20"/>
                <w:color w:val="auto"/>
              </w:rPr>
            </w:pPr>
            <w:r>
              <w:rPr>
                <w:rFonts w:ascii="Times New Roman" w:cs="Times New Roman" w:eastAsia="Times New Roman" w:hAnsi="Times New Roman"/>
                <w:sz w:val="9"/>
                <w:szCs w:val="9"/>
                <w:color w:val="auto"/>
              </w:rPr>
              <w:t xml:space="preserve">Pinnergy, Ltd. </w:t>
            </w:r>
            <w:r>
              <w:rPr>
                <w:rFonts w:ascii="Times New Roman" w:cs="Times New Roman" w:eastAsia="Times New Roman" w:hAnsi="Times New Roman"/>
                <w:sz w:val="12"/>
                <w:szCs w:val="12"/>
                <w:color w:val="auto"/>
                <w:vertAlign w:val="superscript"/>
              </w:rPr>
              <w:t>(5)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21,178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15,300</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9"/>
                <w:szCs w:val="9"/>
                <w:color w:val="auto"/>
              </w:rPr>
              <w:t>(36,478 )</w:t>
            </w:r>
          </w:p>
        </w:tc>
        <w:tc>
          <w:tcPr>
            <w:tcW w:w="6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15,300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(18,178 )</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spacing w:after="0"/>
              <w:rPr>
                <w:sz w:val="11"/>
                <w:szCs w:val="1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656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660" w:type="dxa"/>
            <w:vAlign w:val="bottom"/>
            <w:shd w:val="clear" w:color="auto" w:fill="CCEEFF"/>
          </w:tcPr>
          <w:p>
            <w:pPr>
              <w:ind w:left="20"/>
              <w:spacing w:after="0" w:line="99" w:lineRule="exact"/>
              <w:rPr>
                <w:sz w:val="20"/>
                <w:szCs w:val="20"/>
                <w:color w:val="auto"/>
              </w:rPr>
            </w:pPr>
            <w:r>
              <w:rPr>
                <w:rFonts w:ascii="Times New Roman" w:cs="Times New Roman" w:eastAsia="Times New Roman" w:hAnsi="Times New Roman"/>
                <w:sz w:val="9"/>
                <w:szCs w:val="9"/>
                <w:color w:val="auto"/>
              </w:rPr>
              <w:t>Spectra A&amp;D Acquisition, Inc. (fka FDS</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80" w:type="dxa"/>
            <w:vAlign w:val="bottom"/>
            <w:tcBorders>
              <w:right w:val="single" w:sz="8" w:color="CCEEFF"/>
            </w:tcBorders>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Avionics Corp.)</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15,000</w:t>
            </w: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18,359</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2,627</w:t>
            </w: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9"/>
                <w:szCs w:val="9"/>
                <w:color w:val="auto"/>
              </w:rPr>
              <w:t>(5,058 )</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15,928</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9"/>
                <w:szCs w:val="9"/>
                <w:color w:val="auto"/>
              </w:rPr>
              <w:t>(114 )</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(4,934 )</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1,291</w:t>
            </w:r>
          </w:p>
        </w:tc>
        <w:tc>
          <w:tcPr>
            <w:tcW w:w="280" w:type="dxa"/>
            <w:vAlign w:val="bottom"/>
            <w:tcBorders>
              <w:right w:val="single" w:sz="8" w:color="CCEEFF"/>
            </w:tcBorders>
            <w:shd w:val="clear" w:color="auto" w:fill="CCEEFF"/>
          </w:tcPr>
          <w:p>
            <w:pPr>
              <w:spacing w:after="0"/>
              <w:rPr>
                <w:sz w:val="10"/>
                <w:szCs w:val="10"/>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170</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60" w:type="dxa"/>
            <w:vAlign w:val="bottom"/>
          </w:tcPr>
          <w:p>
            <w:pPr>
              <w:ind w:left="20"/>
              <w:spacing w:after="0" w:line="99" w:lineRule="exact"/>
              <w:rPr>
                <w:sz w:val="20"/>
                <w:szCs w:val="20"/>
                <w:color w:val="auto"/>
              </w:rPr>
            </w:pPr>
            <w:r>
              <w:rPr>
                <w:rFonts w:ascii="Times New Roman" w:cs="Times New Roman" w:eastAsia="Times New Roman" w:hAnsi="Times New Roman"/>
                <w:sz w:val="9"/>
                <w:szCs w:val="9"/>
                <w:color w:val="auto"/>
              </w:rPr>
              <w:t>Steward Holding LLC (dba Steward</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3,338</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323</w:t>
            </w: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3,661</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323</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69</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660" w:type="dxa"/>
            <w:vAlign w:val="bottom"/>
          </w:tcPr>
          <w:p>
            <w:pPr>
              <w:ind w:left="20"/>
              <w:spacing w:after="0"/>
              <w:rPr>
                <w:sz w:val="20"/>
                <w:szCs w:val="20"/>
                <w:color w:val="auto"/>
              </w:rPr>
            </w:pPr>
            <w:r>
              <w:rPr>
                <w:rFonts w:ascii="Times New Roman" w:cs="Times New Roman" w:eastAsia="Times New Roman" w:hAnsi="Times New Roman"/>
                <w:sz w:val="9"/>
                <w:szCs w:val="9"/>
                <w:color w:val="auto"/>
              </w:rPr>
              <w:t>Advanced Materials)</w:t>
            </w:r>
          </w:p>
        </w:tc>
        <w:tc>
          <w:tcPr>
            <w:tcW w:w="1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vMerge w:val="continue"/>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Borders>
              <w:bottom w:val="single" w:sz="8" w:color="auto"/>
            </w:tcBorders>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Total Affiliate Investments</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34,602</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137,284</w:t>
            </w:r>
          </w:p>
        </w:tc>
        <w:tc>
          <w:tcPr>
            <w:tcW w:w="240" w:type="dxa"/>
            <w:vAlign w:val="bottom"/>
            <w:gridSpan w:val="2"/>
            <w:shd w:val="clear" w:color="auto" w:fill="CCEEFF"/>
          </w:tcPr>
          <w:p>
            <w:pPr>
              <w:spacing w:after="0"/>
              <w:rPr>
                <w:sz w:val="11"/>
                <w:szCs w:val="11"/>
                <w:color w:val="auto"/>
              </w:rPr>
            </w:pPr>
          </w:p>
        </w:tc>
        <w:tc>
          <w:tcPr>
            <w:tcW w:w="2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9"/>
                <w:szCs w:val="9"/>
                <w:color w:val="auto"/>
                <w:w w:val="87"/>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65,739</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9"/>
                <w:szCs w:val="9"/>
                <w:color w:val="auto"/>
              </w:rPr>
              <w:t>(107,448 )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95,575</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39,840</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(42,013 )</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2,433</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30</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725</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452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-1010920</wp:posOffset>
            </wp:positionV>
            <wp:extent cx="5554980" cy="1028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554980" cy="102870"/>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-24765</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-7620</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-24765</wp:posOffset>
            </wp:positionV>
            <wp:extent cx="774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-7620</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-24765</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-7620</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-24765</wp:posOffset>
            </wp:positionV>
            <wp:extent cx="774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-7620</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-24765</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ind w:left="360" w:hanging="339"/>
        <w:spacing w:after="0"/>
        <w:tabs>
          <w:tab w:leader="none" w:pos="3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investment type, industry, ownership detail for equity investments, and interest rate (if the investment is income producing) is disclosed in the consolidated schedule of investments.</w:t>
      </w:r>
    </w:p>
    <w:p>
      <w:pPr>
        <w:spacing w:after="0" w:line="17" w:lineRule="exact"/>
        <w:rPr>
          <w:rFonts w:ascii="Times New Roman" w:cs="Times New Roman" w:eastAsia="Times New Roman" w:hAnsi="Times New Roman"/>
          <w:sz w:val="14"/>
          <w:szCs w:val="14"/>
          <w:color w:val="auto"/>
        </w:rPr>
      </w:pPr>
    </w:p>
    <w:p>
      <w:pPr>
        <w:ind w:left="360" w:right="20" w:hanging="339"/>
        <w:spacing w:after="0" w:line="234" w:lineRule="auto"/>
        <w:tabs>
          <w:tab w:leader="none" w:pos="3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p>
      <w:pPr>
        <w:spacing w:after="0" w:line="1" w:lineRule="exact"/>
        <w:rPr>
          <w:rFonts w:ascii="Times New Roman" w:cs="Times New Roman" w:eastAsia="Times New Roman" w:hAnsi="Times New Roman"/>
          <w:sz w:val="14"/>
          <w:szCs w:val="14"/>
          <w:color w:val="auto"/>
        </w:rPr>
      </w:pPr>
    </w:p>
    <w:p>
      <w:pPr>
        <w:ind w:left="360" w:right="420" w:hanging="339"/>
        <w:spacing w:after="0" w:line="231" w:lineRule="auto"/>
        <w:tabs>
          <w:tab w:leader="none" w:pos="3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p>
      <w:pPr>
        <w:ind w:left="360" w:right="160" w:hanging="339"/>
        <w:spacing w:after="0" w:line="234" w:lineRule="auto"/>
        <w:tabs>
          <w:tab w:leader="none" w:pos="3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p>
      <w:pPr>
        <w:spacing w:after="0" w:line="1" w:lineRule="exact"/>
        <w:rPr>
          <w:rFonts w:ascii="Times New Roman" w:cs="Times New Roman" w:eastAsia="Times New Roman" w:hAnsi="Times New Roman"/>
          <w:sz w:val="14"/>
          <w:szCs w:val="14"/>
          <w:color w:val="auto"/>
        </w:rPr>
      </w:pPr>
    </w:p>
    <w:p>
      <w:pPr>
        <w:ind w:left="360" w:hanging="339"/>
        <w:spacing w:after="0"/>
        <w:tabs>
          <w:tab w:leader="none" w:pos="3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company was transferred to Non-control/Non-affiliate investments from Affiliate investments during the nine months ended September 30, 2022.</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ind w:firstLine="479"/>
        <w:spacing w:after="0" w:line="243" w:lineRule="auto"/>
        <w:rPr>
          <w:sz w:val="20"/>
          <w:szCs w:val="20"/>
          <w:color w:val="auto"/>
        </w:rPr>
      </w:pPr>
      <w:r>
        <w:rPr>
          <w:rFonts w:ascii="Times New Roman" w:cs="Times New Roman" w:eastAsia="Times New Roman" w:hAnsi="Times New Roman"/>
          <w:sz w:val="18"/>
          <w:szCs w:val="18"/>
          <w:color w:val="auto"/>
        </w:rPr>
        <w:t>The table below represents the fair value of control and affiliate investments as of December 31, 2020 and any additions and reductions made to such investments during the year ended December 31, 2021, including the total investment income earned on such investments during the period.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9"/>
                <w:szCs w:val="9"/>
                <w:b w:val="1"/>
                <w:bCs w:val="1"/>
                <w:color w:val="auto"/>
              </w:rPr>
              <w:t>Year Ended Ended December 31, 2021</w:t>
            </w: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9"/>
                <w:szCs w:val="9"/>
                <w:b w:val="1"/>
                <w:bCs w:val="1"/>
                <w:color w:val="auto"/>
                <w:w w:val="98"/>
              </w:rPr>
              <w:t>Net Realized</w:t>
            </w:r>
          </w:p>
        </w:tc>
        <w:tc>
          <w:tcPr>
            <w:tcW w:w="600" w:type="dxa"/>
            <w:vAlign w:val="bottom"/>
            <w:gridSpan w:val="2"/>
          </w:tcPr>
          <w:p>
            <w:pPr>
              <w:ind w:left="20"/>
              <w:spacing w:after="0" w:line="91" w:lineRule="exact"/>
              <w:rPr>
                <w:sz w:val="20"/>
                <w:szCs w:val="20"/>
                <w:color w:val="auto"/>
              </w:rPr>
            </w:pPr>
            <w:r>
              <w:rPr>
                <w:rFonts w:ascii="Times New Roman" w:cs="Times New Roman" w:eastAsia="Times New Roman" w:hAnsi="Times New Roman"/>
                <w:sz w:val="9"/>
                <w:szCs w:val="9"/>
                <w:b w:val="1"/>
                <w:bCs w:val="1"/>
                <w:color w:val="auto"/>
                <w:w w:val="98"/>
              </w:rPr>
              <w:t>Net Change in</w:t>
            </w: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gridSpan w:val="2"/>
          </w:tcPr>
          <w:p>
            <w:pPr>
              <w:spacing w:after="0" w:line="91" w:lineRule="exact"/>
              <w:rPr>
                <w:sz w:val="20"/>
                <w:szCs w:val="20"/>
                <w:color w:val="auto"/>
              </w:rPr>
            </w:pPr>
            <w:r>
              <w:rPr>
                <w:rFonts w:ascii="Times New Roman" w:cs="Times New Roman" w:eastAsia="Times New Roman" w:hAnsi="Times New Roman"/>
                <w:sz w:val="9"/>
                <w:szCs w:val="9"/>
                <w:b w:val="1"/>
                <w:bCs w:val="1"/>
                <w:color w:val="auto"/>
              </w:rPr>
              <w:t>Payment-</w:t>
            </w: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tcPr>
          <w:p>
            <w:pPr>
              <w:jc w:val="center"/>
              <w:spacing w:after="0" w:line="92" w:lineRule="exact"/>
              <w:rPr>
                <w:sz w:val="20"/>
                <w:szCs w:val="20"/>
                <w:color w:val="auto"/>
              </w:rPr>
            </w:pPr>
            <w:r>
              <w:rPr>
                <w:rFonts w:ascii="Times New Roman" w:cs="Times New Roman" w:eastAsia="Times New Roman" w:hAnsi="Times New Roman"/>
                <w:sz w:val="9"/>
                <w:szCs w:val="9"/>
                <w:b w:val="1"/>
                <w:bCs w:val="1"/>
                <w:color w:val="auto"/>
                <w:w w:val="98"/>
              </w:rPr>
              <w:t>December 31, 2021</w:t>
            </w: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gridSpan w:val="3"/>
          </w:tcPr>
          <w:p>
            <w:pPr>
              <w:jc w:val="center"/>
              <w:ind w:right="260"/>
              <w:spacing w:after="0" w:line="92" w:lineRule="exact"/>
              <w:rPr>
                <w:sz w:val="20"/>
                <w:szCs w:val="20"/>
                <w:color w:val="auto"/>
              </w:rPr>
            </w:pPr>
            <w:r>
              <w:rPr>
                <w:rFonts w:ascii="Times New Roman" w:cs="Times New Roman" w:eastAsia="Times New Roman" w:hAnsi="Times New Roman"/>
                <w:sz w:val="9"/>
                <w:szCs w:val="9"/>
                <w:b w:val="1"/>
                <w:bCs w:val="1"/>
                <w:color w:val="auto"/>
                <w:w w:val="97"/>
              </w:rPr>
              <w:t>December</w:t>
            </w:r>
          </w:p>
        </w:tc>
        <w:tc>
          <w:tcPr>
            <w:tcW w:w="7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ind w:right="55"/>
              <w:spacing w:after="0" w:line="92" w:lineRule="exact"/>
              <w:rPr>
                <w:sz w:val="20"/>
                <w:szCs w:val="20"/>
                <w:color w:val="auto"/>
              </w:rPr>
            </w:pPr>
            <w:r>
              <w:rPr>
                <w:rFonts w:ascii="Times New Roman" w:cs="Times New Roman" w:eastAsia="Times New Roman" w:hAnsi="Times New Roman"/>
                <w:sz w:val="9"/>
                <w:szCs w:val="9"/>
                <w:b w:val="1"/>
                <w:bCs w:val="1"/>
                <w:color w:val="auto"/>
                <w:w w:val="99"/>
              </w:rPr>
              <w:t>Unrealized</w:t>
            </w: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gridSpan w:val="2"/>
          </w:tcPr>
          <w:p>
            <w:pPr>
              <w:ind w:left="40"/>
              <w:spacing w:after="0" w:line="92" w:lineRule="exact"/>
              <w:rPr>
                <w:sz w:val="20"/>
                <w:szCs w:val="20"/>
                <w:color w:val="auto"/>
              </w:rPr>
            </w:pPr>
            <w:r>
              <w:rPr>
                <w:rFonts w:ascii="Times New Roman" w:cs="Times New Roman" w:eastAsia="Times New Roman" w:hAnsi="Times New Roman"/>
                <w:sz w:val="9"/>
                <w:szCs w:val="9"/>
                <w:b w:val="1"/>
                <w:bCs w:val="1"/>
                <w:color w:val="auto"/>
              </w:rPr>
              <w:t>in-kind</w:t>
            </w: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9"/>
                <w:szCs w:val="9"/>
                <w:b w:val="1"/>
                <w:bCs w:val="1"/>
                <w:color w:val="auto"/>
              </w:rPr>
              <w:t>Portfolio Company</w:t>
            </w:r>
          </w:p>
        </w:tc>
        <w:tc>
          <w:tcPr>
            <w:tcW w:w="1000" w:type="dxa"/>
            <w:vAlign w:val="bottom"/>
          </w:tcPr>
          <w:p>
            <w:pPr>
              <w:jc w:val="right"/>
              <w:ind w:right="890"/>
              <w:spacing w:after="0"/>
              <w:rPr>
                <w:sz w:val="20"/>
                <w:szCs w:val="20"/>
                <w:color w:val="auto"/>
              </w:rPr>
            </w:pPr>
            <w:r>
              <w:rPr>
                <w:rFonts w:ascii="Times New Roman" w:cs="Times New Roman" w:eastAsia="Times New Roman" w:hAnsi="Times New Roman"/>
                <w:sz w:val="6"/>
                <w:szCs w:val="6"/>
                <w:b w:val="1"/>
                <w:bCs w:val="1"/>
                <w:color w:val="auto"/>
                <w:w w:val="85"/>
              </w:rPr>
              <w:t>(1)</w:t>
            </w:r>
          </w:p>
        </w:tc>
        <w:tc>
          <w:tcPr>
            <w:tcW w:w="140" w:type="dxa"/>
            <w:vAlign w:val="bottom"/>
          </w:tcPr>
          <w:p>
            <w:pPr>
              <w:spacing w:after="0"/>
              <w:rPr>
                <w:sz w:val="8"/>
                <w:szCs w:val="8"/>
                <w:color w:val="auto"/>
              </w:rPr>
            </w:pPr>
          </w:p>
        </w:tc>
        <w:tc>
          <w:tcPr>
            <w:tcW w:w="820" w:type="dxa"/>
            <w:vAlign w:val="bottom"/>
            <w:gridSpan w:val="2"/>
          </w:tcPr>
          <w:p>
            <w:pPr>
              <w:jc w:val="center"/>
              <w:spacing w:after="0" w:line="96" w:lineRule="exact"/>
              <w:rPr>
                <w:sz w:val="20"/>
                <w:szCs w:val="20"/>
                <w:color w:val="auto"/>
              </w:rPr>
            </w:pPr>
            <w:r>
              <w:rPr>
                <w:rFonts w:ascii="Times New Roman" w:cs="Times New Roman" w:eastAsia="Times New Roman" w:hAnsi="Times New Roman"/>
                <w:sz w:val="9"/>
                <w:szCs w:val="9"/>
                <w:b w:val="1"/>
                <w:bCs w:val="1"/>
                <w:color w:val="auto"/>
              </w:rPr>
              <w:t>Principal Amount -</w:t>
            </w:r>
          </w:p>
        </w:tc>
        <w:tc>
          <w:tcPr>
            <w:tcW w:w="260" w:type="dxa"/>
            <w:vAlign w:val="bottom"/>
          </w:tcPr>
          <w:p>
            <w:pPr>
              <w:spacing w:after="0"/>
              <w:rPr>
                <w:sz w:val="8"/>
                <w:szCs w:val="8"/>
                <w:color w:val="auto"/>
              </w:rPr>
            </w:pPr>
          </w:p>
        </w:tc>
        <w:tc>
          <w:tcPr>
            <w:tcW w:w="820" w:type="dxa"/>
            <w:vAlign w:val="bottom"/>
            <w:gridSpan w:val="2"/>
          </w:tcPr>
          <w:p>
            <w:pPr>
              <w:jc w:val="right"/>
              <w:ind w:right="15"/>
              <w:spacing w:after="0" w:line="96" w:lineRule="exact"/>
              <w:rPr>
                <w:sz w:val="20"/>
                <w:szCs w:val="20"/>
                <w:color w:val="auto"/>
              </w:rPr>
            </w:pPr>
            <w:r>
              <w:rPr>
                <w:rFonts w:ascii="Times New Roman" w:cs="Times New Roman" w:eastAsia="Times New Roman" w:hAnsi="Times New Roman"/>
                <w:sz w:val="9"/>
                <w:szCs w:val="9"/>
                <w:b w:val="1"/>
                <w:bCs w:val="1"/>
                <w:color w:val="auto"/>
              </w:rPr>
              <w:t>December 31, 2020</w:t>
            </w:r>
          </w:p>
        </w:tc>
        <w:tc>
          <w:tcPr>
            <w:tcW w:w="24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9"/>
                <w:szCs w:val="9"/>
                <w:b w:val="1"/>
                <w:bCs w:val="1"/>
                <w:color w:val="auto"/>
                <w:w w:val="96"/>
              </w:rPr>
              <w:t>Gross Additions</w:t>
            </w:r>
          </w:p>
        </w:tc>
        <w:tc>
          <w:tcPr>
            <w:tcW w:w="140" w:type="dxa"/>
            <w:vAlign w:val="bottom"/>
          </w:tcPr>
          <w:p>
            <w:pPr>
              <w:jc w:val="right"/>
              <w:ind w:right="18"/>
              <w:spacing w:after="0"/>
              <w:rPr>
                <w:sz w:val="20"/>
                <w:szCs w:val="20"/>
                <w:color w:val="auto"/>
              </w:rPr>
            </w:pPr>
            <w:r>
              <w:rPr>
                <w:rFonts w:ascii="Times New Roman" w:cs="Times New Roman" w:eastAsia="Times New Roman" w:hAnsi="Times New Roman"/>
                <w:sz w:val="6"/>
                <w:szCs w:val="6"/>
                <w:b w:val="1"/>
                <w:bCs w:val="1"/>
                <w:color w:val="auto"/>
                <w:w w:val="85"/>
              </w:rPr>
              <w:t>(2)</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ind w:left="160"/>
              <w:spacing w:after="0" w:line="96" w:lineRule="exact"/>
              <w:rPr>
                <w:sz w:val="20"/>
                <w:szCs w:val="20"/>
                <w:color w:val="auto"/>
              </w:rPr>
            </w:pPr>
            <w:r>
              <w:rPr>
                <w:rFonts w:ascii="Times New Roman" w:cs="Times New Roman" w:eastAsia="Times New Roman" w:hAnsi="Times New Roman"/>
                <w:sz w:val="9"/>
                <w:szCs w:val="9"/>
                <w:b w:val="1"/>
                <w:bCs w:val="1"/>
                <w:color w:val="auto"/>
                <w:w w:val="97"/>
              </w:rPr>
              <w:t>Gross</w:t>
            </w:r>
          </w:p>
        </w:tc>
        <w:tc>
          <w:tcPr>
            <w:tcW w:w="60" w:type="dxa"/>
            <w:vAlign w:val="bottom"/>
          </w:tcPr>
          <w:p>
            <w:pPr>
              <w:spacing w:after="0"/>
              <w:rPr>
                <w:sz w:val="8"/>
                <w:szCs w:val="8"/>
                <w:color w:val="auto"/>
              </w:rPr>
            </w:pPr>
          </w:p>
        </w:tc>
        <w:tc>
          <w:tcPr>
            <w:tcW w:w="140" w:type="dxa"/>
            <w:vAlign w:val="bottom"/>
          </w:tcPr>
          <w:p>
            <w:pPr>
              <w:jc w:val="right"/>
              <w:ind w:right="17"/>
              <w:spacing w:after="0"/>
              <w:rPr>
                <w:sz w:val="20"/>
                <w:szCs w:val="20"/>
                <w:color w:val="auto"/>
              </w:rPr>
            </w:pPr>
            <w:r>
              <w:rPr>
                <w:rFonts w:ascii="Times New Roman" w:cs="Times New Roman" w:eastAsia="Times New Roman" w:hAnsi="Times New Roman"/>
                <w:sz w:val="6"/>
                <w:szCs w:val="6"/>
                <w:b w:val="1"/>
                <w:bCs w:val="1"/>
                <w:color w:val="auto"/>
                <w:w w:val="85"/>
              </w:rPr>
              <w:t>(3)</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jc w:val="center"/>
              <w:ind w:right="35"/>
              <w:spacing w:after="0" w:line="96" w:lineRule="exact"/>
              <w:rPr>
                <w:sz w:val="20"/>
                <w:szCs w:val="20"/>
                <w:color w:val="auto"/>
              </w:rPr>
            </w:pPr>
            <w:r>
              <w:rPr>
                <w:rFonts w:ascii="Times New Roman" w:cs="Times New Roman" w:eastAsia="Times New Roman" w:hAnsi="Times New Roman"/>
                <w:sz w:val="9"/>
                <w:szCs w:val="9"/>
                <w:b w:val="1"/>
                <w:bCs w:val="1"/>
                <w:color w:val="auto"/>
                <w:w w:val="95"/>
              </w:rPr>
              <w:t>31, 2021</w:t>
            </w: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right"/>
              <w:ind w:right="300"/>
              <w:spacing w:after="0" w:line="95" w:lineRule="exact"/>
              <w:rPr>
                <w:sz w:val="20"/>
                <w:szCs w:val="20"/>
                <w:color w:val="auto"/>
              </w:rPr>
            </w:pPr>
            <w:r>
              <w:rPr>
                <w:rFonts w:ascii="Times New Roman" w:cs="Times New Roman" w:eastAsia="Times New Roman" w:hAnsi="Times New Roman"/>
                <w:sz w:val="8"/>
                <w:szCs w:val="8"/>
                <w:b w:val="1"/>
                <w:bCs w:val="1"/>
                <w:color w:val="auto"/>
              </w:rPr>
              <w:t xml:space="preserve">Gains </w:t>
            </w:r>
            <w:r>
              <w:rPr>
                <w:rFonts w:ascii="Times New Roman" w:cs="Times New Roman" w:eastAsia="Times New Roman" w:hAnsi="Times New Roman"/>
                <w:sz w:val="11"/>
                <w:szCs w:val="11"/>
                <w:b w:val="1"/>
                <w:bCs w:val="1"/>
                <w:color w:val="auto"/>
                <w:vertAlign w:val="subscript"/>
              </w:rPr>
              <w:t>(4)</w:t>
            </w:r>
          </w:p>
        </w:tc>
        <w:tc>
          <w:tcPr>
            <w:tcW w:w="600" w:type="dxa"/>
            <w:vAlign w:val="bottom"/>
            <w:gridSpan w:val="2"/>
          </w:tcPr>
          <w:p>
            <w:pPr>
              <w:jc w:val="right"/>
              <w:ind w:right="15"/>
              <w:spacing w:after="0" w:line="96" w:lineRule="exact"/>
              <w:rPr>
                <w:sz w:val="20"/>
                <w:szCs w:val="20"/>
                <w:color w:val="auto"/>
              </w:rPr>
            </w:pPr>
            <w:r>
              <w:rPr>
                <w:rFonts w:ascii="Times New Roman" w:cs="Times New Roman" w:eastAsia="Times New Roman" w:hAnsi="Times New Roman"/>
                <w:sz w:val="9"/>
                <w:szCs w:val="9"/>
                <w:b w:val="1"/>
                <w:bCs w:val="1"/>
                <w:color w:val="auto"/>
              </w:rPr>
              <w:t>Appreciation</w:t>
            </w:r>
          </w:p>
        </w:tc>
        <w:tc>
          <w:tcPr>
            <w:tcW w:w="280" w:type="dxa"/>
            <w:vAlign w:val="bottom"/>
          </w:tcPr>
          <w:p>
            <w:pPr>
              <w:spacing w:after="0"/>
              <w:rPr>
                <w:sz w:val="8"/>
                <w:szCs w:val="8"/>
                <w:color w:val="auto"/>
              </w:rPr>
            </w:pPr>
          </w:p>
        </w:tc>
        <w:tc>
          <w:tcPr>
            <w:tcW w:w="400" w:type="dxa"/>
            <w:vAlign w:val="bottom"/>
          </w:tcPr>
          <w:p>
            <w:pPr>
              <w:jc w:val="right"/>
              <w:ind w:right="55"/>
              <w:spacing w:after="0" w:line="96" w:lineRule="exact"/>
              <w:rPr>
                <w:sz w:val="20"/>
                <w:szCs w:val="20"/>
                <w:color w:val="auto"/>
              </w:rPr>
            </w:pPr>
            <w:r>
              <w:rPr>
                <w:rFonts w:ascii="Times New Roman" w:cs="Times New Roman" w:eastAsia="Times New Roman" w:hAnsi="Times New Roman"/>
                <w:sz w:val="9"/>
                <w:szCs w:val="9"/>
                <w:b w:val="1"/>
                <w:bCs w:val="1"/>
                <w:color w:val="auto"/>
                <w:w w:val="93"/>
              </w:rPr>
              <w:t>Interest</w:t>
            </w:r>
          </w:p>
        </w:tc>
        <w:tc>
          <w:tcPr>
            <w:tcW w:w="280" w:type="dxa"/>
            <w:vAlign w:val="bottom"/>
          </w:tcPr>
          <w:p>
            <w:pPr>
              <w:spacing w:after="0"/>
              <w:rPr>
                <w:sz w:val="8"/>
                <w:szCs w:val="8"/>
                <w:color w:val="auto"/>
              </w:rPr>
            </w:pPr>
          </w:p>
        </w:tc>
        <w:tc>
          <w:tcPr>
            <w:tcW w:w="640" w:type="dxa"/>
            <w:vAlign w:val="bottom"/>
            <w:gridSpan w:val="2"/>
          </w:tcPr>
          <w:p>
            <w:pPr>
              <w:ind w:left="20"/>
              <w:spacing w:after="0" w:line="96" w:lineRule="exact"/>
              <w:rPr>
                <w:sz w:val="20"/>
                <w:szCs w:val="20"/>
                <w:color w:val="auto"/>
              </w:rPr>
            </w:pPr>
            <w:r>
              <w:rPr>
                <w:rFonts w:ascii="Times New Roman" w:cs="Times New Roman" w:eastAsia="Times New Roman" w:hAnsi="Times New Roman"/>
                <w:sz w:val="9"/>
                <w:szCs w:val="9"/>
                <w:b w:val="1"/>
                <w:bCs w:val="1"/>
                <w:color w:val="auto"/>
              </w:rPr>
              <w:t>Interest</w:t>
            </w:r>
          </w:p>
        </w:tc>
        <w:tc>
          <w:tcPr>
            <w:tcW w:w="80" w:type="dxa"/>
            <w:vAlign w:val="bottom"/>
          </w:tcPr>
          <w:p>
            <w:pPr>
              <w:spacing w:after="0"/>
              <w:rPr>
                <w:sz w:val="8"/>
                <w:szCs w:val="8"/>
                <w:color w:val="auto"/>
              </w:rPr>
            </w:pPr>
          </w:p>
        </w:tc>
        <w:tc>
          <w:tcPr>
            <w:tcW w:w="460" w:type="dxa"/>
            <w:vAlign w:val="bottom"/>
          </w:tcPr>
          <w:p>
            <w:pPr>
              <w:jc w:val="right"/>
              <w:ind w:right="55"/>
              <w:spacing w:after="0" w:line="96" w:lineRule="exact"/>
              <w:rPr>
                <w:sz w:val="20"/>
                <w:szCs w:val="20"/>
                <w:color w:val="auto"/>
              </w:rPr>
            </w:pPr>
            <w:r>
              <w:rPr>
                <w:rFonts w:ascii="Times New Roman" w:cs="Times New Roman" w:eastAsia="Times New Roman" w:hAnsi="Times New Roman"/>
                <w:sz w:val="9"/>
                <w:szCs w:val="9"/>
                <w:b w:val="1"/>
                <w:bCs w:val="1"/>
                <w:color w:val="auto"/>
                <w:w w:val="96"/>
              </w:rPr>
              <w:t>Dividend</w:t>
            </w:r>
          </w:p>
        </w:tc>
        <w:tc>
          <w:tcPr>
            <w:tcW w:w="280" w:type="dxa"/>
            <w:vAlign w:val="bottom"/>
          </w:tcPr>
          <w:p>
            <w:pPr>
              <w:spacing w:after="0"/>
              <w:rPr>
                <w:sz w:val="8"/>
                <w:szCs w:val="8"/>
                <w:color w:val="auto"/>
              </w:rPr>
            </w:pPr>
          </w:p>
        </w:tc>
        <w:tc>
          <w:tcPr>
            <w:tcW w:w="560" w:type="dxa"/>
            <w:vAlign w:val="bottom"/>
            <w:vMerge w:val="restart"/>
          </w:tcPr>
          <w:p>
            <w:pPr>
              <w:jc w:val="right"/>
              <w:ind w:right="55"/>
              <w:spacing w:after="0"/>
              <w:rPr>
                <w:sz w:val="20"/>
                <w:szCs w:val="20"/>
                <w:color w:val="auto"/>
              </w:rPr>
            </w:pPr>
            <w:r>
              <w:rPr>
                <w:rFonts w:ascii="Times New Roman" w:cs="Times New Roman" w:eastAsia="Times New Roman" w:hAnsi="Times New Roman"/>
                <w:sz w:val="9"/>
                <w:szCs w:val="9"/>
                <w:b w:val="1"/>
                <w:bCs w:val="1"/>
                <w:color w:val="auto"/>
                <w:w w:val="99"/>
              </w:rPr>
              <w:t>Fee Income</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78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center"/>
              <w:ind w:right="15"/>
              <w:spacing w:after="0"/>
              <w:rPr>
                <w:sz w:val="20"/>
                <w:szCs w:val="20"/>
                <w:color w:val="auto"/>
              </w:rPr>
            </w:pPr>
            <w:r>
              <w:rPr>
                <w:rFonts w:ascii="Times New Roman" w:cs="Times New Roman" w:eastAsia="Times New Roman" w:hAnsi="Times New Roman"/>
                <w:sz w:val="9"/>
                <w:szCs w:val="9"/>
                <w:b w:val="1"/>
                <w:bCs w:val="1"/>
                <w:color w:val="auto"/>
                <w:w w:val="98"/>
              </w:rPr>
              <w:t>Debt Investments</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9"/>
                <w:szCs w:val="9"/>
                <w:b w:val="1"/>
                <w:bCs w:val="1"/>
                <w:color w:val="auto"/>
              </w:rPr>
              <w:t>Fair Value</w:t>
            </w:r>
          </w:p>
        </w:tc>
        <w:tc>
          <w:tcPr>
            <w:tcW w:w="2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w w:val="97"/>
              </w:rPr>
              <w:t>Reductions</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gridSpan w:val="3"/>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w w:val="96"/>
              </w:rPr>
              <w:t>Fair Value</w:t>
            </w:r>
          </w:p>
        </w:tc>
        <w:tc>
          <w:tcPr>
            <w:tcW w:w="60" w:type="dxa"/>
            <w:vAlign w:val="bottom"/>
          </w:tcPr>
          <w:p>
            <w:pPr>
              <w:spacing w:after="0"/>
              <w:rPr>
                <w:sz w:val="10"/>
                <w:szCs w:val="10"/>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9"/>
                <w:szCs w:val="9"/>
                <w:b w:val="1"/>
                <w:bCs w:val="1"/>
                <w:color w:val="auto"/>
                <w:w w:val="96"/>
              </w:rPr>
              <w:t>(Losses)</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w w:val="97"/>
              </w:rPr>
              <w:t>(Depreciation)</w:t>
            </w:r>
          </w:p>
        </w:tc>
        <w:tc>
          <w:tcPr>
            <w:tcW w:w="280" w:type="dxa"/>
            <w:vAlign w:val="bottom"/>
          </w:tcPr>
          <w:p>
            <w:pPr>
              <w:spacing w:after="0"/>
              <w:rPr>
                <w:sz w:val="10"/>
                <w:szCs w:val="10"/>
                <w:color w:val="auto"/>
              </w:rPr>
            </w:pPr>
          </w:p>
        </w:tc>
        <w:tc>
          <w:tcPr>
            <w:tcW w:w="400" w:type="dxa"/>
            <w:vAlign w:val="bottom"/>
          </w:tcPr>
          <w:p>
            <w:pPr>
              <w:jc w:val="right"/>
              <w:ind w:right="55"/>
              <w:spacing w:after="0"/>
              <w:rPr>
                <w:sz w:val="20"/>
                <w:szCs w:val="20"/>
                <w:color w:val="auto"/>
              </w:rPr>
            </w:pPr>
            <w:r>
              <w:rPr>
                <w:rFonts w:ascii="Times New Roman" w:cs="Times New Roman" w:eastAsia="Times New Roman" w:hAnsi="Times New Roman"/>
                <w:sz w:val="9"/>
                <w:szCs w:val="9"/>
                <w:b w:val="1"/>
                <w:bCs w:val="1"/>
                <w:color w:val="auto"/>
                <w:w w:val="98"/>
              </w:rPr>
              <w:t>Income</w:t>
            </w:r>
          </w:p>
        </w:tc>
        <w:tc>
          <w:tcPr>
            <w:tcW w:w="280" w:type="dxa"/>
            <w:vAlign w:val="bottom"/>
          </w:tcPr>
          <w:p>
            <w:pPr>
              <w:spacing w:after="0"/>
              <w:rPr>
                <w:sz w:val="10"/>
                <w:szCs w:val="10"/>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9"/>
                <w:szCs w:val="9"/>
                <w:b w:val="1"/>
                <w:bCs w:val="1"/>
                <w:color w:val="auto"/>
              </w:rPr>
              <w:t>Income</w:t>
            </w:r>
          </w:p>
        </w:tc>
        <w:tc>
          <w:tcPr>
            <w:tcW w:w="80" w:type="dxa"/>
            <w:vAlign w:val="bottom"/>
          </w:tcPr>
          <w:p>
            <w:pPr>
              <w:spacing w:after="0"/>
              <w:rPr>
                <w:sz w:val="10"/>
                <w:szCs w:val="10"/>
                <w:color w:val="auto"/>
              </w:rPr>
            </w:pP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9"/>
                <w:szCs w:val="9"/>
                <w:b w:val="1"/>
                <w:bCs w:val="1"/>
                <w:color w:val="auto"/>
              </w:rPr>
              <w:t>Income</w:t>
            </w:r>
          </w:p>
        </w:tc>
        <w:tc>
          <w:tcPr>
            <w:tcW w:w="2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Control Investments</w:t>
            </w:r>
          </w:p>
        </w:tc>
        <w:tc>
          <w:tcPr>
            <w:tcW w:w="14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80" w:type="dxa"/>
            <w:vAlign w:val="bottom"/>
            <w:tcBorders>
              <w:left w:val="single" w:sz="8" w:color="CCEEFF"/>
              <w:right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780" w:type="dxa"/>
            <w:vAlign w:val="bottom"/>
            <w:gridSpan w:val="2"/>
          </w:tcPr>
          <w:p>
            <w:pPr>
              <w:ind w:left="20"/>
              <w:spacing w:after="0" w:line="95" w:lineRule="exact"/>
              <w:rPr>
                <w:sz w:val="20"/>
                <w:szCs w:val="20"/>
                <w:color w:val="auto"/>
              </w:rPr>
            </w:pPr>
            <w:r>
              <w:rPr>
                <w:rFonts w:ascii="Times New Roman" w:cs="Times New Roman" w:eastAsia="Times New Roman" w:hAnsi="Times New Roman"/>
                <w:sz w:val="9"/>
                <w:szCs w:val="9"/>
                <w:color w:val="auto"/>
              </w:rPr>
              <w:t>Hilco Plastics Holdings, LLC (dba Hilco</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780" w:type="dxa"/>
            <w:vAlign w:val="bottom"/>
          </w:tcPr>
          <w:p>
            <w:pPr>
              <w:ind w:left="20"/>
              <w:spacing w:after="0" w:line="135" w:lineRule="exact"/>
              <w:rPr>
                <w:sz w:val="20"/>
                <w:szCs w:val="20"/>
                <w:color w:val="auto"/>
              </w:rPr>
            </w:pPr>
            <w:r>
              <w:rPr>
                <w:rFonts w:ascii="Times New Roman" w:cs="Times New Roman" w:eastAsia="Times New Roman" w:hAnsi="Times New Roman"/>
                <w:sz w:val="9"/>
                <w:szCs w:val="9"/>
                <w:color w:val="auto"/>
              </w:rPr>
              <w:t>Technologies)</w:t>
            </w:r>
            <w:r>
              <w:rPr>
                <w:rFonts w:ascii="Times New Roman" w:cs="Times New Roman" w:eastAsia="Times New Roman" w:hAnsi="Times New Roman"/>
                <w:sz w:val="12"/>
                <w:szCs w:val="12"/>
                <w:color w:val="auto"/>
                <w:vertAlign w:val="superscript"/>
              </w:rPr>
              <w:t>(6)</w:t>
            </w:r>
          </w:p>
        </w:tc>
        <w:tc>
          <w:tcPr>
            <w:tcW w:w="1000" w:type="dxa"/>
            <w:vAlign w:val="bottom"/>
          </w:tcPr>
          <w:p>
            <w:pPr>
              <w:spacing w:after="0"/>
              <w:rPr>
                <w:sz w:val="11"/>
                <w:szCs w:val="1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gridSpan w:val="2"/>
          </w:tcPr>
          <w:p>
            <w:pPr>
              <w:jc w:val="right"/>
              <w:ind w:right="15"/>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tcPr>
          <w:p>
            <w:pPr>
              <w:jc w:val="right"/>
              <w:ind w:right="195"/>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1,577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9"/>
                <w:szCs w:val="9"/>
                <w:color w:val="auto"/>
              </w:rPr>
              <w:t>(1,577 )</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(881 )</w:t>
            </w:r>
          </w:p>
        </w:tc>
        <w:tc>
          <w:tcPr>
            <w:tcW w:w="60" w:type="dxa"/>
            <w:vAlign w:val="bottom"/>
          </w:tcPr>
          <w:p>
            <w:pPr>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308</w:t>
            </w:r>
          </w:p>
        </w:tc>
        <w:tc>
          <w:tcPr>
            <w:tcW w:w="2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568</w:t>
            </w:r>
          </w:p>
        </w:tc>
        <w:tc>
          <w:tcPr>
            <w:tcW w:w="2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8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9"/>
                <w:szCs w:val="9"/>
                <w:color w:val="auto"/>
              </w:rPr>
              <w:t xml:space="preserve">Mesa Line Services, LLC </w:t>
            </w:r>
            <w:r>
              <w:rPr>
                <w:rFonts w:ascii="Times New Roman" w:cs="Times New Roman" w:eastAsia="Times New Roman" w:hAnsi="Times New Roman"/>
                <w:sz w:val="12"/>
                <w:szCs w:val="12"/>
                <w:color w:val="auto"/>
                <w:vertAlign w:val="superscript"/>
              </w:rPr>
              <w:t>(6)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32,708</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9"/>
                <w:szCs w:val="9"/>
                <w:color w:val="auto"/>
              </w:rPr>
              <w:t>(30,557 )</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2,151</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20,445</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2,150</w:t>
            </w:r>
          </w:p>
        </w:tc>
        <w:tc>
          <w:tcPr>
            <w:tcW w:w="280" w:type="dxa"/>
            <w:vAlign w:val="bottom"/>
            <w:tcBorders>
              <w:left w:val="single" w:sz="8" w:color="CCEEFF"/>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951</w:t>
            </w:r>
          </w:p>
        </w:tc>
        <w:tc>
          <w:tcPr>
            <w:tcW w:w="28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903</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1,472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780" w:type="dxa"/>
            <w:vAlign w:val="bottom"/>
            <w:gridSpan w:val="2"/>
          </w:tcPr>
          <w:p>
            <w:pPr>
              <w:ind w:left="20"/>
              <w:spacing w:after="0" w:line="95" w:lineRule="exact"/>
              <w:rPr>
                <w:sz w:val="20"/>
                <w:szCs w:val="20"/>
                <w:color w:val="auto"/>
              </w:rPr>
            </w:pPr>
            <w:r>
              <w:rPr>
                <w:rFonts w:ascii="Times New Roman" w:cs="Times New Roman" w:eastAsia="Times New Roman" w:hAnsi="Times New Roman"/>
                <w:sz w:val="9"/>
                <w:szCs w:val="9"/>
                <w:color w:val="auto"/>
              </w:rPr>
              <w:t>Spectra A&amp;D Acquisition, Inc. (fka FDS</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780" w:type="dxa"/>
            <w:vAlign w:val="bottom"/>
          </w:tcPr>
          <w:p>
            <w:pPr>
              <w:ind w:left="20"/>
              <w:spacing w:after="0" w:line="135" w:lineRule="exact"/>
              <w:rPr>
                <w:sz w:val="20"/>
                <w:szCs w:val="20"/>
                <w:color w:val="auto"/>
              </w:rPr>
            </w:pPr>
            <w:r>
              <w:rPr>
                <w:rFonts w:ascii="Times New Roman" w:cs="Times New Roman" w:eastAsia="Times New Roman" w:hAnsi="Times New Roman"/>
                <w:sz w:val="9"/>
                <w:szCs w:val="9"/>
                <w:color w:val="auto"/>
              </w:rPr>
              <w:t>Avionics Corp.)</w:t>
            </w:r>
            <w:r>
              <w:rPr>
                <w:rFonts w:ascii="Times New Roman" w:cs="Times New Roman" w:eastAsia="Times New Roman" w:hAnsi="Times New Roman"/>
                <w:sz w:val="12"/>
                <w:szCs w:val="12"/>
                <w:color w:val="auto"/>
                <w:vertAlign w:val="superscript"/>
              </w:rPr>
              <w:t>(5)</w:t>
            </w: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7,391</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1,986</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9"/>
                <w:szCs w:val="9"/>
                <w:color w:val="auto"/>
              </w:rPr>
              <w:t>(9,377 )</w:t>
            </w:r>
          </w:p>
        </w:tc>
        <w:tc>
          <w:tcPr>
            <w:tcW w:w="80" w:type="dxa"/>
            <w:vAlign w:val="bottom"/>
          </w:tcPr>
          <w:p>
            <w:pPr>
              <w:spacing w:after="0"/>
              <w:rPr>
                <w:sz w:val="11"/>
                <w:szCs w:val="11"/>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957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1,028</w:t>
            </w:r>
          </w:p>
        </w:tc>
        <w:tc>
          <w:tcPr>
            <w:tcW w:w="2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90</w:t>
            </w:r>
          </w:p>
        </w:tc>
        <w:tc>
          <w:tcPr>
            <w:tcW w:w="280" w:type="dxa"/>
            <w:vAlign w:val="bottom"/>
          </w:tcPr>
          <w:p>
            <w:pPr>
              <w:spacing w:after="0"/>
              <w:rPr>
                <w:sz w:val="11"/>
                <w:szCs w:val="11"/>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w w:val="96"/>
              </w:rPr>
              <w:t>US GreenFiber, LLC</w:t>
            </w: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5,226</w:t>
            </w: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20,862</w:t>
            </w: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5,214</w:t>
            </w: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9"/>
                <w:szCs w:val="9"/>
                <w:color w:val="auto"/>
              </w:rPr>
              <w:t>(26,076 )</w:t>
            </w: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(3,144 )</w:t>
            </w:r>
          </w:p>
        </w:tc>
        <w:tc>
          <w:tcPr>
            <w:tcW w:w="280" w:type="dxa"/>
            <w:vAlign w:val="bottom"/>
            <w:tcBorders>
              <w:left w:val="single" w:sz="8" w:color="CCEEFF"/>
              <w:right w:val="single" w:sz="8" w:color="CCEEFF"/>
            </w:tcBorders>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2,386</w:t>
            </w:r>
          </w:p>
        </w:tc>
        <w:tc>
          <w:tcPr>
            <w:tcW w:w="28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1,214</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Total Control Investments</w:t>
            </w:r>
          </w:p>
        </w:tc>
        <w:tc>
          <w:tcPr>
            <w:tcW w:w="14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5,226</w:t>
            </w:r>
          </w:p>
        </w:tc>
        <w:tc>
          <w:tcPr>
            <w:tcW w:w="260" w:type="dxa"/>
            <w:vAlign w:val="bottom"/>
          </w:tcPr>
          <w:p>
            <w:pPr>
              <w:spacing w:after="0"/>
              <w:rPr>
                <w:sz w:val="9"/>
                <w:szCs w:val="9"/>
                <w:color w:val="auto"/>
              </w:rPr>
            </w:pPr>
          </w:p>
        </w:tc>
        <w:tc>
          <w:tcPr>
            <w:tcW w:w="1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28,253</w:t>
            </w:r>
          </w:p>
        </w:tc>
        <w:tc>
          <w:tcPr>
            <w:tcW w:w="240" w:type="dxa"/>
            <w:vAlign w:val="bottom"/>
          </w:tcPr>
          <w:p>
            <w:pPr>
              <w:spacing w:after="0"/>
              <w:rPr>
                <w:sz w:val="9"/>
                <w:szCs w:val="9"/>
                <w:color w:val="auto"/>
              </w:rPr>
            </w:pPr>
          </w:p>
        </w:tc>
        <w:tc>
          <w:tcPr>
            <w:tcW w:w="30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41,485</w:t>
            </w:r>
          </w:p>
        </w:tc>
        <w:tc>
          <w:tcPr>
            <w:tcW w:w="24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9"/>
                <w:szCs w:val="9"/>
                <w:color w:val="auto"/>
              </w:rPr>
              <w:t>(67,587 )</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2,151</w:t>
            </w:r>
          </w:p>
        </w:tc>
        <w:tc>
          <w:tcPr>
            <w:tcW w:w="26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20,521</w:t>
            </w:r>
          </w:p>
        </w:tc>
        <w:tc>
          <w:tcPr>
            <w:tcW w:w="220" w:type="dxa"/>
            <w:vAlign w:val="bottom"/>
          </w:tcPr>
          <w:p>
            <w:pPr>
              <w:spacing w:after="0"/>
              <w:rPr>
                <w:sz w:val="9"/>
                <w:szCs w:val="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34</w:t>
            </w:r>
          </w:p>
        </w:tc>
        <w:tc>
          <w:tcPr>
            <w:tcW w:w="2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3,735</w:t>
            </w:r>
          </w:p>
        </w:tc>
        <w:tc>
          <w:tcPr>
            <w:tcW w:w="2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2,117</w:t>
            </w:r>
          </w:p>
        </w:tc>
        <w:tc>
          <w:tcPr>
            <w:tcW w:w="200" w:type="dxa"/>
            <w:vAlign w:val="bottom"/>
          </w:tcPr>
          <w:p>
            <w:pPr>
              <w:spacing w:after="0"/>
              <w:rPr>
                <w:sz w:val="9"/>
                <w:szCs w:val="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568</w:t>
            </w:r>
          </w:p>
        </w:tc>
        <w:tc>
          <w:tcPr>
            <w:tcW w:w="2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1,872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Affiliate Investments</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80" w:type="dxa"/>
            <w:vAlign w:val="bottom"/>
            <w:tcBorders>
              <w:left w:val="single" w:sz="8" w:color="CCEEFF"/>
              <w:righ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80" w:type="dxa"/>
            <w:vAlign w:val="bottom"/>
            <w:tcBorders>
              <w:right w:val="single" w:sz="8" w:color="CCEEFF"/>
            </w:tcBorders>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80" w:type="dxa"/>
            <w:vAlign w:val="bottom"/>
            <w:tcBorders>
              <w:right w:val="single" w:sz="8" w:color="CCEEFF"/>
            </w:tcBorders>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780" w:type="dxa"/>
            <w:vAlign w:val="bottom"/>
            <w:gridSpan w:val="2"/>
          </w:tcPr>
          <w:p>
            <w:pPr>
              <w:ind w:left="20"/>
              <w:spacing w:after="0" w:line="99" w:lineRule="exact"/>
              <w:rPr>
                <w:sz w:val="20"/>
                <w:szCs w:val="20"/>
                <w:color w:val="auto"/>
              </w:rPr>
            </w:pPr>
            <w:r>
              <w:rPr>
                <w:rFonts w:ascii="Times New Roman" w:cs="Times New Roman" w:eastAsia="Times New Roman" w:hAnsi="Times New Roman"/>
                <w:sz w:val="9"/>
                <w:szCs w:val="9"/>
                <w:color w:val="auto"/>
              </w:rPr>
              <w:t>Applegate Greenfiber Intermediate Inc. (fka</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US GreenFiber, LLC)</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9,602</w:t>
            </w:r>
          </w:p>
        </w:tc>
        <w:tc>
          <w:tcPr>
            <w:tcW w:w="380" w:type="dxa"/>
            <w:vAlign w:val="bottom"/>
            <w:gridSpan w:val="2"/>
          </w:tcPr>
          <w:p>
            <w:pPr>
              <w:jc w:val="right"/>
              <w:ind w:right="15"/>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tcPr>
          <w:p>
            <w:pPr>
              <w:jc w:val="right"/>
              <w:ind w:right="195"/>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22,405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22,405</w:t>
            </w:r>
          </w:p>
        </w:tc>
        <w:tc>
          <w:tcPr>
            <w:tcW w:w="26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FAR Research Inc.</w:t>
            </w: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28</w:t>
            </w: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28</w:t>
            </w: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Borders>
              <w:left w:val="single" w:sz="8" w:color="CCEEFF"/>
              <w:right w:val="single" w:sz="8" w:color="CCEEFF"/>
            </w:tcBorders>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80" w:type="dxa"/>
            <w:vAlign w:val="bottom"/>
          </w:tcPr>
          <w:p>
            <w:pPr>
              <w:ind w:left="20"/>
              <w:spacing w:after="0"/>
              <w:rPr>
                <w:sz w:val="20"/>
                <w:szCs w:val="20"/>
                <w:color w:val="auto"/>
              </w:rPr>
            </w:pPr>
            <w:r>
              <w:rPr>
                <w:rFonts w:ascii="Times New Roman" w:cs="Times New Roman" w:eastAsia="Times New Roman" w:hAnsi="Times New Roman"/>
                <w:sz w:val="9"/>
                <w:szCs w:val="9"/>
                <w:color w:val="auto"/>
              </w:rPr>
              <w:t>Fiber Materials, Inc.</w:t>
            </w: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41</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94</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9"/>
                <w:szCs w:val="9"/>
                <w:color w:val="auto"/>
              </w:rPr>
              <w:t>(135 )</w:t>
            </w: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94</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(42 )</w:t>
            </w:r>
          </w:p>
        </w:tc>
        <w:tc>
          <w:tcPr>
            <w:tcW w:w="2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Medsurant Holdings, LLC</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10,960</w:t>
            </w: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73"/>
              </w:rPr>
              <w:t>733</w:t>
            </w: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9"/>
                <w:szCs w:val="9"/>
                <w:color w:val="auto"/>
              </w:rPr>
              <w:t>(8,031 )</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3,662</w:t>
            </w: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687</w:t>
            </w:r>
          </w:p>
        </w:tc>
        <w:tc>
          <w:tcPr>
            <w:tcW w:w="280" w:type="dxa"/>
            <w:vAlign w:val="bottom"/>
            <w:tcBorders>
              <w:left w:val="single" w:sz="8" w:color="CCEEFF"/>
              <w:right w:val="single" w:sz="8" w:color="CCEEFF"/>
            </w:tcBorders>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331</w:t>
            </w:r>
          </w:p>
        </w:tc>
        <w:tc>
          <w:tcPr>
            <w:tcW w:w="280" w:type="dxa"/>
            <w:vAlign w:val="bottom"/>
            <w:tcBorders>
              <w:right w:val="single" w:sz="8" w:color="CCEEFF"/>
            </w:tcBorders>
            <w:shd w:val="clear" w:color="auto" w:fill="CCEEFF"/>
          </w:tcPr>
          <w:p>
            <w:pPr>
              <w:spacing w:after="0"/>
              <w:rPr>
                <w:sz w:val="10"/>
                <w:szCs w:val="10"/>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91</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80" w:type="dxa"/>
            <w:vAlign w:val="bottom"/>
          </w:tcPr>
          <w:p>
            <w:pPr>
              <w:ind w:left="20"/>
              <w:spacing w:after="0"/>
              <w:rPr>
                <w:sz w:val="20"/>
                <w:szCs w:val="20"/>
                <w:color w:val="auto"/>
              </w:rPr>
            </w:pPr>
            <w:r>
              <w:rPr>
                <w:rFonts w:ascii="Times New Roman" w:cs="Times New Roman" w:eastAsia="Times New Roman" w:hAnsi="Times New Roman"/>
                <w:sz w:val="9"/>
                <w:szCs w:val="9"/>
                <w:color w:val="auto"/>
                <w:w w:val="97"/>
              </w:rPr>
              <w:t>Mirage Trailers LLC</w:t>
            </w: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6,705</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6,494</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4,225</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9"/>
                <w:szCs w:val="9"/>
                <w:color w:val="auto"/>
                <w:w w:val="92"/>
              </w:rPr>
              <w:t>(44 )</w:t>
            </w: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10,675</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3,871</w:t>
            </w:r>
          </w:p>
        </w:tc>
        <w:tc>
          <w:tcPr>
            <w:tcW w:w="2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761</w:t>
            </w:r>
          </w:p>
        </w:tc>
        <w:tc>
          <w:tcPr>
            <w:tcW w:w="2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338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110</w:t>
            </w:r>
          </w:p>
        </w:tc>
        <w:tc>
          <w:tcPr>
            <w:tcW w:w="2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Pfanstiehl, Inc.</w:t>
            </w: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33,505</w:t>
            </w: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24,134</w:t>
            </w: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57,639</w:t>
            </w: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24,135</w:t>
            </w:r>
          </w:p>
        </w:tc>
        <w:tc>
          <w:tcPr>
            <w:tcW w:w="280" w:type="dxa"/>
            <w:vAlign w:val="bottom"/>
            <w:tcBorders>
              <w:left w:val="single" w:sz="8" w:color="CCEEFF"/>
              <w:right w:val="single" w:sz="8" w:color="CCEEFF"/>
            </w:tcBorders>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1,062</w:t>
            </w:r>
          </w:p>
        </w:tc>
        <w:tc>
          <w:tcPr>
            <w:tcW w:w="28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80" w:type="dxa"/>
            <w:vAlign w:val="bottom"/>
          </w:tcPr>
          <w:p>
            <w:pPr>
              <w:ind w:left="20"/>
              <w:spacing w:after="0"/>
              <w:rPr>
                <w:sz w:val="20"/>
                <w:szCs w:val="20"/>
                <w:color w:val="auto"/>
              </w:rPr>
            </w:pPr>
            <w:r>
              <w:rPr>
                <w:rFonts w:ascii="Times New Roman" w:cs="Times New Roman" w:eastAsia="Times New Roman" w:hAnsi="Times New Roman"/>
                <w:sz w:val="9"/>
                <w:szCs w:val="9"/>
                <w:color w:val="auto"/>
              </w:rPr>
              <w:t>Pinnergy, Ltd.</w:t>
            </w: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20,589</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9"/>
                <w:szCs w:val="9"/>
                <w:color w:val="auto"/>
                <w:w w:val="73"/>
              </w:rPr>
              <w:t>589</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21,178</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589</w:t>
            </w:r>
          </w:p>
        </w:tc>
        <w:tc>
          <w:tcPr>
            <w:tcW w:w="2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780" w:type="dxa"/>
            <w:vAlign w:val="bottom"/>
            <w:gridSpan w:val="2"/>
            <w:shd w:val="clear" w:color="auto" w:fill="CCEEFF"/>
          </w:tcPr>
          <w:p>
            <w:pPr>
              <w:ind w:left="20"/>
              <w:spacing w:after="0" w:line="95" w:lineRule="exact"/>
              <w:rPr>
                <w:sz w:val="20"/>
                <w:szCs w:val="20"/>
                <w:color w:val="auto"/>
              </w:rPr>
            </w:pPr>
            <w:r>
              <w:rPr>
                <w:rFonts w:ascii="Times New Roman" w:cs="Times New Roman" w:eastAsia="Times New Roman" w:hAnsi="Times New Roman"/>
                <w:sz w:val="9"/>
                <w:szCs w:val="9"/>
                <w:color w:val="auto"/>
              </w:rPr>
              <w:t>Spectra A&amp;D Acquisition, Inc. (fka FDS</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80" w:type="dxa"/>
            <w:vAlign w:val="bottom"/>
            <w:tcBorders>
              <w:left w:val="single" w:sz="8" w:color="CCEEFF"/>
              <w:righ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80" w:type="dxa"/>
            <w:vAlign w:val="bottom"/>
            <w:tcBorders>
              <w:right w:val="single" w:sz="8" w:color="CCEEFF"/>
            </w:tcBorders>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80" w:type="dxa"/>
            <w:vAlign w:val="bottom"/>
            <w:tcBorders>
              <w:right w:val="single" w:sz="8" w:color="CCEEFF"/>
            </w:tcBorders>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9"/>
                <w:szCs w:val="9"/>
                <w:color w:val="auto"/>
              </w:rPr>
              <w:t>Avionics Corp.)</w:t>
            </w:r>
            <w:r>
              <w:rPr>
                <w:rFonts w:ascii="Times New Roman" w:cs="Times New Roman" w:eastAsia="Times New Roman" w:hAnsi="Times New Roman"/>
                <w:sz w:val="12"/>
                <w:szCs w:val="12"/>
                <w:color w:val="auto"/>
                <w:vertAlign w:val="superscript"/>
              </w:rPr>
              <w:t>(5)</w:t>
            </w: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13,000</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18,452</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9"/>
                <w:szCs w:val="9"/>
                <w:color w:val="auto"/>
                <w:w w:val="92"/>
              </w:rPr>
              <w:t>(93 )</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18,359</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1,626</w:t>
            </w:r>
          </w:p>
        </w:tc>
        <w:tc>
          <w:tcPr>
            <w:tcW w:w="280" w:type="dxa"/>
            <w:vAlign w:val="bottom"/>
            <w:tcBorders>
              <w:left w:val="single" w:sz="8" w:color="CCEEFF"/>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1,142</w:t>
            </w:r>
          </w:p>
        </w:tc>
        <w:tc>
          <w:tcPr>
            <w:tcW w:w="280" w:type="dxa"/>
            <w:vAlign w:val="bottom"/>
            <w:tcBorders>
              <w:right w:val="single" w:sz="8" w:color="CCEEFF"/>
            </w:tcBorders>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294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80" w:type="dxa"/>
            <w:vAlign w:val="bottom"/>
            <w:gridSpan w:val="2"/>
          </w:tcPr>
          <w:p>
            <w:pPr>
              <w:ind w:left="20"/>
              <w:spacing w:after="0" w:line="99" w:lineRule="exact"/>
              <w:rPr>
                <w:sz w:val="20"/>
                <w:szCs w:val="20"/>
                <w:color w:val="auto"/>
              </w:rPr>
            </w:pPr>
            <w:r>
              <w:rPr>
                <w:rFonts w:ascii="Times New Roman" w:cs="Times New Roman" w:eastAsia="Times New Roman" w:hAnsi="Times New Roman"/>
                <w:sz w:val="9"/>
                <w:szCs w:val="9"/>
                <w:color w:val="auto"/>
              </w:rPr>
              <w:t>Steward Holding LLC (dba Steward</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9,777</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9"/>
                <w:szCs w:val="9"/>
                <w:color w:val="auto"/>
              </w:rPr>
              <w:t>1,373</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9"/>
                <w:szCs w:val="9"/>
                <w:color w:val="auto"/>
              </w:rPr>
              <w:t>(7,812 )</w:t>
            </w:r>
          </w:p>
        </w:tc>
        <w:tc>
          <w:tcPr>
            <w:tcW w:w="80" w:type="dxa"/>
            <w:vAlign w:val="bottom"/>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3,338</w:t>
            </w: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1,341</w:t>
            </w:r>
          </w:p>
        </w:tc>
        <w:tc>
          <w:tcPr>
            <w:tcW w:w="280" w:type="dxa"/>
            <w:vAlign w:val="bottom"/>
          </w:tcPr>
          <w:p>
            <w:pPr>
              <w:spacing w:after="0"/>
              <w:rPr>
                <w:sz w:val="8"/>
                <w:szCs w:val="8"/>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461</w:t>
            </w:r>
          </w:p>
        </w:tc>
        <w:tc>
          <w:tcPr>
            <w:tcW w:w="28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30</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780" w:type="dxa"/>
            <w:vAlign w:val="bottom"/>
          </w:tcPr>
          <w:p>
            <w:pPr>
              <w:ind w:left="20"/>
              <w:spacing w:after="0"/>
              <w:rPr>
                <w:sz w:val="20"/>
                <w:szCs w:val="20"/>
                <w:color w:val="auto"/>
              </w:rPr>
            </w:pPr>
            <w:r>
              <w:rPr>
                <w:rFonts w:ascii="Times New Roman" w:cs="Times New Roman" w:eastAsia="Times New Roman" w:hAnsi="Times New Roman"/>
                <w:sz w:val="9"/>
                <w:szCs w:val="9"/>
                <w:color w:val="auto"/>
                <w:w w:val="97"/>
              </w:rPr>
              <w:t>Advanced Materials)</w:t>
            </w: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Total Affiliate Investments</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29,307</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81,394</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72,005</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8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9"/>
                <w:szCs w:val="9"/>
                <w:color w:val="auto"/>
              </w:rPr>
              <w:t>(16,115 )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137,284</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94</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32,207</w:t>
            </w:r>
          </w:p>
        </w:tc>
        <w:tc>
          <w:tcPr>
            <w:tcW w:w="28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2,695</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368</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1,172</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385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-1173480</wp:posOffset>
            </wp:positionV>
            <wp:extent cx="76835" cy="1117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-1173480</wp:posOffset>
            </wp:positionV>
            <wp:extent cx="76835" cy="1117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-1173480</wp:posOffset>
            </wp:positionV>
            <wp:extent cx="76835" cy="1117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-1173480</wp:posOffset>
            </wp:positionV>
            <wp:extent cx="77470" cy="1117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11176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-1173480</wp:posOffset>
            </wp:positionV>
            <wp:extent cx="77470" cy="1117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11176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-1173480</wp:posOffset>
            </wp:positionV>
            <wp:extent cx="68580" cy="1117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-1173480</wp:posOffset>
            </wp:positionV>
            <wp:extent cx="68580" cy="1117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-1173480</wp:posOffset>
            </wp:positionV>
            <wp:extent cx="68580" cy="1117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-1173480</wp:posOffset>
            </wp:positionV>
            <wp:extent cx="68580" cy="1117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-1173480</wp:posOffset>
            </wp:positionV>
            <wp:extent cx="68580" cy="1117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-1173480</wp:posOffset>
            </wp:positionV>
            <wp:extent cx="68580" cy="1117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-24765</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-7620</wp:posOffset>
            </wp:positionV>
            <wp:extent cx="768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-24765</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-7620</wp:posOffset>
            </wp:positionV>
            <wp:extent cx="768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-24765</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-7620</wp:posOffset>
            </wp:positionV>
            <wp:extent cx="768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-24765</wp:posOffset>
            </wp:positionV>
            <wp:extent cx="774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-7620</wp:posOffset>
            </wp:positionV>
            <wp:extent cx="774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-24765</wp:posOffset>
            </wp:positionV>
            <wp:extent cx="774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-7620</wp:posOffset>
            </wp:positionV>
            <wp:extent cx="77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ind w:left="360" w:hanging="339"/>
        <w:spacing w:after="0"/>
        <w:tabs>
          <w:tab w:leader="none" w:pos="3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investment type, industry, ownership detail for equity investments, and if the investment is income producing is disclosed in the consolidated schedule of investments.</w:t>
      </w:r>
    </w:p>
    <w:p>
      <w:pPr>
        <w:spacing w:after="0" w:line="17" w:lineRule="exact"/>
        <w:rPr>
          <w:rFonts w:ascii="Times New Roman" w:cs="Times New Roman" w:eastAsia="Times New Roman" w:hAnsi="Times New Roman"/>
          <w:sz w:val="14"/>
          <w:szCs w:val="14"/>
          <w:color w:val="auto"/>
        </w:rPr>
      </w:pPr>
    </w:p>
    <w:p>
      <w:pPr>
        <w:ind w:left="360" w:right="20" w:hanging="339"/>
        <w:spacing w:after="0" w:line="233" w:lineRule="auto"/>
        <w:tabs>
          <w:tab w:leader="none" w:pos="3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p>
      <w:pPr>
        <w:ind w:left="360" w:right="420" w:hanging="339"/>
        <w:spacing w:after="0" w:line="233" w:lineRule="auto"/>
        <w:tabs>
          <w:tab w:leader="none" w:pos="3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p>
      <w:pPr>
        <w:spacing w:after="0" w:line="1" w:lineRule="exact"/>
        <w:rPr>
          <w:rFonts w:ascii="Times New Roman" w:cs="Times New Roman" w:eastAsia="Times New Roman" w:hAnsi="Times New Roman"/>
          <w:sz w:val="14"/>
          <w:szCs w:val="14"/>
          <w:color w:val="auto"/>
        </w:rPr>
      </w:pPr>
    </w:p>
    <w:p>
      <w:pPr>
        <w:ind w:left="360" w:right="160" w:hanging="339"/>
        <w:spacing w:after="0" w:line="233" w:lineRule="auto"/>
        <w:tabs>
          <w:tab w:leader="none" w:pos="3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p>
      <w:pPr>
        <w:ind w:left="360" w:hanging="339"/>
        <w:spacing w:after="0"/>
        <w:tabs>
          <w:tab w:leader="none" w:pos="3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company was transferred to Affiliate investments from Control investments during the year ended December 31, 2021.</w:t>
      </w:r>
    </w:p>
    <w:p>
      <w:pPr>
        <w:spacing w:after="0" w:line="4" w:lineRule="exact"/>
        <w:rPr>
          <w:rFonts w:ascii="Times New Roman" w:cs="Times New Roman" w:eastAsia="Times New Roman" w:hAnsi="Times New Roman"/>
          <w:sz w:val="14"/>
          <w:szCs w:val="14"/>
          <w:color w:val="auto"/>
        </w:rPr>
      </w:pPr>
    </w:p>
    <w:p>
      <w:pPr>
        <w:ind w:left="360" w:hanging="339"/>
        <w:spacing w:after="0"/>
        <w:tabs>
          <w:tab w:leader="none" w:pos="3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company was transferred to Control investments from Non-control/Non-affiliate investments during the year ended December 31, 2021.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60" w:lineRule="exact"/>
        <w:rPr>
          <w:sz w:val="20"/>
          <w:szCs w:val="20"/>
          <w:color w:val="auto"/>
        </w:rPr>
      </w:pPr>
    </w:p>
    <w:p>
      <w:pPr>
        <w:jc w:val="both"/>
        <w:ind w:firstLine="478"/>
        <w:spacing w:after="0" w:line="245" w:lineRule="auto"/>
        <w:rPr>
          <w:sz w:val="20"/>
          <w:szCs w:val="20"/>
          <w:color w:val="auto"/>
        </w:rPr>
      </w:pPr>
      <w:r>
        <w:rPr>
          <w:rFonts w:ascii="Times New Roman" w:cs="Times New Roman" w:eastAsia="Times New Roman" w:hAnsi="Times New Roman"/>
          <w:sz w:val="18"/>
          <w:szCs w:val="18"/>
          <w:color w:val="auto"/>
        </w:rPr>
        <w:t>The Board has established and documented processes and methodologies for determining the fair values of portfolio company investments on a recurring basis in accordance with ASC Topic 820 and consistent with the requirements of the 1940 Act. Fair value is the price, determined at the measurement date, that would be received in the sale of an asset or paid to transfer a liability in an orderly transaction between market participants. Where available, fair value is based on observable market prices or parameters, or derived from such prices or parameters. Where observable prices or inputs are not available or reliable, valuation techniques described below are applied. Under ASC Topic 820, portfolio investments recorded at fair value in the consolidated financial statements are classified within the fair value hierarchy based upon the level of judgment associated with the inputs used to measure their value, as defined below:</w:t>
      </w:r>
    </w:p>
    <w:p>
      <w:pPr>
        <w:spacing w:after="0" w:line="1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Inputs are unadjusted, quoted prices in active markets for identical assets as of the measurement date.</w:t>
      </w:r>
    </w:p>
    <w:p>
      <w:pPr>
        <w:spacing w:after="0" w:line="158" w:lineRule="exact"/>
        <w:rPr>
          <w:sz w:val="20"/>
          <w:szCs w:val="20"/>
          <w:color w:val="auto"/>
        </w:rPr>
      </w:pPr>
    </w:p>
    <w:p>
      <w:pPr>
        <w:jc w:val="both"/>
        <w:ind w:firstLine="47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include quoted prices for similar assets in active markets, or that are quoted prices for identical or similar assets in markets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active and inputs that are observable, either directly or indirectly, for substantially the full term, if applicable, of the investment.</w:t>
      </w:r>
    </w:p>
    <w:p>
      <w:pPr>
        <w:spacing w:after="0" w:line="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Inputs include those that are both unobservable and significant to the overall fair value measurement.</w:t>
      </w:r>
    </w:p>
    <w:p>
      <w:pPr>
        <w:spacing w:after="0" w:line="1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39" w:lineRule="exact"/>
        <w:rPr>
          <w:sz w:val="20"/>
          <w:szCs w:val="20"/>
          <w:color w:val="auto"/>
        </w:rPr>
      </w:pPr>
    </w:p>
    <w:p>
      <w:pPr>
        <w:jc w:val="both"/>
        <w:ind w:firstLine="478"/>
        <w:spacing w:after="0" w:line="243" w:lineRule="auto"/>
        <w:rPr>
          <w:sz w:val="20"/>
          <w:szCs w:val="20"/>
          <w:color w:val="auto"/>
        </w:rPr>
      </w:pPr>
      <w:r>
        <w:rPr>
          <w:rFonts w:ascii="Times New Roman" w:cs="Times New Roman" w:eastAsia="Times New Roman" w:hAnsi="Times New Roman"/>
          <w:sz w:val="18"/>
          <w:szCs w:val="18"/>
          <w:color w:val="auto"/>
        </w:rPr>
        <w:t>An investment’s categorization within the valuation hierarchy is based upon the lowest level of input that is significant to the fair value measurement. The Company’s investment portfolio is comprised entirely of debt and equity securities of privately held companies for which quoted prices falling within the categories of Level 1 and Level 2 inputs are not available, with the exception of money market funds and one portfolio company, which are valued using Level 1 inputs as of September 30, 2022. Therefore, the Company values all of its portfolio investments at fair value, as determined in good faith by the Board, using Level 3 inputs, except for money market funds and one portfolio company that was valued using Level 1 inputs as of September 30, 2022. The degree of judgment exercised by the Board in determining fair value is greatest for investments classified as Level 3 inputs. Due to the inherent uncertainty of determining the fair values of investments that do not have readily available market values, the Board’s estimate of fair values may differ significantly from the values that would have been used had a ready market for the securities existed, and those differences may be material. In addition, changes in the market environment, portfolio company performance and other events that may occur over the lives of the investments may cause the amounts ultimately realized on these investments to be materially different than the valuations currently assigned.</w:t>
      </w:r>
    </w:p>
    <w:p>
      <w:pPr>
        <w:spacing w:after="0" w:line="132" w:lineRule="exact"/>
        <w:rPr>
          <w:sz w:val="20"/>
          <w:szCs w:val="20"/>
          <w:color w:val="auto"/>
        </w:rPr>
      </w:pPr>
    </w:p>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With respect to investments for which market quotations are not readily available, the Board undertakes a multi-step valuation process each quarter, as described below:</w:t>
      </w:r>
    </w:p>
    <w:p>
      <w:pPr>
        <w:spacing w:after="0" w:line="68" w:lineRule="exact"/>
        <w:rPr>
          <w:sz w:val="20"/>
          <w:szCs w:val="20"/>
          <w:color w:val="auto"/>
        </w:rPr>
      </w:pPr>
    </w:p>
    <w:p>
      <w:pPr>
        <w:ind w:left="960" w:right="20" w:hanging="473"/>
        <w:spacing w:after="0" w:line="266"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valuation process begins with each portfolio company or investment being initially evaluated and rated by the investment professionals of the Investment Advisor responsible for the portfolio investment;</w:t>
      </w:r>
    </w:p>
    <w:p>
      <w:pPr>
        <w:spacing w:after="0" w:line="54"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then documented and discussed with the investment committee of the Investment Advisor;</w:t>
      </w:r>
    </w:p>
    <w:p>
      <w:pPr>
        <w:spacing w:after="0" w:line="117" w:lineRule="exact"/>
        <w:rPr>
          <w:rFonts w:ascii="Times New Roman" w:cs="Times New Roman" w:eastAsia="Times New Roman" w:hAnsi="Times New Roman"/>
          <w:sz w:val="18"/>
          <w:szCs w:val="18"/>
          <w:color w:val="auto"/>
        </w:rPr>
      </w:pPr>
    </w:p>
    <w:p>
      <w:pPr>
        <w:jc w:val="both"/>
        <w:ind w:left="960" w:hanging="473"/>
        <w:spacing w:after="0" w:line="245"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the Company may determine that it is not cost-effective, and as a result it is not in the Company’s stockholders’ best interest, to request the independent appraisal of certain portfolio company investments. Such instances include, but are not limited to, situations where the Company determines that the fair value of the portfolio company investment is relatively insignificant to the fair value of the total portfolio.</w:t>
      </w:r>
    </w:p>
    <w:p>
      <w:pPr>
        <w:spacing w:after="0" w:line="73" w:lineRule="exact"/>
        <w:rPr>
          <w:rFonts w:ascii="Times New Roman" w:cs="Times New Roman" w:eastAsia="Times New Roman" w:hAnsi="Times New Roman"/>
          <w:sz w:val="18"/>
          <w:szCs w:val="18"/>
          <w:color w:val="auto"/>
        </w:rPr>
      </w:pPr>
    </w:p>
    <w:p>
      <w:pPr>
        <w:ind w:left="960" w:hanging="473"/>
        <w:spacing w:after="0" w:line="266"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of the Board reviews the preliminary valuations of the Investment Advisor and of the independent valuation firm(s) and responds and supplements the valuation recommendations to reflect any comments; and</w:t>
      </w:r>
    </w:p>
    <w:p>
      <w:pPr>
        <w:spacing w:after="0" w:line="54" w:lineRule="exact"/>
        <w:rPr>
          <w:rFonts w:ascii="Times New Roman" w:cs="Times New Roman" w:eastAsia="Times New Roman" w:hAnsi="Times New Roman"/>
          <w:sz w:val="18"/>
          <w:szCs w:val="18"/>
          <w:color w:val="auto"/>
        </w:rPr>
      </w:pPr>
    </w:p>
    <w:p>
      <w:pPr>
        <w:ind w:left="960" w:hanging="473"/>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discusses these valuations and determines the fair value of each investment in our portfolio in good faith, based on the input of the Investment Advisor, the independent valuation firm(s) and the audit committee.</w:t>
      </w:r>
    </w:p>
    <w:p>
      <w:pPr>
        <w:spacing w:after="0" w:line="94"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In making the good faith determination of the value of portfolio investments, the Board starts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15" w:lineRule="exact"/>
        <w:rPr>
          <w:sz w:val="20"/>
          <w:szCs w:val="20"/>
          <w:color w:val="auto"/>
        </w:rPr>
      </w:pPr>
    </w:p>
    <w:p>
      <w:pPr>
        <w:jc w:val="both"/>
        <w:ind w:firstLine="478"/>
        <w:spacing w:after="0" w:line="247" w:lineRule="auto"/>
        <w:rPr>
          <w:sz w:val="20"/>
          <w:szCs w:val="20"/>
          <w:color w:val="auto"/>
        </w:rPr>
      </w:pPr>
      <w:r>
        <w:rPr>
          <w:rFonts w:ascii="Times New Roman" w:cs="Times New Roman" w:eastAsia="Times New Roman" w:hAnsi="Times New Roman"/>
          <w:sz w:val="18"/>
          <w:szCs w:val="18"/>
          <w:color w:val="auto"/>
        </w:rPr>
        <w:t>Consistent with the policies and methodologies adopted by the Board, the Company performs detailed valuations of its debt and equity investments, including an analysis on the Company’s unfunded debt investment commitments, using both the market and income approaches as appropriate. Under the market approach, the Company typically uses the enterprise value methodology to determine the fair value of an investment. There is no one methodology to estimate enterprise value and, in fact, for any one portfolio company, enterprise value is generally best expressed as a range of values, from which the Company derives a single estimate of enterprise value. Under the income approach, the Company typically prepares and analyzes discounted cash flow models to estimate the present value of future cash flows of either an individual debt investment or of the underlying portfolio company itself.</w:t>
      </w:r>
    </w:p>
    <w:p>
      <w:pPr>
        <w:spacing w:after="0" w:line="126" w:lineRule="exact"/>
        <w:rPr>
          <w:sz w:val="20"/>
          <w:szCs w:val="20"/>
          <w:color w:val="auto"/>
        </w:rPr>
      </w:pPr>
    </w:p>
    <w:p>
      <w:pPr>
        <w:jc w:val="both"/>
        <w:ind w:firstLine="478"/>
        <w:spacing w:after="0" w:line="247" w:lineRule="auto"/>
        <w:rPr>
          <w:sz w:val="20"/>
          <w:szCs w:val="20"/>
          <w:color w:val="auto"/>
        </w:rPr>
      </w:pPr>
      <w:r>
        <w:rPr>
          <w:rFonts w:ascii="Times New Roman" w:cs="Times New Roman" w:eastAsia="Times New Roman" w:hAnsi="Times New Roman"/>
          <w:sz w:val="18"/>
          <w:szCs w:val="18"/>
          <w:color w:val="auto"/>
        </w:rPr>
        <w:t>The Company evaluates investments in portfolio companies using the most recent portfolio company financial statements and forecasts. The Company also consults with the portfolio company’s senior management to obtain further updates on the portfolio company’s performance, including information such as industry trends, new product development and other operational issues.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39" w:lineRule="exact"/>
        <w:rPr>
          <w:sz w:val="20"/>
          <w:szCs w:val="20"/>
          <w:color w:val="auto"/>
        </w:rPr>
      </w:pPr>
    </w:p>
    <w:p>
      <w:pPr>
        <w:jc w:val="both"/>
        <w:ind w:firstLine="478"/>
        <w:spacing w:after="0" w:line="242" w:lineRule="auto"/>
        <w:rPr>
          <w:sz w:val="20"/>
          <w:szCs w:val="20"/>
          <w:color w:val="auto"/>
        </w:rPr>
      </w:pPr>
      <w:r>
        <w:rPr>
          <w:rFonts w:ascii="Times New Roman" w:cs="Times New Roman" w:eastAsia="Times New Roman" w:hAnsi="Times New Roman"/>
          <w:sz w:val="18"/>
          <w:szCs w:val="18"/>
          <w:color w:val="auto"/>
        </w:rPr>
        <w:t>For the Company’s debt investments, the primary valuation technique used to estimate the fair value is the discounted cash flow method. However, if there is deterioration in credit quality or a debt investment is in workout status, the Company may consider other methods in determining the fair value, including the value attributable to the debt investment from the enterprise value of the portfolio company or the proceeds that would be received in a liquidation analysis. The Company’s discounted cash flow models estimate a range of fair values by applying an appropriate discount rate to the future cash flow streams of its debt investments, based on future interest and principal payments as set forth in the associated debt investment agreements. The Company prepares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The Company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The Company estimates the remaining life of its debt investments to generally be the legal maturity date of the instrument, as the Company generally intends to hold its debt investments to maturity. However, if the Company has information available to it that the debt investment is expected to be repaid in the near term, it would use an estimated remaining life based on the expected repayment date.</w:t>
      </w:r>
    </w:p>
    <w:p>
      <w:pPr>
        <w:spacing w:after="0" w:line="129" w:lineRule="exact"/>
        <w:rPr>
          <w:sz w:val="20"/>
          <w:szCs w:val="20"/>
          <w:color w:val="auto"/>
        </w:rPr>
      </w:pPr>
    </w:p>
    <w:p>
      <w:pPr>
        <w:jc w:val="both"/>
        <w:ind w:firstLine="478"/>
        <w:spacing w:after="0" w:line="245" w:lineRule="auto"/>
        <w:rPr>
          <w:sz w:val="20"/>
          <w:szCs w:val="20"/>
          <w:color w:val="auto"/>
        </w:rPr>
      </w:pPr>
      <w:r>
        <w:rPr>
          <w:rFonts w:ascii="Times New Roman" w:cs="Times New Roman" w:eastAsia="Times New Roman" w:hAnsi="Times New Roman"/>
          <w:sz w:val="18"/>
          <w:szCs w:val="18"/>
          <w:color w:val="auto"/>
        </w:rPr>
        <w:t>For the Company’s equity investments, including equity and warrants, the Company generally uses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the Company analyzes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spacing w:after="0" w:line="141" w:lineRule="exact"/>
        <w:rPr>
          <w:sz w:val="20"/>
          <w:szCs w:val="20"/>
          <w:color w:val="auto"/>
        </w:rPr>
      </w:pPr>
    </w:p>
    <w:p>
      <w:pPr>
        <w:jc w:val="both"/>
        <w:ind w:firstLine="478"/>
        <w:spacing w:after="0" w:line="244" w:lineRule="auto"/>
        <w:rPr>
          <w:sz w:val="20"/>
          <w:szCs w:val="20"/>
          <w:color w:val="auto"/>
        </w:rPr>
      </w:pPr>
      <w:r>
        <w:rPr>
          <w:rFonts w:ascii="Times New Roman" w:cs="Times New Roman" w:eastAsia="Times New Roman" w:hAnsi="Times New Roman"/>
          <w:sz w:val="18"/>
          <w:szCs w:val="18"/>
          <w:color w:val="auto"/>
        </w:rPr>
        <w:t>The Company may also utilize an income approach when estimating the fair value of its equity securities, either as a primary methodology if consistent with industry practice or if the market approach is otherwise not applicable, or as a supporting methodology to corroborate the fair value ranges determined by the market approach. The Company typically prepares and analyzes discounted cash flow models based on projections of the future free cash flows (or earnings) of the portfolio company. The Company considers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tables present fair value measurements of investments by major class according to the fair value hierarchy: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199"/>
        </w:trPr>
        <w:tc>
          <w:tcPr>
            <w:tcW w:w="30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7"/>
                <w:szCs w:val="17"/>
                <w:color w:val="auto"/>
              </w:rPr>
            </w:pPr>
          </w:p>
        </w:tc>
        <w:tc>
          <w:tcPr>
            <w:tcW w:w="14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Pr>
          <w:p>
            <w:pPr>
              <w:spacing w:after="0"/>
              <w:rPr>
                <w:sz w:val="17"/>
                <w:szCs w:val="17"/>
                <w:color w:val="auto"/>
              </w:rPr>
            </w:pPr>
          </w:p>
        </w:tc>
        <w:tc>
          <w:tcPr>
            <w:tcW w:w="10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Pr>
          <w:p>
            <w:pPr>
              <w:spacing w:after="0"/>
              <w:rPr>
                <w:sz w:val="17"/>
                <w:szCs w:val="17"/>
                <w:color w:val="auto"/>
              </w:rPr>
            </w:pPr>
          </w:p>
        </w:tc>
      </w:tr>
      <w:tr>
        <w:trPr>
          <w:trHeight w:val="196"/>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First Lien Debt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488,334</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488,334</w:t>
            </w:r>
          </w:p>
        </w:tc>
        <w:tc>
          <w:tcPr>
            <w:tcW w:w="280" w:type="dxa"/>
            <w:vAlign w:val="bottom"/>
            <w:shd w:val="clear" w:color="auto" w:fill="CFF0FC"/>
          </w:tcPr>
          <w:p>
            <w:pPr>
              <w:spacing w:after="0"/>
              <w:rPr>
                <w:sz w:val="17"/>
                <w:szCs w:val="17"/>
                <w:color w:val="auto"/>
              </w:rPr>
            </w:pPr>
          </w:p>
        </w:tc>
      </w:tr>
      <w:tr>
        <w:trPr>
          <w:trHeight w:val="203"/>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Second Lien Debt</w:t>
            </w:r>
          </w:p>
        </w:tc>
        <w:tc>
          <w:tcPr>
            <w:tcW w:w="17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20" w:type="dxa"/>
            <w:vAlign w:val="bottom"/>
          </w:tcPr>
          <w:p>
            <w:pPr>
              <w:ind w:left="124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177,222</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177,222</w:t>
            </w:r>
          </w:p>
        </w:tc>
        <w:tc>
          <w:tcPr>
            <w:tcW w:w="280" w:type="dxa"/>
            <w:vAlign w:val="bottom"/>
          </w:tcPr>
          <w:p>
            <w:pPr>
              <w:spacing w:after="0"/>
              <w:rPr>
                <w:sz w:val="17"/>
                <w:szCs w:val="17"/>
                <w:color w:val="auto"/>
              </w:rPr>
            </w:pPr>
          </w:p>
        </w:tc>
      </w:tr>
      <w:tr>
        <w:trPr>
          <w:trHeight w:val="203"/>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Subordinated Debt</w:t>
            </w:r>
          </w:p>
        </w:tc>
        <w:tc>
          <w:tcPr>
            <w:tcW w:w="17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81,759</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81,759</w:t>
            </w:r>
          </w:p>
        </w:tc>
        <w:tc>
          <w:tcPr>
            <w:tcW w:w="280" w:type="dxa"/>
            <w:vAlign w:val="bottom"/>
            <w:shd w:val="clear" w:color="auto" w:fill="CFF0FC"/>
          </w:tcPr>
          <w:p>
            <w:pPr>
              <w:spacing w:after="0"/>
              <w:rPr>
                <w:sz w:val="17"/>
                <w:szCs w:val="17"/>
                <w:color w:val="auto"/>
              </w:rPr>
            </w:pPr>
          </w:p>
        </w:tc>
      </w:tr>
      <w:tr>
        <w:trPr>
          <w:trHeight w:val="202"/>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7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240" w:type="dxa"/>
            <w:vAlign w:val="bottom"/>
          </w:tcPr>
          <w:p>
            <w:pPr>
              <w:spacing w:after="0"/>
              <w:rPr>
                <w:sz w:val="17"/>
                <w:szCs w:val="17"/>
                <w:color w:val="auto"/>
              </w:rPr>
            </w:pPr>
          </w:p>
        </w:tc>
        <w:tc>
          <w:tcPr>
            <w:tcW w:w="1420" w:type="dxa"/>
            <w:vAlign w:val="bottom"/>
          </w:tcPr>
          <w:p>
            <w:pPr>
              <w:ind w:left="124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106,634</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106,951</w:t>
            </w:r>
          </w:p>
        </w:tc>
        <w:tc>
          <w:tcPr>
            <w:tcW w:w="280" w:type="dxa"/>
            <w:vAlign w:val="bottom"/>
          </w:tcPr>
          <w:p>
            <w:pPr>
              <w:spacing w:after="0"/>
              <w:rPr>
                <w:sz w:val="17"/>
                <w:szCs w:val="17"/>
                <w:color w:val="auto"/>
              </w:rPr>
            </w:pPr>
          </w:p>
        </w:tc>
      </w:tr>
      <w:tr>
        <w:trPr>
          <w:trHeight w:val="203"/>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17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2,648</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2,648</w:t>
            </w:r>
          </w:p>
        </w:tc>
        <w:tc>
          <w:tcPr>
            <w:tcW w:w="280" w:type="dxa"/>
            <w:vAlign w:val="bottom"/>
            <w:shd w:val="clear" w:color="auto" w:fill="CFF0FC"/>
          </w:tcPr>
          <w:p>
            <w:pPr>
              <w:spacing w:after="0"/>
              <w:rPr>
                <w:sz w:val="17"/>
                <w:szCs w:val="17"/>
                <w:color w:val="auto"/>
              </w:rPr>
            </w:pPr>
          </w:p>
        </w:tc>
      </w:tr>
      <w:tr>
        <w:trPr>
          <w:trHeight w:val="203"/>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Money Market Funds</w:t>
            </w:r>
          </w:p>
        </w:tc>
        <w:tc>
          <w:tcPr>
            <w:tcW w:w="174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30,184</w:t>
            </w:r>
          </w:p>
        </w:tc>
        <w:tc>
          <w:tcPr>
            <w:tcW w:w="240" w:type="dxa"/>
            <w:vAlign w:val="bottom"/>
          </w:tcPr>
          <w:p>
            <w:pPr>
              <w:spacing w:after="0"/>
              <w:rPr>
                <w:sz w:val="17"/>
                <w:szCs w:val="17"/>
                <w:color w:val="auto"/>
              </w:rPr>
            </w:pPr>
          </w:p>
        </w:tc>
        <w:tc>
          <w:tcPr>
            <w:tcW w:w="14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30,184</w:t>
            </w:r>
          </w:p>
        </w:tc>
        <w:tc>
          <w:tcPr>
            <w:tcW w:w="280" w:type="dxa"/>
            <w:vAlign w:val="bottom"/>
          </w:tcPr>
          <w:p>
            <w:pPr>
              <w:spacing w:after="0"/>
              <w:rPr>
                <w:sz w:val="17"/>
                <w:szCs w:val="17"/>
                <w:color w:val="auto"/>
              </w:rPr>
            </w:pPr>
          </w:p>
        </w:tc>
      </w:tr>
      <w:tr>
        <w:trPr>
          <w:trHeight w:val="236"/>
        </w:trPr>
        <w:tc>
          <w:tcPr>
            <w:tcW w:w="3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30,501</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FF0FC"/>
          </w:tcPr>
          <w:p>
            <w:pPr>
              <w:ind w:left="124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856,597</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887,098</w:t>
            </w:r>
          </w:p>
        </w:tc>
        <w:tc>
          <w:tcPr>
            <w:tcW w:w="2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-24765</wp:posOffset>
            </wp:positionV>
            <wp:extent cx="774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-7620</wp:posOffset>
            </wp:positionV>
            <wp:extent cx="774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768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199"/>
        </w:trPr>
        <w:tc>
          <w:tcPr>
            <w:tcW w:w="29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Pr>
          <w:p>
            <w:pPr>
              <w:spacing w:after="0"/>
              <w:rPr>
                <w:sz w:val="17"/>
                <w:szCs w:val="17"/>
                <w:color w:val="auto"/>
              </w:rPr>
            </w:pPr>
          </w:p>
        </w:tc>
        <w:tc>
          <w:tcPr>
            <w:tcW w:w="10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Pr>
          <w:p>
            <w:pPr>
              <w:spacing w:after="0"/>
              <w:rPr>
                <w:sz w:val="17"/>
                <w:szCs w:val="17"/>
                <w:color w:val="auto"/>
              </w:rPr>
            </w:pPr>
          </w:p>
        </w:tc>
      </w:tr>
      <w:tr>
        <w:trPr>
          <w:trHeight w:val="196"/>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First Lien Debt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354,922</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354,922</w:t>
            </w:r>
          </w:p>
        </w:tc>
        <w:tc>
          <w:tcPr>
            <w:tcW w:w="280" w:type="dxa"/>
            <w:vAlign w:val="bottom"/>
            <w:shd w:val="clear" w:color="auto" w:fill="CFF0FC"/>
          </w:tcPr>
          <w:p>
            <w:pPr>
              <w:spacing w:after="0"/>
              <w:rPr>
                <w:sz w:val="17"/>
                <w:szCs w:val="17"/>
                <w:color w:val="auto"/>
              </w:rPr>
            </w:pPr>
          </w:p>
        </w:tc>
      </w:tr>
      <w:tr>
        <w:trPr>
          <w:trHeight w:val="20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Second Lien Debt</w:t>
            </w:r>
          </w:p>
        </w:tc>
        <w:tc>
          <w:tcPr>
            <w:tcW w:w="1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158,815</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158,815</w:t>
            </w:r>
          </w:p>
        </w:tc>
        <w:tc>
          <w:tcPr>
            <w:tcW w:w="280" w:type="dxa"/>
            <w:vAlign w:val="bottom"/>
          </w:tcPr>
          <w:p>
            <w:pPr>
              <w:spacing w:after="0"/>
              <w:rPr>
                <w:sz w:val="17"/>
                <w:szCs w:val="17"/>
                <w:color w:val="auto"/>
              </w:rPr>
            </w:pPr>
          </w:p>
        </w:tc>
      </w:tr>
      <w:tr>
        <w:trPr>
          <w:trHeight w:val="203"/>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Subordinated Debt</w:t>
            </w:r>
          </w:p>
        </w:tc>
        <w:tc>
          <w:tcPr>
            <w:tcW w:w="18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36,064</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36,064</w:t>
            </w:r>
          </w:p>
        </w:tc>
        <w:tc>
          <w:tcPr>
            <w:tcW w:w="280" w:type="dxa"/>
            <w:vAlign w:val="bottom"/>
            <w:shd w:val="clear" w:color="auto" w:fill="CFF0FC"/>
          </w:tcPr>
          <w:p>
            <w:pPr>
              <w:spacing w:after="0"/>
              <w:rPr>
                <w:sz w:val="17"/>
                <w:szCs w:val="17"/>
                <w:color w:val="auto"/>
              </w:rPr>
            </w:pPr>
          </w:p>
        </w:tc>
      </w:tr>
      <w:tr>
        <w:trPr>
          <w:trHeight w:val="20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240" w:type="dxa"/>
            <w:vAlign w:val="bottom"/>
          </w:tcPr>
          <w:p>
            <w:pPr>
              <w:spacing w:after="0"/>
              <w:rPr>
                <w:sz w:val="17"/>
                <w:szCs w:val="17"/>
                <w:color w:val="auto"/>
              </w:rPr>
            </w:pPr>
          </w:p>
        </w:tc>
        <w:tc>
          <w:tcPr>
            <w:tcW w:w="140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165,762</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166,119</w:t>
            </w:r>
          </w:p>
        </w:tc>
        <w:tc>
          <w:tcPr>
            <w:tcW w:w="280" w:type="dxa"/>
            <w:vAlign w:val="bottom"/>
          </w:tcPr>
          <w:p>
            <w:pPr>
              <w:spacing w:after="0"/>
              <w:rPr>
                <w:sz w:val="17"/>
                <w:szCs w:val="17"/>
                <w:color w:val="auto"/>
              </w:rPr>
            </w:pPr>
          </w:p>
        </w:tc>
      </w:tr>
      <w:tr>
        <w:trPr>
          <w:trHeight w:val="202"/>
        </w:trPr>
        <w:tc>
          <w:tcPr>
            <w:tcW w:w="2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184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3,204</w:t>
            </w:r>
          </w:p>
        </w:tc>
        <w:tc>
          <w:tcPr>
            <w:tcW w:w="20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3,204</w:t>
            </w:r>
          </w:p>
        </w:tc>
        <w:tc>
          <w:tcPr>
            <w:tcW w:w="280" w:type="dxa"/>
            <w:vAlign w:val="bottom"/>
            <w:tcBorders>
              <w:bottom w:val="single" w:sz="8" w:color="CFF0FC"/>
            </w:tcBorders>
            <w:shd w:val="clear" w:color="auto" w:fill="CFF0FC"/>
          </w:tcPr>
          <w:p>
            <w:pPr>
              <w:spacing w:after="0"/>
              <w:rPr>
                <w:sz w:val="17"/>
                <w:szCs w:val="17"/>
                <w:color w:val="auto"/>
              </w:rPr>
            </w:pP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718,767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719,124</w:t>
            </w:r>
          </w:p>
        </w:tc>
        <w:tc>
          <w:tcPr>
            <w:tcW w:w="280" w:type="dxa"/>
            <w:vAlign w:val="bottom"/>
          </w:tcPr>
          <w:p>
            <w:pPr>
              <w:spacing w:after="0"/>
              <w:rPr>
                <w:sz w:val="17"/>
                <w:szCs w:val="17"/>
                <w:color w:val="auto"/>
              </w:rPr>
            </w:pPr>
          </w:p>
        </w:tc>
      </w:tr>
      <w:tr>
        <w:trPr>
          <w:trHeight w:val="20"/>
        </w:trPr>
        <w:tc>
          <w:tcPr>
            <w:tcW w:w="2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-162560</wp:posOffset>
            </wp:positionV>
            <wp:extent cx="76835" cy="1631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-162560</wp:posOffset>
            </wp:positionV>
            <wp:extent cx="68580" cy="1631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-162560</wp:posOffset>
            </wp:positionV>
            <wp:extent cx="68580" cy="16319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-162560</wp:posOffset>
            </wp:positionV>
            <wp:extent cx="68580" cy="16319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124" w:lineRule="exact"/>
        <w:rPr>
          <w:sz w:val="20"/>
          <w:szCs w:val="20"/>
          <w:color w:val="auto"/>
        </w:rPr>
      </w:pPr>
    </w:p>
    <w:p>
      <w:pPr>
        <w:jc w:val="both"/>
        <w:ind w:firstLine="478"/>
        <w:spacing w:after="0" w:line="247" w:lineRule="auto"/>
        <w:rPr>
          <w:sz w:val="20"/>
          <w:szCs w:val="20"/>
          <w:color w:val="auto"/>
        </w:rPr>
      </w:pPr>
      <w:r>
        <w:rPr>
          <w:rFonts w:ascii="Times New Roman" w:cs="Times New Roman" w:eastAsia="Times New Roman" w:hAnsi="Times New Roman"/>
          <w:sz w:val="18"/>
          <w:szCs w:val="18"/>
          <w:color w:val="auto"/>
        </w:rPr>
        <w:t>The Company reviews the fair value hierarchy classifications on a quarterly basis. Reclassifications impacting Level 3 of the fair value hierarchy are reported as transfers in or out of the Level 3 category as of the beginning of the quarter in which the reclassifications occur. There were no transfers among Levels 1, 2, and 3 during the nine months ended September 30, 2022 and 2021.</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39"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The following tables present a reconciliation of the beginning and ending balances for fair valued investments measured using significant unobservable inputs (Level 3) for the nine months ended September 30, 2022 and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First Lien</w:t>
            </w:r>
          </w:p>
        </w:tc>
        <w:tc>
          <w:tcPr>
            <w:tcW w:w="14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Second Lien</w:t>
            </w:r>
          </w:p>
        </w:tc>
        <w:tc>
          <w:tcPr>
            <w:tcW w:w="200" w:type="dxa"/>
            <w:vAlign w:val="bottom"/>
          </w:tcPr>
          <w:p>
            <w:pPr>
              <w:spacing w:after="0"/>
              <w:rPr>
                <w:sz w:val="14"/>
                <w:szCs w:val="14"/>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Subordinated</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3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Debt</w:t>
            </w:r>
          </w:p>
        </w:tc>
        <w:tc>
          <w:tcPr>
            <w:tcW w:w="140" w:type="dxa"/>
            <w:vAlign w:val="bottom"/>
          </w:tcPr>
          <w:p>
            <w:pPr>
              <w:spacing w:after="0"/>
              <w:rPr>
                <w:sz w:val="15"/>
                <w:szCs w:val="15"/>
                <w:color w:val="auto"/>
              </w:rPr>
            </w:pPr>
          </w:p>
        </w:tc>
        <w:tc>
          <w:tcPr>
            <w:tcW w:w="120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Debt</w:t>
            </w:r>
          </w:p>
        </w:tc>
        <w:tc>
          <w:tcPr>
            <w:tcW w:w="200" w:type="dxa"/>
            <w:vAlign w:val="bottom"/>
          </w:tcPr>
          <w:p>
            <w:pPr>
              <w:spacing w:after="0"/>
              <w:rPr>
                <w:sz w:val="15"/>
                <w:szCs w:val="15"/>
                <w:color w:val="auto"/>
              </w:rPr>
            </w:pPr>
          </w:p>
        </w:tc>
        <w:tc>
          <w:tcPr>
            <w:tcW w:w="1400" w:type="dxa"/>
            <w:vAlign w:val="bottom"/>
            <w:gridSpan w:val="2"/>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Debt</w:t>
            </w:r>
          </w:p>
        </w:tc>
        <w:tc>
          <w:tcPr>
            <w:tcW w:w="160" w:type="dxa"/>
            <w:vAlign w:val="bottom"/>
          </w:tcPr>
          <w:p>
            <w:pPr>
              <w:spacing w:after="0"/>
              <w:rPr>
                <w:sz w:val="15"/>
                <w:szCs w:val="15"/>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Pr>
          <w:p>
            <w:pPr>
              <w:spacing w:after="0"/>
              <w:rPr>
                <w:sz w:val="15"/>
                <w:szCs w:val="15"/>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w w:val="99"/>
              </w:rPr>
              <w:t>Warrants</w:t>
            </w:r>
          </w:p>
        </w:tc>
        <w:tc>
          <w:tcPr>
            <w:tcW w:w="180" w:type="dxa"/>
            <w:vAlign w:val="bottom"/>
          </w:tcPr>
          <w:p>
            <w:pPr>
              <w:spacing w:after="0"/>
              <w:rPr>
                <w:sz w:val="15"/>
                <w:szCs w:val="15"/>
                <w:color w:val="auto"/>
              </w:rPr>
            </w:pP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37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December 31, 2020</w:t>
            </w:r>
          </w:p>
        </w:tc>
        <w:tc>
          <w:tcPr>
            <w:tcW w:w="1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187,353</w:t>
            </w:r>
          </w:p>
        </w:tc>
        <w:tc>
          <w:tcPr>
            <w:tcW w:w="2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332,154</w:t>
            </w:r>
          </w:p>
        </w:tc>
        <w:tc>
          <w:tcPr>
            <w:tcW w:w="2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107,911</w:t>
            </w:r>
          </w:p>
        </w:tc>
        <w:tc>
          <w:tcPr>
            <w:tcW w:w="2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112,836</w:t>
            </w: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2,615</w:t>
            </w:r>
          </w:p>
        </w:tc>
        <w:tc>
          <w:tcPr>
            <w:tcW w:w="2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742,869</w:t>
            </w:r>
          </w:p>
        </w:tc>
        <w:tc>
          <w:tcPr>
            <w:tcW w:w="100" w:type="dxa"/>
            <w:vAlign w:val="bottom"/>
            <w:shd w:val="clear" w:color="auto" w:fill="CFF0FC"/>
          </w:tcPr>
          <w:p>
            <w:pPr>
              <w:spacing w:after="0"/>
              <w:rPr>
                <w:sz w:val="14"/>
                <w:szCs w:val="14"/>
                <w:color w:val="auto"/>
              </w:rPr>
            </w:pPr>
          </w:p>
        </w:tc>
      </w:tr>
      <w:tr>
        <w:trPr>
          <w:trHeight w:val="162"/>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gains (losses) on investments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13,673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13,673</w:t>
            </w:r>
          </w:p>
        </w:tc>
        <w:tc>
          <w:tcPr>
            <w:tcW w:w="100" w:type="dxa"/>
            <w:vAlign w:val="bottom"/>
          </w:tcPr>
          <w:p>
            <w:pPr>
              <w:spacing w:after="0"/>
              <w:rPr>
                <w:sz w:val="14"/>
                <w:szCs w:val="14"/>
                <w:color w:val="auto"/>
              </w:rPr>
            </w:pPr>
          </w:p>
        </w:tc>
      </w:tr>
      <w:tr>
        <w:trPr>
          <w:trHeight w:val="162"/>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(1,182 )</w:t>
            </w:r>
          </w:p>
        </w:tc>
        <w:tc>
          <w:tcPr>
            <w:tcW w:w="14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(1,213 )</w:t>
            </w:r>
          </w:p>
        </w:tc>
        <w:tc>
          <w:tcPr>
            <w:tcW w:w="2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(308 )</w:t>
            </w: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34,066</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656</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32,019</w:t>
            </w:r>
          </w:p>
        </w:tc>
        <w:tc>
          <w:tcPr>
            <w:tcW w:w="100" w:type="dxa"/>
            <w:vAlign w:val="bottom"/>
            <w:shd w:val="clear" w:color="auto" w:fill="CFF0FC"/>
          </w:tcPr>
          <w:p>
            <w:pPr>
              <w:spacing w:after="0"/>
              <w:rPr>
                <w:sz w:val="14"/>
                <w:szCs w:val="14"/>
                <w:color w:val="auto"/>
              </w:rPr>
            </w:pPr>
          </w:p>
        </w:tc>
      </w:tr>
      <w:tr>
        <w:trPr>
          <w:trHeight w:val="162"/>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 of investments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172,506</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43,850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10,688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245,544</w:t>
            </w:r>
          </w:p>
        </w:tc>
        <w:tc>
          <w:tcPr>
            <w:tcW w:w="100" w:type="dxa"/>
            <w:vAlign w:val="bottom"/>
          </w:tcPr>
          <w:p>
            <w:pPr>
              <w:spacing w:after="0"/>
              <w:rPr>
                <w:sz w:val="14"/>
                <w:szCs w:val="14"/>
                <w:color w:val="auto"/>
              </w:rPr>
            </w:pPr>
          </w:p>
        </w:tc>
      </w:tr>
      <w:tr>
        <w:trPr>
          <w:trHeight w:val="162"/>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sales and repayments of investments</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(61,008 )</w:t>
            </w:r>
          </w:p>
        </w:tc>
        <w:tc>
          <w:tcPr>
            <w:tcW w:w="14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(177,719 )</w:t>
            </w:r>
          </w:p>
        </w:tc>
        <w:tc>
          <w:tcPr>
            <w:tcW w:w="2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(57,039 )</w:t>
            </w: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(23,270 )</w:t>
            </w: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(319,036 )</w:t>
            </w:r>
          </w:p>
        </w:tc>
      </w:tr>
      <w:tr>
        <w:trPr>
          <w:trHeight w:val="162"/>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and dividend income paid-in-kind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3,437</w:t>
            </w:r>
          </w:p>
        </w:tc>
        <w:tc>
          <w:tcPr>
            <w:tcW w:w="100" w:type="dxa"/>
            <w:vAlign w:val="bottom"/>
          </w:tcPr>
          <w:p>
            <w:pPr>
              <w:spacing w:after="0"/>
              <w:rPr>
                <w:sz w:val="14"/>
                <w:szCs w:val="14"/>
                <w:color w:val="auto"/>
              </w:rPr>
            </w:pPr>
          </w:p>
        </w:tc>
      </w:tr>
      <w:tr>
        <w:trPr>
          <w:trHeight w:val="162"/>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loan origination fees</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(1,765 )</w:t>
            </w:r>
          </w:p>
        </w:tc>
        <w:tc>
          <w:tcPr>
            <w:tcW w:w="14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(104 )</w:t>
            </w:r>
          </w:p>
        </w:tc>
        <w:tc>
          <w:tcPr>
            <w:tcW w:w="2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(80 )</w:t>
            </w: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(1,949 )</w:t>
            </w:r>
          </w:p>
        </w:tc>
      </w:tr>
      <w:tr>
        <w:trPr>
          <w:trHeight w:val="162"/>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Accretion of loan origination fees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985</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1,833</w:t>
            </w:r>
          </w:p>
        </w:tc>
        <w:tc>
          <w:tcPr>
            <w:tcW w:w="100" w:type="dxa"/>
            <w:vAlign w:val="bottom"/>
          </w:tcPr>
          <w:p>
            <w:pPr>
              <w:spacing w:after="0"/>
              <w:rPr>
                <w:sz w:val="14"/>
                <w:szCs w:val="14"/>
                <w:color w:val="auto"/>
              </w:rPr>
            </w:pPr>
          </w:p>
        </w:tc>
      </w:tr>
      <w:tr>
        <w:trPr>
          <w:trHeight w:val="162"/>
        </w:trPr>
        <w:tc>
          <w:tcPr>
            <w:tcW w:w="3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Accretion of original issue discount</w:t>
            </w: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2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September 30, 2021</w:t>
            </w:r>
          </w:p>
        </w:tc>
        <w:tc>
          <w:tcPr>
            <w:tcW w:w="30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296,998</w:t>
            </w:r>
          </w:p>
        </w:tc>
        <w:tc>
          <w:tcPr>
            <w:tcW w:w="2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201,305</w:t>
            </w:r>
          </w:p>
        </w:tc>
        <w:tc>
          <w:tcPr>
            <w:tcW w:w="240" w:type="dxa"/>
            <w:vAlign w:val="bottom"/>
          </w:tcPr>
          <w:p>
            <w:pPr>
              <w:spacing w:after="0"/>
              <w:rPr>
                <w:sz w:val="13"/>
                <w:szCs w:val="13"/>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69,452</w:t>
            </w:r>
          </w:p>
        </w:tc>
        <w:tc>
          <w:tcPr>
            <w:tcW w:w="22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148,098</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3,271</w:t>
            </w:r>
          </w:p>
        </w:tc>
        <w:tc>
          <w:tcPr>
            <w:tcW w:w="220" w:type="dxa"/>
            <w:vAlign w:val="bottom"/>
          </w:tcPr>
          <w:p>
            <w:pPr>
              <w:spacing w:after="0"/>
              <w:rPr>
                <w:sz w:val="13"/>
                <w:szCs w:val="13"/>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719,124</w:t>
            </w:r>
          </w:p>
        </w:tc>
        <w:tc>
          <w:tcPr>
            <w:tcW w:w="100" w:type="dxa"/>
            <w:vAlign w:val="bottom"/>
          </w:tcPr>
          <w:p>
            <w:pPr>
              <w:spacing w:after="0"/>
              <w:rPr>
                <w:sz w:val="13"/>
                <w:szCs w:val="13"/>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374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Balance, December 31, 2021</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354,922</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158,815</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5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36,064</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1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165,762</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3,204</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718,767</w:t>
            </w:r>
          </w:p>
        </w:tc>
        <w:tc>
          <w:tcPr>
            <w:tcW w:w="100" w:type="dxa"/>
            <w:vAlign w:val="bottom"/>
            <w:shd w:val="clear" w:color="auto" w:fill="CFF0FC"/>
          </w:tcPr>
          <w:p>
            <w:pPr>
              <w:spacing w:after="0"/>
              <w:rPr>
                <w:sz w:val="12"/>
                <w:szCs w:val="12"/>
                <w:color w:val="auto"/>
              </w:rPr>
            </w:pPr>
          </w:p>
        </w:tc>
      </w:tr>
      <w:tr>
        <w:trPr>
          <w:trHeight w:val="162"/>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gains (losses) on investments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65,220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65,220</w:t>
            </w:r>
          </w:p>
        </w:tc>
        <w:tc>
          <w:tcPr>
            <w:tcW w:w="100" w:type="dxa"/>
            <w:vAlign w:val="bottom"/>
          </w:tcPr>
          <w:p>
            <w:pPr>
              <w:spacing w:after="0"/>
              <w:rPr>
                <w:sz w:val="14"/>
                <w:szCs w:val="14"/>
                <w:color w:val="auto"/>
              </w:rPr>
            </w:pPr>
          </w:p>
        </w:tc>
      </w:tr>
      <w:tr>
        <w:trPr>
          <w:trHeight w:val="162"/>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(1,281 )</w:t>
            </w:r>
          </w:p>
        </w:tc>
        <w:tc>
          <w:tcPr>
            <w:tcW w:w="14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(13,048 )</w:t>
            </w:r>
          </w:p>
        </w:tc>
        <w:tc>
          <w:tcPr>
            <w:tcW w:w="2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1,213</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(54,102 )</w:t>
            </w: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(556 )</w:t>
            </w: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(67,774 )</w:t>
            </w:r>
          </w:p>
        </w:tc>
      </w:tr>
      <w:tr>
        <w:trPr>
          <w:trHeight w:val="162"/>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 of investments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166,279</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49,498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44,469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7,704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267,950</w:t>
            </w:r>
          </w:p>
        </w:tc>
        <w:tc>
          <w:tcPr>
            <w:tcW w:w="100" w:type="dxa"/>
            <w:vAlign w:val="bottom"/>
          </w:tcPr>
          <w:p>
            <w:pPr>
              <w:spacing w:after="0"/>
              <w:rPr>
                <w:sz w:val="14"/>
                <w:szCs w:val="14"/>
                <w:color w:val="auto"/>
              </w:rPr>
            </w:pPr>
          </w:p>
        </w:tc>
      </w:tr>
      <w:tr>
        <w:trPr>
          <w:trHeight w:val="162"/>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sales and repayments of investments</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(31,574 )</w:t>
            </w:r>
          </w:p>
        </w:tc>
        <w:tc>
          <w:tcPr>
            <w:tcW w:w="14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(18,731 )</w:t>
            </w:r>
          </w:p>
        </w:tc>
        <w:tc>
          <w:tcPr>
            <w:tcW w:w="2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(77,950 )</w:t>
            </w: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(128,255 )</w:t>
            </w:r>
          </w:p>
        </w:tc>
      </w:tr>
      <w:tr>
        <w:trPr>
          <w:trHeight w:val="162"/>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and dividend income paid-in-kind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1,327</w:t>
            </w:r>
          </w:p>
        </w:tc>
        <w:tc>
          <w:tcPr>
            <w:tcW w:w="100" w:type="dxa"/>
            <w:vAlign w:val="bottom"/>
          </w:tcPr>
          <w:p>
            <w:pPr>
              <w:spacing w:after="0"/>
              <w:rPr>
                <w:sz w:val="14"/>
                <w:szCs w:val="14"/>
                <w:color w:val="auto"/>
              </w:rPr>
            </w:pPr>
          </w:p>
        </w:tc>
      </w:tr>
      <w:tr>
        <w:trPr>
          <w:trHeight w:val="162"/>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loan origination fees</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(1,454 )</w:t>
            </w:r>
          </w:p>
        </w:tc>
        <w:tc>
          <w:tcPr>
            <w:tcW w:w="14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(115 )</w:t>
            </w:r>
          </w:p>
        </w:tc>
        <w:tc>
          <w:tcPr>
            <w:tcW w:w="2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(300 )</w:t>
            </w: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(1,869 )</w:t>
            </w:r>
          </w:p>
        </w:tc>
      </w:tr>
      <w:tr>
        <w:trPr>
          <w:trHeight w:val="162"/>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Accretion of loan origination fees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943</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1,094</w:t>
            </w:r>
          </w:p>
        </w:tc>
        <w:tc>
          <w:tcPr>
            <w:tcW w:w="100" w:type="dxa"/>
            <w:vAlign w:val="bottom"/>
          </w:tcPr>
          <w:p>
            <w:pPr>
              <w:spacing w:after="0"/>
              <w:rPr>
                <w:sz w:val="14"/>
                <w:szCs w:val="14"/>
                <w:color w:val="auto"/>
              </w:rPr>
            </w:pPr>
          </w:p>
        </w:tc>
      </w:tr>
      <w:tr>
        <w:trPr>
          <w:trHeight w:val="162"/>
        </w:trPr>
        <w:tc>
          <w:tcPr>
            <w:tcW w:w="3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Accretion of original issue discount</w:t>
            </w: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2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September 30, 2022</w:t>
            </w:r>
          </w:p>
        </w:tc>
        <w:tc>
          <w:tcPr>
            <w:tcW w:w="30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488,334</w:t>
            </w:r>
          </w:p>
        </w:tc>
        <w:tc>
          <w:tcPr>
            <w:tcW w:w="2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177,222</w:t>
            </w:r>
          </w:p>
        </w:tc>
        <w:tc>
          <w:tcPr>
            <w:tcW w:w="240" w:type="dxa"/>
            <w:vAlign w:val="bottom"/>
          </w:tcPr>
          <w:p>
            <w:pPr>
              <w:spacing w:after="0"/>
              <w:rPr>
                <w:sz w:val="13"/>
                <w:szCs w:val="13"/>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81,759</w:t>
            </w:r>
          </w:p>
        </w:tc>
        <w:tc>
          <w:tcPr>
            <w:tcW w:w="22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106,634</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2,648</w:t>
            </w:r>
          </w:p>
        </w:tc>
        <w:tc>
          <w:tcPr>
            <w:tcW w:w="220" w:type="dxa"/>
            <w:vAlign w:val="bottom"/>
          </w:tcPr>
          <w:p>
            <w:pPr>
              <w:spacing w:after="0"/>
              <w:rPr>
                <w:sz w:val="13"/>
                <w:szCs w:val="13"/>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856,597</w:t>
            </w:r>
          </w:p>
        </w:tc>
        <w:tc>
          <w:tcPr>
            <w:tcW w:w="100" w:type="dxa"/>
            <w:vAlign w:val="bottom"/>
          </w:tcPr>
          <w:p>
            <w:pPr>
              <w:spacing w:after="0"/>
              <w:rPr>
                <w:sz w:val="13"/>
                <w:szCs w:val="13"/>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-1199515</wp:posOffset>
            </wp:positionV>
            <wp:extent cx="77470" cy="1371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-1199515</wp:posOffset>
            </wp:positionV>
            <wp:extent cx="76835" cy="137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-1199515</wp:posOffset>
            </wp:positionV>
            <wp:extent cx="68580" cy="1371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-1199515</wp:posOffset>
            </wp:positionV>
            <wp:extent cx="68580" cy="1371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-1199515</wp:posOffset>
            </wp:positionV>
            <wp:extent cx="68580"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1371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-136525</wp:posOffset>
            </wp:positionV>
            <wp:extent cx="77470"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-136525</wp:posOffset>
            </wp:positionV>
            <wp:extent cx="76835"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-136525</wp:posOffset>
            </wp:positionV>
            <wp:extent cx="68580" cy="1371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-136525</wp:posOffset>
            </wp:positionV>
            <wp:extent cx="68580" cy="1371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-136525</wp:posOffset>
            </wp:positionV>
            <wp:extent cx="68580" cy="1371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1371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164" w:lineRule="exact"/>
        <w:rPr>
          <w:sz w:val="20"/>
          <w:szCs w:val="20"/>
          <w:color w:val="auto"/>
        </w:rPr>
      </w:pPr>
    </w:p>
    <w:p>
      <w:pPr>
        <w:jc w:val="both"/>
        <w:ind w:firstLine="479"/>
        <w:spacing w:after="0" w:line="258" w:lineRule="auto"/>
        <w:rPr>
          <w:sz w:val="20"/>
          <w:szCs w:val="20"/>
          <w:color w:val="auto"/>
        </w:rPr>
      </w:pPr>
      <w:r>
        <w:rPr>
          <w:rFonts w:ascii="Times New Roman" w:cs="Times New Roman" w:eastAsia="Times New Roman" w:hAnsi="Times New Roman"/>
          <w:sz w:val="18"/>
          <w:szCs w:val="18"/>
          <w:color w:val="auto"/>
        </w:rPr>
        <w:t>Net change in unrealized appreciation/(depreciation) of $(36,403) and $(42,882) for the three and nine months ended September 30, 2022, was attributable to Level 3 investments held at September 30, 2022, respectively. Net change in unrealized appreciation/(depreciation) of $17,067 and $33,223 for the three and nine months ended September 30, 2021, respectively, was attributable to Level 3 investments held at September 30, 2021.</w:t>
      </w:r>
    </w:p>
    <w:p>
      <w:pPr>
        <w:spacing w:after="0" w:line="115"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The following tables summarize the significant unobservable inputs by valuation technique used to determine the fair value of the Company’s Level 3 debt and equity investments as of September 30, 2022 and December 31, 2021. The tables are not intended to be all-inclusive, but instead capture the significant unobservable inputs relevant to the Company’s determination of fair values.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Fair Value at</w:t>
            </w:r>
          </w:p>
        </w:tc>
        <w:tc>
          <w:tcPr>
            <w:tcW w:w="240" w:type="dxa"/>
            <w:vAlign w:val="bottom"/>
          </w:tcPr>
          <w:p>
            <w:pPr>
              <w:spacing w:after="0"/>
              <w:rPr>
                <w:sz w:val="16"/>
                <w:szCs w:val="16"/>
                <w:color w:val="auto"/>
              </w:rPr>
            </w:pPr>
          </w:p>
        </w:tc>
        <w:tc>
          <w:tcPr>
            <w:tcW w:w="192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Valuation</w:t>
            </w:r>
          </w:p>
        </w:tc>
        <w:tc>
          <w:tcPr>
            <w:tcW w:w="120" w:type="dxa"/>
            <w:vAlign w:val="bottom"/>
          </w:tcPr>
          <w:p>
            <w:pPr>
              <w:spacing w:after="0"/>
              <w:rPr>
                <w:sz w:val="16"/>
                <w:szCs w:val="16"/>
                <w:color w:val="auto"/>
              </w:rPr>
            </w:pPr>
          </w:p>
        </w:tc>
        <w:tc>
          <w:tcPr>
            <w:tcW w:w="2780" w:type="dxa"/>
            <w:vAlign w:val="bottom"/>
          </w:tcPr>
          <w:p>
            <w:pPr>
              <w:ind w:left="900"/>
              <w:spacing w:after="0"/>
              <w:rPr>
                <w:sz w:val="20"/>
                <w:szCs w:val="20"/>
                <w:color w:val="auto"/>
              </w:rPr>
            </w:pPr>
            <w:r>
              <w:rPr>
                <w:rFonts w:ascii="Times New Roman" w:cs="Times New Roman" w:eastAsia="Times New Roman" w:hAnsi="Times New Roman"/>
                <w:sz w:val="16"/>
                <w:szCs w:val="16"/>
                <w:b w:val="1"/>
                <w:bCs w:val="1"/>
                <w:color w:val="auto"/>
              </w:rPr>
              <w:t>Unobservable</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Range</w:t>
            </w:r>
          </w:p>
        </w:tc>
      </w:tr>
      <w:tr>
        <w:trPr>
          <w:trHeight w:val="232"/>
        </w:trPr>
        <w:tc>
          <w:tcPr>
            <w:tcW w:w="2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40" w:type="dxa"/>
            <w:vAlign w:val="bottom"/>
          </w:tcPr>
          <w:p>
            <w:pPr>
              <w:spacing w:after="0"/>
              <w:rPr>
                <w:sz w:val="20"/>
                <w:szCs w:val="20"/>
                <w:color w:val="auto"/>
              </w:rPr>
            </w:pPr>
          </w:p>
        </w:tc>
        <w:tc>
          <w:tcPr>
            <w:tcW w:w="19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b w:val="1"/>
                <w:bCs w:val="1"/>
                <w:color w:val="auto"/>
              </w:rPr>
              <w:t>Techniques</w:t>
            </w:r>
          </w:p>
        </w:tc>
        <w:tc>
          <w:tcPr>
            <w:tcW w:w="120" w:type="dxa"/>
            <w:vAlign w:val="bottom"/>
          </w:tcPr>
          <w:p>
            <w:pPr>
              <w:spacing w:after="0"/>
              <w:rPr>
                <w:sz w:val="20"/>
                <w:szCs w:val="20"/>
                <w:color w:val="auto"/>
              </w:rPr>
            </w:pPr>
          </w:p>
        </w:tc>
        <w:tc>
          <w:tcPr>
            <w:tcW w:w="27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40" w:type="dxa"/>
            <w:vAlign w:val="bottom"/>
          </w:tcPr>
          <w:p>
            <w:pPr>
              <w:spacing w:after="0"/>
              <w:rPr>
                <w:sz w:val="20"/>
                <w:szCs w:val="20"/>
                <w:color w:val="auto"/>
              </w:rPr>
            </w:pPr>
          </w:p>
        </w:tc>
        <w:tc>
          <w:tcPr>
            <w:tcW w:w="1880" w:type="dxa"/>
            <w:vAlign w:val="bottom"/>
            <w:tcBorders>
              <w:bottom w:val="single" w:sz="8" w:color="auto"/>
            </w:tcBorders>
            <w:gridSpan w:val="2"/>
          </w:tcPr>
          <w:p>
            <w:pPr>
              <w:ind w:left="220"/>
              <w:spacing w:after="0" w:line="232" w:lineRule="exact"/>
              <w:rPr>
                <w:sz w:val="20"/>
                <w:szCs w:val="20"/>
                <w:color w:val="auto"/>
              </w:rPr>
            </w:pPr>
            <w:r>
              <w:rPr>
                <w:rFonts w:ascii="Times New Roman" w:cs="Times New Roman" w:eastAsia="Times New Roman" w:hAnsi="Times New Roman"/>
                <w:sz w:val="16"/>
                <w:szCs w:val="16"/>
                <w:b w:val="1"/>
                <w:bCs w:val="1"/>
                <w:color w:val="auto"/>
              </w:rPr>
              <w:t>(weighted average)</w:t>
            </w:r>
            <w:r>
              <w:rPr>
                <w:rFonts w:ascii="Times New Roman" w:cs="Times New Roman" w:eastAsia="Times New Roman" w:hAnsi="Times New Roman"/>
                <w:sz w:val="21"/>
                <w:szCs w:val="21"/>
                <w:b w:val="1"/>
                <w:bCs w:val="1"/>
                <w:color w:val="auto"/>
                <w:vertAlign w:val="superscript"/>
              </w:rPr>
              <w:t>(1)</w:t>
            </w:r>
          </w:p>
        </w:tc>
      </w:tr>
      <w:tr>
        <w:trPr>
          <w:trHeight w:val="196"/>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Debt investments:</w:t>
            </w: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r>
      <w:tr>
        <w:trPr>
          <w:trHeight w:val="203"/>
        </w:trPr>
        <w:tc>
          <w:tcPr>
            <w:tcW w:w="2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First Lien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449,319</w:t>
            </w:r>
          </w:p>
        </w:tc>
        <w:tc>
          <w:tcPr>
            <w:tcW w:w="240" w:type="dxa"/>
            <w:vAlign w:val="bottom"/>
          </w:tcPr>
          <w:p>
            <w:pPr>
              <w:spacing w:after="0"/>
              <w:rPr>
                <w:sz w:val="17"/>
                <w:szCs w:val="17"/>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Discounted cash flow</w:t>
            </w:r>
          </w:p>
        </w:tc>
        <w:tc>
          <w:tcPr>
            <w:tcW w:w="12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cost of capital</w:t>
            </w:r>
          </w:p>
        </w:tc>
        <w:tc>
          <w:tcPr>
            <w:tcW w:w="20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6.3% - 19.9% (13.7%)</w:t>
            </w:r>
          </w:p>
        </w:tc>
      </w:tr>
      <w:tr>
        <w:trPr>
          <w:trHeight w:val="203"/>
        </w:trPr>
        <w:tc>
          <w:tcPr>
            <w:tcW w:w="2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240" w:type="dxa"/>
            <w:vAlign w:val="bottom"/>
            <w:shd w:val="clear" w:color="auto" w:fill="CFF0FC"/>
          </w:tcPr>
          <w:p>
            <w:pPr>
              <w:spacing w:after="0"/>
              <w:rPr>
                <w:sz w:val="17"/>
                <w:szCs w:val="17"/>
                <w:color w:val="auto"/>
              </w:rPr>
            </w:pPr>
          </w:p>
        </w:tc>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Enterprise value</w:t>
            </w:r>
          </w:p>
        </w:tc>
        <w:tc>
          <w:tcPr>
            <w:tcW w:w="120" w:type="dxa"/>
            <w:vAlign w:val="bottom"/>
            <w:shd w:val="clear" w:color="auto" w:fill="CFF0FC"/>
          </w:tcPr>
          <w:p>
            <w:pPr>
              <w:spacing w:after="0"/>
              <w:rPr>
                <w:sz w:val="17"/>
                <w:szCs w:val="17"/>
                <w:color w:val="auto"/>
              </w:rPr>
            </w:pPr>
          </w:p>
        </w:tc>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 Coverage</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1.1x</w:t>
            </w:r>
          </w:p>
        </w:tc>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- 1.1x (1.1x)</w:t>
            </w:r>
          </w:p>
        </w:tc>
      </w:t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240" w:type="dxa"/>
            <w:vAlign w:val="bottom"/>
          </w:tcPr>
          <w:p>
            <w:pPr>
              <w:spacing w:after="0"/>
              <w:rPr>
                <w:sz w:val="17"/>
                <w:szCs w:val="17"/>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Enterprise value</w:t>
            </w:r>
          </w:p>
        </w:tc>
        <w:tc>
          <w:tcPr>
            <w:tcW w:w="12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EBITDA multiples</w:t>
            </w:r>
          </w:p>
        </w:tc>
        <w:tc>
          <w:tcPr>
            <w:tcW w:w="140" w:type="dxa"/>
            <w:vAlign w:val="bottom"/>
          </w:tcPr>
          <w:p>
            <w:pPr>
              <w:spacing w:after="0"/>
              <w:rPr>
                <w:sz w:val="17"/>
                <w:szCs w:val="17"/>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8.8x</w:t>
            </w:r>
          </w:p>
        </w:tc>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- 8.8x (8.8x)</w:t>
            </w:r>
          </w:p>
        </w:tc>
      </w:tr>
      <w:tr>
        <w:trPr>
          <w:trHeight w:val="203"/>
        </w:trPr>
        <w:tc>
          <w:tcPr>
            <w:tcW w:w="2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13,015</w:t>
            </w:r>
          </w:p>
        </w:tc>
        <w:tc>
          <w:tcPr>
            <w:tcW w:w="240" w:type="dxa"/>
            <w:vAlign w:val="bottom"/>
            <w:shd w:val="clear" w:color="auto" w:fill="CFF0FC"/>
          </w:tcPr>
          <w:p>
            <w:pPr>
              <w:spacing w:after="0"/>
              <w:rPr>
                <w:sz w:val="17"/>
                <w:szCs w:val="17"/>
                <w:color w:val="auto"/>
              </w:rPr>
            </w:pPr>
          </w:p>
        </w:tc>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Enterprise value</w:t>
            </w:r>
          </w:p>
        </w:tc>
        <w:tc>
          <w:tcPr>
            <w:tcW w:w="120" w:type="dxa"/>
            <w:vAlign w:val="bottom"/>
            <w:shd w:val="clear" w:color="auto" w:fill="CFF0FC"/>
          </w:tcPr>
          <w:p>
            <w:pPr>
              <w:spacing w:after="0"/>
              <w:rPr>
                <w:sz w:val="17"/>
                <w:szCs w:val="17"/>
                <w:color w:val="auto"/>
              </w:rPr>
            </w:pPr>
          </w:p>
        </w:tc>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 multiples</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1.3x</w:t>
            </w:r>
          </w:p>
        </w:tc>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- 4.1x (2.5x)</w:t>
            </w:r>
          </w:p>
        </w:tc>
      </w:t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020" w:type="dxa"/>
            <w:vAlign w:val="bottom"/>
            <w:gridSpan w:val="3"/>
          </w:tcPr>
          <w:p>
            <w:pPr>
              <w:spacing w:after="0"/>
              <w:rPr>
                <w:sz w:val="17"/>
                <w:szCs w:val="17"/>
                <w:color w:val="auto"/>
              </w:rPr>
            </w:pPr>
          </w:p>
        </w:tc>
      </w:tr>
      <w:tr>
        <w:trPr>
          <w:trHeight w:val="203"/>
        </w:trPr>
        <w:tc>
          <w:tcPr>
            <w:tcW w:w="2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Second Lien Debt</w:t>
            </w: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172,625</w:t>
            </w:r>
          </w:p>
        </w:tc>
        <w:tc>
          <w:tcPr>
            <w:tcW w:w="240" w:type="dxa"/>
            <w:vAlign w:val="bottom"/>
            <w:shd w:val="clear" w:color="auto" w:fill="CFF0FC"/>
          </w:tcPr>
          <w:p>
            <w:pPr>
              <w:spacing w:after="0"/>
              <w:rPr>
                <w:sz w:val="17"/>
                <w:szCs w:val="17"/>
                <w:color w:val="auto"/>
              </w:rPr>
            </w:pPr>
          </w:p>
        </w:tc>
        <w:tc>
          <w:tcPr>
            <w:tcW w:w="1920" w:type="dxa"/>
            <w:vAlign w:val="bottom"/>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Discounted cash flow </w:t>
            </w:r>
            <w:r>
              <w:rPr>
                <w:rFonts w:ascii="Times New Roman" w:cs="Times New Roman" w:eastAsia="Times New Roman" w:hAnsi="Times New Roman"/>
                <w:sz w:val="21"/>
                <w:szCs w:val="21"/>
                <w:color w:val="auto"/>
                <w:vertAlign w:val="superscript"/>
              </w:rPr>
              <w:t>(2)</w:t>
            </w:r>
          </w:p>
        </w:tc>
        <w:tc>
          <w:tcPr>
            <w:tcW w:w="120" w:type="dxa"/>
            <w:vAlign w:val="bottom"/>
            <w:shd w:val="clear" w:color="auto" w:fill="CFF0FC"/>
          </w:tcPr>
          <w:p>
            <w:pPr>
              <w:spacing w:after="0"/>
              <w:rPr>
                <w:sz w:val="17"/>
                <w:szCs w:val="17"/>
                <w:color w:val="auto"/>
              </w:rPr>
            </w:pPr>
          </w:p>
        </w:tc>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cost of capital</w:t>
            </w:r>
          </w:p>
        </w:tc>
        <w:tc>
          <w:tcPr>
            <w:tcW w:w="20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10.2% - 22.0% (13.7%)</w:t>
            </w:r>
          </w:p>
        </w:tc>
      </w:t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2,428</w:t>
            </w:r>
          </w:p>
        </w:tc>
        <w:tc>
          <w:tcPr>
            <w:tcW w:w="240" w:type="dxa"/>
            <w:vAlign w:val="bottom"/>
          </w:tcPr>
          <w:p>
            <w:pPr>
              <w:spacing w:after="0"/>
              <w:rPr>
                <w:sz w:val="17"/>
                <w:szCs w:val="17"/>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Enterprise value</w:t>
            </w:r>
          </w:p>
        </w:tc>
        <w:tc>
          <w:tcPr>
            <w:tcW w:w="12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EBITDA multiples</w:t>
            </w:r>
          </w:p>
        </w:tc>
        <w:tc>
          <w:tcPr>
            <w:tcW w:w="140" w:type="dxa"/>
            <w:vAlign w:val="bottom"/>
          </w:tcPr>
          <w:p>
            <w:pPr>
              <w:spacing w:after="0"/>
              <w:rPr>
                <w:sz w:val="17"/>
                <w:szCs w:val="17"/>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5.0x</w:t>
            </w:r>
          </w:p>
        </w:tc>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- 5.0x (5.0x)</w:t>
            </w:r>
          </w:p>
        </w:tc>
      </w:tr>
      <w:tr>
        <w:trPr>
          <w:trHeight w:val="203"/>
        </w:trPr>
        <w:tc>
          <w:tcPr>
            <w:tcW w:w="2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240" w:type="dxa"/>
            <w:vAlign w:val="bottom"/>
            <w:shd w:val="clear" w:color="auto" w:fill="CFF0FC"/>
          </w:tcPr>
          <w:p>
            <w:pPr>
              <w:spacing w:after="0"/>
              <w:rPr>
                <w:sz w:val="17"/>
                <w:szCs w:val="17"/>
                <w:color w:val="auto"/>
              </w:rPr>
            </w:pPr>
          </w:p>
        </w:tc>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Enterprise value</w:t>
            </w:r>
          </w:p>
        </w:tc>
        <w:tc>
          <w:tcPr>
            <w:tcW w:w="120" w:type="dxa"/>
            <w:vAlign w:val="bottom"/>
            <w:shd w:val="clear" w:color="auto" w:fill="CFF0FC"/>
          </w:tcPr>
          <w:p>
            <w:pPr>
              <w:spacing w:after="0"/>
              <w:rPr>
                <w:sz w:val="17"/>
                <w:szCs w:val="17"/>
                <w:color w:val="auto"/>
              </w:rPr>
            </w:pPr>
          </w:p>
        </w:tc>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 Coverage</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0.9x</w:t>
            </w:r>
          </w:p>
        </w:tc>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- 0.9x (0.9x)</w:t>
            </w:r>
          </w:p>
        </w:tc>
      </w:t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020" w:type="dxa"/>
            <w:vAlign w:val="bottom"/>
            <w:gridSpan w:val="3"/>
          </w:tcPr>
          <w:p>
            <w:pPr>
              <w:spacing w:after="0"/>
              <w:rPr>
                <w:sz w:val="17"/>
                <w:szCs w:val="17"/>
                <w:color w:val="auto"/>
              </w:rPr>
            </w:pPr>
          </w:p>
        </w:tc>
      </w:tr>
      <w:tr>
        <w:trPr>
          <w:trHeight w:val="203"/>
        </w:trPr>
        <w:tc>
          <w:tcPr>
            <w:tcW w:w="2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Subordinated Debt</w:t>
            </w: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78,009</w:t>
            </w:r>
          </w:p>
        </w:tc>
        <w:tc>
          <w:tcPr>
            <w:tcW w:w="240" w:type="dxa"/>
            <w:vAlign w:val="bottom"/>
            <w:shd w:val="clear" w:color="auto" w:fill="CFF0FC"/>
          </w:tcPr>
          <w:p>
            <w:pPr>
              <w:spacing w:after="0"/>
              <w:rPr>
                <w:sz w:val="17"/>
                <w:szCs w:val="17"/>
                <w:color w:val="auto"/>
              </w:rPr>
            </w:pPr>
          </w:p>
        </w:tc>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Discounted cash flow</w:t>
            </w:r>
          </w:p>
        </w:tc>
        <w:tc>
          <w:tcPr>
            <w:tcW w:w="120" w:type="dxa"/>
            <w:vAlign w:val="bottom"/>
            <w:shd w:val="clear" w:color="auto" w:fill="CFF0FC"/>
          </w:tcPr>
          <w:p>
            <w:pPr>
              <w:spacing w:after="0"/>
              <w:rPr>
                <w:sz w:val="17"/>
                <w:szCs w:val="17"/>
                <w:color w:val="auto"/>
              </w:rPr>
            </w:pPr>
          </w:p>
        </w:tc>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cost of capital</w:t>
            </w:r>
          </w:p>
        </w:tc>
        <w:tc>
          <w:tcPr>
            <w:tcW w:w="20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10.1% - 14.0% (11.1%)</w:t>
            </w:r>
          </w:p>
        </w:tc>
      </w:t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240" w:type="dxa"/>
            <w:vAlign w:val="bottom"/>
          </w:tcPr>
          <w:p>
            <w:pPr>
              <w:spacing w:after="0"/>
              <w:rPr>
                <w:sz w:val="17"/>
                <w:szCs w:val="17"/>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Enterprise value</w:t>
            </w:r>
          </w:p>
        </w:tc>
        <w:tc>
          <w:tcPr>
            <w:tcW w:w="12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EBITDA multiples</w:t>
            </w:r>
          </w:p>
        </w:tc>
        <w:tc>
          <w:tcPr>
            <w:tcW w:w="140" w:type="dxa"/>
            <w:vAlign w:val="bottom"/>
          </w:tcPr>
          <w:p>
            <w:pPr>
              <w:spacing w:after="0"/>
              <w:rPr>
                <w:sz w:val="17"/>
                <w:szCs w:val="17"/>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8.5x</w:t>
            </w:r>
          </w:p>
        </w:tc>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- 8.5x (8.5x)</w:t>
            </w:r>
          </w:p>
        </w:tc>
      </w:tr>
      <w:tr>
        <w:trPr>
          <w:trHeight w:val="203"/>
        </w:trPr>
        <w:tc>
          <w:tcPr>
            <w:tcW w:w="2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r>
      <w:tr>
        <w:trPr>
          <w:trHeight w:val="20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Equity investments:</w:t>
            </w: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2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Equity</w:t>
            </w: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96,905</w:t>
            </w:r>
          </w:p>
        </w:tc>
        <w:tc>
          <w:tcPr>
            <w:tcW w:w="240" w:type="dxa"/>
            <w:vAlign w:val="bottom"/>
            <w:shd w:val="clear" w:color="auto" w:fill="CFF0FC"/>
          </w:tcPr>
          <w:p>
            <w:pPr>
              <w:spacing w:after="0"/>
              <w:rPr>
                <w:sz w:val="17"/>
                <w:szCs w:val="17"/>
                <w:color w:val="auto"/>
              </w:rPr>
            </w:pPr>
          </w:p>
        </w:tc>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Enterprise value</w:t>
            </w:r>
          </w:p>
        </w:tc>
        <w:tc>
          <w:tcPr>
            <w:tcW w:w="120" w:type="dxa"/>
            <w:vAlign w:val="bottom"/>
            <w:shd w:val="clear" w:color="auto" w:fill="CFF0FC"/>
          </w:tcPr>
          <w:p>
            <w:pPr>
              <w:spacing w:after="0"/>
              <w:rPr>
                <w:sz w:val="17"/>
                <w:szCs w:val="17"/>
                <w:color w:val="auto"/>
              </w:rPr>
            </w:pPr>
          </w:p>
        </w:tc>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EBITDA multiples</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3.5x</w:t>
            </w:r>
          </w:p>
        </w:tc>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- 16.0x (7.2x)</w:t>
            </w:r>
          </w:p>
        </w:tc>
      </w:t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9,729</w:t>
            </w:r>
          </w:p>
        </w:tc>
        <w:tc>
          <w:tcPr>
            <w:tcW w:w="240" w:type="dxa"/>
            <w:vAlign w:val="bottom"/>
          </w:tcPr>
          <w:p>
            <w:pPr>
              <w:spacing w:after="0"/>
              <w:rPr>
                <w:sz w:val="17"/>
                <w:szCs w:val="17"/>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Enterprise value</w:t>
            </w:r>
          </w:p>
        </w:tc>
        <w:tc>
          <w:tcPr>
            <w:tcW w:w="12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Revenue multiples</w:t>
            </w:r>
          </w:p>
        </w:tc>
        <w:tc>
          <w:tcPr>
            <w:tcW w:w="140" w:type="dxa"/>
            <w:vAlign w:val="bottom"/>
          </w:tcPr>
          <w:p>
            <w:pPr>
              <w:spacing w:after="0"/>
              <w:rPr>
                <w:sz w:val="17"/>
                <w:szCs w:val="17"/>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3.0x</w:t>
            </w:r>
          </w:p>
        </w:tc>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- 7.8x (6.4x)</w:t>
            </w:r>
          </w:p>
        </w:tc>
      </w:tr>
      <w:tr>
        <w:trPr>
          <w:trHeight w:val="203"/>
        </w:trPr>
        <w:tc>
          <w:tcPr>
            <w:tcW w:w="2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r>
      <w:tr>
        <w:trPr>
          <w:trHeight w:val="203"/>
        </w:trPr>
        <w:tc>
          <w:tcPr>
            <w:tcW w:w="2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Warrants</w:t>
            </w: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2,525</w:t>
            </w:r>
          </w:p>
        </w:tc>
        <w:tc>
          <w:tcPr>
            <w:tcW w:w="240" w:type="dxa"/>
            <w:vAlign w:val="bottom"/>
          </w:tcPr>
          <w:p>
            <w:pPr>
              <w:spacing w:after="0"/>
              <w:rPr>
                <w:sz w:val="17"/>
                <w:szCs w:val="17"/>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Enterprise value</w:t>
            </w:r>
          </w:p>
        </w:tc>
        <w:tc>
          <w:tcPr>
            <w:tcW w:w="12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EBITDA multiples</w:t>
            </w:r>
          </w:p>
        </w:tc>
        <w:tc>
          <w:tcPr>
            <w:tcW w:w="140" w:type="dxa"/>
            <w:vAlign w:val="bottom"/>
          </w:tcPr>
          <w:p>
            <w:pPr>
              <w:spacing w:after="0"/>
              <w:rPr>
                <w:sz w:val="17"/>
                <w:szCs w:val="17"/>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5.0x</w:t>
            </w:r>
          </w:p>
        </w:tc>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- 6.0x (5.8x)</w:t>
            </w:r>
          </w:p>
        </w:tc>
      </w:tr>
      <w:tr>
        <w:trPr>
          <w:trHeight w:val="202"/>
        </w:trPr>
        <w:tc>
          <w:tcPr>
            <w:tcW w:w="2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240" w:type="dxa"/>
            <w:vAlign w:val="bottom"/>
            <w:shd w:val="clear" w:color="auto" w:fill="CFF0FC"/>
          </w:tcPr>
          <w:p>
            <w:pPr>
              <w:spacing w:after="0"/>
              <w:rPr>
                <w:sz w:val="17"/>
                <w:szCs w:val="17"/>
                <w:color w:val="auto"/>
              </w:rPr>
            </w:pPr>
          </w:p>
        </w:tc>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Enterprise value</w:t>
            </w:r>
          </w:p>
        </w:tc>
        <w:tc>
          <w:tcPr>
            <w:tcW w:w="120" w:type="dxa"/>
            <w:vAlign w:val="bottom"/>
            <w:shd w:val="clear" w:color="auto" w:fill="CFF0FC"/>
          </w:tcPr>
          <w:p>
            <w:pPr>
              <w:spacing w:after="0"/>
              <w:rPr>
                <w:sz w:val="17"/>
                <w:szCs w:val="17"/>
                <w:color w:val="auto"/>
              </w:rPr>
            </w:pPr>
          </w:p>
        </w:tc>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 multiples</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4.5x</w:t>
            </w:r>
          </w:p>
        </w:tc>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- 4.5x (4.5x)</w:t>
            </w:r>
          </w:p>
        </w:tc>
      </w:tr>
    </w:tbl>
    <w:p>
      <w:pPr>
        <w:ind w:left="220" w:hanging="199"/>
        <w:spacing w:after="0"/>
        <w:tabs>
          <w:tab w:leader="none" w:pos="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the relative fair value of the instruments.</w:t>
      </w:r>
    </w:p>
    <w:p>
      <w:pPr>
        <w:spacing w:after="0" w:line="18" w:lineRule="exact"/>
        <w:rPr>
          <w:rFonts w:ascii="Times New Roman" w:cs="Times New Roman" w:eastAsia="Times New Roman" w:hAnsi="Times New Roman"/>
          <w:sz w:val="14"/>
          <w:szCs w:val="14"/>
          <w:color w:val="auto"/>
        </w:rPr>
      </w:pPr>
    </w:p>
    <w:p>
      <w:pPr>
        <w:ind w:left="220" w:hanging="199"/>
        <w:spacing w:after="0"/>
        <w:tabs>
          <w:tab w:leader="none" w:pos="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$18.0 million of debt investments which were valued using a trading discount to par.</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tbl>
      <w:tblPr>
        <w:tblLayout w:type="fixed"/>
        <w:tblInd w:w="0" w:type="dxa"/>
        <w:tblCellMar>
          <w:top w:w="0" w:type="dxa"/>
          <w:left w:w="0" w:type="dxa"/>
          <w:bottom w:w="0" w:type="dxa"/>
          <w:right w:w="0" w:type="dxa"/>
        </w:tblCellMar>
      </w:tblPr>
      <w:tr>
        <w:trPr>
          <w:trHeight w:val="155"/>
        </w:trPr>
        <w:tc>
          <w:tcPr>
            <w:tcW w:w="2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ind w:right="239"/>
              <w:spacing w:after="0" w:line="155" w:lineRule="exact"/>
              <w:rPr>
                <w:sz w:val="20"/>
                <w:szCs w:val="20"/>
                <w:color w:val="auto"/>
              </w:rPr>
            </w:pPr>
            <w:r>
              <w:rPr>
                <w:rFonts w:ascii="Times New Roman" w:cs="Times New Roman" w:eastAsia="Times New Roman" w:hAnsi="Times New Roman"/>
                <w:sz w:val="16"/>
                <w:szCs w:val="16"/>
                <w:b w:val="1"/>
                <w:bCs w:val="1"/>
                <w:color w:val="auto"/>
              </w:rPr>
              <w:t>Fair Value at</w:t>
            </w:r>
          </w:p>
        </w:tc>
        <w:tc>
          <w:tcPr>
            <w:tcW w:w="220" w:type="dxa"/>
            <w:vAlign w:val="bottom"/>
          </w:tcPr>
          <w:p>
            <w:pPr>
              <w:spacing w:after="0"/>
              <w:rPr>
                <w:sz w:val="13"/>
                <w:szCs w:val="13"/>
                <w:color w:val="auto"/>
              </w:rPr>
            </w:pPr>
          </w:p>
        </w:tc>
        <w:tc>
          <w:tcPr>
            <w:tcW w:w="2020" w:type="dxa"/>
            <w:vAlign w:val="bottom"/>
          </w:tcPr>
          <w:p>
            <w:pPr>
              <w:ind w:left="680"/>
              <w:spacing w:after="0" w:line="155" w:lineRule="exact"/>
              <w:rPr>
                <w:sz w:val="20"/>
                <w:szCs w:val="20"/>
                <w:color w:val="auto"/>
              </w:rPr>
            </w:pPr>
            <w:r>
              <w:rPr>
                <w:rFonts w:ascii="Times New Roman" w:cs="Times New Roman" w:eastAsia="Times New Roman" w:hAnsi="Times New Roman"/>
                <w:sz w:val="16"/>
                <w:szCs w:val="16"/>
                <w:b w:val="1"/>
                <w:bCs w:val="1"/>
                <w:color w:val="auto"/>
              </w:rPr>
              <w:t>Valuation</w:t>
            </w:r>
          </w:p>
        </w:tc>
        <w:tc>
          <w:tcPr>
            <w:tcW w:w="120" w:type="dxa"/>
            <w:vAlign w:val="bottom"/>
          </w:tcPr>
          <w:p>
            <w:pPr>
              <w:spacing w:after="0"/>
              <w:rPr>
                <w:sz w:val="13"/>
                <w:szCs w:val="13"/>
                <w:color w:val="auto"/>
              </w:rPr>
            </w:pPr>
          </w:p>
        </w:tc>
        <w:tc>
          <w:tcPr>
            <w:tcW w:w="2920" w:type="dxa"/>
            <w:vAlign w:val="bottom"/>
          </w:tcPr>
          <w:p>
            <w:pPr>
              <w:ind w:left="980"/>
              <w:spacing w:after="0" w:line="155" w:lineRule="exact"/>
              <w:rPr>
                <w:sz w:val="20"/>
                <w:szCs w:val="20"/>
                <w:color w:val="auto"/>
              </w:rPr>
            </w:pPr>
            <w:r>
              <w:rPr>
                <w:rFonts w:ascii="Times New Roman" w:cs="Times New Roman" w:eastAsia="Times New Roman" w:hAnsi="Times New Roman"/>
                <w:sz w:val="16"/>
                <w:szCs w:val="16"/>
                <w:b w:val="1"/>
                <w:bCs w:val="1"/>
                <w:color w:val="auto"/>
              </w:rPr>
              <w:t>Unobservable</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tcPr>
          <w:p>
            <w:pPr>
              <w:ind w:left="540"/>
              <w:spacing w:after="0" w:line="155" w:lineRule="exact"/>
              <w:rPr>
                <w:sz w:val="20"/>
                <w:szCs w:val="20"/>
                <w:color w:val="auto"/>
              </w:rPr>
            </w:pPr>
            <w:r>
              <w:rPr>
                <w:rFonts w:ascii="Times New Roman" w:cs="Times New Roman" w:eastAsia="Times New Roman" w:hAnsi="Times New Roman"/>
                <w:sz w:val="16"/>
                <w:szCs w:val="16"/>
                <w:b w:val="1"/>
                <w:bCs w:val="1"/>
                <w:color w:val="auto"/>
              </w:rPr>
              <w:t>Range</w:t>
            </w:r>
          </w:p>
        </w:tc>
      </w:tr>
      <w:tr>
        <w:trPr>
          <w:trHeight w:val="246"/>
        </w:trPr>
        <w:tc>
          <w:tcPr>
            <w:tcW w:w="2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20" w:type="dxa"/>
            <w:vAlign w:val="bottom"/>
          </w:tcPr>
          <w:p>
            <w:pPr>
              <w:spacing w:after="0"/>
              <w:rPr>
                <w:sz w:val="21"/>
                <w:szCs w:val="21"/>
                <w:color w:val="auto"/>
              </w:rPr>
            </w:pPr>
          </w:p>
        </w:tc>
        <w:tc>
          <w:tcPr>
            <w:tcW w:w="20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6"/>
                <w:szCs w:val="16"/>
                <w:b w:val="1"/>
                <w:bCs w:val="1"/>
                <w:color w:val="auto"/>
              </w:rPr>
              <w:t>Techniques</w:t>
            </w:r>
          </w:p>
        </w:tc>
        <w:tc>
          <w:tcPr>
            <w:tcW w:w="120" w:type="dxa"/>
            <w:vAlign w:val="bottom"/>
          </w:tcPr>
          <w:p>
            <w:pPr>
              <w:spacing w:after="0"/>
              <w:rPr>
                <w:sz w:val="21"/>
                <w:szCs w:val="21"/>
                <w:color w:val="auto"/>
              </w:rPr>
            </w:pPr>
          </w:p>
        </w:tc>
        <w:tc>
          <w:tcPr>
            <w:tcW w:w="29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(weighted average)</w:t>
            </w:r>
            <w:r>
              <w:rPr>
                <w:rFonts w:ascii="Times New Roman" w:cs="Times New Roman" w:eastAsia="Times New Roman" w:hAnsi="Times New Roman"/>
                <w:sz w:val="21"/>
                <w:szCs w:val="21"/>
                <w:b w:val="1"/>
                <w:bCs w:val="1"/>
                <w:color w:val="auto"/>
                <w:vertAlign w:val="superscript"/>
              </w:rPr>
              <w:t>(1)</w:t>
            </w:r>
          </w:p>
        </w:tc>
      </w:tr>
      <w:tr>
        <w:trPr>
          <w:trHeight w:val="194"/>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Debt investments:</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04"/>
        </w:trPr>
        <w:tc>
          <w:tcPr>
            <w:tcW w:w="2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First Lien Debt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335,022</w:t>
            </w:r>
          </w:p>
        </w:tc>
        <w:tc>
          <w:tcPr>
            <w:tcW w:w="220" w:type="dxa"/>
            <w:vAlign w:val="bottom"/>
            <w:shd w:val="clear" w:color="auto" w:fill="CFF0FC"/>
          </w:tcPr>
          <w:p>
            <w:pPr>
              <w:spacing w:after="0"/>
              <w:rPr>
                <w:sz w:val="17"/>
                <w:szCs w:val="17"/>
                <w:color w:val="auto"/>
              </w:rPr>
            </w:pPr>
          </w:p>
        </w:tc>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Discounted cash flow</w:t>
            </w:r>
          </w:p>
        </w:tc>
        <w:tc>
          <w:tcPr>
            <w:tcW w:w="120" w:type="dxa"/>
            <w:vAlign w:val="bottom"/>
            <w:shd w:val="clear" w:color="auto" w:fill="CFF0FC"/>
          </w:tcPr>
          <w:p>
            <w:pPr>
              <w:spacing w:after="0"/>
              <w:rPr>
                <w:sz w:val="17"/>
                <w:szCs w:val="17"/>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cost of capital</w:t>
            </w:r>
          </w:p>
        </w:tc>
        <w:tc>
          <w:tcPr>
            <w:tcW w:w="23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4.0% - 21.6% (12.2%)</w:t>
            </w:r>
          </w:p>
        </w:tc>
      </w:tr>
      <w:tr>
        <w:trPr>
          <w:trHeight w:val="203"/>
        </w:trPr>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220" w:type="dxa"/>
            <w:vAlign w:val="bottom"/>
          </w:tcPr>
          <w:p>
            <w:pPr>
              <w:spacing w:after="0"/>
              <w:rPr>
                <w:sz w:val="17"/>
                <w:szCs w:val="17"/>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Enterprise value</w:t>
            </w:r>
          </w:p>
        </w:tc>
        <w:tc>
          <w:tcPr>
            <w:tcW w:w="120" w:type="dxa"/>
            <w:vAlign w:val="bottom"/>
          </w:tcPr>
          <w:p>
            <w:pPr>
              <w:spacing w:after="0"/>
              <w:rPr>
                <w:sz w:val="17"/>
                <w:szCs w:val="17"/>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Asset Coverage</w:t>
            </w:r>
          </w:p>
        </w:tc>
        <w:tc>
          <w:tcPr>
            <w:tcW w:w="12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1.2x</w:t>
            </w:r>
          </w:p>
        </w:tc>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- 1.2x (1.2x)</w:t>
            </w:r>
          </w:p>
        </w:tc>
      </w:tr>
      <w:tr>
        <w:trPr>
          <w:trHeight w:val="203"/>
        </w:trPr>
        <w:tc>
          <w:tcPr>
            <w:tcW w:w="2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8,900</w:t>
            </w:r>
          </w:p>
        </w:tc>
        <w:tc>
          <w:tcPr>
            <w:tcW w:w="220" w:type="dxa"/>
            <w:vAlign w:val="bottom"/>
            <w:shd w:val="clear" w:color="auto" w:fill="CFF0FC"/>
          </w:tcPr>
          <w:p>
            <w:pPr>
              <w:spacing w:after="0"/>
              <w:rPr>
                <w:sz w:val="17"/>
                <w:szCs w:val="17"/>
                <w:color w:val="auto"/>
              </w:rPr>
            </w:pPr>
          </w:p>
        </w:tc>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Enterprise value</w:t>
            </w:r>
          </w:p>
        </w:tc>
        <w:tc>
          <w:tcPr>
            <w:tcW w:w="120" w:type="dxa"/>
            <w:vAlign w:val="bottom"/>
            <w:shd w:val="clear" w:color="auto" w:fill="CFF0FC"/>
          </w:tcPr>
          <w:p>
            <w:pPr>
              <w:spacing w:after="0"/>
              <w:rPr>
                <w:sz w:val="17"/>
                <w:szCs w:val="17"/>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 multiples</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4.5x</w:t>
            </w: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- 4.5x (4.5x)</w:t>
            </w:r>
          </w:p>
        </w:tc>
      </w:tr>
      <w:tr>
        <w:trPr>
          <w:trHeight w:val="203"/>
        </w:trPr>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300" w:type="dxa"/>
            <w:vAlign w:val="bottom"/>
            <w:gridSpan w:val="3"/>
          </w:tcPr>
          <w:p>
            <w:pPr>
              <w:spacing w:after="0"/>
              <w:rPr>
                <w:sz w:val="17"/>
                <w:szCs w:val="17"/>
                <w:color w:val="auto"/>
              </w:rPr>
            </w:pPr>
          </w:p>
        </w:tc>
      </w:tr>
      <w:tr>
        <w:trPr>
          <w:trHeight w:val="203"/>
        </w:trPr>
        <w:tc>
          <w:tcPr>
            <w:tcW w:w="2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Second Lien Debt</w:t>
            </w: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144,541</w:t>
            </w:r>
          </w:p>
        </w:tc>
        <w:tc>
          <w:tcPr>
            <w:tcW w:w="220" w:type="dxa"/>
            <w:vAlign w:val="bottom"/>
            <w:shd w:val="clear" w:color="auto" w:fill="CFF0FC"/>
          </w:tcPr>
          <w:p>
            <w:pPr>
              <w:spacing w:after="0"/>
              <w:rPr>
                <w:sz w:val="17"/>
                <w:szCs w:val="17"/>
                <w:color w:val="auto"/>
              </w:rPr>
            </w:pPr>
          </w:p>
        </w:tc>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Discounted cash flow</w:t>
            </w:r>
          </w:p>
        </w:tc>
        <w:tc>
          <w:tcPr>
            <w:tcW w:w="120" w:type="dxa"/>
            <w:vAlign w:val="bottom"/>
            <w:shd w:val="clear" w:color="auto" w:fill="CFF0FC"/>
          </w:tcPr>
          <w:p>
            <w:pPr>
              <w:spacing w:after="0"/>
              <w:rPr>
                <w:sz w:val="17"/>
                <w:szCs w:val="17"/>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cost of capital</w:t>
            </w:r>
          </w:p>
        </w:tc>
        <w:tc>
          <w:tcPr>
            <w:tcW w:w="23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7.8% - 25.0% (14.4%)</w:t>
            </w:r>
          </w:p>
        </w:tc>
      </w:tr>
      <w:tr>
        <w:trPr>
          <w:trHeight w:val="203"/>
        </w:trPr>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14,274</w:t>
            </w:r>
          </w:p>
        </w:tc>
        <w:tc>
          <w:tcPr>
            <w:tcW w:w="220" w:type="dxa"/>
            <w:vAlign w:val="bottom"/>
          </w:tcPr>
          <w:p>
            <w:pPr>
              <w:spacing w:after="0"/>
              <w:rPr>
                <w:sz w:val="17"/>
                <w:szCs w:val="17"/>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Enterprise value</w:t>
            </w:r>
          </w:p>
        </w:tc>
        <w:tc>
          <w:tcPr>
            <w:tcW w:w="120" w:type="dxa"/>
            <w:vAlign w:val="bottom"/>
          </w:tcPr>
          <w:p>
            <w:pPr>
              <w:spacing w:after="0"/>
              <w:rPr>
                <w:sz w:val="17"/>
                <w:szCs w:val="17"/>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Asset Coverage</w:t>
            </w:r>
          </w:p>
        </w:tc>
        <w:tc>
          <w:tcPr>
            <w:tcW w:w="12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1.0x</w:t>
            </w:r>
          </w:p>
        </w:tc>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- 1.4x (1.4x)</w:t>
            </w:r>
          </w:p>
        </w:tc>
      </w:tr>
      <w:tr>
        <w:trPr>
          <w:trHeight w:val="203"/>
        </w:trPr>
        <w:tc>
          <w:tcPr>
            <w:tcW w:w="2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920" w:type="dxa"/>
            <w:vAlign w:val="bottom"/>
            <w:shd w:val="clear" w:color="auto" w:fill="CFF0FC"/>
          </w:tcPr>
          <w:p>
            <w:pPr>
              <w:spacing w:after="0"/>
              <w:rPr>
                <w:sz w:val="17"/>
                <w:szCs w:val="17"/>
                <w:color w:val="auto"/>
              </w:rPr>
            </w:pPr>
          </w:p>
        </w:tc>
        <w:tc>
          <w:tcPr>
            <w:tcW w:w="2300" w:type="dxa"/>
            <w:vAlign w:val="bottom"/>
            <w:gridSpan w:val="3"/>
            <w:shd w:val="clear" w:color="auto" w:fill="CFF0FC"/>
          </w:tcPr>
          <w:p>
            <w:pPr>
              <w:spacing w:after="0"/>
              <w:rPr>
                <w:sz w:val="17"/>
                <w:szCs w:val="17"/>
                <w:color w:val="auto"/>
              </w:rPr>
            </w:pPr>
          </w:p>
        </w:tc>
      </w:tr>
      <w:tr>
        <w:trPr>
          <w:trHeight w:val="203"/>
        </w:trPr>
        <w:tc>
          <w:tcPr>
            <w:tcW w:w="2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Subordinated Debt</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36,064</w:t>
            </w:r>
          </w:p>
        </w:tc>
        <w:tc>
          <w:tcPr>
            <w:tcW w:w="220" w:type="dxa"/>
            <w:vAlign w:val="bottom"/>
          </w:tcPr>
          <w:p>
            <w:pPr>
              <w:spacing w:after="0"/>
              <w:rPr>
                <w:sz w:val="17"/>
                <w:szCs w:val="17"/>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Discounted cash flow</w:t>
            </w:r>
          </w:p>
        </w:tc>
        <w:tc>
          <w:tcPr>
            <w:tcW w:w="120" w:type="dxa"/>
            <w:vAlign w:val="bottom"/>
          </w:tcPr>
          <w:p>
            <w:pPr>
              <w:spacing w:after="0"/>
              <w:rPr>
                <w:sz w:val="17"/>
                <w:szCs w:val="17"/>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cost of capital</w:t>
            </w:r>
          </w:p>
        </w:tc>
        <w:tc>
          <w:tcPr>
            <w:tcW w:w="23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10.0% - 13.5% (11.1%)</w:t>
            </w:r>
          </w:p>
        </w:tc>
      </w:tr>
      <w:tr>
        <w:trPr>
          <w:trHeight w:val="203"/>
        </w:trPr>
        <w:tc>
          <w:tcPr>
            <w:tcW w:w="2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r>
      <w:tr>
        <w:trPr>
          <w:trHeight w:val="203"/>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Equity investments:</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2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Equity</w:t>
            </w: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162,681</w:t>
            </w:r>
          </w:p>
        </w:tc>
        <w:tc>
          <w:tcPr>
            <w:tcW w:w="220" w:type="dxa"/>
            <w:vAlign w:val="bottom"/>
            <w:shd w:val="clear" w:color="auto" w:fill="CFF0FC"/>
          </w:tcPr>
          <w:p>
            <w:pPr>
              <w:spacing w:after="0"/>
              <w:rPr>
                <w:sz w:val="17"/>
                <w:szCs w:val="17"/>
                <w:color w:val="auto"/>
              </w:rPr>
            </w:pPr>
          </w:p>
        </w:tc>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Enterprise value</w:t>
            </w:r>
          </w:p>
        </w:tc>
        <w:tc>
          <w:tcPr>
            <w:tcW w:w="120" w:type="dxa"/>
            <w:vAlign w:val="bottom"/>
            <w:shd w:val="clear" w:color="auto" w:fill="CFF0FC"/>
          </w:tcPr>
          <w:p>
            <w:pPr>
              <w:spacing w:after="0"/>
              <w:rPr>
                <w:sz w:val="17"/>
                <w:szCs w:val="17"/>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EBITDA multiples</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3.5x</w:t>
            </w: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- 23.8x (8.2x)</w:t>
            </w:r>
          </w:p>
        </w:tc>
      </w:tr>
      <w:tr>
        <w:trPr>
          <w:trHeight w:val="203"/>
        </w:trPr>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3,081</w:t>
            </w:r>
          </w:p>
        </w:tc>
        <w:tc>
          <w:tcPr>
            <w:tcW w:w="220" w:type="dxa"/>
            <w:vAlign w:val="bottom"/>
          </w:tcPr>
          <w:p>
            <w:pPr>
              <w:spacing w:after="0"/>
              <w:rPr>
                <w:sz w:val="17"/>
                <w:szCs w:val="17"/>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Enterprise value</w:t>
            </w:r>
          </w:p>
        </w:tc>
        <w:tc>
          <w:tcPr>
            <w:tcW w:w="120" w:type="dxa"/>
            <w:vAlign w:val="bottom"/>
          </w:tcPr>
          <w:p>
            <w:pPr>
              <w:spacing w:after="0"/>
              <w:rPr>
                <w:sz w:val="17"/>
                <w:szCs w:val="17"/>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Revenue multiples</w:t>
            </w:r>
          </w:p>
        </w:tc>
        <w:tc>
          <w:tcPr>
            <w:tcW w:w="12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3.5x</w:t>
            </w:r>
          </w:p>
        </w:tc>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- 9.3x (6.2x)</w:t>
            </w:r>
          </w:p>
        </w:tc>
      </w:tr>
      <w:tr>
        <w:trPr>
          <w:trHeight w:val="203"/>
        </w:trPr>
        <w:tc>
          <w:tcPr>
            <w:tcW w:w="2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r>
      <w:tr>
        <w:trPr>
          <w:trHeight w:val="203"/>
        </w:trPr>
        <w:tc>
          <w:tcPr>
            <w:tcW w:w="2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Warrants</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3,075</w:t>
            </w:r>
          </w:p>
        </w:tc>
        <w:tc>
          <w:tcPr>
            <w:tcW w:w="220" w:type="dxa"/>
            <w:vAlign w:val="bottom"/>
          </w:tcPr>
          <w:p>
            <w:pPr>
              <w:spacing w:after="0"/>
              <w:rPr>
                <w:sz w:val="17"/>
                <w:szCs w:val="17"/>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Enterprise value</w:t>
            </w:r>
          </w:p>
        </w:tc>
        <w:tc>
          <w:tcPr>
            <w:tcW w:w="120" w:type="dxa"/>
            <w:vAlign w:val="bottom"/>
          </w:tcPr>
          <w:p>
            <w:pPr>
              <w:spacing w:after="0"/>
              <w:rPr>
                <w:sz w:val="17"/>
                <w:szCs w:val="17"/>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EBITDA multiples</w:t>
            </w:r>
          </w:p>
        </w:tc>
        <w:tc>
          <w:tcPr>
            <w:tcW w:w="12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4.5x</w:t>
            </w:r>
          </w:p>
        </w:tc>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- 6.0x (5.9x)</w:t>
            </w:r>
          </w:p>
        </w:tc>
      </w:tr>
      <w:tr>
        <w:trPr>
          <w:trHeight w:val="203"/>
        </w:trPr>
        <w:tc>
          <w:tcPr>
            <w:tcW w:w="2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20" w:type="dxa"/>
            <w:vAlign w:val="bottom"/>
            <w:shd w:val="clear" w:color="auto" w:fill="CFF0FC"/>
          </w:tcPr>
          <w:p>
            <w:pPr>
              <w:spacing w:after="0"/>
              <w:rPr>
                <w:sz w:val="17"/>
                <w:szCs w:val="17"/>
                <w:color w:val="auto"/>
              </w:rPr>
            </w:pPr>
          </w:p>
        </w:tc>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Enterprise value</w:t>
            </w:r>
          </w:p>
        </w:tc>
        <w:tc>
          <w:tcPr>
            <w:tcW w:w="120" w:type="dxa"/>
            <w:vAlign w:val="bottom"/>
            <w:shd w:val="clear" w:color="auto" w:fill="CFF0FC"/>
          </w:tcPr>
          <w:p>
            <w:pPr>
              <w:spacing w:after="0"/>
              <w:rPr>
                <w:sz w:val="17"/>
                <w:szCs w:val="17"/>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 multiples</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4.5x</w:t>
            </w: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- 4.5x (4.5x)</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Unobservable inputs were weighted by the relative fair value of the instruments.</w:t>
      </w:r>
    </w:p>
    <w:p>
      <w:pPr>
        <w:spacing w:after="0" w:line="167" w:lineRule="exact"/>
        <w:rPr>
          <w:sz w:val="20"/>
          <w:szCs w:val="20"/>
          <w:color w:val="auto"/>
        </w:rPr>
      </w:pPr>
    </w:p>
    <w:p>
      <w:pPr>
        <w:jc w:val="both"/>
        <w:ind w:firstLine="478"/>
        <w:spacing w:after="0" w:line="282" w:lineRule="auto"/>
        <w:rPr>
          <w:sz w:val="20"/>
          <w:szCs w:val="20"/>
          <w:color w:val="auto"/>
        </w:rPr>
      </w:pPr>
      <w:r>
        <w:rPr>
          <w:rFonts w:ascii="Times New Roman" w:cs="Times New Roman" w:eastAsia="Times New Roman" w:hAnsi="Times New Roman"/>
          <w:sz w:val="18"/>
          <w:szCs w:val="18"/>
          <w:color w:val="auto"/>
        </w:rPr>
        <w:t>The significant unobservable input used in determining the fair value under the discounted cash flow technique is the weighted average cost of capital of each security. Significant increases (or decreases) in this input would likely result in significantly lower (or higher) fair value estimates.</w:t>
      </w:r>
    </w:p>
    <w:p>
      <w:pPr>
        <w:spacing w:after="0" w:line="94" w:lineRule="exact"/>
        <w:rPr>
          <w:sz w:val="20"/>
          <w:szCs w:val="20"/>
          <w:color w:val="auto"/>
        </w:rPr>
      </w:pPr>
    </w:p>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The significant unobservable inputs used in determining fair value under the enterprise value technique are revenue and EBITDA multiples, as well as asset coverage. Significant increases (or decreases) in these inputs could result in significantly higher (or lower) fair value estimates.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Financial Assets and Liabilities</w:t>
      </w:r>
    </w:p>
    <w:p>
      <w:pPr>
        <w:spacing w:after="0" w:line="173" w:lineRule="exact"/>
        <w:rPr>
          <w:sz w:val="20"/>
          <w:szCs w:val="20"/>
          <w:color w:val="auto"/>
        </w:rPr>
      </w:pPr>
    </w:p>
    <w:p>
      <w:pPr>
        <w:jc w:val="both"/>
        <w:ind w:firstLine="478"/>
        <w:spacing w:after="0" w:line="250" w:lineRule="auto"/>
        <w:rPr>
          <w:sz w:val="20"/>
          <w:szCs w:val="20"/>
          <w:color w:val="auto"/>
        </w:rPr>
      </w:pPr>
      <w:r>
        <w:rPr>
          <w:rFonts w:ascii="Times New Roman" w:cs="Times New Roman" w:eastAsia="Times New Roman" w:hAnsi="Times New Roman"/>
          <w:sz w:val="18"/>
          <w:szCs w:val="18"/>
          <w:color w:val="auto"/>
        </w:rPr>
        <w:t>ASC Topic 820 requires disclosure of the fair value of financial instruments for which it is practical to estimate such value. The Company believes that the carrying amounts of its other financial instruments such as cash and cash equivalents, interest receivable and accounts payable and other liabilities approximate the fair value of such items due to the short maturity of such instruments. The Company’s borrowings under the Credit Facility (as defined in Note 6), the SBA debentures, and the Notes (as defined in Note 6) are recorded at their respective carrying values.</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tables summarize the carrying value and fair value of the Company’s debt obligations as of September 30, 2022 and December 31,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276"/>
        </w:trPr>
        <w:tc>
          <w:tcPr>
            <w:tcW w:w="44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September 30, 2022</w:t>
            </w:r>
            <w:r>
              <w:rPr>
                <w:rFonts w:ascii="Times New Roman" w:cs="Times New Roman" w:eastAsia="Times New Roman" w:hAnsi="Times New Roman"/>
                <w:sz w:val="24"/>
                <w:szCs w:val="24"/>
                <w:b w:val="1"/>
                <w:bCs w:val="1"/>
                <w:color w:val="auto"/>
                <w:vertAlign w:val="superscript"/>
              </w:rPr>
              <w:t>(5)</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44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December 31, 2021</w:t>
            </w:r>
            <w:r>
              <w:rPr>
                <w:rFonts w:ascii="Times New Roman" w:cs="Times New Roman" w:eastAsia="Times New Roman" w:hAnsi="Times New Roman"/>
                <w:sz w:val="24"/>
                <w:szCs w:val="24"/>
                <w:b w:val="1"/>
                <w:bCs w:val="1"/>
                <w:color w:val="auto"/>
                <w:vertAlign w:val="superscript"/>
              </w:rPr>
              <w:t>(5)</w:t>
            </w:r>
          </w:p>
        </w:tc>
        <w:tc>
          <w:tcPr>
            <w:tcW w:w="0" w:type="dxa"/>
            <w:vAlign w:val="bottom"/>
          </w:tcPr>
          <w:p>
            <w:pPr>
              <w:spacing w:after="0"/>
              <w:rPr>
                <w:sz w:val="1"/>
                <w:szCs w:val="1"/>
                <w:color w:val="auto"/>
              </w:rPr>
            </w:pPr>
          </w:p>
        </w:tc>
      </w:tr>
      <w:tr>
        <w:trPr>
          <w:trHeight w:val="155"/>
        </w:trPr>
        <w:tc>
          <w:tcPr>
            <w:tcW w:w="4420" w:type="dxa"/>
            <w:vAlign w:val="bottom"/>
          </w:tcPr>
          <w:p>
            <w:pPr>
              <w:spacing w:after="0"/>
              <w:rPr>
                <w:sz w:val="13"/>
                <w:szCs w:val="13"/>
                <w:color w:val="auto"/>
              </w:rPr>
            </w:pPr>
          </w:p>
        </w:tc>
        <w:tc>
          <w:tcPr>
            <w:tcW w:w="132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Carrying Value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Carrying Value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jc w:val="right"/>
              <w:ind w:right="554"/>
              <w:spacing w:after="0" w:line="122" w:lineRule="exact"/>
              <w:rPr>
                <w:sz w:val="20"/>
                <w:szCs w:val="20"/>
                <w:color w:val="auto"/>
              </w:rPr>
            </w:pPr>
            <w:r>
              <w:rPr>
                <w:rFonts w:ascii="Times New Roman" w:cs="Times New Roman" w:eastAsia="Times New Roman" w:hAnsi="Times New Roman"/>
                <w:sz w:val="12"/>
                <w:szCs w:val="12"/>
                <w:b w:val="1"/>
                <w:bCs w:val="1"/>
                <w:color w:val="auto"/>
              </w:rPr>
              <w:t>(1)</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vMerge w:val="restart"/>
          </w:tcPr>
          <w:p>
            <w:pPr>
              <w:jc w:val="right"/>
              <w:ind w:right="250"/>
              <w:spacing w:after="0" w:line="176"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jc w:val="right"/>
              <w:ind w:right="534"/>
              <w:spacing w:after="0" w:line="122" w:lineRule="exact"/>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vMerge w:val="restart"/>
          </w:tcPr>
          <w:p>
            <w:pPr>
              <w:jc w:val="right"/>
              <w:ind w:right="230"/>
              <w:spacing w:after="0" w:line="176"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54"/>
        </w:trPr>
        <w:tc>
          <w:tcPr>
            <w:tcW w:w="44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 xml:space="preserve">SBA debentures </w:t>
            </w:r>
            <w:r>
              <w:rPr>
                <w:rFonts w:ascii="Times New Roman" w:cs="Times New Roman" w:eastAsia="Times New Roman" w:hAnsi="Times New Roman"/>
                <w:sz w:val="24"/>
                <w:szCs w:val="24"/>
                <w:color w:val="auto"/>
                <w:vertAlign w:val="superscript"/>
              </w:rPr>
              <w:t>(2)</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133,000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133,000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107,000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107,000</w:t>
            </w:r>
          </w:p>
        </w:tc>
        <w:tc>
          <w:tcPr>
            <w:tcW w:w="0" w:type="dxa"/>
            <w:vAlign w:val="bottom"/>
          </w:tcPr>
          <w:p>
            <w:pPr>
              <w:spacing w:after="0"/>
              <w:rPr>
                <w:sz w:val="1"/>
                <w:szCs w:val="1"/>
                <w:color w:val="auto"/>
              </w:rPr>
            </w:pPr>
          </w:p>
        </w:tc>
      </w:tr>
      <w:tr>
        <w:trPr>
          <w:trHeight w:val="216"/>
        </w:trPr>
        <w:tc>
          <w:tcPr>
            <w:tcW w:w="4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Credit Facility borrowings </w:t>
            </w:r>
            <w:r>
              <w:rPr>
                <w:rFonts w:ascii="Times New Roman" w:cs="Times New Roman" w:eastAsia="Times New Roman" w:hAnsi="Times New Roman"/>
                <w:sz w:val="24"/>
                <w:szCs w:val="24"/>
                <w:color w:val="auto"/>
                <w:vertAlign w:val="superscript"/>
              </w:rPr>
              <w:t>(3)</w:t>
            </w:r>
          </w:p>
        </w:tc>
        <w:tc>
          <w:tcPr>
            <w:tcW w:w="32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January 2026 Notes </w:t>
            </w:r>
            <w:r>
              <w:rPr>
                <w:rFonts w:ascii="Times New Roman" w:cs="Times New Roman" w:eastAsia="Times New Roman" w:hAnsi="Times New Roman"/>
                <w:sz w:val="24"/>
                <w:szCs w:val="24"/>
                <w:color w:val="auto"/>
                <w:vertAlign w:val="superscript"/>
              </w:rPr>
              <w:t>(4)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125,218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125,258</w:t>
            </w:r>
          </w:p>
        </w:tc>
        <w:tc>
          <w:tcPr>
            <w:tcW w:w="0" w:type="dxa"/>
            <w:vAlign w:val="bottom"/>
          </w:tcPr>
          <w:p>
            <w:pPr>
              <w:spacing w:after="0"/>
              <w:rPr>
                <w:sz w:val="1"/>
                <w:szCs w:val="1"/>
                <w:color w:val="auto"/>
              </w:rPr>
            </w:pPr>
          </w:p>
        </w:tc>
      </w:tr>
      <w:tr>
        <w:trPr>
          <w:trHeight w:val="216"/>
        </w:trPr>
        <w:tc>
          <w:tcPr>
            <w:tcW w:w="4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November 2026 Notes </w:t>
            </w:r>
            <w:r>
              <w:rPr>
                <w:rFonts w:ascii="Times New Roman" w:cs="Times New Roman" w:eastAsia="Times New Roman" w:hAnsi="Times New Roman"/>
                <w:sz w:val="24"/>
                <w:szCs w:val="24"/>
                <w:color w:val="auto"/>
                <w:vertAlign w:val="superscript"/>
              </w:rPr>
              <w:t>(4)</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125,147</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125,171</w:t>
            </w:r>
          </w:p>
        </w:tc>
        <w:tc>
          <w:tcPr>
            <w:tcW w:w="0" w:type="dxa"/>
            <w:vAlign w:val="bottom"/>
          </w:tcPr>
          <w:p>
            <w:pPr>
              <w:spacing w:after="0"/>
              <w:rPr>
                <w:sz w:val="1"/>
                <w:szCs w:val="1"/>
                <w:color w:val="auto"/>
              </w:rPr>
            </w:pPr>
          </w:p>
        </w:tc>
      </w:tr>
      <w:tr>
        <w:trPr>
          <w:trHeight w:val="250"/>
        </w:trPr>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383,000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383,365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357,000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357,429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-24765</wp:posOffset>
            </wp:positionV>
            <wp:extent cx="774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-8255</wp:posOffset>
            </wp:positionV>
            <wp:extent cx="7747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768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-8255</wp:posOffset>
            </wp:positionV>
            <wp:extent cx="768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5" w:lineRule="exact"/>
        <w:rPr>
          <w:sz w:val="20"/>
          <w:szCs w:val="20"/>
          <w:color w:val="auto"/>
        </w:rPr>
      </w:pPr>
    </w:p>
    <w:p>
      <w:pPr>
        <w:ind w:left="480" w:hanging="472"/>
        <w:spacing w:after="0"/>
        <w:tabs>
          <w:tab w:leader="none" w:pos="4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Carrying value represents the outstanding principal balance of the debt obligation.</w:t>
      </w:r>
    </w:p>
    <w:p>
      <w:pPr>
        <w:spacing w:after="0" w:line="17" w:lineRule="exact"/>
        <w:rPr>
          <w:rFonts w:ascii="Times New Roman" w:cs="Times New Roman" w:eastAsia="Times New Roman" w:hAnsi="Times New Roman"/>
          <w:sz w:val="14"/>
          <w:szCs w:val="14"/>
          <w:color w:val="auto"/>
        </w:rPr>
      </w:pPr>
    </w:p>
    <w:p>
      <w:pPr>
        <w:ind w:left="480" w:hanging="472"/>
        <w:spacing w:after="0" w:line="249" w:lineRule="auto"/>
        <w:tabs>
          <w:tab w:leader="none" w:pos="4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SBA debentures is estimated by discounting the remaining payments using current market rates for similar instruments and considering such factors as the legal maturity date and the ability of market participants to prepay the debentures, which are Level 3 inputs under ASC Topic 820.</w:t>
      </w:r>
    </w:p>
    <w:p>
      <w:pPr>
        <w:ind w:left="480" w:right="20" w:hanging="472"/>
        <w:spacing w:after="0" w:line="243" w:lineRule="auto"/>
        <w:tabs>
          <w:tab w:leader="none" w:pos="4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borrowings under the Credit Facility, if valued under ASC Topic 820, are based on a market yield approach and current interest rates, which are Level 3 inputs to the market yield model.</w:t>
      </w:r>
    </w:p>
    <w:p>
      <w:pPr>
        <w:spacing w:after="0" w:line="1" w:lineRule="exact"/>
        <w:rPr>
          <w:rFonts w:ascii="Times New Roman" w:cs="Times New Roman" w:eastAsia="Times New Roman" w:hAnsi="Times New Roman"/>
          <w:sz w:val="14"/>
          <w:szCs w:val="14"/>
          <w:color w:val="auto"/>
        </w:rPr>
      </w:pPr>
    </w:p>
    <w:p>
      <w:pPr>
        <w:ind w:left="480" w:hanging="472"/>
        <w:spacing w:after="0" w:line="249" w:lineRule="auto"/>
        <w:tabs>
          <w:tab w:leader="none" w:pos="4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January 2026 Notes (as defined in Note 6) and the November 2026 Notes (as defined in Note 6) are estimated by discounting the remaining payments using current market rates for similar instruments and considering such factors as the legal maturity date, which are Level 3 inputs under ASC Topic 820.</w:t>
      </w:r>
    </w:p>
    <w:p>
      <w:pPr>
        <w:ind w:left="480" w:hanging="472"/>
        <w:spacing w:after="0"/>
        <w:tabs>
          <w:tab w:leader="none" w:pos="4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Totals exclude $16,995 and $17,637 of Secured Borrowings as of September 30, 2022 and December 31, 2021, respectively.</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jc w:val="both"/>
        <w:ind w:firstLine="479"/>
        <w:spacing w:after="0" w:line="243" w:lineRule="auto"/>
        <w:rPr>
          <w:sz w:val="20"/>
          <w:szCs w:val="20"/>
          <w:color w:val="auto"/>
        </w:rPr>
      </w:pPr>
      <w:r>
        <w:rPr>
          <w:rFonts w:ascii="Times New Roman" w:cs="Times New Roman" w:eastAsia="Times New Roman" w:hAnsi="Times New Roman"/>
          <w:sz w:val="18"/>
          <w:szCs w:val="18"/>
          <w:color w:val="auto"/>
        </w:rPr>
        <w:t>The following table summarizes the inputs used to value the Company’s debt obligations if measured at fair value as of September 30, 2022 and December 31, 2021.</w:t>
      </w:r>
    </w:p>
    <w:p>
      <w:pPr>
        <w:spacing w:after="0" w:line="178"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187"/>
        </w:trPr>
        <w:tc>
          <w:tcPr>
            <w:tcW w:w="4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Valuation Inputs</w:t>
            </w:r>
          </w:p>
        </w:tc>
        <w:tc>
          <w:tcPr>
            <w:tcW w:w="12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46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383,365</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357,429</w:t>
            </w:r>
          </w:p>
        </w:tc>
      </w:tr>
      <w:tr>
        <w:trPr>
          <w:trHeight w:val="209"/>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383,365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357,429</w:t>
            </w:r>
          </w:p>
        </w:tc>
      </w:tr>
      <w:tr>
        <w:trPr>
          <w:trHeight w:val="20"/>
        </w:trPr>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-170815</wp:posOffset>
            </wp:positionV>
            <wp:extent cx="85725" cy="1714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5725" cy="17145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173" w:lineRule="exact"/>
        <w:rPr>
          <w:sz w:val="20"/>
          <w:szCs w:val="20"/>
          <w:color w:val="auto"/>
        </w:rPr>
      </w:pPr>
    </w:p>
    <w:p>
      <w:pPr>
        <w:jc w:val="both"/>
        <w:ind w:firstLine="478"/>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Investment Advisory Agreement: </w:t>
      </w:r>
      <w:r>
        <w:rPr>
          <w:rFonts w:ascii="Times New Roman" w:cs="Times New Roman" w:eastAsia="Times New Roman" w:hAnsi="Times New Roman"/>
          <w:sz w:val="18"/>
          <w:szCs w:val="18"/>
          <w:color w:val="auto"/>
        </w:rPr>
        <w:t>The Company has entered into an Investment Advisory Agreement with the Investment Advisor. On June 9,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approved the renewal of the Investment Advisory Agreement for the period beginning June 20, 2022 through June 20, 2023. Pursuant to the Investment Advisory Agreement and subject to the overall supervision of the Board, the Investment Advisor provides investment advisory services to the Company. For providing these services, the Investment Advisor receives a fee, consisting of two components — a base management fee and an incentive fee.</w:t>
      </w:r>
    </w:p>
    <w:p>
      <w:pPr>
        <w:spacing w:after="0" w:line="125" w:lineRule="exact"/>
        <w:rPr>
          <w:sz w:val="20"/>
          <w:szCs w:val="20"/>
          <w:color w:val="auto"/>
        </w:rPr>
      </w:pPr>
    </w:p>
    <w:p>
      <w:pPr>
        <w:jc w:val="both"/>
        <w:ind w:firstLine="478"/>
        <w:spacing w:after="0" w:line="244" w:lineRule="auto"/>
        <w:rPr>
          <w:sz w:val="20"/>
          <w:szCs w:val="20"/>
          <w:color w:val="auto"/>
        </w:rPr>
      </w:pPr>
      <w:r>
        <w:rPr>
          <w:rFonts w:ascii="Times New Roman" w:cs="Times New Roman" w:eastAsia="Times New Roman" w:hAnsi="Times New Roman"/>
          <w:sz w:val="18"/>
          <w:szCs w:val="18"/>
          <w:color w:val="auto"/>
        </w:rPr>
        <w:t>The base management fee is calculated at an annual rate of 1.75% based on the average value of total assets (other than cash or cash equivalents but including assets purchased with borrowed amounts) at the end of the two most recently completed calendar quarters. The Board of Directors accepted a voluntary, non-contractual, and unconditional waiver from the Investment Advisor to exclude any investments recorded as secured borrowings as defined under GAAP from the base management fee payable as of September 30, 2022. The base management fee is payable quarterly in arrears. The base management fee under the Investment Advisory Agreement was $3,763 and $10,724 for the three and nine months ended September 30, 2022, respectively, and $3,270 and $9,661 for the three and nine months ended September 30, 2021, respectively. The base management fee waiver was $76 and $228 for the three and nine months ended September 30, 2022, respectively. The base management fee waiver was $69 and $98 for the three and nine months ended September 30, 2021, respectively. As of September 30, 2022 and December 31, 2021, the base management fee payable (net of the base management fee waiver) was $3,687 and $3,135, respectively.</w:t>
      </w:r>
    </w:p>
    <w:p>
      <w:pPr>
        <w:spacing w:after="0" w:line="131" w:lineRule="exact"/>
        <w:rPr>
          <w:sz w:val="20"/>
          <w:szCs w:val="20"/>
          <w:color w:val="auto"/>
        </w:rPr>
      </w:pPr>
    </w:p>
    <w:p>
      <w:pPr>
        <w:jc w:val="both"/>
        <w:ind w:firstLine="478"/>
        <w:spacing w:after="0" w:line="242" w:lineRule="auto"/>
        <w:rPr>
          <w:sz w:val="20"/>
          <w:szCs w:val="20"/>
          <w:color w:val="auto"/>
        </w:rPr>
      </w:pPr>
      <w:r>
        <w:rPr>
          <w:rFonts w:ascii="Times New Roman" w:cs="Times New Roman" w:eastAsia="Times New Roman" w:hAnsi="Times New Roman"/>
          <w:sz w:val="18"/>
          <w:szCs w:val="18"/>
          <w:color w:val="auto"/>
        </w:rPr>
        <w:t>The incentive fee consists of two parts. The first part is calculated and payable quarterly in arrears based on the Company’s pre-incentive fee net investment income for the quarter. Pre-incentive fee net investment income means interest income, dividend income and any other income (including any other fees such as commitment, origination, structuring, diligence and consulting fees or other fees that the Company receives from portfolio 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excise taxes on realized gains). Pre-incentive fee net investment income includes, in the case of investments with a deferred interest feature (such as market discount, original issue discount, debt instruments with PIK income, preferred stock with PIK dividends and zero-coupon securities), accrued income the Company has not yet received in cash. The Investment Advisor is not under any obligation to reimburse the Company for any part of the incentive fee it receives that was based on accrued interest that the Company never collects.</w:t>
      </w:r>
    </w:p>
    <w:p>
      <w:pPr>
        <w:spacing w:after="0" w:line="147" w:lineRule="exact"/>
        <w:rPr>
          <w:sz w:val="20"/>
          <w:szCs w:val="20"/>
          <w:color w:val="auto"/>
        </w:rPr>
      </w:pPr>
    </w:p>
    <w:p>
      <w:pPr>
        <w:jc w:val="both"/>
        <w:ind w:firstLine="478"/>
        <w:spacing w:after="0" w:line="246" w:lineRule="auto"/>
        <w:rPr>
          <w:sz w:val="20"/>
          <w:szCs w:val="20"/>
          <w:color w:val="auto"/>
        </w:rPr>
      </w:pPr>
      <w:r>
        <w:rPr>
          <w:rFonts w:ascii="Times New Roman" w:cs="Times New Roman" w:eastAsia="Times New Roman" w:hAnsi="Times New Roman"/>
          <w:sz w:val="18"/>
          <w:szCs w:val="18"/>
          <w:color w:val="auto"/>
        </w:rPr>
        <w:t>Pre-incentive fee net investment income does not include any realized capital gains, taxes associated with such realized capital gains, realized capital losses or unrealized capital appreciation or depreciation. Because of the structure of the incentive fee, it is possible that the Company may pay an incentive fee in a quarter where the Company incurs a loss. For example, if the Company generates pre-incentive fee net investment income in excess of the hurdle rate (as defined below) for a quarter, the Company will pay the applicable incentive fee even if the Company has incurred a loss in that quarter due to a net loss on investments.</w:t>
      </w:r>
    </w:p>
    <w:p>
      <w:pPr>
        <w:spacing w:after="0" w:line="127" w:lineRule="exact"/>
        <w:rPr>
          <w:sz w:val="20"/>
          <w:szCs w:val="20"/>
          <w:color w:val="auto"/>
        </w:rPr>
      </w:pPr>
    </w:p>
    <w:p>
      <w:pPr>
        <w:jc w:val="both"/>
        <w:ind w:firstLine="478"/>
        <w:spacing w:after="0" w:line="250" w:lineRule="auto"/>
        <w:rPr>
          <w:sz w:val="20"/>
          <w:szCs w:val="20"/>
          <w:color w:val="auto"/>
        </w:rPr>
      </w:pPr>
      <w:r>
        <w:rPr>
          <w:rFonts w:ascii="Times New Roman" w:cs="Times New Roman" w:eastAsia="Times New Roman" w:hAnsi="Times New Roman"/>
          <w:sz w:val="18"/>
          <w:szCs w:val="18"/>
          <w:color w:val="auto"/>
        </w:rPr>
        <w:t>Pre-incentive fee net investment income, expressed as a rate of return on the value of the Company’s net assets (defined as total assets less indebtedness and before taking into account any incentive fees payable during the period) at the end of the immediately preceding calendar quarter, is compared to a fixed “hurdle rate” of 2.0% per quarter. If market interest rates rise, the Company may be able to invest funds in debt instruments that provide for a higher return, which would increase the Company’s pre-incentive fee net investment income and make it easier for the Investment Advisor to surpass the fixed hurdle rate and receive an incentive fee based on such net investment income.</w:t>
      </w:r>
    </w:p>
    <w:p>
      <w:pPr>
        <w:spacing w:after="0" w:line="123" w:lineRule="exact"/>
        <w:rPr>
          <w:sz w:val="20"/>
          <w:szCs w:val="20"/>
          <w:color w:val="auto"/>
        </w:rPr>
      </w:pPr>
    </w:p>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The Company pays the Investment Advisor an incentive fee with respect to pre-incentive fee net investment income in each calendar quarter as follows: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85"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incentive fee in any calendar quarter in which the pre-incentive fee net investment income does not exceed the hurdle rate of 2.0%;</w:t>
      </w:r>
    </w:p>
    <w:p>
      <w:pPr>
        <w:spacing w:after="0" w:line="103"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of the Company’s pre-incentive fee net investment income with respect to that portion of such pre-incentive fee net investment income, if any, that exceeds the hurdle rate but is less than 2.5% in any calendar quarter. This portion of the pre-incentive fee net investment income (which exceeds the hurdle rate but is less than 2.5%) is referred to as the “catch-up” provision. The catch-up is meant to provide the Investment Advisor with 20.0% of the pre-incentive fee net investment income as if a hurdle rate did not apply if this net investment income exceeds 2.5% in any calendar quarter; and</w:t>
      </w:r>
    </w:p>
    <w:p>
      <w:pPr>
        <w:spacing w:after="0" w:line="6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of the amount of the Company’s pre-incentive fee net investment income, if any, that exceeds 2.5% in any calendar quarter.</w:t>
      </w:r>
    </w:p>
    <w:p>
      <w:pPr>
        <w:spacing w:after="0" w:line="158" w:lineRule="exact"/>
        <w:rPr>
          <w:sz w:val="20"/>
          <w:szCs w:val="20"/>
          <w:color w:val="auto"/>
        </w:rPr>
      </w:pPr>
    </w:p>
    <w:p>
      <w:pPr>
        <w:jc w:val="both"/>
        <w:ind w:right="20" w:firstLine="478"/>
        <w:spacing w:after="0" w:line="250" w:lineRule="auto"/>
        <w:rPr>
          <w:sz w:val="20"/>
          <w:szCs w:val="20"/>
          <w:color w:val="auto"/>
        </w:rPr>
      </w:pPr>
      <w:r>
        <w:rPr>
          <w:rFonts w:ascii="Times New Roman" w:cs="Times New Roman" w:eastAsia="Times New Roman" w:hAnsi="Times New Roman"/>
          <w:sz w:val="18"/>
          <w:szCs w:val="18"/>
          <w:color w:val="auto"/>
        </w:rPr>
        <w:t>The sum of the calculations above equals the income incentive fee. The income incentive fee is appropriately prorated for any period of less than three months and adjusted for any share issuances or repurchases during the calendar quarter. The income incentive fee was $3,047 and $5,283 for the three and nine months ended September 30, 2022, respectively, and $2,425 and $7,644 for the three and nine months ended September 30, 2021, respectively. As of September 30, 2022 and December 31, 2021, the income incentive fee payable was $3,047 and $2,622, respectively.</w:t>
      </w:r>
    </w:p>
    <w:p>
      <w:pPr>
        <w:spacing w:after="0" w:line="123" w:lineRule="exact"/>
        <w:rPr>
          <w:sz w:val="20"/>
          <w:szCs w:val="20"/>
          <w:color w:val="auto"/>
        </w:rPr>
      </w:pPr>
    </w:p>
    <w:p>
      <w:pPr>
        <w:jc w:val="both"/>
        <w:ind w:firstLine="478"/>
        <w:spacing w:after="0" w:line="242" w:lineRule="auto"/>
        <w:rPr>
          <w:sz w:val="20"/>
          <w:szCs w:val="20"/>
          <w:color w:val="auto"/>
        </w:rPr>
      </w:pPr>
      <w:r>
        <w:rPr>
          <w:rFonts w:ascii="Times New Roman" w:cs="Times New Roman" w:eastAsia="Times New Roman" w:hAnsi="Times New Roman"/>
          <w:sz w:val="18"/>
          <w:szCs w:val="18"/>
          <w:color w:val="auto"/>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in cash to the Investment Advisor, the Company calculates the cumulative aggregate realized capital gains and losses since the Formation Transactions (realized capital gains and losses include realized gains and losses on investments, net of income tax provision from realized gains on investments, and realized losses on extinguishment of debt), and the aggregate unrealized capital depreciation on investments as of the date of the calculation. At the end of the applicable year, the amount of capital gains that serves as the basis for the calculation of the capital gains incentive fee to be paid equals the cumulative aggregate realized capital gains on investments, less cumulative aggregate realized capital losses on investments, less aggregate unrealized capital depreciation on investments, and less cumulative aggregate realized losses on extinguishment of debt. If this number is positive at the end of such year, then the capital gains incentive fee to be paid in cash for such year equals 20.0% of such amount, less the aggregate amount of any capital gains incentive fees paid in all prior years. As of September 30, 2022 and December 31, 2021, the capital gains incentive fee payable in cash was $8,427 and $6,136, respectively (as cumulative aggregate realized capital gains and losses on investments plus aggregate unrealized capital depreciation on investments plus realized losses on extinguishment of debt was negative as of each period). The aggregate amount of capital gains incentive fees paid from the IPO through September 30, 2022 was $6,484.</w:t>
      </w:r>
    </w:p>
    <w:p>
      <w:pPr>
        <w:spacing w:after="0" w:line="135" w:lineRule="exact"/>
        <w:rPr>
          <w:sz w:val="20"/>
          <w:szCs w:val="20"/>
          <w:color w:val="auto"/>
        </w:rPr>
      </w:pPr>
    </w:p>
    <w:p>
      <w:pPr>
        <w:jc w:val="both"/>
        <w:ind w:firstLine="478"/>
        <w:spacing w:after="0" w:line="246" w:lineRule="auto"/>
        <w:rPr>
          <w:sz w:val="20"/>
          <w:szCs w:val="20"/>
          <w:color w:val="auto"/>
        </w:rPr>
      </w:pPr>
      <w:r>
        <w:rPr>
          <w:rFonts w:ascii="Times New Roman" w:cs="Times New Roman" w:eastAsia="Times New Roman" w:hAnsi="Times New Roman"/>
          <w:sz w:val="18"/>
          <w:szCs w:val="18"/>
          <w:color w:val="auto"/>
        </w:rPr>
        <w:t>In addition, the Company accrues, but does not pay in cash, a capital gains incentive fee in connection with any unrealized capital appreciation on investments, as applicable. If, on a cumulative basis, the sum of (i) net realized gains/(losses) on investments plus (ii) net unrealized appreciation/(depreciation) on investments plus (iii) realized losses on extinguishment of debt decreases during a period, the Company will reverse any excess capital gains incentive fee previously accrued such that the amount of capital gains incentive fee accrued is no more than 20.0% of the sum of (i) net realized gains/(losses) on investments plus (ii) net unrealized appreciation/(depreciation) on investments plus (iii) realized losses on extinguishment of debt. The capital gains incentive fee accrued (reversed) during the three and nine months ended September 30, 2022 was $(258) and $(593), respectively, and $4,664 and $8,638 for the three and nine months ended September 30, 2021, respectively. As of September 30, 2022 and December 31, 2021, the accrued capital gains incentive fee payable was $22,498 and $29,227, respectively.</w:t>
      </w:r>
    </w:p>
    <w:p>
      <w:pPr>
        <w:spacing w:after="0" w:line="125" w:lineRule="exact"/>
        <w:rPr>
          <w:sz w:val="20"/>
          <w:szCs w:val="20"/>
          <w:color w:val="auto"/>
        </w:rPr>
      </w:pPr>
    </w:p>
    <w:p>
      <w:pPr>
        <w:jc w:val="both"/>
        <w:ind w:firstLine="478"/>
        <w:spacing w:after="0" w:line="243" w:lineRule="auto"/>
        <w:rPr>
          <w:sz w:val="20"/>
          <w:szCs w:val="20"/>
          <w:color w:val="auto"/>
        </w:rPr>
      </w:pPr>
      <w:r>
        <w:rPr>
          <w:rFonts w:ascii="Times New Roman" w:cs="Times New Roman" w:eastAsia="Times New Roman" w:hAnsi="Times New Roman"/>
          <w:sz w:val="18"/>
          <w:szCs w:val="18"/>
          <w:color w:val="auto"/>
        </w:rPr>
        <w:t>Unless terminated earlier as described below, the Investment Advisory Agreement will continue in effect from year to year if approved annually by the Board or by the affirmative vote of the holders of a majority of the Company’s outstanding voting securities, and, in either case, if also approved by a majority of the directors who are not “interested persons” of the Company, as such term is defined under Section 2(a)(19) of the 1940 Act (the “Independent Directors”). The Investment Advisory Agreement automatically terminates in the event of its assignment, as defined in the 1940 Act, by the Investment Advisor and may be terminated by either party without penalty upon not less than 60 days’ written notice to the other. The holders of a majority of the Company’s outstanding voting securities may also terminate the Investment Advisory Agreement without penalty.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37" w:lineRule="exact"/>
        <w:rPr>
          <w:sz w:val="20"/>
          <w:szCs w:val="20"/>
          <w:color w:val="auto"/>
        </w:rPr>
      </w:pPr>
    </w:p>
    <w:p>
      <w:pPr>
        <w:jc w:val="both"/>
        <w:ind w:firstLine="479"/>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Administration Agreement: </w:t>
      </w:r>
      <w:r>
        <w:rPr>
          <w:rFonts w:ascii="Times New Roman" w:cs="Times New Roman" w:eastAsia="Times New Roman" w:hAnsi="Times New Roman"/>
          <w:sz w:val="18"/>
          <w:szCs w:val="18"/>
          <w:color w:val="auto"/>
        </w:rPr>
        <w:t>The Company also entered into an administration agreement (the “Administration Agreement”) with the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 On June 9, 2022, the Board approved the renewal of the Administration Agreement for the period beginning June 20, 2022 through June 20, 2023. Under the Administration Agreement, the Investment Advisor furnishes the Company with office facilities and equipment, provides clerical, bookkeeping, and record keeping services at such facilities and provides the Company with other administrative services necessary to conduct its day-to-day operations. The Company reimburses the Investment Advisor for the allocable portion of overhead expenses incurred in performing its obligations under the Administration Agreement, including rent and the Company’s allocable portion of the cost of its chief financial officer and chief compliance officer and their respective staffs. Under the Administration Agreement, the Investment Advisor also provides managerial assistance to those portfolio companies on the Company's behalf to those portfolio companies that have accepted the Company's offer to provide such assistance and the Company reimburses the Investment Advisor for fees and expenses incurred with providing such services. In addition, the Company reimburses the Investment Advisor for fees and expenses incurred while performing due diligence on the Company’s prospective portfolio companies, including “dead deal” expenses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Under the Administration Agreement, administrative service expenses for the three and nine months ended September 30, 2022 were $480 and $1,412, respectively, and $438 and $1,281 for the three and nine months ended September 30, 2021. As of September 30, 2022 and December 31, 2021, the accrued administrative service expense payable was $550 and $634, respectively.</w:t>
      </w:r>
    </w:p>
    <w:p>
      <w:pPr>
        <w:spacing w:after="0" w:line="135" w:lineRule="exact"/>
        <w:rPr>
          <w:sz w:val="20"/>
          <w:szCs w:val="20"/>
          <w:color w:val="auto"/>
        </w:rPr>
      </w:pPr>
    </w:p>
    <w:p>
      <w:pPr>
        <w:jc w:val="both"/>
        <w:ind w:firstLine="478"/>
        <w:spacing w:after="0" w:line="251" w:lineRule="auto"/>
        <w:rPr>
          <w:sz w:val="20"/>
          <w:szCs w:val="20"/>
          <w:color w:val="auto"/>
        </w:rPr>
      </w:pPr>
      <w:r>
        <w:rPr>
          <w:rFonts w:ascii="Times New Roman" w:cs="Times New Roman" w:eastAsia="Times New Roman" w:hAnsi="Times New Roman"/>
          <w:sz w:val="18"/>
          <w:szCs w:val="18"/>
          <w:i w:val="1"/>
          <w:iCs w:val="1"/>
          <w:color w:val="auto"/>
        </w:rPr>
        <w:t>Fidus Equity Fund I, L.P.</w:t>
      </w:r>
      <w:r>
        <w:rPr>
          <w:rFonts w:ascii="Times New Roman" w:cs="Times New Roman" w:eastAsia="Times New Roman" w:hAnsi="Times New Roman"/>
          <w:sz w:val="18"/>
          <w:szCs w:val="18"/>
          <w:color w:val="auto"/>
        </w:rPr>
        <w:t>: On February 25, 2020, the Company entered into a Limited Partnership Agreement (the “Agreement”) with Fidus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 I, L.P. (“FEF I”). Pursuant to the Agreement, the Company will serve as the General Partner of FEF I. Owned by third-party investors, FEF I was formed to purchase 50% of select equity investments from the Company. The Company will not receive any fees from FEF I for any services provided in its capacity as the General Partner of FEF I.</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Debt</w:t>
      </w:r>
    </w:p>
    <w:p>
      <w:pPr>
        <w:spacing w:after="0" w:line="173" w:lineRule="exact"/>
        <w:rPr>
          <w:sz w:val="20"/>
          <w:szCs w:val="20"/>
          <w:color w:val="auto"/>
        </w:rPr>
      </w:pPr>
    </w:p>
    <w:p>
      <w:pPr>
        <w:jc w:val="both"/>
        <w:ind w:firstLine="478"/>
        <w:spacing w:after="0" w:line="241" w:lineRule="auto"/>
        <w:rPr>
          <w:sz w:val="20"/>
          <w:szCs w:val="20"/>
          <w:color w:val="auto"/>
        </w:rPr>
      </w:pPr>
      <w:r>
        <w:rPr>
          <w:rFonts w:ascii="Times New Roman" w:cs="Times New Roman" w:eastAsia="Times New Roman" w:hAnsi="Times New Roman"/>
          <w:sz w:val="18"/>
          <w:szCs w:val="18"/>
          <w:i w:val="1"/>
          <w:iCs w:val="1"/>
          <w:color w:val="auto"/>
        </w:rPr>
        <w:t>Revolving Credit Facility</w:t>
      </w:r>
      <w:r>
        <w:rPr>
          <w:rFonts w:ascii="Times New Roman" w:cs="Times New Roman" w:eastAsia="Times New Roman" w:hAnsi="Times New Roman"/>
          <w:sz w:val="18"/>
          <w:szCs w:val="18"/>
          <w:color w:val="auto"/>
        </w:rPr>
        <w:t>: On June 16, 2014, FIC entered into a senior secured revolving credit agreement (the "Credit Agreement" and the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secured revolving credit facility, the “Credit Facility”) with ING Capital LLC (“ING”), as the administrative agent, collateral agent, and lender. The Credit Facility is secured by certain portfolio investments held by the Company, but portfolio investments held by the Funds are not collateral for the Credit Facility. On April 24, 2019, the Company entered into an Amended &amp; Restated Senior Secured Revolving Credit Agreement (the “Amended Credit Agreement”) among the Company, as borrower, the lenders party thereto, and ING, as administrative agent. On June 26, 2020, the Company entered into an amendment to the Amended Credit Agreement that, among other changes, modified certain financial covenants. On August 17, 2022, the Company entered into a second amendment on the Amended Credit Agreement ("Second Amendment"). The Second Amendment, among other things: (i) changed the underlying benchmark used to compute interest under the Amended Credit Agreement to SOFR from LIBOR; (ii) reduced the applicable margin from 3.00% to 2.675% on SOFR loans prior to satisfying certain step-down conditions, and from 2.675% to 2.50% after satisfying certain step-down conditions, with commensurate reductions in the applicable margins for base rate loans; (iii) provided for a loan commitment availability period ending on August 17, 2026; (iv) extended the maturity date to August 17, 2027 from April 24, 2023; and (v) amended certain financial covenants, including (a) amending the asset coverage ratio to no less than 1.50 to 1.00 from no less than 2.00 to 1.00 (on a regulatory basis); and (b) requiring the Company to maintain a senior asset coverage ratio of no less than 2.00 to 1.00.</w:t>
      </w:r>
    </w:p>
    <w:p>
      <w:pPr>
        <w:spacing w:after="0" w:line="148" w:lineRule="exact"/>
        <w:rPr>
          <w:sz w:val="20"/>
          <w:szCs w:val="20"/>
          <w:color w:val="auto"/>
        </w:rPr>
      </w:pPr>
    </w:p>
    <w:p>
      <w:pPr>
        <w:jc w:val="both"/>
        <w:ind w:firstLine="478"/>
        <w:spacing w:after="0" w:line="250" w:lineRule="auto"/>
        <w:rPr>
          <w:sz w:val="20"/>
          <w:szCs w:val="20"/>
          <w:color w:val="auto"/>
        </w:rPr>
      </w:pPr>
      <w:r>
        <w:rPr>
          <w:rFonts w:ascii="Times New Roman" w:cs="Times New Roman" w:eastAsia="Times New Roman" w:hAnsi="Times New Roman"/>
          <w:sz w:val="18"/>
          <w:szCs w:val="18"/>
          <w:color w:val="auto"/>
        </w:rPr>
        <w:t>The Company pays a commitment fee that varies depending on the size of the unused portion of the Credit Facility: 2.500% to 2.675% per annum on the unused portion of the Credit Facility at or below 35% of the commitments and 0.50% per annum on any remaining unused portion of the Credit Facility between the total commitments and the 35% minimum utilization. The Credit Facility is secured by a first priority security interest in all of our assets, excluding the assets of our SBIC subsidiaries.</w:t>
      </w:r>
    </w:p>
    <w:p>
      <w:pPr>
        <w:spacing w:after="0" w:line="123" w:lineRule="exact"/>
        <w:rPr>
          <w:sz w:val="20"/>
          <w:szCs w:val="20"/>
          <w:color w:val="auto"/>
        </w:rPr>
      </w:pPr>
    </w:p>
    <w:p>
      <w:pPr>
        <w:jc w:val="both"/>
        <w:ind w:firstLine="478"/>
        <w:spacing w:after="0" w:line="250" w:lineRule="auto"/>
        <w:rPr>
          <w:sz w:val="20"/>
          <w:szCs w:val="20"/>
          <w:color w:val="auto"/>
        </w:rPr>
      </w:pPr>
      <w:r>
        <w:rPr>
          <w:rFonts w:ascii="Times New Roman" w:cs="Times New Roman" w:eastAsia="Times New Roman" w:hAnsi="Times New Roman"/>
          <w:sz w:val="18"/>
          <w:szCs w:val="18"/>
          <w:color w:val="auto"/>
        </w:rPr>
        <w:t>Amounts available to borrow under the Credit Facility are subject to a minimum borrowing/collateral base that applies an advance rate to certain investments held by the Company, excluding investments held by the Funds. The Company is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123" w:lineRule="exact"/>
        <w:rPr>
          <w:sz w:val="20"/>
          <w:szCs w:val="20"/>
          <w:color w:val="auto"/>
        </w:rPr>
      </w:pPr>
    </w:p>
    <w:p>
      <w:pPr>
        <w:jc w:val="both"/>
        <w:ind w:firstLine="478"/>
        <w:spacing w:after="0" w:line="250" w:lineRule="auto"/>
        <w:rPr>
          <w:sz w:val="20"/>
          <w:szCs w:val="20"/>
          <w:color w:val="auto"/>
        </w:rPr>
      </w:pPr>
      <w:r>
        <w:rPr>
          <w:rFonts w:ascii="Times New Roman" w:cs="Times New Roman" w:eastAsia="Times New Roman" w:hAnsi="Times New Roman"/>
          <w:sz w:val="18"/>
          <w:szCs w:val="18"/>
          <w:color w:val="auto"/>
        </w:rPr>
        <w:t>The Company has made customary representations and warranties and is required to comply with various covenants, reporting requirements and other customary requirements for similar credit facilities. These covenants are subject to important limitations and exceptions that are described in the documents governing the Credit Facility. As of September 30, 2022 and December 31, 2021, the Company was in compliance in all material respect with the terms of the Credit Facility.</w:t>
      </w:r>
    </w:p>
    <w:p>
      <w:pPr>
        <w:spacing w:after="0" w:line="121" w:lineRule="exact"/>
        <w:rPr>
          <w:sz w:val="20"/>
          <w:szCs w:val="20"/>
          <w:color w:val="auto"/>
        </w:rPr>
      </w:pPr>
    </w:p>
    <w:p>
      <w:pPr>
        <w:ind w:left="5540" w:right="1480" w:hanging="504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SBA debentures: </w:t>
      </w:r>
      <w:r>
        <w:rPr>
          <w:rFonts w:ascii="Times New Roman" w:cs="Times New Roman" w:eastAsia="Times New Roman" w:hAnsi="Times New Roman"/>
          <w:sz w:val="18"/>
          <w:szCs w:val="18"/>
          <w:color w:val="auto"/>
        </w:rPr>
        <w:t>The Company uses debenture leverage provided through the SBA to fund a portion of its investment purchases.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39" w:lineRule="exact"/>
        <w:rPr>
          <w:sz w:val="20"/>
          <w:szCs w:val="20"/>
          <w:color w:val="auto"/>
        </w:rPr>
      </w:pPr>
    </w:p>
    <w:p>
      <w:pPr>
        <w:jc w:val="both"/>
        <w:ind w:firstLine="479"/>
        <w:spacing w:after="0" w:line="246" w:lineRule="auto"/>
        <w:rPr>
          <w:sz w:val="20"/>
          <w:szCs w:val="20"/>
          <w:color w:val="auto"/>
        </w:rPr>
      </w:pPr>
      <w:r>
        <w:rPr>
          <w:rFonts w:ascii="Times New Roman" w:cs="Times New Roman" w:eastAsia="Times New Roman" w:hAnsi="Times New Roman"/>
          <w:sz w:val="18"/>
          <w:szCs w:val="18"/>
          <w:color w:val="auto"/>
        </w:rPr>
        <w:t>Under the SBA debenture program, the SBA commits to purchase debentures issued by SBICs; such debentures have 10-year terms with the entire principal balance due at maturity and are guaranteed by the SBA. Interest on SBA debentures is payable semi-annually on March 1 and September 1. As of September 30, 2022 and December 31, 2021, approved and unused SBA debenture commitments were $57,000 and $63,000, respectively. The SBA may limit the amount that may be drawn each year under these commitments, and each issuance of leverage is conditioned on the Company’s full compliance, as determined by the SBA, with the terms and conditions under SBA regulations.</w:t>
      </w:r>
    </w:p>
    <w:p>
      <w:pPr>
        <w:spacing w:after="0" w:line="1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September 30, 2022 and December 31, 2021, the Company’s issued and outstanding SBA debentures mature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Pooling</w:t>
            </w:r>
          </w:p>
        </w:tc>
        <w:tc>
          <w:tcPr>
            <w:tcW w:w="28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2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Fixed</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7"/>
                <w:szCs w:val="17"/>
                <w:color w:val="auto"/>
              </w:rPr>
            </w:pPr>
          </w:p>
        </w:tc>
      </w:tr>
      <w:tr>
        <w:trPr>
          <w:trHeight w:val="258"/>
        </w:trPr>
        <w:tc>
          <w:tcPr>
            <w:tcW w:w="3040" w:type="dxa"/>
            <w:vAlign w:val="bottom"/>
            <w:tcBorders>
              <w:bottom w:val="single" w:sz="8" w:color="auto"/>
            </w:tcBorders>
          </w:tcPr>
          <w:p>
            <w:pPr>
              <w:ind w:left="1260"/>
              <w:spacing w:after="0" w:line="258" w:lineRule="exact"/>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24"/>
                <w:szCs w:val="24"/>
                <w:b w:val="1"/>
                <w:bCs w:val="1"/>
                <w:color w:val="auto"/>
                <w:vertAlign w:val="superscript"/>
              </w:rPr>
              <w:t>(1)</w:t>
            </w:r>
          </w:p>
        </w:tc>
        <w:tc>
          <w:tcPr>
            <w:tcW w:w="280" w:type="dxa"/>
            <w:vAlign w:val="bottom"/>
          </w:tcPr>
          <w:p>
            <w:pPr>
              <w:spacing w:after="0"/>
              <w:rPr>
                <w:sz w:val="22"/>
                <w:szCs w:val="22"/>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20" w:type="dxa"/>
            <w:vAlign w:val="bottom"/>
          </w:tcPr>
          <w:p>
            <w:pPr>
              <w:spacing w:after="0"/>
              <w:rPr>
                <w:sz w:val="22"/>
                <w:szCs w:val="22"/>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6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2"/>
                <w:szCs w:val="22"/>
                <w:color w:val="auto"/>
              </w:rPr>
            </w:pPr>
          </w:p>
        </w:tc>
      </w:tr>
      <w:tr>
        <w:trPr>
          <w:trHeight w:val="209"/>
        </w:trPr>
        <w:tc>
          <w:tcPr>
            <w:tcW w:w="3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3/25/2015</w:t>
            </w:r>
          </w:p>
        </w:tc>
        <w:tc>
          <w:tcPr>
            <w:tcW w:w="28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3/1/2025</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60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100" w:type="dxa"/>
            <w:vAlign w:val="bottom"/>
            <w:shd w:val="clear" w:color="auto" w:fill="CFF0FC"/>
          </w:tcPr>
          <w:p>
            <w:pPr>
              <w:spacing w:after="0"/>
              <w:rPr>
                <w:sz w:val="18"/>
                <w:szCs w:val="18"/>
                <w:color w:val="auto"/>
              </w:rPr>
            </w:pPr>
          </w:p>
        </w:tc>
      </w:tr>
      <w:tr>
        <w:trPr>
          <w:trHeight w:val="216"/>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3/23/2016</w:t>
            </w:r>
          </w:p>
        </w:tc>
        <w:tc>
          <w:tcPr>
            <w:tcW w:w="19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3/1/2026</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8"/>
                <w:szCs w:val="18"/>
                <w:color w:val="auto"/>
              </w:rPr>
            </w:pPr>
          </w:p>
        </w:tc>
      </w:tr>
      <w:tr>
        <w:trPr>
          <w:trHeight w:val="216"/>
        </w:trPr>
        <w:tc>
          <w:tcPr>
            <w:tcW w:w="3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3/23/2016</w:t>
            </w:r>
          </w:p>
        </w:tc>
        <w:tc>
          <w:tcPr>
            <w:tcW w:w="1980" w:type="dxa"/>
            <w:vAlign w:val="bottom"/>
            <w:gridSpan w:val="2"/>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9"/>
              </w:rPr>
              <w:t>3/1/2026</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18"/>
                <w:szCs w:val="18"/>
                <w:color w:val="auto"/>
              </w:rPr>
            </w:pPr>
          </w:p>
        </w:tc>
      </w:tr>
      <w:tr>
        <w:trPr>
          <w:trHeight w:val="216"/>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9/21/2016</w:t>
            </w:r>
          </w:p>
        </w:tc>
        <w:tc>
          <w:tcPr>
            <w:tcW w:w="19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9/1/2026</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r>
      <w:tr>
        <w:trPr>
          <w:trHeight w:val="216"/>
        </w:trPr>
        <w:tc>
          <w:tcPr>
            <w:tcW w:w="3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9/20/2017</w:t>
            </w:r>
          </w:p>
        </w:tc>
        <w:tc>
          <w:tcPr>
            <w:tcW w:w="1980" w:type="dxa"/>
            <w:vAlign w:val="bottom"/>
            <w:gridSpan w:val="2"/>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9"/>
              </w:rPr>
              <w:t>9/1/2027</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8"/>
                <w:szCs w:val="18"/>
                <w:color w:val="auto"/>
              </w:rPr>
            </w:pPr>
          </w:p>
        </w:tc>
      </w:tr>
      <w:tr>
        <w:trPr>
          <w:trHeight w:val="216"/>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9/20/2017</w:t>
            </w:r>
          </w:p>
        </w:tc>
        <w:tc>
          <w:tcPr>
            <w:tcW w:w="19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9/1/2027</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100" w:type="dxa"/>
            <w:vAlign w:val="bottom"/>
          </w:tcPr>
          <w:p>
            <w:pPr>
              <w:spacing w:after="0"/>
              <w:rPr>
                <w:sz w:val="18"/>
                <w:szCs w:val="18"/>
                <w:color w:val="auto"/>
              </w:rPr>
            </w:pPr>
          </w:p>
        </w:tc>
      </w:tr>
      <w:tr>
        <w:trPr>
          <w:trHeight w:val="216"/>
        </w:trPr>
        <w:tc>
          <w:tcPr>
            <w:tcW w:w="3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3/21/2018</w:t>
            </w:r>
          </w:p>
        </w:tc>
        <w:tc>
          <w:tcPr>
            <w:tcW w:w="1980" w:type="dxa"/>
            <w:vAlign w:val="bottom"/>
            <w:gridSpan w:val="2"/>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9"/>
              </w:rPr>
              <w:t>3/1/2028</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shd w:val="clear" w:color="auto" w:fill="CFF0FC"/>
          </w:tcPr>
          <w:p>
            <w:pPr>
              <w:spacing w:after="0"/>
              <w:rPr>
                <w:sz w:val="18"/>
                <w:szCs w:val="18"/>
                <w:color w:val="auto"/>
              </w:rPr>
            </w:pPr>
          </w:p>
        </w:tc>
      </w:tr>
      <w:tr>
        <w:trPr>
          <w:trHeight w:val="216"/>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9/25/2019</w:t>
            </w:r>
          </w:p>
        </w:tc>
        <w:tc>
          <w:tcPr>
            <w:tcW w:w="19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9/1/2029</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8"/>
                <w:szCs w:val="18"/>
                <w:color w:val="auto"/>
              </w:rPr>
            </w:pPr>
          </w:p>
        </w:tc>
      </w:tr>
      <w:tr>
        <w:trPr>
          <w:trHeight w:val="216"/>
        </w:trPr>
        <w:tc>
          <w:tcPr>
            <w:tcW w:w="3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3/25/2020</w:t>
            </w:r>
          </w:p>
        </w:tc>
        <w:tc>
          <w:tcPr>
            <w:tcW w:w="1980" w:type="dxa"/>
            <w:vAlign w:val="bottom"/>
            <w:gridSpan w:val="2"/>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9"/>
              </w:rPr>
              <w:t>3/1/2030</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FF0FC"/>
          </w:tcPr>
          <w:p>
            <w:pPr>
              <w:spacing w:after="0"/>
              <w:rPr>
                <w:sz w:val="18"/>
                <w:szCs w:val="18"/>
                <w:color w:val="auto"/>
              </w:rPr>
            </w:pPr>
          </w:p>
        </w:tc>
      </w:tr>
      <w:tr>
        <w:trPr>
          <w:trHeight w:val="216"/>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9/22/2021</w:t>
            </w:r>
          </w:p>
        </w:tc>
        <w:tc>
          <w:tcPr>
            <w:tcW w:w="19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9/1/2031</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100" w:type="dxa"/>
            <w:vAlign w:val="bottom"/>
          </w:tcPr>
          <w:p>
            <w:pPr>
              <w:spacing w:after="0"/>
              <w:rPr>
                <w:sz w:val="18"/>
                <w:szCs w:val="18"/>
                <w:color w:val="auto"/>
              </w:rPr>
            </w:pPr>
          </w:p>
        </w:tc>
      </w:tr>
      <w:tr>
        <w:trPr>
          <w:trHeight w:val="216"/>
        </w:trPr>
        <w:tc>
          <w:tcPr>
            <w:tcW w:w="3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3/23/2022</w:t>
            </w:r>
          </w:p>
        </w:tc>
        <w:tc>
          <w:tcPr>
            <w:tcW w:w="1980" w:type="dxa"/>
            <w:vAlign w:val="bottom"/>
            <w:gridSpan w:val="2"/>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9"/>
              </w:rPr>
              <w:t>3/1/2032</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43,500</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shd w:val="clear" w:color="auto" w:fill="CFF0FC"/>
          </w:tcPr>
          <w:p>
            <w:pPr>
              <w:spacing w:after="0"/>
              <w:rPr>
                <w:sz w:val="18"/>
                <w:szCs w:val="18"/>
                <w:color w:val="auto"/>
              </w:rPr>
            </w:pPr>
          </w:p>
        </w:tc>
      </w:tr>
      <w:tr>
        <w:trPr>
          <w:trHeight w:val="216"/>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9/21/2022</w:t>
            </w:r>
          </w:p>
        </w:tc>
        <w:tc>
          <w:tcPr>
            <w:tcW w:w="19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9/1/2032</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30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980" w:type="dxa"/>
            <w:vAlign w:val="bottom"/>
            <w:tcBorders>
              <w:bottom w:val="single" w:sz="8" w:color="CFF0FC"/>
            </w:tcBorders>
            <w:gridSpan w:val="2"/>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rPr>
              <w:t>(2)</w:t>
            </w:r>
          </w:p>
        </w:tc>
        <w:tc>
          <w:tcPr>
            <w:tcW w:w="1900" w:type="dxa"/>
            <w:vAlign w:val="bottom"/>
            <w:tcBorders>
              <w:bottom w:val="single" w:sz="8" w:color="CFF0FC"/>
            </w:tcBorders>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5"/>
              </w:rPr>
              <w:t>(2)</w:t>
            </w:r>
          </w:p>
        </w:tc>
        <w:tc>
          <w:tcPr>
            <w:tcW w:w="6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3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outstanding SBA debentures</w:t>
            </w: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133,000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107,000</w:t>
            </w:r>
          </w:p>
        </w:tc>
        <w:tc>
          <w:tcPr>
            <w:tcW w:w="100" w:type="dxa"/>
            <w:vAlign w:val="bottom"/>
          </w:tcPr>
          <w:p>
            <w:pPr>
              <w:spacing w:after="0"/>
              <w:rPr>
                <w:sz w:val="18"/>
                <w:szCs w:val="18"/>
                <w:color w:val="auto"/>
              </w:rPr>
            </w:pPr>
          </w:p>
        </w:tc>
      </w:tr>
      <w:tr>
        <w:trPr>
          <w:trHeight w:val="20"/>
        </w:trPr>
        <w:tc>
          <w:tcPr>
            <w:tcW w:w="3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-170815</wp:posOffset>
            </wp:positionV>
            <wp:extent cx="68580" cy="1714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0" w:lineRule="exact"/>
        <w:rPr>
          <w:sz w:val="20"/>
          <w:szCs w:val="20"/>
          <w:color w:val="auto"/>
        </w:rPr>
      </w:pPr>
    </w:p>
    <w:p>
      <w:pPr>
        <w:ind w:left="480" w:right="20" w:hanging="459"/>
        <w:spacing w:after="0" w:line="243" w:lineRule="auto"/>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SBA has two scheduled pooling dates for debentures (in March and in September). Certain debentures funded during the reporting periods may not be pooled until the subsequent pooling date.</w:t>
      </w:r>
    </w:p>
    <w:p>
      <w:pPr>
        <w:ind w:left="480" w:right="380" w:hanging="459"/>
        <w:spacing w:after="0" w:line="258" w:lineRule="auto"/>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issued $4,000 and $3,000 in SBA debentures which will pool in March 2023. Until the pooling date, the debentures bear interest at a fixed rate interim interest rate of 4.855% and 4.757%, respectively. The Company expects the current interim interest rate will reset to a higher long-term fixed rate on the pooling date.</w:t>
      </w:r>
    </w:p>
    <w:p>
      <w:pPr>
        <w:spacing w:after="0" w:line="113" w:lineRule="exact"/>
        <w:rPr>
          <w:sz w:val="20"/>
          <w:szCs w:val="20"/>
          <w:color w:val="auto"/>
        </w:rPr>
      </w:pPr>
    </w:p>
    <w:p>
      <w:pPr>
        <w:jc w:val="both"/>
        <w:ind w:left="20" w:firstLine="461"/>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Notes: </w:t>
      </w:r>
      <w:r>
        <w:rPr>
          <w:rFonts w:ascii="Times New Roman" w:cs="Times New Roman" w:eastAsia="Times New Roman" w:hAnsi="Times New Roman"/>
          <w:sz w:val="18"/>
          <w:szCs w:val="18"/>
          <w:color w:val="auto"/>
        </w:rPr>
        <w:t>On February 2, 2018, the Company closed the public offering of approximately $43,478 in aggregate principal amount of its 5.875%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2023, or the “2023 Notes.” On February 22, 2018, the underwriters exercised their option to purchase an additional $6,522 in aggregate principal of the 2023 Notes. The total net proceeds to the Company from the 2023 Notes, including the exercise of the underwriters’ option, after deducting underwriting discounts of approximately $1,500 and offering expenses of $438, were approximately $48,062. On January 19, 2021, the Company redeemed $50,000 in aggregate principal amount of the issued and outstanding 2023 Notes, resulting in a realized loss on extinguishment of debt of approximately $794.</w:t>
      </w:r>
    </w:p>
    <w:p>
      <w:pPr>
        <w:spacing w:after="0" w:line="121" w:lineRule="exact"/>
        <w:rPr>
          <w:sz w:val="20"/>
          <w:szCs w:val="20"/>
          <w:color w:val="auto"/>
        </w:rPr>
      </w:pPr>
    </w:p>
    <w:p>
      <w:pPr>
        <w:jc w:val="both"/>
        <w:ind w:left="20" w:firstLine="461"/>
        <w:spacing w:after="0" w:line="245" w:lineRule="auto"/>
        <w:rPr>
          <w:sz w:val="20"/>
          <w:szCs w:val="20"/>
          <w:color w:val="auto"/>
        </w:rPr>
      </w:pPr>
      <w:r>
        <w:rPr>
          <w:rFonts w:ascii="Times New Roman" w:cs="Times New Roman" w:eastAsia="Times New Roman" w:hAnsi="Times New Roman"/>
          <w:sz w:val="18"/>
          <w:szCs w:val="18"/>
          <w:color w:val="auto"/>
        </w:rPr>
        <w:t>On February 8, 2019, the Company closed the public offering of approximately $60,000 in aggregate principal amount of its 6.000% notes due 2024, or the “February 2024 Notes”. On February 19, 2019, the underwriters exercised their option to purchase an additional $9,000 in aggregate principal of the February 2024 Notes. The total net proceeds to the Company from the February 2024 Notes, including the exercise of the underwriters’ option, after deducting underwriting discounts of approximately $2,070 and estimated offering expenses of $409, were approximately $66,521. On February 16, 2021, the Company redeemed $50,000 of the $69,000 aggregate principal amount on the February 2024 Notes, resulting in a realized loss on extinguishment of debt of approximately $1,081. On November 2, 2021, we fully redeemed the remaining $19,000 in aggregate principal amount on the issued and outstanding February 2024 Notes, resulting in a realized loss on extinguishment of debt of approximately $313.</w:t>
      </w:r>
    </w:p>
    <w:p>
      <w:pPr>
        <w:spacing w:after="0" w:line="127" w:lineRule="exact"/>
        <w:rPr>
          <w:sz w:val="20"/>
          <w:szCs w:val="20"/>
          <w:color w:val="auto"/>
        </w:rPr>
      </w:pPr>
    </w:p>
    <w:p>
      <w:pPr>
        <w:jc w:val="both"/>
        <w:ind w:left="20" w:firstLine="461"/>
        <w:spacing w:after="0" w:line="243" w:lineRule="auto"/>
        <w:rPr>
          <w:sz w:val="20"/>
          <w:szCs w:val="20"/>
          <w:color w:val="auto"/>
        </w:rPr>
      </w:pPr>
      <w:r>
        <w:rPr>
          <w:rFonts w:ascii="Times New Roman" w:cs="Times New Roman" w:eastAsia="Times New Roman" w:hAnsi="Times New Roman"/>
          <w:sz w:val="18"/>
          <w:szCs w:val="18"/>
          <w:color w:val="auto"/>
        </w:rPr>
        <w:t>On October 16, 2019, the Company closed the public offering of approximately $55,000 in aggregate principal amount of its 5.375% notes due 2024, or the “November 2024 Notes” (collectively with the 2023 Notes and the February 2024 Notes, the “Public Notes”). On October 23, 2019, the underwriters exercised their option to purchase an additional $8,250 in aggregate principal of the November 2024 Notes. The total net proceeds to the Company from the November 2024 Notes, including the exercise of the underwriters’ option, after deducting underwriting discounts of approximately $1,898 and estimated offering expenses of $300, were approximately $61,053. On November 2, 2021, we fully redeemed $63,250 in aggregate principal amount on the issued and outstanding November 2024 Notes, resulting in a realized loss on extinguishment of debt of approximately $1,311.</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39" w:lineRule="exact"/>
        <w:rPr>
          <w:sz w:val="20"/>
          <w:szCs w:val="20"/>
          <w:color w:val="auto"/>
        </w:rPr>
      </w:pPr>
    </w:p>
    <w:p>
      <w:pPr>
        <w:jc w:val="both"/>
        <w:ind w:left="20" w:firstLine="461"/>
        <w:spacing w:after="0" w:line="247" w:lineRule="auto"/>
        <w:rPr>
          <w:sz w:val="20"/>
          <w:szCs w:val="20"/>
          <w:color w:val="auto"/>
        </w:rPr>
      </w:pPr>
      <w:r>
        <w:rPr>
          <w:rFonts w:ascii="Times New Roman" w:cs="Times New Roman" w:eastAsia="Times New Roman" w:hAnsi="Times New Roman"/>
          <w:sz w:val="18"/>
          <w:szCs w:val="18"/>
          <w:color w:val="auto"/>
        </w:rPr>
        <w:t>On December 23, 2020, the Company closed the offering of $125,000 in aggregate principal amount of its 4.75% notes due 2026, or the “January 2026 Notes”. The total net proceeds to the Company from the January 2026 Notes after deducting underwriting discounts of $2,500 and estimated offering expenses of approximately $400, were approximately $122,100. The January 2026 Notes will mature on January 31, 2026 and bear interest at a rate of 4.75%. The January 2026 Notes may be redeemed in whole or in part at any time or from time to time at our option subject to a make whole provision if redeemed more than three months prior to maturity and at par thereafter. Interest on the January 2026 Notes is payable on January 31 and July 31 of each year. The Company does not intend to list the January 2026 Notes on any securities exchange or automated dealer quotation system.</w:t>
      </w:r>
    </w:p>
    <w:p>
      <w:pPr>
        <w:spacing w:after="0" w:line="126" w:lineRule="exact"/>
        <w:rPr>
          <w:sz w:val="20"/>
          <w:szCs w:val="20"/>
          <w:color w:val="auto"/>
        </w:rPr>
      </w:pPr>
    </w:p>
    <w:p>
      <w:pPr>
        <w:jc w:val="both"/>
        <w:ind w:left="20" w:firstLine="461"/>
        <w:spacing w:after="0" w:line="245" w:lineRule="auto"/>
        <w:rPr>
          <w:sz w:val="20"/>
          <w:szCs w:val="20"/>
          <w:color w:val="auto"/>
        </w:rPr>
      </w:pPr>
      <w:r>
        <w:rPr>
          <w:rFonts w:ascii="Times New Roman" w:cs="Times New Roman" w:eastAsia="Times New Roman" w:hAnsi="Times New Roman"/>
          <w:sz w:val="18"/>
          <w:szCs w:val="18"/>
          <w:color w:val="auto"/>
        </w:rPr>
        <w:t>On October 8, 2021, the Company closed the offering of $125,000 in aggregate principal amount of its 3.50% notes due 2026, or the “November 2026 Notes” (collectively with the Public Notes and the January 2026 Notes, the “Notes”). The total net proceeds to the Company from the November 2026 Notes, based on a public offering price of 99.996% of par, after deducting underwriting discounts of $2,505 and estimated offering expenses of approximately $400, were approximately $122,095. The November 2026 Notes will mature on November 15, 2026 and bear interest at a rate of 3.50%. The November 2026 Notes may be redeemed in whole or in part at any time or from time to time at our option subject to a make whole provision if redeemed more than three months prior to maturity and at par thereafter. Interest on the November 2026 Notes is payable on May 15 and November 15 of each year. The Company does not intend to list the November 2026 Notes on any securities exchange or automated dealer quotation system.</w:t>
      </w:r>
    </w:p>
    <w:p>
      <w:pPr>
        <w:spacing w:after="0" w:line="127" w:lineRule="exact"/>
        <w:rPr>
          <w:sz w:val="20"/>
          <w:szCs w:val="20"/>
          <w:color w:val="auto"/>
        </w:rPr>
      </w:pPr>
    </w:p>
    <w:p>
      <w:pPr>
        <w:jc w:val="both"/>
        <w:ind w:left="20" w:firstLine="461"/>
        <w:spacing w:after="0" w:line="250" w:lineRule="auto"/>
        <w:rPr>
          <w:sz w:val="20"/>
          <w:szCs w:val="20"/>
          <w:color w:val="auto"/>
        </w:rPr>
      </w:pPr>
      <w:r>
        <w:rPr>
          <w:rFonts w:ascii="Times New Roman" w:cs="Times New Roman" w:eastAsia="Times New Roman" w:hAnsi="Times New Roman"/>
          <w:sz w:val="18"/>
          <w:szCs w:val="18"/>
          <w:color w:val="auto"/>
        </w:rPr>
        <w:t>Each of the Notes are unsecured obligations of the Company and rank pari passu with the Company’s existing and future unsecured indebtedness; effectively subordinated to all of the Company’s existing and future secured indebtedness; and structurally subordinated to all existing and future indebtedness and other obligations of any of its subsidiaries, financing vehicles, or similar facilities the Company may form in the future, with respect to claims on the assets of any such subsidiaries, financing vehicles, or similar facilities.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Borrowing</w:t>
      </w:r>
    </w:p>
    <w:p>
      <w:pPr>
        <w:spacing w:after="0" w:line="160" w:lineRule="exact"/>
        <w:rPr>
          <w:sz w:val="20"/>
          <w:szCs w:val="20"/>
          <w:color w:val="auto"/>
        </w:rPr>
      </w:pPr>
    </w:p>
    <w:p>
      <w:pPr>
        <w:jc w:val="both"/>
        <w:ind w:firstLine="464"/>
        <w:spacing w:after="0" w:line="244" w:lineRule="auto"/>
        <w:rPr>
          <w:sz w:val="20"/>
          <w:szCs w:val="20"/>
          <w:color w:val="auto"/>
        </w:rPr>
      </w:pPr>
      <w:r>
        <w:rPr>
          <w:rFonts w:ascii="Times New Roman" w:cs="Times New Roman" w:eastAsia="Times New Roman" w:hAnsi="Times New Roman"/>
          <w:sz w:val="18"/>
          <w:szCs w:val="18"/>
          <w:color w:val="auto"/>
        </w:rPr>
        <w:t>As of September 30, 2022, the carrying value of secured borrowings totaled $16,995 and the fair value of the associated loans included in investments was $16,910. As of December 31, 2021, the carrying value of secured borrowings totaled $17,637 and the fair value of the associated loans included in investments was $17,522. These secured borrowings were created as a result of our completion of partial loan sales of certain unitranche loan assets that did not meet the definition of a “participating interest.” As a result, sale treatment was not permitted and these partial loan sales were treated as secured borrowings. The weighted average interest rate on our secured borrowings was approximately 6.4% and 4.4% as of September 30, 2022, and December 31, 2021, respectively.</w:t>
      </w:r>
    </w:p>
    <w:p>
      <w:pPr>
        <w:spacing w:after="0" w:line="141" w:lineRule="exact"/>
        <w:rPr>
          <w:sz w:val="20"/>
          <w:szCs w:val="20"/>
          <w:color w:val="auto"/>
        </w:rPr>
      </w:pPr>
    </w:p>
    <w:p>
      <w:pPr>
        <w:jc w:val="both"/>
        <w:ind w:firstLine="469"/>
        <w:spacing w:after="0" w:line="246" w:lineRule="auto"/>
        <w:rPr>
          <w:sz w:val="20"/>
          <w:szCs w:val="20"/>
          <w:color w:val="auto"/>
        </w:rPr>
      </w:pPr>
      <w:r>
        <w:rPr>
          <w:rFonts w:ascii="Times New Roman" w:cs="Times New Roman" w:eastAsia="Times New Roman" w:hAnsi="Times New Roman"/>
          <w:sz w:val="18"/>
          <w:szCs w:val="18"/>
          <w:color w:val="auto"/>
        </w:rPr>
        <w:t>As of September 30, 2022, and December 31, 2021, the aggregate amount outstanding of the senior securities (including secured borrowings) issued by the Company was $266,995 and $267,637, respectively, for which our asset coverage was 277.7% and 282.2%, respectively. The SBA-guaranteed debentures are not subject to the asset coverage requirements of the 1940 Act as a result of exemptive relief granted to us by the SEC on June 30, 2014. The asset coverage ratio for a class of senior securities representing indebtedness is calculated as our consolidated total assets, less all liabilities and indebtedness not represented by senior securities, divided by total senior securities representing indebtedness.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Financing Expenses</w:t>
      </w:r>
    </w:p>
    <w:p>
      <w:pPr>
        <w:spacing w:after="0" w:line="173"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Interest and fees related to the Company’s debt for the three and nine months ended September 30, 2022 and 2021 which are included in interest and financing expenses on the consolidated statements of operations, were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9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gridSpan w:val="7"/>
          </w:tcPr>
          <w:p>
            <w:pPr>
              <w:jc w:val="right"/>
              <w:ind w:right="335"/>
              <w:spacing w:after="0"/>
              <w:rPr>
                <w:sz w:val="20"/>
                <w:szCs w:val="20"/>
                <w:color w:val="auto"/>
              </w:rPr>
            </w:pPr>
            <w:r>
              <w:rPr>
                <w:rFonts w:ascii="Times New Roman" w:cs="Times New Roman" w:eastAsia="Times New Roman" w:hAnsi="Times New Roman"/>
                <w:sz w:val="9"/>
                <w:szCs w:val="9"/>
                <w:b w:val="1"/>
                <w:bCs w:val="1"/>
                <w:color w:val="auto"/>
              </w:rPr>
              <w:t>Three Months Ended September 30, 2022</w:t>
            </w: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9"/>
                <w:szCs w:val="9"/>
                <w:b w:val="1"/>
                <w:bCs w:val="1"/>
                <w:color w:val="auto"/>
              </w:rPr>
              <w:t>Three Months Ended September 30, 2021</w:t>
            </w:r>
          </w:p>
        </w:tc>
        <w:tc>
          <w:tcPr>
            <w:tcW w:w="3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5"/>
        </w:trPr>
        <w:tc>
          <w:tcPr>
            <w:tcW w:w="29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ind w:right="175"/>
              <w:spacing w:after="0"/>
              <w:rPr>
                <w:sz w:val="20"/>
                <w:szCs w:val="20"/>
                <w:color w:val="auto"/>
              </w:rPr>
            </w:pPr>
            <w:r>
              <w:rPr>
                <w:rFonts w:ascii="Times New Roman" w:cs="Times New Roman" w:eastAsia="Times New Roman" w:hAnsi="Times New Roman"/>
                <w:sz w:val="9"/>
                <w:szCs w:val="9"/>
                <w:b w:val="1"/>
                <w:bCs w:val="1"/>
                <w:color w:val="auto"/>
              </w:rPr>
              <w:t>SBA</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ind w:right="115"/>
              <w:spacing w:after="0"/>
              <w:rPr>
                <w:sz w:val="20"/>
                <w:szCs w:val="20"/>
                <w:color w:val="auto"/>
              </w:rPr>
            </w:pPr>
            <w:r>
              <w:rPr>
                <w:rFonts w:ascii="Times New Roman" w:cs="Times New Roman" w:eastAsia="Times New Roman" w:hAnsi="Times New Roman"/>
                <w:sz w:val="9"/>
                <w:szCs w:val="9"/>
                <w:b w:val="1"/>
                <w:bCs w:val="1"/>
                <w:color w:val="auto"/>
              </w:rPr>
              <w:t>Credit</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9"/>
                <w:szCs w:val="9"/>
                <w:b w:val="1"/>
                <w:bCs w:val="1"/>
                <w:color w:val="auto"/>
              </w:rPr>
              <w:t>Secured</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ind w:right="175"/>
              <w:spacing w:after="0"/>
              <w:rPr>
                <w:sz w:val="20"/>
                <w:szCs w:val="20"/>
                <w:color w:val="auto"/>
              </w:rPr>
            </w:pPr>
            <w:r>
              <w:rPr>
                <w:rFonts w:ascii="Times New Roman" w:cs="Times New Roman" w:eastAsia="Times New Roman" w:hAnsi="Times New Roman"/>
                <w:sz w:val="9"/>
                <w:szCs w:val="9"/>
                <w:b w:val="1"/>
                <w:bCs w:val="1"/>
                <w:color w:val="auto"/>
              </w:rPr>
              <w:t>SBA</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ind w:right="115"/>
              <w:spacing w:after="0"/>
              <w:rPr>
                <w:sz w:val="20"/>
                <w:szCs w:val="20"/>
                <w:color w:val="auto"/>
              </w:rPr>
            </w:pPr>
            <w:r>
              <w:rPr>
                <w:rFonts w:ascii="Times New Roman" w:cs="Times New Roman" w:eastAsia="Times New Roman" w:hAnsi="Times New Roman"/>
                <w:sz w:val="9"/>
                <w:szCs w:val="9"/>
                <w:b w:val="1"/>
                <w:bCs w:val="1"/>
                <w:color w:val="auto"/>
              </w:rPr>
              <w:t>Credit</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ind w:right="215"/>
              <w:spacing w:after="0"/>
              <w:rPr>
                <w:sz w:val="20"/>
                <w:szCs w:val="20"/>
                <w:color w:val="auto"/>
              </w:rPr>
            </w:pPr>
            <w:r>
              <w:rPr>
                <w:rFonts w:ascii="Times New Roman" w:cs="Times New Roman" w:eastAsia="Times New Roman" w:hAnsi="Times New Roman"/>
                <w:sz w:val="9"/>
                <w:szCs w:val="9"/>
                <w:b w:val="1"/>
                <w:bCs w:val="1"/>
                <w:color w:val="auto"/>
              </w:rPr>
              <w:t>Secured</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29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9"/>
                <w:szCs w:val="9"/>
                <w:b w:val="1"/>
                <w:bCs w:val="1"/>
                <w:color w:val="auto"/>
                <w:w w:val="98"/>
              </w:rPr>
              <w:t>debentures</w:t>
            </w: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b w:val="1"/>
                <w:bCs w:val="1"/>
                <w:color w:val="auto"/>
              </w:rPr>
              <w:t>Facility</w:t>
            </w: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b w:val="1"/>
                <w:bCs w:val="1"/>
                <w:color w:val="auto"/>
              </w:rPr>
              <w:t>Borrowings</w:t>
            </w:r>
          </w:p>
        </w:tc>
        <w:tc>
          <w:tcPr>
            <w:tcW w:w="2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9"/>
                <w:szCs w:val="9"/>
                <w:b w:val="1"/>
                <w:bCs w:val="1"/>
                <w:color w:val="auto"/>
              </w:rPr>
              <w:t>Notes</w:t>
            </w:r>
          </w:p>
        </w:tc>
        <w:tc>
          <w:tcPr>
            <w:tcW w:w="2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9"/>
                <w:szCs w:val="9"/>
                <w:b w:val="1"/>
                <w:bCs w:val="1"/>
                <w:color w:val="auto"/>
              </w:rPr>
              <w:t>Total</w:t>
            </w:r>
          </w:p>
        </w:tc>
        <w:tc>
          <w:tcPr>
            <w:tcW w:w="2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9"/>
                <w:szCs w:val="9"/>
                <w:b w:val="1"/>
                <w:bCs w:val="1"/>
                <w:color w:val="auto"/>
                <w:w w:val="98"/>
              </w:rPr>
              <w:t>debentures</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b w:val="1"/>
                <w:bCs w:val="1"/>
                <w:color w:val="auto"/>
              </w:rPr>
              <w:t>Facility</w:t>
            </w: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9"/>
                <w:szCs w:val="9"/>
                <w:b w:val="1"/>
                <w:bCs w:val="1"/>
                <w:color w:val="auto"/>
              </w:rPr>
              <w:t>Borrowings</w:t>
            </w: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b w:val="1"/>
                <w:bCs w:val="1"/>
                <w:color w:val="auto"/>
                <w:w w:val="92"/>
              </w:rPr>
              <w:t>Notes</w:t>
            </w: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9"/>
                <w:szCs w:val="9"/>
                <w:b w:val="1"/>
                <w:bCs w:val="1"/>
                <w:color w:val="auto"/>
              </w:rPr>
              <w:t>Total</w:t>
            </w:r>
          </w:p>
        </w:tc>
        <w:tc>
          <w:tcPr>
            <w:tcW w:w="100" w:type="dxa"/>
            <w:vAlign w:val="bottom"/>
          </w:tcPr>
          <w:p>
            <w:pPr>
              <w:spacing w:after="0"/>
              <w:rPr>
                <w:sz w:val="10"/>
                <w:szCs w:val="10"/>
                <w:color w:val="auto"/>
              </w:rPr>
            </w:pPr>
          </w:p>
        </w:tc>
      </w:tr>
      <w:tr>
        <w:trPr>
          <w:trHeight w:val="11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Stated interest expense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933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356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289</w:t>
            </w:r>
          </w:p>
        </w:tc>
        <w:tc>
          <w:tcPr>
            <w:tcW w:w="3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2,578</w:t>
            </w:r>
          </w:p>
        </w:tc>
        <w:tc>
          <w:tcPr>
            <w:tcW w:w="3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4,156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931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368</w:t>
            </w:r>
          </w:p>
        </w:tc>
        <w:tc>
          <w:tcPr>
            <w:tcW w:w="3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222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2,603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4,124</w:t>
            </w:r>
          </w:p>
        </w:tc>
        <w:tc>
          <w:tcPr>
            <w:tcW w:w="100" w:type="dxa"/>
            <w:vAlign w:val="bottom"/>
            <w:shd w:val="clear" w:color="auto" w:fill="CCEEFF"/>
          </w:tcPr>
          <w:p>
            <w:pPr>
              <w:spacing w:after="0"/>
              <w:rPr>
                <w:sz w:val="10"/>
                <w:szCs w:val="10"/>
                <w:color w:val="auto"/>
              </w:rPr>
            </w:pPr>
          </w:p>
        </w:tc>
      </w:tr>
      <w:tr>
        <w:trPr>
          <w:trHeight w:val="121"/>
        </w:trPr>
        <w:tc>
          <w:tcPr>
            <w:tcW w:w="2960" w:type="dxa"/>
            <w:vAlign w:val="bottom"/>
          </w:tcPr>
          <w:p>
            <w:pPr>
              <w:ind w:left="20"/>
              <w:spacing w:after="0"/>
              <w:rPr>
                <w:sz w:val="20"/>
                <w:szCs w:val="20"/>
                <w:color w:val="auto"/>
              </w:rPr>
            </w:pPr>
            <w:r>
              <w:rPr>
                <w:rFonts w:ascii="Times New Roman" w:cs="Times New Roman" w:eastAsia="Times New Roman" w:hAnsi="Times New Roman"/>
                <w:sz w:val="9"/>
                <w:szCs w:val="9"/>
                <w:color w:val="auto"/>
              </w:rPr>
              <w:t>Amortization of deferred financing costs</w:t>
            </w: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156</w:t>
            </w: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94</w:t>
            </w: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280</w:t>
            </w:r>
          </w:p>
        </w:tc>
        <w:tc>
          <w:tcPr>
            <w:tcW w:w="2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530</w:t>
            </w:r>
          </w:p>
        </w:tc>
        <w:tc>
          <w:tcPr>
            <w:tcW w:w="2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138</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115</w:t>
            </w: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285</w:t>
            </w: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538</w:t>
            </w:r>
          </w:p>
        </w:tc>
        <w:tc>
          <w:tcPr>
            <w:tcW w:w="100" w:type="dxa"/>
            <w:vAlign w:val="bottom"/>
          </w:tcPr>
          <w:p>
            <w:pPr>
              <w:spacing w:after="0"/>
              <w:rPr>
                <w:sz w:val="10"/>
                <w:szCs w:val="10"/>
                <w:color w:val="auto"/>
              </w:rPr>
            </w:pPr>
          </w:p>
        </w:tc>
      </w:tr>
      <w:tr>
        <w:trPr>
          <w:trHeight w:val="155"/>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Total interest and financing expenses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1,089</w:t>
            </w:r>
          </w:p>
        </w:tc>
        <w:tc>
          <w:tcPr>
            <w:tcW w:w="2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450</w:t>
            </w:r>
          </w:p>
        </w:tc>
        <w:tc>
          <w:tcPr>
            <w:tcW w:w="2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289</w:t>
            </w:r>
          </w:p>
        </w:tc>
        <w:tc>
          <w:tcPr>
            <w:tcW w:w="2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2,858</w:t>
            </w:r>
          </w:p>
        </w:tc>
        <w:tc>
          <w:tcPr>
            <w:tcW w:w="2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4,686</w:t>
            </w:r>
          </w:p>
        </w:tc>
        <w:tc>
          <w:tcPr>
            <w:tcW w:w="2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1,069</w:t>
            </w:r>
          </w:p>
        </w:tc>
        <w:tc>
          <w:tcPr>
            <w:tcW w:w="2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483</w:t>
            </w:r>
          </w:p>
        </w:tc>
        <w:tc>
          <w:tcPr>
            <w:tcW w:w="2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222</w:t>
            </w:r>
          </w:p>
        </w:tc>
        <w:tc>
          <w:tcPr>
            <w:tcW w:w="2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2,888</w:t>
            </w:r>
          </w:p>
        </w:tc>
        <w:tc>
          <w:tcPr>
            <w:tcW w:w="2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4,662</w:t>
            </w:r>
          </w:p>
        </w:tc>
        <w:tc>
          <w:tcPr>
            <w:tcW w:w="100" w:type="dxa"/>
            <w:vAlign w:val="bottom"/>
            <w:tcBorders>
              <w:bottom w:val="single" w:sz="8" w:color="CCEEFF"/>
            </w:tcBorders>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-24765</wp:posOffset>
            </wp:positionV>
            <wp:extent cx="7683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-7620</wp:posOffset>
            </wp:positionV>
            <wp:extent cx="768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-24765</wp:posOffset>
            </wp:positionV>
            <wp:extent cx="7747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-7620</wp:posOffset>
            </wp:positionV>
            <wp:extent cx="7747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-24765</wp:posOffset>
            </wp:positionV>
            <wp:extent cx="7747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-7620</wp:posOffset>
            </wp:positionV>
            <wp:extent cx="774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-24765</wp:posOffset>
            </wp:positionV>
            <wp:extent cx="7747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774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-24765</wp:posOffset>
            </wp:positionV>
            <wp:extent cx="7747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774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-24765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-7620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7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gridSpan w:val="6"/>
          </w:tcPr>
          <w:p>
            <w:pPr>
              <w:jc w:val="right"/>
              <w:ind w:right="235"/>
              <w:spacing w:after="0"/>
              <w:rPr>
                <w:sz w:val="20"/>
                <w:szCs w:val="20"/>
                <w:color w:val="auto"/>
              </w:rPr>
            </w:pPr>
            <w:r>
              <w:rPr>
                <w:rFonts w:ascii="Times New Roman" w:cs="Times New Roman" w:eastAsia="Times New Roman" w:hAnsi="Times New Roman"/>
                <w:sz w:val="9"/>
                <w:szCs w:val="9"/>
                <w:b w:val="1"/>
                <w:bCs w:val="1"/>
                <w:color w:val="auto"/>
              </w:rPr>
              <w:t>Nine Months Ended September 30, 2022</w:t>
            </w: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9"/>
                <w:szCs w:val="9"/>
                <w:b w:val="1"/>
                <w:bCs w:val="1"/>
                <w:color w:val="auto"/>
              </w:rPr>
              <w:t>Nine Months Ended September 30, 2021</w:t>
            </w:r>
          </w:p>
        </w:tc>
        <w:tc>
          <w:tcPr>
            <w:tcW w:w="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7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tcPr>
          <w:p>
            <w:pPr>
              <w:jc w:val="right"/>
              <w:ind w:right="500"/>
              <w:spacing w:after="0" w:line="91" w:lineRule="exact"/>
              <w:rPr>
                <w:sz w:val="20"/>
                <w:szCs w:val="20"/>
                <w:color w:val="auto"/>
              </w:rPr>
            </w:pPr>
            <w:r>
              <w:rPr>
                <w:rFonts w:ascii="Times New Roman" w:cs="Times New Roman" w:eastAsia="Times New Roman" w:hAnsi="Times New Roman"/>
                <w:sz w:val="9"/>
                <w:szCs w:val="9"/>
                <w:b w:val="1"/>
                <w:bCs w:val="1"/>
                <w:color w:val="auto"/>
              </w:rPr>
              <w:t>SBA</w:t>
            </w:r>
          </w:p>
        </w:tc>
        <w:tc>
          <w:tcPr>
            <w:tcW w:w="86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9"/>
                <w:szCs w:val="9"/>
                <w:b w:val="1"/>
                <w:bCs w:val="1"/>
                <w:color w:val="auto"/>
                <w:w w:val="99"/>
              </w:rPr>
              <w:t>Credit Facility</w:t>
            </w:r>
          </w:p>
        </w:tc>
        <w:tc>
          <w:tcPr>
            <w:tcW w:w="100" w:type="dxa"/>
            <w:vAlign w:val="bottom"/>
          </w:tcPr>
          <w:p>
            <w:pPr>
              <w:spacing w:after="0"/>
              <w:rPr>
                <w:sz w:val="7"/>
                <w:szCs w:val="7"/>
                <w:color w:val="auto"/>
              </w:rPr>
            </w:pPr>
          </w:p>
        </w:tc>
        <w:tc>
          <w:tcPr>
            <w:tcW w:w="860" w:type="dxa"/>
            <w:vAlign w:val="bottom"/>
            <w:gridSpan w:val="2"/>
          </w:tcPr>
          <w:p>
            <w:pPr>
              <w:jc w:val="right"/>
              <w:ind w:right="460"/>
              <w:spacing w:after="0" w:line="91" w:lineRule="exact"/>
              <w:rPr>
                <w:sz w:val="20"/>
                <w:szCs w:val="20"/>
                <w:color w:val="auto"/>
              </w:rPr>
            </w:pPr>
            <w:r>
              <w:rPr>
                <w:rFonts w:ascii="Times New Roman" w:cs="Times New Roman" w:eastAsia="Times New Roman" w:hAnsi="Times New Roman"/>
                <w:sz w:val="9"/>
                <w:szCs w:val="9"/>
                <w:b w:val="1"/>
                <w:bCs w:val="1"/>
                <w:color w:val="auto"/>
              </w:rPr>
              <w:t>Secured</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rPr>
              <w:t>Notes</w:t>
            </w: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9"/>
                <w:szCs w:val="9"/>
                <w:b w:val="1"/>
                <w:bCs w:val="1"/>
                <w:color w:val="auto"/>
              </w:rPr>
              <w:t>Total</w:t>
            </w:r>
          </w:p>
        </w:tc>
        <w:tc>
          <w:tcPr>
            <w:tcW w:w="80" w:type="dxa"/>
            <w:vAlign w:val="bottom"/>
          </w:tcPr>
          <w:p>
            <w:pPr>
              <w:spacing w:after="0"/>
              <w:rPr>
                <w:sz w:val="7"/>
                <w:szCs w:val="7"/>
                <w:color w:val="auto"/>
              </w:rPr>
            </w:pPr>
          </w:p>
        </w:tc>
        <w:tc>
          <w:tcPr>
            <w:tcW w:w="760" w:type="dxa"/>
            <w:vAlign w:val="bottom"/>
            <w:gridSpan w:val="2"/>
          </w:tcPr>
          <w:p>
            <w:pPr>
              <w:jc w:val="right"/>
              <w:ind w:right="460"/>
              <w:spacing w:after="0" w:line="91" w:lineRule="exact"/>
              <w:rPr>
                <w:sz w:val="20"/>
                <w:szCs w:val="20"/>
                <w:color w:val="auto"/>
              </w:rPr>
            </w:pPr>
            <w:r>
              <w:rPr>
                <w:rFonts w:ascii="Times New Roman" w:cs="Times New Roman" w:eastAsia="Times New Roman" w:hAnsi="Times New Roman"/>
                <w:sz w:val="9"/>
                <w:szCs w:val="9"/>
                <w:b w:val="1"/>
                <w:bCs w:val="1"/>
                <w:color w:val="auto"/>
              </w:rPr>
              <w:t>SBA</w:t>
            </w:r>
          </w:p>
        </w:tc>
        <w:tc>
          <w:tcPr>
            <w:tcW w:w="100" w:type="dxa"/>
            <w:vAlign w:val="bottom"/>
          </w:tcPr>
          <w:p>
            <w:pPr>
              <w:spacing w:after="0"/>
              <w:rPr>
                <w:sz w:val="7"/>
                <w:szCs w:val="7"/>
                <w:color w:val="auto"/>
              </w:rPr>
            </w:pPr>
          </w:p>
        </w:tc>
        <w:tc>
          <w:tcPr>
            <w:tcW w:w="680" w:type="dxa"/>
            <w:vAlign w:val="bottom"/>
            <w:gridSpan w:val="2"/>
          </w:tcPr>
          <w:p>
            <w:pPr>
              <w:jc w:val="right"/>
              <w:ind w:right="400"/>
              <w:spacing w:after="0" w:line="91" w:lineRule="exact"/>
              <w:rPr>
                <w:sz w:val="20"/>
                <w:szCs w:val="20"/>
                <w:color w:val="auto"/>
              </w:rPr>
            </w:pPr>
            <w:r>
              <w:rPr>
                <w:rFonts w:ascii="Times New Roman" w:cs="Times New Roman" w:eastAsia="Times New Roman" w:hAnsi="Times New Roman"/>
                <w:sz w:val="9"/>
                <w:szCs w:val="9"/>
                <w:b w:val="1"/>
                <w:bCs w:val="1"/>
                <w:color w:val="auto"/>
              </w:rPr>
              <w:t>Credit</w:t>
            </w:r>
          </w:p>
        </w:tc>
        <w:tc>
          <w:tcPr>
            <w:tcW w:w="120" w:type="dxa"/>
            <w:vAlign w:val="bottom"/>
          </w:tcPr>
          <w:p>
            <w:pPr>
              <w:spacing w:after="0"/>
              <w:rPr>
                <w:sz w:val="7"/>
                <w:szCs w:val="7"/>
                <w:color w:val="auto"/>
              </w:rPr>
            </w:pPr>
          </w:p>
        </w:tc>
        <w:tc>
          <w:tcPr>
            <w:tcW w:w="900" w:type="dxa"/>
            <w:vAlign w:val="bottom"/>
            <w:gridSpan w:val="2"/>
          </w:tcPr>
          <w:p>
            <w:pPr>
              <w:jc w:val="right"/>
              <w:ind w:right="480"/>
              <w:spacing w:after="0" w:line="91" w:lineRule="exact"/>
              <w:rPr>
                <w:sz w:val="20"/>
                <w:szCs w:val="20"/>
                <w:color w:val="auto"/>
              </w:rPr>
            </w:pPr>
            <w:r>
              <w:rPr>
                <w:rFonts w:ascii="Times New Roman" w:cs="Times New Roman" w:eastAsia="Times New Roman" w:hAnsi="Times New Roman"/>
                <w:sz w:val="9"/>
                <w:szCs w:val="9"/>
                <w:b w:val="1"/>
                <w:bCs w:val="1"/>
                <w:color w:val="auto"/>
              </w:rPr>
              <w:t>Secured</w:t>
            </w:r>
          </w:p>
        </w:tc>
        <w:tc>
          <w:tcPr>
            <w:tcW w:w="100" w:type="dxa"/>
            <w:vAlign w:val="bottom"/>
          </w:tcPr>
          <w:p>
            <w:pPr>
              <w:spacing w:after="0"/>
              <w:rPr>
                <w:sz w:val="7"/>
                <w:szCs w:val="7"/>
                <w:color w:val="auto"/>
              </w:rPr>
            </w:pPr>
          </w:p>
        </w:tc>
        <w:tc>
          <w:tcPr>
            <w:tcW w:w="6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9"/>
                <w:szCs w:val="9"/>
                <w:b w:val="1"/>
                <w:bCs w:val="1"/>
                <w:color w:val="auto"/>
              </w:rPr>
              <w:t>Notes</w:t>
            </w:r>
          </w:p>
        </w:tc>
        <w:tc>
          <w:tcPr>
            <w:tcW w:w="100" w:type="dxa"/>
            <w:vAlign w:val="bottom"/>
          </w:tcPr>
          <w:p>
            <w:pPr>
              <w:spacing w:after="0"/>
              <w:rPr>
                <w:sz w:val="7"/>
                <w:szCs w:val="7"/>
                <w:color w:val="auto"/>
              </w:rPr>
            </w:pPr>
          </w:p>
        </w:tc>
        <w:tc>
          <w:tcPr>
            <w:tcW w:w="6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64"/>
        </w:trPr>
        <w:tc>
          <w:tcPr>
            <w:tcW w:w="2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9"/>
                <w:szCs w:val="9"/>
                <w:b w:val="1"/>
                <w:bCs w:val="1"/>
                <w:color w:val="auto"/>
                <w:w w:val="98"/>
              </w:rPr>
              <w:t>debentures</w:t>
            </w:r>
          </w:p>
        </w:tc>
        <w:tc>
          <w:tcPr>
            <w:tcW w:w="86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9"/>
                <w:szCs w:val="9"/>
                <w:b w:val="1"/>
                <w:bCs w:val="1"/>
                <w:color w:val="auto"/>
              </w:rPr>
              <w:t>Borrowings</w:t>
            </w: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9"/>
                <w:szCs w:val="9"/>
                <w:b w:val="1"/>
                <w:bCs w:val="1"/>
                <w:color w:val="auto"/>
                <w:w w:val="98"/>
              </w:rPr>
              <w:t>debentures</w:t>
            </w:r>
          </w:p>
        </w:tc>
        <w:tc>
          <w:tcPr>
            <w:tcW w:w="100" w:type="dxa"/>
            <w:vAlign w:val="bottom"/>
          </w:tcPr>
          <w:p>
            <w:pPr>
              <w:spacing w:after="0"/>
              <w:rPr>
                <w:sz w:val="5"/>
                <w:szCs w:val="5"/>
                <w:color w:val="auto"/>
              </w:rPr>
            </w:pPr>
          </w:p>
        </w:tc>
        <w:tc>
          <w:tcPr>
            <w:tcW w:w="6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9"/>
                <w:szCs w:val="9"/>
                <w:b w:val="1"/>
                <w:bCs w:val="1"/>
                <w:color w:val="auto"/>
              </w:rPr>
              <w:t>Facility</w:t>
            </w:r>
          </w:p>
        </w:tc>
        <w:tc>
          <w:tcPr>
            <w:tcW w:w="120" w:type="dxa"/>
            <w:vAlign w:val="bottom"/>
          </w:tcPr>
          <w:p>
            <w:pPr>
              <w:spacing w:after="0"/>
              <w:rPr>
                <w:sz w:val="5"/>
                <w:szCs w:val="5"/>
                <w:color w:val="auto"/>
              </w:rPr>
            </w:pPr>
          </w:p>
        </w:tc>
        <w:tc>
          <w:tcPr>
            <w:tcW w:w="9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9"/>
                <w:szCs w:val="9"/>
                <w:b w:val="1"/>
                <w:bCs w:val="1"/>
                <w:color w:val="auto"/>
              </w:rPr>
              <w:t>Borrowings</w:t>
            </w:r>
          </w:p>
        </w:tc>
        <w:tc>
          <w:tcPr>
            <w:tcW w:w="1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2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Stated interest expense</w:t>
            </w: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2,583</w:t>
            </w:r>
          </w:p>
        </w:tc>
        <w:tc>
          <w:tcPr>
            <w:tcW w:w="260" w:type="dxa"/>
            <w:vAlign w:val="bottom"/>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9"/>
                <w:szCs w:val="9"/>
                <w:color w:val="auto"/>
                <w:w w:val="87"/>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1,106</w:t>
            </w:r>
          </w:p>
        </w:tc>
        <w:tc>
          <w:tcPr>
            <w:tcW w:w="2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726</w:t>
            </w:r>
          </w:p>
        </w:tc>
        <w:tc>
          <w:tcPr>
            <w:tcW w:w="240" w:type="dxa"/>
            <w:vAlign w:val="bottom"/>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jc w:val="right"/>
              <w:ind w:right="315"/>
              <w:spacing w:after="0"/>
              <w:rPr>
                <w:sz w:val="20"/>
                <w:szCs w:val="20"/>
                <w:color w:val="auto"/>
              </w:rPr>
            </w:pPr>
            <w:r>
              <w:rPr>
                <w:rFonts w:ascii="Times New Roman" w:cs="Times New Roman" w:eastAsia="Times New Roman" w:hAnsi="Times New Roman"/>
                <w:sz w:val="9"/>
                <w:szCs w:val="9"/>
                <w:color w:val="auto"/>
                <w:w w:val="87"/>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8"/>
              </w:rPr>
              <w:t>7,734</w:t>
            </w:r>
          </w:p>
        </w:tc>
        <w:tc>
          <w:tcPr>
            <w:tcW w:w="24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12,149</w:t>
            </w:r>
          </w:p>
        </w:tc>
        <w:tc>
          <w:tcPr>
            <w:tcW w:w="2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3,102</w:t>
            </w: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1,101</w:t>
            </w: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222</w:t>
            </w: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8,338</w:t>
            </w: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12,763</w:t>
            </w:r>
          </w:p>
        </w:tc>
        <w:tc>
          <w:tcPr>
            <w:tcW w:w="2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color w:val="auto"/>
              </w:rPr>
              <w:t>Amortization of deferred financing costs</w:t>
            </w: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438</w:t>
            </w:r>
          </w:p>
        </w:tc>
        <w:tc>
          <w:tcPr>
            <w:tcW w:w="2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319</w:t>
            </w: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831</w:t>
            </w: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1,588</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408</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340</w:t>
            </w: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907</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1,655</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Total interest and financing expenses</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3,021</w:t>
            </w:r>
          </w:p>
        </w:tc>
        <w:tc>
          <w:tcPr>
            <w:tcW w:w="26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9"/>
                <w:szCs w:val="9"/>
                <w:color w:val="auto"/>
                <w:w w:val="87"/>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1,425</w:t>
            </w: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726</w:t>
            </w:r>
          </w:p>
        </w:tc>
        <w:tc>
          <w:tcPr>
            <w:tcW w:w="240" w:type="dxa"/>
            <w:vAlign w:val="bottom"/>
            <w:tcBorders>
              <w:bottom w:val="single" w:sz="8" w:color="CFF0FC"/>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ind w:right="315"/>
              <w:spacing w:after="0"/>
              <w:rPr>
                <w:sz w:val="20"/>
                <w:szCs w:val="20"/>
                <w:color w:val="auto"/>
              </w:rPr>
            </w:pPr>
            <w:r>
              <w:rPr>
                <w:rFonts w:ascii="Times New Roman" w:cs="Times New Roman" w:eastAsia="Times New Roman" w:hAnsi="Times New Roman"/>
                <w:sz w:val="9"/>
                <w:szCs w:val="9"/>
                <w:color w:val="auto"/>
                <w:w w:val="87"/>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8"/>
              </w:rPr>
              <w:t>8,565</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13,737</w:t>
            </w:r>
          </w:p>
        </w:tc>
        <w:tc>
          <w:tcPr>
            <w:tcW w:w="2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3,510</w:t>
            </w: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1,441</w:t>
            </w: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222</w:t>
            </w: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9,245</w:t>
            </w: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14,418</w:t>
            </w:r>
          </w:p>
        </w:tc>
        <w:tc>
          <w:tcPr>
            <w:tcW w:w="28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740" w:type="dxa"/>
            <w:vAlign w:val="bottom"/>
          </w:tcPr>
          <w:p>
            <w:pPr>
              <w:ind w:left="20"/>
              <w:spacing w:after="0" w:line="102" w:lineRule="exact"/>
              <w:rPr>
                <w:sz w:val="20"/>
                <w:szCs w:val="20"/>
                <w:color w:val="auto"/>
              </w:rPr>
            </w:pPr>
            <w:r>
              <w:rPr>
                <w:rFonts w:ascii="Times New Roman" w:cs="Times New Roman" w:eastAsia="Times New Roman" w:hAnsi="Times New Roman"/>
                <w:sz w:val="9"/>
                <w:szCs w:val="9"/>
                <w:color w:val="auto"/>
              </w:rPr>
              <w:t>Weighted average stated interest rate, period end</w:t>
            </w:r>
          </w:p>
        </w:tc>
        <w:tc>
          <w:tcPr>
            <w:tcW w:w="80" w:type="dxa"/>
            <w:vAlign w:val="bottom"/>
          </w:tcPr>
          <w:p>
            <w:pPr>
              <w:spacing w:after="0"/>
              <w:rPr>
                <w:sz w:val="8"/>
                <w:szCs w:val="8"/>
                <w:color w:val="auto"/>
              </w:rPr>
            </w:pPr>
          </w:p>
        </w:tc>
        <w:tc>
          <w:tcPr>
            <w:tcW w:w="800" w:type="dxa"/>
            <w:vAlign w:val="bottom"/>
            <w:gridSpan w:val="2"/>
          </w:tcPr>
          <w:p>
            <w:pPr>
              <w:jc w:val="right"/>
              <w:ind w:right="160"/>
              <w:spacing w:after="0" w:line="102" w:lineRule="exact"/>
              <w:rPr>
                <w:sz w:val="20"/>
                <w:szCs w:val="20"/>
                <w:color w:val="auto"/>
              </w:rPr>
            </w:pPr>
            <w:r>
              <w:rPr>
                <w:rFonts w:ascii="Times New Roman" w:cs="Times New Roman" w:eastAsia="Times New Roman" w:hAnsi="Times New Roman"/>
                <w:sz w:val="9"/>
                <w:szCs w:val="9"/>
                <w:color w:val="auto"/>
              </w:rPr>
              <w:t>3.214 %</w:t>
            </w:r>
          </w:p>
        </w:tc>
        <w:tc>
          <w:tcPr>
            <w:tcW w:w="240" w:type="dxa"/>
            <w:vAlign w:val="bottom"/>
          </w:tcPr>
          <w:p>
            <w:pPr>
              <w:spacing w:after="0"/>
              <w:rPr>
                <w:sz w:val="8"/>
                <w:szCs w:val="8"/>
                <w:color w:val="auto"/>
              </w:rPr>
            </w:pPr>
          </w:p>
        </w:tc>
        <w:tc>
          <w:tcPr>
            <w:tcW w:w="620" w:type="dxa"/>
            <w:vAlign w:val="bottom"/>
            <w:gridSpan w:val="2"/>
          </w:tcPr>
          <w:p>
            <w:pPr>
              <w:jc w:val="right"/>
              <w:ind w:right="240"/>
              <w:spacing w:after="0" w:line="102" w:lineRule="exact"/>
              <w:rPr>
                <w:sz w:val="20"/>
                <w:szCs w:val="20"/>
                <w:color w:val="auto"/>
              </w:rPr>
            </w:pPr>
            <w:r>
              <w:rPr>
                <w:rFonts w:ascii="Times New Roman" w:cs="Times New Roman" w:eastAsia="Times New Roman" w:hAnsi="Times New Roman"/>
                <w:sz w:val="9"/>
                <w:szCs w:val="9"/>
                <w:color w:val="auto"/>
              </w:rPr>
              <w:t>N/A</w:t>
            </w:r>
          </w:p>
        </w:tc>
        <w:tc>
          <w:tcPr>
            <w:tcW w:w="100" w:type="dxa"/>
            <w:vAlign w:val="bottom"/>
          </w:tcPr>
          <w:p>
            <w:pPr>
              <w:spacing w:after="0"/>
              <w:rPr>
                <w:sz w:val="8"/>
                <w:szCs w:val="8"/>
                <w:color w:val="auto"/>
              </w:rPr>
            </w:pPr>
          </w:p>
        </w:tc>
        <w:tc>
          <w:tcPr>
            <w:tcW w:w="860" w:type="dxa"/>
            <w:vAlign w:val="bottom"/>
            <w:gridSpan w:val="2"/>
          </w:tcPr>
          <w:p>
            <w:pPr>
              <w:jc w:val="right"/>
              <w:ind w:right="160"/>
              <w:spacing w:after="0" w:line="102" w:lineRule="exact"/>
              <w:rPr>
                <w:sz w:val="20"/>
                <w:szCs w:val="20"/>
                <w:color w:val="auto"/>
              </w:rPr>
            </w:pPr>
            <w:r>
              <w:rPr>
                <w:rFonts w:ascii="Times New Roman" w:cs="Times New Roman" w:eastAsia="Times New Roman" w:hAnsi="Times New Roman"/>
                <w:sz w:val="9"/>
                <w:szCs w:val="9"/>
                <w:color w:val="auto"/>
              </w:rPr>
              <w:t>6.446 %</w:t>
            </w:r>
          </w:p>
        </w:tc>
        <w:tc>
          <w:tcPr>
            <w:tcW w:w="420" w:type="dxa"/>
            <w:vAlign w:val="bottom"/>
          </w:tcPr>
          <w:p>
            <w:pPr>
              <w:spacing w:after="0"/>
              <w:rPr>
                <w:sz w:val="8"/>
                <w:szCs w:val="8"/>
                <w:color w:val="auto"/>
              </w:rPr>
            </w:pPr>
          </w:p>
        </w:tc>
        <w:tc>
          <w:tcPr>
            <w:tcW w:w="460" w:type="dxa"/>
            <w:vAlign w:val="bottom"/>
            <w:gridSpan w:val="2"/>
          </w:tcPr>
          <w:p>
            <w:pPr>
              <w:jc w:val="right"/>
              <w:ind w:right="140"/>
              <w:spacing w:after="0" w:line="102" w:lineRule="exact"/>
              <w:rPr>
                <w:sz w:val="20"/>
                <w:szCs w:val="20"/>
                <w:color w:val="auto"/>
              </w:rPr>
            </w:pPr>
            <w:r>
              <w:rPr>
                <w:rFonts w:ascii="Times New Roman" w:cs="Times New Roman" w:eastAsia="Times New Roman" w:hAnsi="Times New Roman"/>
                <w:sz w:val="9"/>
                <w:szCs w:val="9"/>
                <w:color w:val="auto"/>
                <w:w w:val="99"/>
              </w:rPr>
              <w:t>4.125 %</w:t>
            </w:r>
          </w:p>
        </w:tc>
        <w:tc>
          <w:tcPr>
            <w:tcW w:w="120" w:type="dxa"/>
            <w:vAlign w:val="bottom"/>
          </w:tcPr>
          <w:p>
            <w:pPr>
              <w:spacing w:after="0"/>
              <w:rPr>
                <w:sz w:val="8"/>
                <w:szCs w:val="8"/>
                <w:color w:val="auto"/>
              </w:rPr>
            </w:pPr>
          </w:p>
        </w:tc>
        <w:tc>
          <w:tcPr>
            <w:tcW w:w="660" w:type="dxa"/>
            <w:vAlign w:val="bottom"/>
            <w:gridSpan w:val="2"/>
          </w:tcPr>
          <w:p>
            <w:pPr>
              <w:jc w:val="right"/>
              <w:ind w:right="120"/>
              <w:spacing w:after="0" w:line="102" w:lineRule="exact"/>
              <w:rPr>
                <w:sz w:val="20"/>
                <w:szCs w:val="20"/>
                <w:color w:val="auto"/>
              </w:rPr>
            </w:pPr>
            <w:r>
              <w:rPr>
                <w:rFonts w:ascii="Times New Roman" w:cs="Times New Roman" w:eastAsia="Times New Roman" w:hAnsi="Times New Roman"/>
                <w:sz w:val="9"/>
                <w:szCs w:val="9"/>
                <w:color w:val="auto"/>
              </w:rPr>
              <w:t>3.921 %</w:t>
            </w:r>
          </w:p>
        </w:tc>
        <w:tc>
          <w:tcPr>
            <w:tcW w:w="80" w:type="dxa"/>
            <w:vAlign w:val="bottom"/>
          </w:tcPr>
          <w:p>
            <w:pPr>
              <w:spacing w:after="0"/>
              <w:rPr>
                <w:sz w:val="8"/>
                <w:szCs w:val="8"/>
                <w:color w:val="auto"/>
              </w:rPr>
            </w:pPr>
          </w:p>
        </w:tc>
        <w:tc>
          <w:tcPr>
            <w:tcW w:w="760" w:type="dxa"/>
            <w:vAlign w:val="bottom"/>
            <w:gridSpan w:val="2"/>
          </w:tcPr>
          <w:p>
            <w:pPr>
              <w:jc w:val="right"/>
              <w:ind w:right="140"/>
              <w:spacing w:after="0" w:line="102" w:lineRule="exact"/>
              <w:rPr>
                <w:sz w:val="20"/>
                <w:szCs w:val="20"/>
                <w:color w:val="auto"/>
              </w:rPr>
            </w:pPr>
            <w:r>
              <w:rPr>
                <w:rFonts w:ascii="Times New Roman" w:cs="Times New Roman" w:eastAsia="Times New Roman" w:hAnsi="Times New Roman"/>
                <w:sz w:val="9"/>
                <w:szCs w:val="9"/>
                <w:color w:val="auto"/>
              </w:rPr>
              <w:t>2.899 %</w:t>
            </w:r>
          </w:p>
        </w:tc>
        <w:tc>
          <w:tcPr>
            <w:tcW w:w="100" w:type="dxa"/>
            <w:vAlign w:val="bottom"/>
          </w:tcPr>
          <w:p>
            <w:pPr>
              <w:spacing w:after="0"/>
              <w:rPr>
                <w:sz w:val="8"/>
                <w:szCs w:val="8"/>
                <w:color w:val="auto"/>
              </w:rPr>
            </w:pPr>
          </w:p>
        </w:tc>
        <w:tc>
          <w:tcPr>
            <w:tcW w:w="680" w:type="dxa"/>
            <w:vAlign w:val="bottom"/>
            <w:gridSpan w:val="2"/>
          </w:tcPr>
          <w:p>
            <w:pPr>
              <w:jc w:val="right"/>
              <w:ind w:right="140"/>
              <w:spacing w:after="0" w:line="102" w:lineRule="exact"/>
              <w:rPr>
                <w:sz w:val="20"/>
                <w:szCs w:val="20"/>
                <w:color w:val="auto"/>
              </w:rPr>
            </w:pPr>
            <w:r>
              <w:rPr>
                <w:rFonts w:ascii="Times New Roman" w:cs="Times New Roman" w:eastAsia="Times New Roman" w:hAnsi="Times New Roman"/>
                <w:sz w:val="9"/>
                <w:szCs w:val="9"/>
                <w:color w:val="auto"/>
              </w:rPr>
              <w:t>3.125 %</w:t>
            </w:r>
          </w:p>
        </w:tc>
        <w:tc>
          <w:tcPr>
            <w:tcW w:w="120" w:type="dxa"/>
            <w:vAlign w:val="bottom"/>
          </w:tcPr>
          <w:p>
            <w:pPr>
              <w:spacing w:after="0"/>
              <w:rPr>
                <w:sz w:val="8"/>
                <w:szCs w:val="8"/>
                <w:color w:val="auto"/>
              </w:rPr>
            </w:pPr>
          </w:p>
        </w:tc>
        <w:tc>
          <w:tcPr>
            <w:tcW w:w="900" w:type="dxa"/>
            <w:vAlign w:val="bottom"/>
            <w:gridSpan w:val="2"/>
          </w:tcPr>
          <w:p>
            <w:pPr>
              <w:jc w:val="right"/>
              <w:ind w:right="140"/>
              <w:spacing w:after="0" w:line="102" w:lineRule="exact"/>
              <w:rPr>
                <w:sz w:val="20"/>
                <w:szCs w:val="20"/>
                <w:color w:val="auto"/>
              </w:rPr>
            </w:pPr>
            <w:r>
              <w:rPr>
                <w:rFonts w:ascii="Times New Roman" w:cs="Times New Roman" w:eastAsia="Times New Roman" w:hAnsi="Times New Roman"/>
                <w:sz w:val="9"/>
                <w:szCs w:val="9"/>
                <w:color w:val="auto"/>
              </w:rPr>
              <w:t>4.392 %</w:t>
            </w:r>
          </w:p>
        </w:tc>
        <w:tc>
          <w:tcPr>
            <w:tcW w:w="100" w:type="dxa"/>
            <w:vAlign w:val="bottom"/>
          </w:tcPr>
          <w:p>
            <w:pPr>
              <w:spacing w:after="0"/>
              <w:rPr>
                <w:sz w:val="8"/>
                <w:szCs w:val="8"/>
                <w:color w:val="auto"/>
              </w:rPr>
            </w:pPr>
          </w:p>
        </w:tc>
        <w:tc>
          <w:tcPr>
            <w:tcW w:w="640" w:type="dxa"/>
            <w:vAlign w:val="bottom"/>
            <w:gridSpan w:val="2"/>
          </w:tcPr>
          <w:p>
            <w:pPr>
              <w:jc w:val="right"/>
              <w:ind w:right="140"/>
              <w:spacing w:after="0" w:line="102" w:lineRule="exact"/>
              <w:rPr>
                <w:sz w:val="20"/>
                <w:szCs w:val="20"/>
                <w:color w:val="auto"/>
              </w:rPr>
            </w:pPr>
            <w:r>
              <w:rPr>
                <w:rFonts w:ascii="Times New Roman" w:cs="Times New Roman" w:eastAsia="Times New Roman" w:hAnsi="Times New Roman"/>
                <w:sz w:val="9"/>
                <w:szCs w:val="9"/>
                <w:color w:val="auto"/>
              </w:rPr>
              <w:t>5.055 %</w:t>
            </w:r>
          </w:p>
        </w:tc>
        <w:tc>
          <w:tcPr>
            <w:tcW w:w="100" w:type="dxa"/>
            <w:vAlign w:val="bottom"/>
          </w:tcPr>
          <w:p>
            <w:pPr>
              <w:spacing w:after="0"/>
              <w:rPr>
                <w:sz w:val="8"/>
                <w:szCs w:val="8"/>
                <w:color w:val="auto"/>
              </w:rPr>
            </w:pPr>
          </w:p>
        </w:tc>
        <w:tc>
          <w:tcPr>
            <w:tcW w:w="660" w:type="dxa"/>
            <w:vAlign w:val="bottom"/>
            <w:gridSpan w:val="2"/>
          </w:tcPr>
          <w:p>
            <w:pPr>
              <w:jc w:val="right"/>
              <w:ind w:right="200"/>
              <w:spacing w:after="0" w:line="102" w:lineRule="exact"/>
              <w:rPr>
                <w:sz w:val="20"/>
                <w:szCs w:val="20"/>
                <w:color w:val="auto"/>
              </w:rPr>
            </w:pPr>
            <w:r>
              <w:rPr>
                <w:rFonts w:ascii="Times New Roman" w:cs="Times New Roman" w:eastAsia="Times New Roman" w:hAnsi="Times New Roman"/>
                <w:sz w:val="9"/>
                <w:szCs w:val="9"/>
                <w:color w:val="auto"/>
              </w:rPr>
              <w:t>4.239 %</w:t>
            </w:r>
          </w:p>
        </w:tc>
        <w:tc>
          <w:tcPr>
            <w:tcW w:w="0" w:type="dxa"/>
            <w:vAlign w:val="bottom"/>
          </w:tcPr>
          <w:p>
            <w:pPr>
              <w:spacing w:after="0"/>
              <w:rPr>
                <w:sz w:val="1"/>
                <w:szCs w:val="1"/>
                <w:color w:val="auto"/>
              </w:rPr>
            </w:pPr>
          </w:p>
        </w:tc>
      </w:tr>
      <w:tr>
        <w:trPr>
          <w:trHeight w:val="122"/>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Unused commitment fee rate, period end</w:t>
            </w:r>
          </w:p>
        </w:tc>
        <w:tc>
          <w:tcPr>
            <w:tcW w:w="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9"/>
                <w:szCs w:val="9"/>
                <w:color w:val="auto"/>
              </w:rPr>
              <w:t>N/A</w:t>
            </w:r>
          </w:p>
        </w:tc>
        <w:tc>
          <w:tcPr>
            <w:tcW w:w="24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1.200 %</w:t>
            </w:r>
          </w:p>
        </w:tc>
        <w:tc>
          <w:tcPr>
            <w:tcW w:w="10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9"/>
                <w:szCs w:val="9"/>
                <w:color w:val="auto"/>
              </w:rPr>
              <w:t>N/A</w:t>
            </w:r>
          </w:p>
        </w:tc>
        <w:tc>
          <w:tcPr>
            <w:tcW w:w="420" w:type="dxa"/>
            <w:vAlign w:val="bottom"/>
            <w:shd w:val="clear" w:color="auto" w:fill="CFF0FC"/>
          </w:tcPr>
          <w:p>
            <w:pPr>
              <w:spacing w:after="0"/>
              <w:rPr>
                <w:sz w:val="10"/>
                <w:szCs w:val="10"/>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9"/>
                <w:szCs w:val="9"/>
                <w:color w:val="auto"/>
              </w:rPr>
              <w:t>N/A</w:t>
            </w:r>
          </w:p>
        </w:tc>
        <w:tc>
          <w:tcPr>
            <w:tcW w:w="12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1.200 %</w:t>
            </w:r>
          </w:p>
        </w:tc>
        <w:tc>
          <w:tcPr>
            <w:tcW w:w="8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N/A</w:t>
            </w:r>
          </w:p>
        </w:tc>
        <w:tc>
          <w:tcPr>
            <w:tcW w:w="10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0.500 %</w:t>
            </w:r>
          </w:p>
        </w:tc>
        <w:tc>
          <w:tcPr>
            <w:tcW w:w="12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N/A</w:t>
            </w:r>
          </w:p>
        </w:tc>
        <w:tc>
          <w:tcPr>
            <w:tcW w:w="10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N/A</w:t>
            </w: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9"/>
                <w:szCs w:val="9"/>
                <w:color w:val="auto"/>
              </w:rPr>
              <w:t>0.500 %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-179070</wp:posOffset>
            </wp:positionV>
            <wp:extent cx="4886325" cy="1028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886325" cy="10287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rPr>
          <w:sz w:val="20"/>
          <w:szCs w:val="20"/>
          <w:color w:val="auto"/>
        </w:rPr>
      </w:pPr>
      <w:r>
        <w:rPr>
          <w:rFonts w:ascii="Times New Roman" w:cs="Times New Roman" w:eastAsia="Times New Roman" w:hAnsi="Times New Roman"/>
          <w:sz w:val="18"/>
          <w:szCs w:val="18"/>
          <w:i w:val="1"/>
          <w:iCs w:val="1"/>
          <w:color w:val="auto"/>
        </w:rPr>
        <w:t>Realized Losses on Extinguishment of Debt</w:t>
      </w:r>
    </w:p>
    <w:p>
      <w:pPr>
        <w:spacing w:after="0" w:line="138" w:lineRule="exact"/>
        <w:rPr>
          <w:sz w:val="20"/>
          <w:szCs w:val="20"/>
          <w:color w:val="auto"/>
        </w:rPr>
      </w:pPr>
    </w:p>
    <w:p>
      <w:pPr>
        <w:jc w:val="both"/>
        <w:ind w:firstLine="469"/>
        <w:spacing w:after="0" w:line="250" w:lineRule="auto"/>
        <w:rPr>
          <w:sz w:val="20"/>
          <w:szCs w:val="20"/>
          <w:color w:val="auto"/>
        </w:rPr>
      </w:pPr>
      <w:r>
        <w:rPr>
          <w:rFonts w:ascii="Times New Roman" w:cs="Times New Roman" w:eastAsia="Times New Roman" w:hAnsi="Times New Roman"/>
          <w:sz w:val="18"/>
          <w:szCs w:val="18"/>
          <w:color w:val="auto"/>
        </w:rPr>
        <w:t>During the nine months ended September 30, 2022 and 2021, the Company prepaid $30,000 and $63,500 of SBA debentures, respectively, which were scheduled to mature on dates ranging from 2025 to 2028 and 2025 to 2028, respectively. During the nine months ended September 30, 2021, the Company redeemed $50,000 and $50,000 of the issued and outstanding 2023 Notes and 2024 Notes, respectively. As a result of the prepayments, the Company recognized realized losses on extinguishment of debt of $251 and $2,640, respectively, equal to the write-off of the related unamortized deferred financing costs, during the nine months ended September 30, 2022 and 2021.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Financing Costs</w:t>
      </w:r>
    </w:p>
    <w:p>
      <w:pPr>
        <w:spacing w:after="0" w:line="160" w:lineRule="exact"/>
        <w:rPr>
          <w:sz w:val="20"/>
          <w:szCs w:val="20"/>
          <w:color w:val="auto"/>
        </w:rPr>
      </w:pPr>
    </w:p>
    <w:p>
      <w:pPr>
        <w:jc w:val="both"/>
        <w:ind w:right="20" w:firstLine="464"/>
        <w:spacing w:after="0" w:line="258" w:lineRule="auto"/>
        <w:rPr>
          <w:sz w:val="20"/>
          <w:szCs w:val="20"/>
          <w:color w:val="auto"/>
        </w:rPr>
      </w:pPr>
      <w:r>
        <w:rPr>
          <w:rFonts w:ascii="Times New Roman" w:cs="Times New Roman" w:eastAsia="Times New Roman" w:hAnsi="Times New Roman"/>
          <w:sz w:val="18"/>
          <w:szCs w:val="18"/>
          <w:color w:val="auto"/>
        </w:rPr>
        <w:t>Deferred financing costs are amortized into interest and financing expenses on the consolidated statements of operations, using the effective interest method, over the term of the respective financing instrument. Deferred financing costs related to the SBA debentures, the Credit Facility, and the Notes as of September 30, 2022 and December 31, 2021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3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600"/>
              <w:spacing w:after="0" w:line="158" w:lineRule="exact"/>
              <w:rPr>
                <w:sz w:val="20"/>
                <w:szCs w:val="20"/>
                <w:color w:val="auto"/>
              </w:rPr>
            </w:pPr>
            <w:r>
              <w:rPr>
                <w:rFonts w:ascii="Times New Roman" w:cs="Times New Roman" w:eastAsia="Times New Roman" w:hAnsi="Times New Roman"/>
                <w:sz w:val="14"/>
                <w:szCs w:val="14"/>
                <w:b w:val="1"/>
                <w:bCs w:val="1"/>
                <w:color w:val="auto"/>
              </w:rPr>
              <w:t>SBA</w:t>
            </w:r>
          </w:p>
        </w:tc>
        <w:tc>
          <w:tcPr>
            <w:tcW w:w="100" w:type="dxa"/>
            <w:vAlign w:val="bottom"/>
          </w:tcPr>
          <w:p>
            <w:pPr>
              <w:spacing w:after="0"/>
              <w:rPr>
                <w:sz w:val="13"/>
                <w:szCs w:val="13"/>
                <w:color w:val="auto"/>
              </w:rPr>
            </w:pPr>
          </w:p>
        </w:tc>
        <w:tc>
          <w:tcPr>
            <w:tcW w:w="900" w:type="dxa"/>
            <w:vAlign w:val="bottom"/>
            <w:gridSpan w:val="2"/>
          </w:tcPr>
          <w:p>
            <w:pPr>
              <w:jc w:val="right"/>
              <w:ind w:right="420"/>
              <w:spacing w:after="0" w:line="158" w:lineRule="exact"/>
              <w:rPr>
                <w:sz w:val="20"/>
                <w:szCs w:val="20"/>
                <w:color w:val="auto"/>
              </w:rPr>
            </w:pPr>
            <w:r>
              <w:rPr>
                <w:rFonts w:ascii="Times New Roman" w:cs="Times New Roman" w:eastAsia="Times New Roman" w:hAnsi="Times New Roman"/>
                <w:sz w:val="14"/>
                <w:szCs w:val="14"/>
                <w:b w:val="1"/>
                <w:bCs w:val="1"/>
                <w:color w:val="auto"/>
              </w:rPr>
              <w:t>Credit</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560"/>
              <w:spacing w:after="0" w:line="158" w:lineRule="exact"/>
              <w:rPr>
                <w:sz w:val="20"/>
                <w:szCs w:val="20"/>
                <w:color w:val="auto"/>
              </w:rPr>
            </w:pPr>
            <w:r>
              <w:rPr>
                <w:rFonts w:ascii="Times New Roman" w:cs="Times New Roman" w:eastAsia="Times New Roman" w:hAnsi="Times New Roman"/>
                <w:sz w:val="14"/>
                <w:szCs w:val="14"/>
                <w:b w:val="1"/>
                <w:bCs w:val="1"/>
                <w:color w:val="auto"/>
              </w:rPr>
              <w:t>SBA</w:t>
            </w:r>
          </w:p>
        </w:tc>
        <w:tc>
          <w:tcPr>
            <w:tcW w:w="100" w:type="dxa"/>
            <w:vAlign w:val="bottom"/>
          </w:tcPr>
          <w:p>
            <w:pPr>
              <w:spacing w:after="0"/>
              <w:rPr>
                <w:sz w:val="13"/>
                <w:szCs w:val="13"/>
                <w:color w:val="auto"/>
              </w:rPr>
            </w:pPr>
          </w:p>
        </w:tc>
        <w:tc>
          <w:tcPr>
            <w:tcW w:w="840" w:type="dxa"/>
            <w:vAlign w:val="bottom"/>
            <w:gridSpan w:val="2"/>
          </w:tcPr>
          <w:p>
            <w:pPr>
              <w:jc w:val="right"/>
              <w:ind w:right="400"/>
              <w:spacing w:after="0" w:line="158" w:lineRule="exact"/>
              <w:rPr>
                <w:sz w:val="20"/>
                <w:szCs w:val="20"/>
                <w:color w:val="auto"/>
              </w:rPr>
            </w:pPr>
            <w:r>
              <w:rPr>
                <w:rFonts w:ascii="Times New Roman" w:cs="Times New Roman" w:eastAsia="Times New Roman" w:hAnsi="Times New Roman"/>
                <w:sz w:val="14"/>
                <w:szCs w:val="14"/>
                <w:b w:val="1"/>
                <w:bCs w:val="1"/>
                <w:color w:val="auto"/>
              </w:rPr>
              <w:t>Credit</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debentures</w:t>
            </w:r>
          </w:p>
        </w:tc>
        <w:tc>
          <w:tcPr>
            <w:tcW w:w="100" w:type="dxa"/>
            <w:vAlign w:val="bottom"/>
          </w:tcPr>
          <w:p>
            <w:pPr>
              <w:spacing w:after="0"/>
              <w:rPr>
                <w:sz w:val="16"/>
                <w:szCs w:val="16"/>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20" w:type="dxa"/>
            <w:vAlign w:val="bottom"/>
          </w:tcPr>
          <w:p>
            <w:pPr>
              <w:spacing w:after="0"/>
              <w:rPr>
                <w:sz w:val="16"/>
                <w:szCs w:val="16"/>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40" w:type="dxa"/>
            <w:vAlign w:val="bottom"/>
          </w:tcPr>
          <w:p>
            <w:pPr>
              <w:spacing w:after="0"/>
              <w:rPr>
                <w:sz w:val="16"/>
                <w:szCs w:val="16"/>
                <w:color w:val="auto"/>
              </w:rPr>
            </w:pP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9"/>
              </w:rPr>
              <w:t>debentures</w:t>
            </w:r>
          </w:p>
        </w:tc>
        <w:tc>
          <w:tcPr>
            <w:tcW w:w="100" w:type="dxa"/>
            <w:vAlign w:val="bottom"/>
          </w:tcPr>
          <w:p>
            <w:pPr>
              <w:spacing w:after="0"/>
              <w:rPr>
                <w:sz w:val="16"/>
                <w:szCs w:val="16"/>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20" w:type="dxa"/>
            <w:vAlign w:val="bottom"/>
          </w:tcPr>
          <w:p>
            <w:pPr>
              <w:spacing w:after="0"/>
              <w:rPr>
                <w:sz w:val="16"/>
                <w:szCs w:val="16"/>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40" w:type="dxa"/>
            <w:vAlign w:val="bottom"/>
          </w:tcPr>
          <w:p>
            <w:pPr>
              <w:spacing w:after="0"/>
              <w:rPr>
                <w:sz w:val="16"/>
                <w:szCs w:val="16"/>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debenture commitment fees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2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2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2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shd w:val="clear" w:color="auto" w:fill="CCEEFF"/>
          </w:tcPr>
          <w:p>
            <w:pPr>
              <w:spacing w:after="0"/>
              <w:rPr>
                <w:sz w:val="14"/>
                <w:szCs w:val="14"/>
                <w:color w:val="auto"/>
              </w:rPr>
            </w:pPr>
          </w:p>
        </w:tc>
      </w:tr>
      <w:tr>
        <w:trPr>
          <w:trHeight w:val="175"/>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debenture leverage fees</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5,902</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4,538</w:t>
            </w:r>
          </w:p>
        </w:tc>
        <w:tc>
          <w:tcPr>
            <w:tcW w:w="100" w:type="dxa"/>
            <w:vAlign w:val="bottom"/>
          </w:tcPr>
          <w:p>
            <w:pPr>
              <w:spacing w:after="0"/>
              <w:rPr>
                <w:sz w:val="15"/>
                <w:szCs w:val="15"/>
                <w:color w:val="auto"/>
              </w:rPr>
            </w:pPr>
          </w:p>
        </w:tc>
      </w:tr>
      <w:tr>
        <w:trPr>
          <w:trHeight w:val="17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Facility upfront fees</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4,417</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4,417</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3,238</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3,238</w:t>
            </w:r>
          </w:p>
        </w:tc>
        <w:tc>
          <w:tcPr>
            <w:tcW w:w="100" w:type="dxa"/>
            <w:vAlign w:val="bottom"/>
            <w:shd w:val="clear" w:color="auto" w:fill="CCEEFF"/>
          </w:tcPr>
          <w:p>
            <w:pPr>
              <w:spacing w:after="0"/>
              <w:rPr>
                <w:sz w:val="15"/>
                <w:szCs w:val="15"/>
                <w:color w:val="auto"/>
              </w:rPr>
            </w:pPr>
          </w:p>
        </w:tc>
      </w:tr>
      <w:tr>
        <w:trPr>
          <w:trHeight w:val="175"/>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underwriting discounts</w:t>
            </w:r>
          </w:p>
        </w:tc>
        <w:tc>
          <w:tcPr>
            <w:tcW w:w="12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5,005</w:t>
            </w:r>
          </w:p>
        </w:tc>
        <w:tc>
          <w:tcPr>
            <w:tcW w:w="100" w:type="dxa"/>
            <w:vAlign w:val="bottom"/>
          </w:tcPr>
          <w:p>
            <w:pPr>
              <w:spacing w:after="0"/>
              <w:rPr>
                <w:sz w:val="15"/>
                <w:szCs w:val="15"/>
                <w:color w:val="auto"/>
              </w:rPr>
            </w:pPr>
          </w:p>
        </w:tc>
      </w:tr>
      <w:tr>
        <w:trPr>
          <w:trHeight w:val="17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debt issue costs</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shd w:val="clear" w:color="auto" w:fill="CCEEFF"/>
          </w:tcPr>
          <w:p>
            <w:pPr>
              <w:spacing w:after="0"/>
              <w:rPr>
                <w:sz w:val="15"/>
                <w:szCs w:val="15"/>
                <w:color w:val="auto"/>
              </w:rPr>
            </w:pPr>
          </w:p>
        </w:tc>
      </w:tr>
      <w:tr>
        <w:trPr>
          <w:trHeight w:val="169"/>
        </w:trPr>
        <w:tc>
          <w:tcPr>
            <w:tcW w:w="33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deferred financing costs</w:t>
            </w: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8,902</w:t>
            </w:r>
          </w:p>
        </w:tc>
        <w:tc>
          <w:tcPr>
            <w:tcW w:w="2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4,417</w:t>
            </w:r>
          </w:p>
        </w:tc>
        <w:tc>
          <w:tcPr>
            <w:tcW w:w="24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5,690</w:t>
            </w: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19,009</w:t>
            </w: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7,038</w:t>
            </w:r>
          </w:p>
        </w:tc>
        <w:tc>
          <w:tcPr>
            <w:tcW w:w="24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3,238</w:t>
            </w:r>
          </w:p>
        </w:tc>
        <w:tc>
          <w:tcPr>
            <w:tcW w:w="26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5,690</w:t>
            </w: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15,966</w:t>
            </w:r>
          </w:p>
        </w:tc>
        <w:tc>
          <w:tcPr>
            <w:tcW w:w="100" w:type="dxa"/>
            <w:vAlign w:val="bottom"/>
            <w:tcBorders>
              <w:top w:val="single" w:sz="8" w:color="CCEEFF"/>
            </w:tcBorders>
          </w:tcPr>
          <w:p>
            <w:pPr>
              <w:spacing w:after="0"/>
              <w:rPr>
                <w:sz w:val="14"/>
                <w:szCs w:val="14"/>
                <w:color w:val="auto"/>
              </w:rPr>
            </w:pPr>
          </w:p>
        </w:tc>
      </w:tr>
      <w:tr>
        <w:trPr>
          <w:trHeight w:val="175"/>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amortization</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(4,705 )</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(2,962 )</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(1,537 )</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(9,204 )</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(4,016 )</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(2,643 )</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(706 )</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(7,365 )</w:t>
            </w:r>
          </w:p>
        </w:tc>
      </w:tr>
      <w:tr>
        <w:trPr>
          <w:trHeight w:val="169"/>
        </w:trPr>
        <w:tc>
          <w:tcPr>
            <w:tcW w:w="33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Unamortized deferred financing costs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4,197</w:t>
            </w:r>
          </w:p>
        </w:tc>
        <w:tc>
          <w:tcPr>
            <w:tcW w:w="280" w:type="dxa"/>
            <w:vAlign w:val="bottom"/>
            <w:tcBorders>
              <w:top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240" w:type="dxa"/>
            <w:vAlign w:val="bottom"/>
            <w:tcBorders>
              <w:top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4,153</w:t>
            </w: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9,805</w:t>
            </w: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3,022</w:t>
            </w:r>
          </w:p>
        </w:tc>
        <w:tc>
          <w:tcPr>
            <w:tcW w:w="240" w:type="dxa"/>
            <w:vAlign w:val="bottom"/>
            <w:tcBorders>
              <w:top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260" w:type="dxa"/>
            <w:vAlign w:val="bottom"/>
            <w:tcBorders>
              <w:top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4,984</w:t>
            </w: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8,601</w:t>
            </w:r>
          </w:p>
        </w:tc>
        <w:tc>
          <w:tcPr>
            <w:tcW w:w="100" w:type="dxa"/>
            <w:vAlign w:val="bottom"/>
            <w:tcBorders>
              <w:top w:val="single" w:sz="8" w:color="CCEEFF"/>
            </w:tcBorders>
          </w:tcPr>
          <w:p>
            <w:pPr>
              <w:spacing w:after="0"/>
              <w:rPr>
                <w:sz w:val="14"/>
                <w:szCs w:val="14"/>
                <w:color w:val="auto"/>
              </w:rPr>
            </w:pPr>
          </w:p>
        </w:tc>
      </w:tr>
      <w:tr>
        <w:trPr>
          <w:trHeight w:val="20"/>
        </w:trPr>
        <w:tc>
          <w:tcPr>
            <w:tcW w:w="3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-376555</wp:posOffset>
            </wp:positionV>
            <wp:extent cx="76835" cy="1200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-376555</wp:posOffset>
            </wp:positionV>
            <wp:extent cx="77470" cy="1200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-376555</wp:posOffset>
            </wp:positionV>
            <wp:extent cx="77470" cy="1200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-376555</wp:posOffset>
            </wp:positionV>
            <wp:extent cx="68580" cy="1200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-376555</wp:posOffset>
            </wp:positionV>
            <wp:extent cx="68580" cy="1200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-376555</wp:posOffset>
            </wp:positionV>
            <wp:extent cx="68580" cy="1200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-376555</wp:posOffset>
            </wp:positionV>
            <wp:extent cx="68580" cy="1200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1200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-145415</wp:posOffset>
            </wp:positionV>
            <wp:extent cx="76835" cy="1460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-145415</wp:posOffset>
            </wp:positionV>
            <wp:extent cx="77470" cy="1460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-145415</wp:posOffset>
            </wp:positionV>
            <wp:extent cx="77470" cy="1460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-145415</wp:posOffset>
            </wp:positionV>
            <wp:extent cx="68580" cy="1460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-145415</wp:posOffset>
            </wp:positionV>
            <wp:extent cx="68580" cy="1460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-145415</wp:posOffset>
            </wp:positionV>
            <wp:extent cx="68580" cy="1460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-145415</wp:posOffset>
            </wp:positionV>
            <wp:extent cx="68580" cy="1460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78"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Unamortized deferred financing costs are presented as a direct offset to the SBA debentures, the Credit Facility and the Notes liabilities on the consolidated statements of assets and liabilities. The following table summarizes the outstanding debt net of unamortized deferred financing costs as of September 30, 2022 and December 31, 2021: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September 30, 2022</w:t>
            </w:r>
            <w:r>
              <w:rPr>
                <w:rFonts w:ascii="Times New Roman" w:cs="Times New Roman" w:eastAsia="Times New Roman" w:hAnsi="Times New Roman"/>
                <w:sz w:val="16"/>
                <w:szCs w:val="16"/>
                <w:b w:val="1"/>
                <w:bCs w:val="1"/>
                <w:color w:val="auto"/>
                <w:vertAlign w:val="superscript"/>
              </w:rPr>
              <w:t>(1)</w:t>
            </w: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December 31, 2021</w:t>
            </w:r>
            <w:r>
              <w:rPr>
                <w:rFonts w:ascii="Times New Roman" w:cs="Times New Roman" w:eastAsia="Times New Roman" w:hAnsi="Times New Roman"/>
                <w:sz w:val="16"/>
                <w:szCs w:val="16"/>
                <w:b w:val="1"/>
                <w:bCs w:val="1"/>
                <w:color w:val="auto"/>
                <w:vertAlign w:val="superscript"/>
              </w:rPr>
              <w:t>(1)</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5"/>
        </w:trPr>
        <w:tc>
          <w:tcPr>
            <w:tcW w:w="3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500"/>
              <w:spacing w:after="0" w:line="136" w:lineRule="exact"/>
              <w:rPr>
                <w:sz w:val="20"/>
                <w:szCs w:val="20"/>
                <w:color w:val="auto"/>
              </w:rPr>
            </w:pPr>
            <w:r>
              <w:rPr>
                <w:rFonts w:ascii="Times New Roman" w:cs="Times New Roman" w:eastAsia="Times New Roman" w:hAnsi="Times New Roman"/>
                <w:sz w:val="13"/>
                <w:szCs w:val="13"/>
                <w:b w:val="1"/>
                <w:bCs w:val="1"/>
                <w:color w:val="auto"/>
              </w:rPr>
              <w:t>SBA</w:t>
            </w:r>
          </w:p>
        </w:tc>
        <w:tc>
          <w:tcPr>
            <w:tcW w:w="120" w:type="dxa"/>
            <w:vAlign w:val="bottom"/>
          </w:tcPr>
          <w:p>
            <w:pPr>
              <w:spacing w:after="0"/>
              <w:rPr>
                <w:sz w:val="11"/>
                <w:szCs w:val="11"/>
                <w:color w:val="auto"/>
              </w:rPr>
            </w:pPr>
          </w:p>
        </w:tc>
        <w:tc>
          <w:tcPr>
            <w:tcW w:w="880" w:type="dxa"/>
            <w:vAlign w:val="bottom"/>
            <w:gridSpan w:val="2"/>
          </w:tcPr>
          <w:p>
            <w:pPr>
              <w:jc w:val="right"/>
              <w:ind w:right="397"/>
              <w:spacing w:after="0" w:line="136" w:lineRule="exact"/>
              <w:rPr>
                <w:sz w:val="20"/>
                <w:szCs w:val="20"/>
                <w:color w:val="auto"/>
              </w:rPr>
            </w:pPr>
            <w:r>
              <w:rPr>
                <w:rFonts w:ascii="Times New Roman" w:cs="Times New Roman" w:eastAsia="Times New Roman" w:hAnsi="Times New Roman"/>
                <w:sz w:val="13"/>
                <w:szCs w:val="13"/>
                <w:b w:val="1"/>
                <w:bCs w:val="1"/>
                <w:color w:val="auto"/>
              </w:rPr>
              <w:t>Credit</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480"/>
              <w:spacing w:after="0" w:line="136" w:lineRule="exact"/>
              <w:rPr>
                <w:sz w:val="20"/>
                <w:szCs w:val="20"/>
                <w:color w:val="auto"/>
              </w:rPr>
            </w:pPr>
            <w:r>
              <w:rPr>
                <w:rFonts w:ascii="Times New Roman" w:cs="Times New Roman" w:eastAsia="Times New Roman" w:hAnsi="Times New Roman"/>
                <w:sz w:val="13"/>
                <w:szCs w:val="13"/>
                <w:b w:val="1"/>
                <w:bCs w:val="1"/>
                <w:color w:val="auto"/>
              </w:rPr>
              <w:t>SBA</w:t>
            </w:r>
          </w:p>
        </w:tc>
        <w:tc>
          <w:tcPr>
            <w:tcW w:w="120" w:type="dxa"/>
            <w:vAlign w:val="bottom"/>
          </w:tcPr>
          <w:p>
            <w:pPr>
              <w:spacing w:after="0"/>
              <w:rPr>
                <w:sz w:val="11"/>
                <w:szCs w:val="11"/>
                <w:color w:val="auto"/>
              </w:rPr>
            </w:pPr>
          </w:p>
        </w:tc>
        <w:tc>
          <w:tcPr>
            <w:tcW w:w="840" w:type="dxa"/>
            <w:vAlign w:val="bottom"/>
            <w:gridSpan w:val="2"/>
          </w:tcPr>
          <w:p>
            <w:pPr>
              <w:jc w:val="right"/>
              <w:ind w:right="357"/>
              <w:spacing w:after="0" w:line="136" w:lineRule="exact"/>
              <w:rPr>
                <w:sz w:val="20"/>
                <w:szCs w:val="20"/>
                <w:color w:val="auto"/>
              </w:rPr>
            </w:pPr>
            <w:r>
              <w:rPr>
                <w:rFonts w:ascii="Times New Roman" w:cs="Times New Roman" w:eastAsia="Times New Roman" w:hAnsi="Times New Roman"/>
                <w:sz w:val="13"/>
                <w:szCs w:val="13"/>
                <w:b w:val="1"/>
                <w:bCs w:val="1"/>
                <w:color w:val="auto"/>
              </w:rPr>
              <w:t>Credit</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6"/>
        </w:trPr>
        <w:tc>
          <w:tcPr>
            <w:tcW w:w="3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4"/>
              </w:rPr>
              <w:t>debentures</w:t>
            </w:r>
          </w:p>
        </w:tc>
        <w:tc>
          <w:tcPr>
            <w:tcW w:w="120" w:type="dxa"/>
            <w:vAlign w:val="bottom"/>
          </w:tcPr>
          <w:p>
            <w:pPr>
              <w:spacing w:after="0"/>
              <w:rPr>
                <w:sz w:val="15"/>
                <w:szCs w:val="15"/>
                <w:color w:val="auto"/>
              </w:rPr>
            </w:pPr>
          </w:p>
        </w:tc>
        <w:tc>
          <w:tcPr>
            <w:tcW w:w="880" w:type="dxa"/>
            <w:vAlign w:val="bottom"/>
            <w:gridSpan w:val="2"/>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Facility</w:t>
            </w:r>
          </w:p>
        </w:tc>
        <w:tc>
          <w:tcPr>
            <w:tcW w:w="160" w:type="dxa"/>
            <w:vAlign w:val="bottom"/>
          </w:tcPr>
          <w:p>
            <w:pPr>
              <w:spacing w:after="0"/>
              <w:rPr>
                <w:sz w:val="15"/>
                <w:szCs w:val="15"/>
                <w:color w:val="auto"/>
              </w:rPr>
            </w:pPr>
          </w:p>
        </w:tc>
        <w:tc>
          <w:tcPr>
            <w:tcW w:w="8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160" w:type="dxa"/>
            <w:vAlign w:val="bottom"/>
          </w:tcPr>
          <w:p>
            <w:pPr>
              <w:spacing w:after="0"/>
              <w:rPr>
                <w:sz w:val="15"/>
                <w:szCs w:val="15"/>
                <w:color w:val="auto"/>
              </w:rPr>
            </w:pPr>
          </w:p>
        </w:tc>
        <w:tc>
          <w:tcPr>
            <w:tcW w:w="86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debentures</w:t>
            </w:r>
          </w:p>
        </w:tc>
        <w:tc>
          <w:tcPr>
            <w:tcW w:w="120" w:type="dxa"/>
            <w:vAlign w:val="bottom"/>
          </w:tcPr>
          <w:p>
            <w:pPr>
              <w:spacing w:after="0"/>
              <w:rPr>
                <w:sz w:val="15"/>
                <w:szCs w:val="15"/>
                <w:color w:val="auto"/>
              </w:rPr>
            </w:pPr>
          </w:p>
        </w:tc>
        <w:tc>
          <w:tcPr>
            <w:tcW w:w="840" w:type="dxa"/>
            <w:vAlign w:val="bottom"/>
            <w:gridSpan w:val="2"/>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Facility</w:t>
            </w:r>
          </w:p>
        </w:tc>
        <w:tc>
          <w:tcPr>
            <w:tcW w:w="140" w:type="dxa"/>
            <w:vAlign w:val="bottom"/>
          </w:tcPr>
          <w:p>
            <w:pPr>
              <w:spacing w:after="0"/>
              <w:rPr>
                <w:sz w:val="15"/>
                <w:szCs w:val="15"/>
                <w:color w:val="auto"/>
              </w:rPr>
            </w:pP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200" w:type="dxa"/>
            <w:vAlign w:val="bottom"/>
          </w:tcPr>
          <w:p>
            <w:pPr>
              <w:spacing w:after="0"/>
              <w:rPr>
                <w:sz w:val="15"/>
                <w:szCs w:val="15"/>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Outstanding debt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133,000</w:t>
            </w:r>
          </w:p>
        </w:tc>
        <w:tc>
          <w:tcPr>
            <w:tcW w:w="2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22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383,000</w:t>
            </w:r>
          </w:p>
        </w:tc>
        <w:tc>
          <w:tcPr>
            <w:tcW w:w="26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107,000</w:t>
            </w:r>
          </w:p>
        </w:tc>
        <w:tc>
          <w:tcPr>
            <w:tcW w:w="2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2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357,000</w:t>
            </w:r>
          </w:p>
        </w:tc>
        <w:tc>
          <w:tcPr>
            <w:tcW w:w="100" w:type="dxa"/>
            <w:vAlign w:val="bottom"/>
            <w:shd w:val="clear" w:color="auto" w:fill="CCEEFF"/>
          </w:tcPr>
          <w:p>
            <w:pPr>
              <w:spacing w:after="0"/>
              <w:rPr>
                <w:sz w:val="14"/>
                <w:szCs w:val="14"/>
                <w:color w:val="auto"/>
              </w:rPr>
            </w:pPr>
          </w:p>
        </w:tc>
      </w:tr>
      <w:tr>
        <w:trPr>
          <w:trHeight w:val="162"/>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unamortized deferred financing costs</w:t>
            </w:r>
          </w:p>
        </w:tc>
        <w:tc>
          <w:tcPr>
            <w:tcW w:w="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(4,197 )</w:t>
            </w:r>
          </w:p>
        </w:tc>
        <w:tc>
          <w:tcPr>
            <w:tcW w:w="120" w:type="dxa"/>
            <w:vAlign w:val="bottom"/>
          </w:tcPr>
          <w:p>
            <w:pPr>
              <w:spacing w:after="0"/>
              <w:rPr>
                <w:sz w:val="14"/>
                <w:szCs w:val="14"/>
                <w:color w:val="auto"/>
              </w:rPr>
            </w:pPr>
          </w:p>
        </w:tc>
        <w:tc>
          <w:tcPr>
            <w:tcW w:w="8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(1,455 )</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(4,153 )</w:t>
            </w:r>
          </w:p>
        </w:tc>
        <w:tc>
          <w:tcPr>
            <w:tcW w:w="1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(9,805 )</w:t>
            </w:r>
          </w:p>
        </w:tc>
        <w:tc>
          <w:tcPr>
            <w:tcW w:w="1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(3,022 )</w:t>
            </w:r>
          </w:p>
        </w:tc>
        <w:tc>
          <w:tcPr>
            <w:tcW w:w="120" w:type="dxa"/>
            <w:vAlign w:val="bottom"/>
          </w:tcPr>
          <w:p>
            <w:pPr>
              <w:spacing w:after="0"/>
              <w:rPr>
                <w:sz w:val="14"/>
                <w:szCs w:val="14"/>
                <w:color w:val="auto"/>
              </w:rPr>
            </w:pPr>
          </w:p>
        </w:tc>
        <w:tc>
          <w:tcPr>
            <w:tcW w:w="84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(595 )</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(4,984 )</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(8,601 )</w:t>
            </w:r>
          </w:p>
        </w:tc>
      </w:tr>
      <w:tr>
        <w:trPr>
          <w:trHeight w:val="196"/>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Debt, net of deferred financing costs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128,803</w:t>
            </w: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(1,455</w:t>
            </w:r>
          </w:p>
        </w:tc>
        <w:tc>
          <w:tcPr>
            <w:tcW w:w="26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245,847</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373,195</w:t>
            </w: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103,978</w:t>
            </w: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(595</w:t>
            </w:r>
          </w:p>
        </w:tc>
        <w:tc>
          <w:tcPr>
            <w:tcW w:w="2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245,016</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348,399</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-24765</wp:posOffset>
            </wp:positionV>
            <wp:extent cx="768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-8255</wp:posOffset>
            </wp:positionV>
            <wp:extent cx="7683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-24765</wp:posOffset>
            </wp:positionV>
            <wp:extent cx="7747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-8255</wp:posOffset>
            </wp:positionV>
            <wp:extent cx="7747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-24765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-8255</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-24765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-8255</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-24765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-8255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5" w:lineRule="exact"/>
        <w:rPr>
          <w:sz w:val="20"/>
          <w:szCs w:val="20"/>
          <w:color w:val="auto"/>
        </w:rPr>
      </w:pPr>
    </w:p>
    <w:p>
      <w:pPr>
        <w:ind w:left="560" w:hanging="552"/>
        <w:spacing w:after="0"/>
        <w:tabs>
          <w:tab w:leader="none" w:pos="5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excludes $16,995 and $17,637 of Secured Borrowings as of September 30, 2022 and December 31, 2021, respectively.</w:t>
      </w:r>
    </w:p>
    <w:p>
      <w:pPr>
        <w:spacing w:after="0" w:line="2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xml:space="preserve">As of September 30, 2022, the Company’s debt liabilities are scheduled to mature as follows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w:t>
      </w:r>
    </w:p>
    <w:p>
      <w:pPr>
        <w:spacing w:after="0" w:line="121"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SBA</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Secured</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8"/>
        </w:trPr>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debentures</w:t>
            </w:r>
          </w:p>
        </w:tc>
        <w:tc>
          <w:tcPr>
            <w:tcW w:w="3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60"/>
              <w:spacing w:after="0" w:line="258" w:lineRule="exact"/>
              <w:rPr>
                <w:sz w:val="20"/>
                <w:szCs w:val="20"/>
                <w:color w:val="auto"/>
              </w:rPr>
            </w:pPr>
            <w:r>
              <w:rPr>
                <w:rFonts w:ascii="Times New Roman" w:cs="Times New Roman" w:eastAsia="Times New Roman" w:hAnsi="Times New Roman"/>
                <w:sz w:val="18"/>
                <w:szCs w:val="18"/>
                <w:b w:val="1"/>
                <w:bCs w:val="1"/>
                <w:color w:val="auto"/>
              </w:rPr>
              <w:t xml:space="preserve">Facility </w:t>
            </w:r>
            <w:r>
              <w:rPr>
                <w:rFonts w:ascii="Times New Roman" w:cs="Times New Roman" w:eastAsia="Times New Roman" w:hAnsi="Times New Roman"/>
                <w:sz w:val="24"/>
                <w:szCs w:val="24"/>
                <w:b w:val="1"/>
                <w:bCs w:val="1"/>
                <w:color w:val="auto"/>
                <w:vertAlign w:val="superscript"/>
              </w:rPr>
              <w:t>(2)</w:t>
            </w:r>
          </w:p>
        </w:tc>
        <w:tc>
          <w:tcPr>
            <w:tcW w:w="2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2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2"/>
                <w:szCs w:val="22"/>
                <w:color w:val="auto"/>
              </w:rPr>
            </w:pPr>
          </w:p>
        </w:tc>
      </w:tr>
      <w:tr>
        <w:trPr>
          <w:trHeight w:val="210"/>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2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8"/>
                <w:szCs w:val="18"/>
                <w:color w:val="auto"/>
              </w:rPr>
            </w:pPr>
          </w:p>
        </w:tc>
      </w:tr>
      <w:tr>
        <w:trPr>
          <w:trHeight w:val="216"/>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271,495</w:t>
            </w:r>
          </w:p>
        </w:tc>
        <w:tc>
          <w:tcPr>
            <w:tcW w:w="100" w:type="dxa"/>
            <w:vAlign w:val="bottom"/>
          </w:tcPr>
          <w:p>
            <w:pPr>
              <w:spacing w:after="0"/>
              <w:rPr>
                <w:sz w:val="18"/>
                <w:szCs w:val="18"/>
                <w:color w:val="auto"/>
              </w:rPr>
            </w:pPr>
          </w:p>
        </w:tc>
      </w:tr>
      <w:tr>
        <w:trPr>
          <w:trHeight w:val="216"/>
        </w:trPr>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Thereafter</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127,000</w:t>
            </w:r>
          </w:p>
        </w:tc>
        <w:tc>
          <w:tcPr>
            <w:tcW w:w="3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133,000</w:t>
            </w:r>
          </w:p>
        </w:tc>
        <w:tc>
          <w:tcPr>
            <w:tcW w:w="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16,995</w:t>
            </w:r>
          </w:p>
        </w:tc>
        <w:tc>
          <w:tcPr>
            <w:tcW w:w="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399,995</w:t>
            </w:r>
          </w:p>
        </w:tc>
        <w:tc>
          <w:tcPr>
            <w:tcW w:w="100" w:type="dxa"/>
            <w:vAlign w:val="bottom"/>
          </w:tcPr>
          <w:p>
            <w:pPr>
              <w:spacing w:after="0"/>
              <w:rPr>
                <w:sz w:val="18"/>
                <w:szCs w:val="18"/>
                <w:color w:val="auto"/>
              </w:rPr>
            </w:pPr>
          </w:p>
        </w:tc>
      </w:tr>
      <w:tr>
        <w:trPr>
          <w:trHeight w:val="20"/>
        </w:trPr>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-170815</wp:posOffset>
            </wp:positionV>
            <wp:extent cx="68580" cy="1714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-170815</wp:posOffset>
            </wp:positionV>
            <wp:extent cx="60325" cy="1714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-170815</wp:posOffset>
            </wp:positionV>
            <wp:extent cx="60325" cy="1714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-170815</wp:posOffset>
            </wp:positionV>
            <wp:extent cx="60325" cy="1714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60" w:lineRule="exact"/>
        <w:rPr>
          <w:sz w:val="20"/>
          <w:szCs w:val="20"/>
          <w:color w:val="auto"/>
        </w:rPr>
      </w:pPr>
    </w:p>
    <w:p>
      <w:pPr>
        <w:jc w:val="both"/>
        <w:ind w:left="360" w:right="20" w:hanging="339"/>
        <w:spacing w:after="0" w:line="245" w:lineRule="auto"/>
        <w:tabs>
          <w:tab w:leader="none" w:pos="3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table above presents scheduled maturities of the Company’s outstanding debt liabilities as of a point in time pursuant to the terms of those instruments. The timing of actual repayments of outstanding debt liabilities may not ultimately correspond with the scheduled maturity dates depending on the terms of the underlying instruments and the potential for earlier prepayments.</w:t>
      </w:r>
    </w:p>
    <w:p>
      <w:pPr>
        <w:spacing w:after="0" w:line="159" w:lineRule="exact"/>
        <w:rPr>
          <w:rFonts w:ascii="Times New Roman" w:cs="Times New Roman" w:eastAsia="Times New Roman" w:hAnsi="Times New Roman"/>
          <w:sz w:val="14"/>
          <w:szCs w:val="14"/>
          <w:color w:val="auto"/>
        </w:rPr>
      </w:pPr>
    </w:p>
    <w:p>
      <w:pPr>
        <w:ind w:left="360" w:hanging="339"/>
        <w:spacing w:after="0"/>
        <w:tabs>
          <w:tab w:leader="none" w:pos="3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Credit Facility matures on August 17, 2027.</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160" w:lineRule="exact"/>
        <w:rPr>
          <w:sz w:val="20"/>
          <w:szCs w:val="20"/>
          <w:color w:val="auto"/>
        </w:rPr>
      </w:pPr>
    </w:p>
    <w:p>
      <w:pPr>
        <w:jc w:val="both"/>
        <w:ind w:firstLine="47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Commitments: </w:t>
      </w:r>
      <w:r>
        <w:rPr>
          <w:rFonts w:ascii="Times New Roman" w:cs="Times New Roman" w:eastAsia="Times New Roman" w:hAnsi="Times New Roman"/>
          <w:sz w:val="18"/>
          <w:szCs w:val="18"/>
          <w:color w:val="auto"/>
        </w:rPr>
        <w:t>The Company had outstanding commitments to portfolio companies to fund various undrawn revolving loans, other debt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capital commitments totaling $13,328 and $8,170 as of September 30, 2022 and December 31, 2021, respectively. Such outstanding commitments are summarized in the following table: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657"/>
              <w:spacing w:after="0"/>
              <w:rPr>
                <w:sz w:val="20"/>
                <w:szCs w:val="20"/>
                <w:color w:val="auto"/>
              </w:rPr>
            </w:pPr>
            <w:r>
              <w:rPr>
                <w:rFonts w:ascii="Times New Roman" w:cs="Times New Roman" w:eastAsia="Times New Roman" w:hAnsi="Times New Roman"/>
                <w:sz w:val="13"/>
                <w:szCs w:val="13"/>
                <w:b w:val="1"/>
                <w:bCs w:val="1"/>
                <w:color w:val="auto"/>
              </w:rPr>
              <w:t>September 30, 2022</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657"/>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280" w:type="dxa"/>
            <w:vAlign w:val="bottom"/>
          </w:tcPr>
          <w:p>
            <w:pPr>
              <w:spacing w:after="0"/>
              <w:rPr>
                <w:sz w:val="15"/>
                <w:szCs w:val="15"/>
                <w:color w:val="auto"/>
              </w:rPr>
            </w:pPr>
          </w:p>
        </w:tc>
      </w:tr>
      <w:tr>
        <w:trPr>
          <w:trHeight w:val="142"/>
        </w:trPr>
        <w:tc>
          <w:tcPr>
            <w:tcW w:w="5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337"/>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257"/>
              <w:spacing w:after="0" w:line="142" w:lineRule="exact"/>
              <w:rPr>
                <w:sz w:val="20"/>
                <w:szCs w:val="20"/>
                <w:color w:val="auto"/>
              </w:rPr>
            </w:pPr>
            <w:r>
              <w:rPr>
                <w:rFonts w:ascii="Times New Roman" w:cs="Times New Roman" w:eastAsia="Times New Roman" w:hAnsi="Times New Roman"/>
                <w:sz w:val="13"/>
                <w:szCs w:val="13"/>
                <w:b w:val="1"/>
                <w:bCs w:val="1"/>
                <w:color w:val="auto"/>
              </w:rPr>
              <w:t>Unfunded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317"/>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237"/>
              <w:spacing w:after="0" w:line="142" w:lineRule="exact"/>
              <w:rPr>
                <w:sz w:val="20"/>
                <w:szCs w:val="20"/>
                <w:color w:val="auto"/>
              </w:rPr>
            </w:pPr>
            <w:r>
              <w:rPr>
                <w:rFonts w:ascii="Times New Roman" w:cs="Times New Roman" w:eastAsia="Times New Roman" w:hAnsi="Times New Roman"/>
                <w:sz w:val="13"/>
                <w:szCs w:val="13"/>
                <w:b w:val="1"/>
                <w:bCs w:val="1"/>
                <w:color w:val="auto"/>
              </w:rPr>
              <w:t>Unfunded</w:t>
            </w:r>
          </w:p>
        </w:tc>
        <w:tc>
          <w:tcPr>
            <w:tcW w:w="280" w:type="dxa"/>
            <w:vAlign w:val="bottom"/>
          </w:tcPr>
          <w:p>
            <w:pPr>
              <w:spacing w:after="0"/>
              <w:rPr>
                <w:sz w:val="12"/>
                <w:szCs w:val="12"/>
                <w:color w:val="auto"/>
              </w:rPr>
            </w:pPr>
          </w:p>
        </w:tc>
      </w:tr>
      <w:tr>
        <w:trPr>
          <w:trHeight w:val="17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Company - Investment</w:t>
            </w:r>
          </w:p>
        </w:tc>
        <w:tc>
          <w:tcPr>
            <w:tcW w:w="14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Commitment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Commitment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Commitment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Commitment</w:t>
            </w:r>
          </w:p>
        </w:tc>
        <w:tc>
          <w:tcPr>
            <w:tcW w:w="280" w:type="dxa"/>
            <w:vAlign w:val="bottom"/>
          </w:tcPr>
          <w:p>
            <w:pPr>
              <w:spacing w:after="0"/>
              <w:rPr>
                <w:sz w:val="15"/>
                <w:szCs w:val="15"/>
                <w:color w:val="auto"/>
              </w:rPr>
            </w:pPr>
          </w:p>
        </w:tc>
      </w:tr>
      <w:tr>
        <w:trPr>
          <w:trHeight w:val="162"/>
        </w:trPr>
        <w:tc>
          <w:tcPr>
            <w:tcW w:w="5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Acendre Midco, Inc. - Revolving Loan</w:t>
            </w:r>
          </w:p>
        </w:tc>
        <w:tc>
          <w:tcPr>
            <w:tcW w:w="14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40" w:type="dxa"/>
            <w:vAlign w:val="bottom"/>
          </w:tcPr>
          <w:p>
            <w:pPr>
              <w:spacing w:after="0"/>
              <w:rPr>
                <w:sz w:val="14"/>
                <w:szCs w:val="14"/>
                <w:color w:val="auto"/>
              </w:rPr>
            </w:pPr>
          </w:p>
        </w:tc>
        <w:tc>
          <w:tcPr>
            <w:tcW w:w="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4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80" w:type="dxa"/>
            <w:vAlign w:val="bottom"/>
          </w:tcPr>
          <w:p>
            <w:pPr>
              <w:spacing w:after="0"/>
              <w:rPr>
                <w:sz w:val="14"/>
                <w:szCs w:val="14"/>
                <w:color w:val="auto"/>
              </w:rPr>
            </w:pPr>
          </w:p>
        </w:tc>
      </w:tr>
      <w:tr>
        <w:trPr>
          <w:trHeight w:val="162"/>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Combined Systems, Inc. - Revolving Loan</w:t>
            </w: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280" w:type="dxa"/>
            <w:vAlign w:val="bottom"/>
            <w:shd w:val="clear" w:color="auto" w:fill="CCEEFF"/>
          </w:tcPr>
          <w:p>
            <w:pPr>
              <w:spacing w:after="0"/>
              <w:rPr>
                <w:sz w:val="14"/>
                <w:szCs w:val="14"/>
                <w:color w:val="auto"/>
              </w:rPr>
            </w:pPr>
          </w:p>
        </w:tc>
      </w:tr>
      <w:tr>
        <w:trPr>
          <w:trHeight w:val="162"/>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Elements Brands, LLC - Revolving Loan</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838</w:t>
            </w:r>
          </w:p>
        </w:tc>
        <w:tc>
          <w:tcPr>
            <w:tcW w:w="280" w:type="dxa"/>
            <w:vAlign w:val="bottom"/>
          </w:tcPr>
          <w:p>
            <w:pPr>
              <w:spacing w:after="0"/>
              <w:rPr>
                <w:sz w:val="14"/>
                <w:szCs w:val="14"/>
                <w:color w:val="auto"/>
              </w:rPr>
            </w:pPr>
          </w:p>
        </w:tc>
      </w:tr>
      <w:tr>
        <w:trPr>
          <w:trHeight w:val="162"/>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Choice Technology Solutions, LLC (dba Choice Merchant Solutions, LLC) - Revolving Loan</w:t>
            </w: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r>
      <w:tr>
        <w:trPr>
          <w:trHeight w:val="162"/>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Rhino Assembly Company, LLC - Delayed Draw Commitment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875</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875</w:t>
            </w:r>
          </w:p>
        </w:tc>
        <w:tc>
          <w:tcPr>
            <w:tcW w:w="280" w:type="dxa"/>
            <w:vAlign w:val="bottom"/>
          </w:tcPr>
          <w:p>
            <w:pPr>
              <w:spacing w:after="0"/>
              <w:rPr>
                <w:sz w:val="14"/>
                <w:szCs w:val="14"/>
                <w:color w:val="auto"/>
              </w:rPr>
            </w:pPr>
          </w:p>
        </w:tc>
      </w:tr>
      <w:tr>
        <w:trPr>
          <w:trHeight w:val="162"/>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Safety Products Group, LLC - Common Equity (Units)</w:t>
            </w: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2,852</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(1)</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2,852</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(1)</w:t>
            </w:r>
          </w:p>
        </w:tc>
      </w:tr>
      <w:tr>
        <w:trPr>
          <w:trHeight w:val="162"/>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Tedia Company, LLC - Revolving Loan</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r>
      <w:tr>
        <w:trPr>
          <w:trHeight w:val="162"/>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Tedia Company, LLC - Delayed Draw Term Loan</w:t>
            </w: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r>
      <w:tr>
        <w:trPr>
          <w:trHeight w:val="162"/>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Western's Smokehouse, LLC - Delayed Draw Term Loan</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r>
      <w:tr>
        <w:trPr>
          <w:trHeight w:val="162"/>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Wonderware Holdings, LLC (dba CORE Business Technologies) - Delayed Draw Term Loan</w:t>
            </w: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280" w:type="dxa"/>
            <w:vAlign w:val="bottom"/>
            <w:shd w:val="clear" w:color="auto" w:fill="CCEEFF"/>
          </w:tcPr>
          <w:p>
            <w:pPr>
              <w:spacing w:after="0"/>
              <w:rPr>
                <w:sz w:val="14"/>
                <w:szCs w:val="14"/>
                <w:color w:val="auto"/>
              </w:rPr>
            </w:pPr>
          </w:p>
        </w:tc>
      </w:tr>
      <w:tr>
        <w:trPr>
          <w:trHeight w:val="162"/>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Zonkd, LLC - Delayed Draw Term Loan</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r>
      <w:tr>
        <w:trPr>
          <w:trHeight w:val="196"/>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20,500</w:t>
            </w: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13,328</w:t>
            </w: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13,727</w:t>
            </w: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8,170</w:t>
            </w:r>
          </w:p>
        </w:tc>
        <w:tc>
          <w:tcPr>
            <w:tcW w:w="280" w:type="dxa"/>
            <w:vAlign w:val="bottom"/>
            <w:tcBorders>
              <w:bottom w:val="single" w:sz="8" w:color="CCEEFF"/>
            </w:tcBorders>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-25400</wp:posOffset>
            </wp:positionV>
            <wp:extent cx="7747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-8255</wp:posOffset>
            </wp:positionV>
            <wp:extent cx="7747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768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-8255</wp:posOffset>
            </wp:positionV>
            <wp:extent cx="7683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-25400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-25400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-8255</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3" w:lineRule="exact"/>
        <w:rPr>
          <w:sz w:val="20"/>
          <w:szCs w:val="20"/>
          <w:color w:val="auto"/>
        </w:rPr>
      </w:pPr>
    </w:p>
    <w:p>
      <w:pPr>
        <w:ind w:left="480" w:hanging="472"/>
        <w:spacing w:after="0" w:line="282" w:lineRule="auto"/>
        <w:tabs>
          <w:tab w:leader="none" w:pos="4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company was no longer held at period end. The commitment represents the Company's maximum potential liability related to certain guaranteed obligations stemming from the prior sale of the portfolio company's underlying operations.</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Additional detail for each of the commitments above is provided in the Company’s consolidated schedules of investments.</w:t>
      </w:r>
    </w:p>
    <w:p>
      <w:pPr>
        <w:spacing w:after="0" w:line="158"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The commitments are generally subject to the borrowers meeting certain criteria such as compliance with financial and non-financial covenants, which may limit such borrower's ability to draw on a revolving loan or delayed draw loan. Since commitments may expire without being drawn upon, the total commitment amount does not necessarily represent future cash requirements.</w:t>
      </w:r>
    </w:p>
    <w:p>
      <w:pPr>
        <w:spacing w:after="0" w:line="113" w:lineRule="exact"/>
        <w:rPr>
          <w:sz w:val="20"/>
          <w:szCs w:val="20"/>
          <w:color w:val="auto"/>
        </w:rPr>
      </w:pPr>
    </w:p>
    <w:p>
      <w:pPr>
        <w:jc w:val="both"/>
        <w:ind w:firstLine="478"/>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Indemnifications: </w:t>
      </w: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warranties that provide indemnifications under certain circumstances. In addition, in connection with the disposition of an investment in a portfolio company, the Company may be required to make representations about the business and financial affairs of such portfolio company typical of those made in connection with the sale of a business. The Company may also be required to indemnify the purchasers of such investment to the extent that any such representations are inaccurate. The Company’s maximum exposure under these arrangements is unknown, as this would involve future claims that may be made against the Company that have not yet occurred. The Company expects the risk of future obligation under these indemnifications to be remote.</w:t>
      </w:r>
    </w:p>
    <w:p>
      <w:pPr>
        <w:spacing w:after="0" w:line="126" w:lineRule="exact"/>
        <w:rPr>
          <w:sz w:val="20"/>
          <w:szCs w:val="20"/>
          <w:color w:val="auto"/>
        </w:rPr>
      </w:pPr>
    </w:p>
    <w:p>
      <w:pPr>
        <w:jc w:val="both"/>
        <w:ind w:firstLine="47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In the normal course of business, the Company may be subject to legal and regulatory proceedings that are generally incidental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its ongoing operations. While the outcome of any such legal proceedings cannot be predicted with certainty, the Company does not believe any such legal proceedings will have a material adverse effect on the Company’s consolidated financial statements.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Offerings of Common Stock</w:t>
      </w:r>
    </w:p>
    <w:p>
      <w:pPr>
        <w:spacing w:after="0" w:line="173"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cumulative total shares issued, net proceeds received, and weighted average offering price in public offerings of the Company’s common stock since the IPO in June 2011.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Cumulative</w:t>
            </w:r>
          </w:p>
        </w:tc>
        <w:tc>
          <w:tcPr>
            <w:tcW w:w="320" w:type="dxa"/>
            <w:vAlign w:val="bottom"/>
          </w:tcPr>
          <w:p>
            <w:pPr>
              <w:spacing w:after="0"/>
              <w:rPr>
                <w:sz w:val="18"/>
                <w:szCs w:val="18"/>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Cumulative Gross</w:t>
            </w:r>
          </w:p>
        </w:tc>
        <w:tc>
          <w:tcPr>
            <w:tcW w:w="300" w:type="dxa"/>
            <w:vAlign w:val="bottom"/>
          </w:tcPr>
          <w:p>
            <w:pPr>
              <w:spacing w:after="0"/>
              <w:rPr>
                <w:sz w:val="18"/>
                <w:szCs w:val="18"/>
                <w:color w:val="auto"/>
              </w:rPr>
            </w:pPr>
          </w:p>
        </w:tc>
        <w:tc>
          <w:tcPr>
            <w:tcW w:w="2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Cumulative Underwriting Fees and</w:t>
            </w:r>
          </w:p>
        </w:tc>
        <w:tc>
          <w:tcPr>
            <w:tcW w:w="280" w:type="dxa"/>
            <w:vAlign w:val="bottom"/>
          </w:tcPr>
          <w:p>
            <w:pPr>
              <w:spacing w:after="0"/>
              <w:rPr>
                <w:sz w:val="18"/>
                <w:szCs w:val="18"/>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3040" w:type="dxa"/>
            <w:vAlign w:val="bottom"/>
            <w:vMerge w:val="restart"/>
          </w:tcPr>
          <w:p>
            <w:pPr>
              <w:ind w:left="12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0" w:type="dxa"/>
            <w:vAlign w:val="bottom"/>
          </w:tcPr>
          <w:p>
            <w:pPr>
              <w:spacing w:after="0"/>
              <w:rPr>
                <w:sz w:val="7"/>
                <w:szCs w:val="7"/>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2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274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0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290"/>
              <w:spacing w:after="0" w:line="189" w:lineRule="exact"/>
              <w:rPr>
                <w:sz w:val="20"/>
                <w:szCs w:val="20"/>
                <w:color w:val="auto"/>
              </w:rPr>
            </w:pPr>
            <w:r>
              <w:rPr>
                <w:rFonts w:ascii="Times New Roman" w:cs="Times New Roman" w:eastAsia="Times New Roman" w:hAnsi="Times New Roman"/>
                <w:sz w:val="18"/>
                <w:szCs w:val="18"/>
                <w:b w:val="1"/>
                <w:bCs w:val="1"/>
                <w:color w:val="auto"/>
              </w:rPr>
              <w:t>Proceeds</w:t>
            </w:r>
          </w:p>
        </w:tc>
        <w:tc>
          <w:tcPr>
            <w:tcW w:w="300" w:type="dxa"/>
            <w:vAlign w:val="bottom"/>
          </w:tcPr>
          <w:p>
            <w:pPr>
              <w:spacing w:after="0"/>
              <w:rPr>
                <w:sz w:val="16"/>
                <w:szCs w:val="16"/>
                <w:color w:val="auto"/>
              </w:rPr>
            </w:pPr>
          </w:p>
        </w:tc>
        <w:tc>
          <w:tcPr>
            <w:tcW w:w="27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6"/>
                <w:szCs w:val="16"/>
                <w:b w:val="1"/>
                <w:bCs w:val="1"/>
                <w:color w:val="auto"/>
              </w:rPr>
              <w:t xml:space="preserve">Commissions and Offering Costs </w:t>
            </w:r>
            <w:r>
              <w:rPr>
                <w:rFonts w:ascii="Times New Roman" w:cs="Times New Roman" w:eastAsia="Times New Roman" w:hAnsi="Times New Roman"/>
                <w:sz w:val="21"/>
                <w:szCs w:val="21"/>
                <w:b w:val="1"/>
                <w:bCs w:val="1"/>
                <w:color w:val="auto"/>
                <w:vertAlign w:val="superscript"/>
              </w:rPr>
              <w:t>(1)</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0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7"/>
                <w:szCs w:val="17"/>
                <w:b w:val="1"/>
                <w:bCs w:val="1"/>
                <w:color w:val="auto"/>
              </w:rPr>
              <w:t>Shares</w:t>
            </w:r>
          </w:p>
        </w:tc>
        <w:tc>
          <w:tcPr>
            <w:tcW w:w="3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since IPO</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14,388,414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236,597</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firstLine="8"/>
        <w:spacing w:after="0" w:line="282" w:lineRule="auto"/>
        <w:tabs>
          <w:tab w:leader="none" w:pos="22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Fidus Investment Advisors, LLC agreed to bear a cumulative of $1,925 of underwriting fees and commissions and offering costs associated with these offerings (such amounts are not included in the number reported above). All such payments made by Fidus Investment Advisors, LLC are not subject to reimbursement by the Company.</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 shares have been issued for the three and nine months ended September 30, 2022 and 2021.</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ATM Program</w:t>
      </w:r>
    </w:p>
    <w:p>
      <w:pPr>
        <w:spacing w:after="0" w:line="160"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On August 21, 2014, the Company entered into an equity distribution agreement with Raymond James &amp; Associates, Inc. and Robert W. Baird &amp; Co. Incorporated through which the Company could sell, by means of at-the-market offerings from time to time, shares of the Company’s common stock having an aggregate offering price of up to $50,000 (the “ATM Program”). There were no issuances of common stock under the ATM program during the last two fiscal years and for the nine months ended September 30,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60" w:lineRule="exact"/>
        <w:rPr>
          <w:sz w:val="20"/>
          <w:szCs w:val="20"/>
          <w:color w:val="auto"/>
        </w:rPr>
      </w:pPr>
    </w:p>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As described in Note 2, the Company has a Stock Repurchase Program under which the Company may acquire up to $5,000 of its outstanding common stock. The Company did not make any repurchases of common stock during the three and nine months ended September 30, 2022 and 2021.</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Refer to Note 9 for additional information regarding the issuance of shares under the DRIP.</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had 24,437,400 shares of common stock outstanding as of September 30, 2022 and December 31, 2021.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Dividends and Distributions</w:t>
      </w:r>
    </w:p>
    <w:p>
      <w:pPr>
        <w:spacing w:after="0" w:line="175"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The Company’s dividends and distributions are recorded on the record date. The following table summarizes the dividends paid during the last two fiscal years and for the nine months ended September 30, 2022.</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6"/>
              </w:rPr>
              <w:t>DRIP</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DRIP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Date</w:t>
            </w:r>
          </w:p>
        </w:tc>
        <w:tc>
          <w:tcPr>
            <w:tcW w:w="120" w:type="dxa"/>
            <w:vAlign w:val="bottom"/>
          </w:tcPr>
          <w:p>
            <w:pPr>
              <w:spacing w:after="0"/>
              <w:rPr>
                <w:sz w:val="11"/>
                <w:szCs w:val="11"/>
                <w:color w:val="auto"/>
              </w:rPr>
            </w:pPr>
          </w:p>
        </w:tc>
        <w:tc>
          <w:tcPr>
            <w:tcW w:w="74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Record</w:t>
            </w:r>
          </w:p>
        </w:tc>
        <w:tc>
          <w:tcPr>
            <w:tcW w:w="120" w:type="dxa"/>
            <w:vAlign w:val="bottom"/>
          </w:tcPr>
          <w:p>
            <w:pPr>
              <w:spacing w:after="0"/>
              <w:rPr>
                <w:sz w:val="11"/>
                <w:szCs w:val="11"/>
                <w:color w:val="auto"/>
              </w:rPr>
            </w:pPr>
          </w:p>
        </w:tc>
        <w:tc>
          <w:tcPr>
            <w:tcW w:w="76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Payment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Cash</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360" w:type="dxa"/>
            <w:vAlign w:val="bottom"/>
          </w:tcPr>
          <w:p>
            <w:pPr>
              <w:spacing w:after="0"/>
              <w:rPr>
                <w:sz w:val="11"/>
                <w:szCs w:val="11"/>
                <w:color w:val="auto"/>
              </w:rPr>
            </w:pPr>
          </w:p>
        </w:tc>
        <w:tc>
          <w:tcPr>
            <w:tcW w:w="640" w:type="dxa"/>
            <w:vAlign w:val="bottom"/>
          </w:tcPr>
          <w:p>
            <w:pPr>
              <w:ind w:left="200"/>
              <w:spacing w:after="0"/>
              <w:rPr>
                <w:sz w:val="20"/>
                <w:szCs w:val="20"/>
                <w:color w:val="auto"/>
              </w:rPr>
            </w:pPr>
            <w:r>
              <w:rPr>
                <w:rFonts w:ascii="Times New Roman" w:cs="Times New Roman" w:eastAsia="Times New Roman" w:hAnsi="Times New Roman"/>
                <w:sz w:val="11"/>
                <w:szCs w:val="11"/>
                <w:b w:val="1"/>
                <w:bCs w:val="1"/>
                <w:color w:val="auto"/>
              </w:rPr>
              <w:t>DRIP</w:t>
            </w:r>
          </w:p>
        </w:tc>
        <w:tc>
          <w:tcPr>
            <w:tcW w:w="38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Share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Declared</w:t>
            </w:r>
          </w:p>
        </w:tc>
        <w:tc>
          <w:tcPr>
            <w:tcW w:w="120" w:type="dxa"/>
            <w:vAlign w:val="bottom"/>
          </w:tcPr>
          <w:p>
            <w:pPr>
              <w:spacing w:after="0"/>
              <w:rPr>
                <w:sz w:val="12"/>
                <w:szCs w:val="12"/>
                <w:color w:val="auto"/>
              </w:rPr>
            </w:pPr>
          </w:p>
        </w:tc>
        <w:tc>
          <w:tcPr>
            <w:tcW w:w="74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Date</w:t>
            </w:r>
          </w:p>
        </w:tc>
        <w:tc>
          <w:tcPr>
            <w:tcW w:w="120" w:type="dxa"/>
            <w:vAlign w:val="bottom"/>
          </w:tcPr>
          <w:p>
            <w:pPr>
              <w:spacing w:after="0"/>
              <w:rPr>
                <w:sz w:val="12"/>
                <w:szCs w:val="12"/>
                <w:color w:val="auto"/>
              </w:rPr>
            </w:pPr>
          </w:p>
        </w:tc>
        <w:tc>
          <w:tcPr>
            <w:tcW w:w="76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Date</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Distribution</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Distribution</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360" w:type="dxa"/>
            <w:vAlign w:val="bottom"/>
          </w:tcPr>
          <w:p>
            <w:pPr>
              <w:spacing w:after="0"/>
              <w:rPr>
                <w:sz w:val="12"/>
                <w:szCs w:val="12"/>
                <w:color w:val="auto"/>
              </w:rPr>
            </w:pPr>
          </w:p>
        </w:tc>
        <w:tc>
          <w:tcPr>
            <w:tcW w:w="6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380" w:type="dxa"/>
            <w:vAlign w:val="bottom"/>
          </w:tcPr>
          <w:p>
            <w:pPr>
              <w:spacing w:after="0"/>
              <w:rPr>
                <w:sz w:val="12"/>
                <w:szCs w:val="12"/>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Issue Price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620" w:type="dxa"/>
            <w:vAlign w:val="bottom"/>
          </w:tcPr>
          <w:p>
            <w:pPr>
              <w:ind w:left="20"/>
              <w:spacing w:after="0" w:line="119" w:lineRule="exact"/>
              <w:rPr>
                <w:sz w:val="20"/>
                <w:szCs w:val="20"/>
                <w:color w:val="auto"/>
              </w:rPr>
            </w:pPr>
            <w:r>
              <w:rPr>
                <w:rFonts w:ascii="Times New Roman" w:cs="Times New Roman" w:eastAsia="Times New Roman" w:hAnsi="Times New Roman"/>
                <w:sz w:val="11"/>
                <w:szCs w:val="11"/>
                <w:b w:val="1"/>
                <w:bCs w:val="1"/>
                <w:color w:val="auto"/>
              </w:rPr>
              <w:t>Year Ended December 31, 2020:</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vMerge w:val="restart"/>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40" w:type="dxa"/>
            <w:vAlign w:val="bottom"/>
          </w:tcPr>
          <w:p>
            <w:pPr>
              <w:spacing w:after="0"/>
              <w:rPr>
                <w:sz w:val="10"/>
                <w:szCs w:val="10"/>
                <w:color w:val="auto"/>
              </w:rPr>
            </w:pPr>
          </w:p>
        </w:tc>
        <w:tc>
          <w:tcPr>
            <w:tcW w:w="380" w:type="dxa"/>
            <w:vAlign w:val="bottom"/>
            <w:vMerge w:val="restart"/>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2/14/2020</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3/13/2020</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3/27/2020</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0.39</w:t>
            </w:r>
          </w:p>
        </w:tc>
        <w:tc>
          <w:tcPr>
            <w:tcW w:w="400" w:type="dxa"/>
            <w:vAlign w:val="bottom"/>
            <w:gridSpan w:val="2"/>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9,537</w:t>
            </w:r>
          </w:p>
        </w:tc>
        <w:tc>
          <w:tcPr>
            <w:tcW w:w="360" w:type="dxa"/>
            <w:vAlign w:val="bottom"/>
            <w:gridSpan w:val="2"/>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9,537</w:t>
            </w:r>
          </w:p>
        </w:tc>
        <w:tc>
          <w:tcPr>
            <w:tcW w:w="34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60" w:type="dxa"/>
            <w:vAlign w:val="bottom"/>
            <w:vMerge w:val="continue"/>
          </w:tcPr>
          <w:p>
            <w:pPr>
              <w:spacing w:after="0"/>
              <w:rPr>
                <w:sz w:val="6"/>
                <w:szCs w:val="6"/>
                <w:color w:val="auto"/>
              </w:rPr>
            </w:pPr>
          </w:p>
        </w:tc>
        <w:tc>
          <w:tcPr>
            <w:tcW w:w="640" w:type="dxa"/>
            <w:vAlign w:val="bottom"/>
            <w:vMerge w:val="restart"/>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380" w:type="dxa"/>
            <w:vAlign w:val="bottom"/>
            <w:vMerge w:val="continue"/>
          </w:tcPr>
          <w:p>
            <w:pPr>
              <w:spacing w:after="0"/>
              <w:rPr>
                <w:sz w:val="6"/>
                <w:szCs w:val="6"/>
                <w:color w:val="auto"/>
              </w:rPr>
            </w:pPr>
          </w:p>
        </w:tc>
        <w:tc>
          <w:tcPr>
            <w:tcW w:w="1080" w:type="dxa"/>
            <w:vAlign w:val="bottom"/>
            <w:vMerge w:val="restart"/>
          </w:tcPr>
          <w:p>
            <w:pPr>
              <w:ind w:left="96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262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60" w:type="dxa"/>
            <w:vAlign w:val="bottom"/>
            <w:vMerge w:val="restart"/>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40" w:type="dxa"/>
            <w:vAlign w:val="bottom"/>
            <w:vMerge w:val="continue"/>
          </w:tcPr>
          <w:p>
            <w:pPr>
              <w:spacing w:after="0"/>
              <w:rPr>
                <w:sz w:val="5"/>
                <w:szCs w:val="5"/>
                <w:color w:val="auto"/>
              </w:rPr>
            </w:pPr>
          </w:p>
        </w:tc>
        <w:tc>
          <w:tcPr>
            <w:tcW w:w="380" w:type="dxa"/>
            <w:vAlign w:val="bottom"/>
            <w:vMerge w:val="restart"/>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4/29/2020</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6/12/2020</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6/26/2020</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0.30</w:t>
            </w: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7,331</w:t>
            </w: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7,331</w:t>
            </w: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60" w:type="dxa"/>
            <w:vAlign w:val="bottom"/>
            <w:vMerge w:val="continue"/>
          </w:tcPr>
          <w:p>
            <w:pPr>
              <w:spacing w:after="0"/>
              <w:rPr>
                <w:sz w:val="6"/>
                <w:szCs w:val="6"/>
                <w:color w:val="auto"/>
              </w:rPr>
            </w:pPr>
          </w:p>
        </w:tc>
        <w:tc>
          <w:tcPr>
            <w:tcW w:w="640" w:type="dxa"/>
            <w:vAlign w:val="bottom"/>
            <w:vMerge w:val="restart"/>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380" w:type="dxa"/>
            <w:vAlign w:val="bottom"/>
            <w:vMerge w:val="continue"/>
          </w:tcPr>
          <w:p>
            <w:pPr>
              <w:spacing w:after="0"/>
              <w:rPr>
                <w:sz w:val="6"/>
                <w:szCs w:val="6"/>
                <w:color w:val="auto"/>
              </w:rPr>
            </w:pPr>
          </w:p>
        </w:tc>
        <w:tc>
          <w:tcPr>
            <w:tcW w:w="1080" w:type="dxa"/>
            <w:vAlign w:val="bottom"/>
            <w:vMerge w:val="restart"/>
          </w:tcPr>
          <w:p>
            <w:pPr>
              <w:ind w:left="96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262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60" w:type="dxa"/>
            <w:vAlign w:val="bottom"/>
            <w:vMerge w:val="restart"/>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40" w:type="dxa"/>
            <w:vAlign w:val="bottom"/>
            <w:vMerge w:val="continue"/>
          </w:tcPr>
          <w:p>
            <w:pPr>
              <w:spacing w:after="0"/>
              <w:rPr>
                <w:sz w:val="5"/>
                <w:szCs w:val="5"/>
                <w:color w:val="auto"/>
              </w:rPr>
            </w:pPr>
          </w:p>
        </w:tc>
        <w:tc>
          <w:tcPr>
            <w:tcW w:w="380" w:type="dxa"/>
            <w:vAlign w:val="bottom"/>
            <w:vMerge w:val="restart"/>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8/03/2020</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9/11/2020</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9/25/2020</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0.30</w:t>
            </w: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7,331</w:t>
            </w: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7,331</w:t>
            </w: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60" w:type="dxa"/>
            <w:vAlign w:val="bottom"/>
            <w:vMerge w:val="continue"/>
          </w:tcPr>
          <w:p>
            <w:pPr>
              <w:spacing w:after="0"/>
              <w:rPr>
                <w:sz w:val="6"/>
                <w:szCs w:val="6"/>
                <w:color w:val="auto"/>
              </w:rPr>
            </w:pPr>
          </w:p>
        </w:tc>
        <w:tc>
          <w:tcPr>
            <w:tcW w:w="640" w:type="dxa"/>
            <w:vAlign w:val="bottom"/>
            <w:vMerge w:val="restart"/>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380" w:type="dxa"/>
            <w:vAlign w:val="bottom"/>
            <w:vMerge w:val="continue"/>
          </w:tcPr>
          <w:p>
            <w:pPr>
              <w:spacing w:after="0"/>
              <w:rPr>
                <w:sz w:val="6"/>
                <w:szCs w:val="6"/>
                <w:color w:val="auto"/>
              </w:rPr>
            </w:pPr>
          </w:p>
        </w:tc>
        <w:tc>
          <w:tcPr>
            <w:tcW w:w="1080" w:type="dxa"/>
            <w:vAlign w:val="bottom"/>
            <w:vMerge w:val="restart"/>
          </w:tcPr>
          <w:p>
            <w:pPr>
              <w:ind w:left="96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262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60" w:type="dxa"/>
            <w:vAlign w:val="bottom"/>
            <w:vMerge w:val="restart"/>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40" w:type="dxa"/>
            <w:vAlign w:val="bottom"/>
            <w:vMerge w:val="continue"/>
          </w:tcPr>
          <w:p>
            <w:pPr>
              <w:spacing w:after="0"/>
              <w:rPr>
                <w:sz w:val="5"/>
                <w:szCs w:val="5"/>
                <w:color w:val="auto"/>
              </w:rPr>
            </w:pPr>
          </w:p>
        </w:tc>
        <w:tc>
          <w:tcPr>
            <w:tcW w:w="380" w:type="dxa"/>
            <w:vAlign w:val="bottom"/>
            <w:vMerge w:val="restart"/>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620" w:type="dxa"/>
            <w:vAlign w:val="bottom"/>
            <w:vMerge w:val="restart"/>
          </w:tcPr>
          <w:p>
            <w:pPr>
              <w:ind w:left="20"/>
              <w:spacing w:after="0" w:line="117" w:lineRule="exact"/>
              <w:rPr>
                <w:sz w:val="20"/>
                <w:szCs w:val="20"/>
                <w:color w:val="auto"/>
              </w:rPr>
            </w:pPr>
            <w:r>
              <w:rPr>
                <w:rFonts w:ascii="Times New Roman" w:cs="Times New Roman" w:eastAsia="Times New Roman" w:hAnsi="Times New Roman"/>
                <w:sz w:val="11"/>
                <w:szCs w:val="11"/>
                <w:color w:val="auto"/>
              </w:rPr>
              <w:t>10/26/2020</w:t>
            </w:r>
          </w:p>
        </w:tc>
        <w:tc>
          <w:tcPr>
            <w:tcW w:w="860" w:type="dxa"/>
            <w:vAlign w:val="bottom"/>
            <w:gridSpan w:val="2"/>
            <w:vMerge w:val="restart"/>
          </w:tcPr>
          <w:p>
            <w:pPr>
              <w:jc w:val="right"/>
              <w:spacing w:after="0" w:line="117" w:lineRule="exact"/>
              <w:rPr>
                <w:sz w:val="20"/>
                <w:szCs w:val="20"/>
                <w:color w:val="auto"/>
              </w:rPr>
            </w:pPr>
            <w:r>
              <w:rPr>
                <w:rFonts w:ascii="Times New Roman" w:cs="Times New Roman" w:eastAsia="Times New Roman" w:hAnsi="Times New Roman"/>
                <w:sz w:val="11"/>
                <w:szCs w:val="11"/>
                <w:color w:val="auto"/>
              </w:rPr>
              <w:t>12/4/2020</w:t>
            </w:r>
          </w:p>
        </w:tc>
        <w:tc>
          <w:tcPr>
            <w:tcW w:w="880" w:type="dxa"/>
            <w:vAlign w:val="bottom"/>
            <w:gridSpan w:val="2"/>
            <w:vMerge w:val="restart"/>
          </w:tcPr>
          <w:p>
            <w:pPr>
              <w:jc w:val="right"/>
              <w:spacing w:after="0" w:line="117" w:lineRule="exact"/>
              <w:rPr>
                <w:sz w:val="20"/>
                <w:szCs w:val="20"/>
                <w:color w:val="auto"/>
              </w:rPr>
            </w:pPr>
            <w:r>
              <w:rPr>
                <w:rFonts w:ascii="Times New Roman" w:cs="Times New Roman" w:eastAsia="Times New Roman" w:hAnsi="Times New Roman"/>
                <w:sz w:val="11"/>
                <w:szCs w:val="11"/>
                <w:color w:val="auto"/>
              </w:rPr>
              <w:t>12/18/2020</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restart"/>
          </w:tcPr>
          <w:p>
            <w:pPr>
              <w:jc w:val="right"/>
              <w:spacing w:after="0" w:line="117" w:lineRule="exact"/>
              <w:rPr>
                <w:sz w:val="20"/>
                <w:szCs w:val="20"/>
                <w:color w:val="auto"/>
              </w:rPr>
            </w:pPr>
            <w:r>
              <w:rPr>
                <w:rFonts w:ascii="Times New Roman" w:cs="Times New Roman" w:eastAsia="Times New Roman" w:hAnsi="Times New Roman"/>
                <w:sz w:val="11"/>
                <w:szCs w:val="11"/>
                <w:color w:val="auto"/>
              </w:rPr>
              <w:t>0.30</w:t>
            </w: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vMerge w:val="restart"/>
          </w:tcPr>
          <w:p>
            <w:pPr>
              <w:jc w:val="right"/>
              <w:spacing w:after="0" w:line="117" w:lineRule="exact"/>
              <w:rPr>
                <w:sz w:val="20"/>
                <w:szCs w:val="20"/>
                <w:color w:val="auto"/>
              </w:rPr>
            </w:pPr>
            <w:r>
              <w:rPr>
                <w:rFonts w:ascii="Times New Roman" w:cs="Times New Roman" w:eastAsia="Times New Roman" w:hAnsi="Times New Roman"/>
                <w:sz w:val="11"/>
                <w:szCs w:val="11"/>
                <w:color w:val="auto"/>
              </w:rPr>
              <w:t>7,331</w:t>
            </w: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vMerge w:val="restart"/>
          </w:tcPr>
          <w:p>
            <w:pPr>
              <w:jc w:val="right"/>
              <w:spacing w:after="0" w:line="117" w:lineRule="exact"/>
              <w:rPr>
                <w:sz w:val="20"/>
                <w:szCs w:val="20"/>
                <w:color w:val="auto"/>
              </w:rPr>
            </w:pPr>
            <w:r>
              <w:rPr>
                <w:rFonts w:ascii="Times New Roman" w:cs="Times New Roman" w:eastAsia="Times New Roman" w:hAnsi="Times New Roman"/>
                <w:sz w:val="11"/>
                <w:szCs w:val="11"/>
                <w:color w:val="auto"/>
              </w:rPr>
              <w:t>7,331</w:t>
            </w: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4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360" w:type="dxa"/>
            <w:vAlign w:val="bottom"/>
            <w:vMerge w:val="continue"/>
          </w:tcPr>
          <w:p>
            <w:pPr>
              <w:spacing w:after="0"/>
              <w:rPr>
                <w:sz w:val="6"/>
                <w:szCs w:val="6"/>
                <w:color w:val="auto"/>
              </w:rPr>
            </w:pPr>
          </w:p>
        </w:tc>
        <w:tc>
          <w:tcPr>
            <w:tcW w:w="640" w:type="dxa"/>
            <w:vAlign w:val="bottom"/>
            <w:vMerge w:val="restart"/>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380" w:type="dxa"/>
            <w:vAlign w:val="bottom"/>
            <w:vMerge w:val="continue"/>
          </w:tcPr>
          <w:p>
            <w:pPr>
              <w:spacing w:after="0"/>
              <w:rPr>
                <w:sz w:val="6"/>
                <w:szCs w:val="6"/>
                <w:color w:val="auto"/>
              </w:rPr>
            </w:pPr>
          </w:p>
        </w:tc>
        <w:tc>
          <w:tcPr>
            <w:tcW w:w="1080" w:type="dxa"/>
            <w:vAlign w:val="bottom"/>
            <w:vMerge w:val="restart"/>
          </w:tcPr>
          <w:p>
            <w:pPr>
              <w:ind w:left="96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620" w:type="dxa"/>
            <w:vAlign w:val="bottom"/>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10/26/2020 </w:t>
            </w:r>
            <w:r>
              <w:rPr>
                <w:rFonts w:ascii="Times New Roman" w:cs="Times New Roman" w:eastAsia="Times New Roman" w:hAnsi="Times New Roman"/>
                <w:sz w:val="14"/>
                <w:szCs w:val="14"/>
                <w:color w:val="auto"/>
                <w:vertAlign w:val="superscript"/>
              </w:rPr>
              <w:t>(2)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12/4/2020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12/18/2020</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0.04</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978</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978</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6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38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80" w:type="dxa"/>
            <w:vAlign w:val="bottom"/>
          </w:tcPr>
          <w:p>
            <w:pPr>
              <w:ind w:left="96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32,508</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32,508</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FF0FC"/>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6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38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620" w:type="dxa"/>
            <w:vAlign w:val="bottom"/>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Year Ended December 31, 2021:</w:t>
            </w: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vMerge w:val="restart"/>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40" w:type="dxa"/>
            <w:vAlign w:val="bottom"/>
          </w:tcPr>
          <w:p>
            <w:pPr>
              <w:spacing w:after="0"/>
              <w:rPr>
                <w:sz w:val="8"/>
                <w:szCs w:val="8"/>
                <w:color w:val="auto"/>
              </w:rPr>
            </w:pPr>
          </w:p>
        </w:tc>
        <w:tc>
          <w:tcPr>
            <w:tcW w:w="380" w:type="dxa"/>
            <w:vAlign w:val="bottom"/>
            <w:vMerge w:val="restart"/>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620" w:type="dxa"/>
            <w:vAlign w:val="bottom"/>
            <w:vMerge w:val="restart"/>
          </w:tcPr>
          <w:p>
            <w:pPr>
              <w:ind w:left="20"/>
              <w:spacing w:after="0" w:line="117" w:lineRule="exact"/>
              <w:rPr>
                <w:sz w:val="20"/>
                <w:szCs w:val="20"/>
                <w:color w:val="auto"/>
              </w:rPr>
            </w:pPr>
            <w:r>
              <w:rPr>
                <w:rFonts w:ascii="Times New Roman" w:cs="Times New Roman" w:eastAsia="Times New Roman" w:hAnsi="Times New Roman"/>
                <w:sz w:val="11"/>
                <w:szCs w:val="11"/>
                <w:color w:val="auto"/>
              </w:rPr>
              <w:t>2/09/2021</w:t>
            </w:r>
          </w:p>
        </w:tc>
        <w:tc>
          <w:tcPr>
            <w:tcW w:w="860" w:type="dxa"/>
            <w:vAlign w:val="bottom"/>
            <w:gridSpan w:val="2"/>
            <w:vMerge w:val="restart"/>
          </w:tcPr>
          <w:p>
            <w:pPr>
              <w:jc w:val="right"/>
              <w:spacing w:after="0" w:line="117" w:lineRule="exact"/>
              <w:rPr>
                <w:sz w:val="20"/>
                <w:szCs w:val="20"/>
                <w:color w:val="auto"/>
              </w:rPr>
            </w:pPr>
            <w:r>
              <w:rPr>
                <w:rFonts w:ascii="Times New Roman" w:cs="Times New Roman" w:eastAsia="Times New Roman" w:hAnsi="Times New Roman"/>
                <w:sz w:val="11"/>
                <w:szCs w:val="11"/>
                <w:color w:val="auto"/>
              </w:rPr>
              <w:t>3/12/2021</w:t>
            </w:r>
          </w:p>
        </w:tc>
        <w:tc>
          <w:tcPr>
            <w:tcW w:w="880" w:type="dxa"/>
            <w:vAlign w:val="bottom"/>
            <w:gridSpan w:val="2"/>
            <w:vMerge w:val="restart"/>
          </w:tcPr>
          <w:p>
            <w:pPr>
              <w:jc w:val="right"/>
              <w:spacing w:after="0" w:line="117" w:lineRule="exact"/>
              <w:rPr>
                <w:sz w:val="20"/>
                <w:szCs w:val="20"/>
                <w:color w:val="auto"/>
              </w:rPr>
            </w:pPr>
            <w:r>
              <w:rPr>
                <w:rFonts w:ascii="Times New Roman" w:cs="Times New Roman" w:eastAsia="Times New Roman" w:hAnsi="Times New Roman"/>
                <w:sz w:val="11"/>
                <w:szCs w:val="11"/>
                <w:color w:val="auto"/>
              </w:rPr>
              <w:t>3/26/2021</w:t>
            </w:r>
          </w:p>
        </w:tc>
        <w:tc>
          <w:tcPr>
            <w:tcW w:w="240" w:type="dxa"/>
            <w:vAlign w:val="bottom"/>
            <w:gridSpan w:val="2"/>
            <w:vMerge w:val="restart"/>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vMerge w:val="restart"/>
          </w:tcPr>
          <w:p>
            <w:pPr>
              <w:jc w:val="right"/>
              <w:spacing w:after="0" w:line="117" w:lineRule="exact"/>
              <w:rPr>
                <w:sz w:val="20"/>
                <w:szCs w:val="20"/>
                <w:color w:val="auto"/>
              </w:rPr>
            </w:pPr>
            <w:r>
              <w:rPr>
                <w:rFonts w:ascii="Times New Roman" w:cs="Times New Roman" w:eastAsia="Times New Roman" w:hAnsi="Times New Roman"/>
                <w:sz w:val="11"/>
                <w:szCs w:val="11"/>
                <w:color w:val="auto"/>
              </w:rPr>
              <w:t>0.31</w:t>
            </w:r>
          </w:p>
        </w:tc>
        <w:tc>
          <w:tcPr>
            <w:tcW w:w="400" w:type="dxa"/>
            <w:vAlign w:val="bottom"/>
            <w:gridSpan w:val="2"/>
            <w:vMerge w:val="restart"/>
          </w:tcPr>
          <w:p>
            <w:pPr>
              <w:jc w:val="right"/>
              <w:ind w:right="26"/>
              <w:spacing w:after="0" w:line="117"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vMerge w:val="restart"/>
          </w:tcPr>
          <w:p>
            <w:pPr>
              <w:jc w:val="right"/>
              <w:spacing w:after="0" w:line="117" w:lineRule="exact"/>
              <w:rPr>
                <w:sz w:val="20"/>
                <w:szCs w:val="20"/>
                <w:color w:val="auto"/>
              </w:rPr>
            </w:pPr>
            <w:r>
              <w:rPr>
                <w:rFonts w:ascii="Times New Roman" w:cs="Times New Roman" w:eastAsia="Times New Roman" w:hAnsi="Times New Roman"/>
                <w:sz w:val="11"/>
                <w:szCs w:val="11"/>
                <w:color w:val="auto"/>
              </w:rPr>
              <w:t>7,575</w:t>
            </w:r>
          </w:p>
        </w:tc>
        <w:tc>
          <w:tcPr>
            <w:tcW w:w="360" w:type="dxa"/>
            <w:vAlign w:val="bottom"/>
            <w:gridSpan w:val="2"/>
            <w:vMerge w:val="restart"/>
          </w:tcPr>
          <w:p>
            <w:pPr>
              <w:jc w:val="right"/>
              <w:ind w:right="26"/>
              <w:spacing w:after="0" w:line="117"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vMerge w:val="restart"/>
          </w:tcPr>
          <w:p>
            <w:pPr>
              <w:jc w:val="right"/>
              <w:spacing w:after="0" w:line="117" w:lineRule="exact"/>
              <w:rPr>
                <w:sz w:val="20"/>
                <w:szCs w:val="20"/>
                <w:color w:val="auto"/>
              </w:rPr>
            </w:pPr>
            <w:r>
              <w:rPr>
                <w:rFonts w:ascii="Times New Roman" w:cs="Times New Roman" w:eastAsia="Times New Roman" w:hAnsi="Times New Roman"/>
                <w:sz w:val="11"/>
                <w:szCs w:val="11"/>
                <w:color w:val="auto"/>
              </w:rPr>
              <w:t>7,575</w:t>
            </w:r>
          </w:p>
        </w:tc>
        <w:tc>
          <w:tcPr>
            <w:tcW w:w="340" w:type="dxa"/>
            <w:vAlign w:val="bottom"/>
            <w:gridSpan w:val="2"/>
            <w:vMerge w:val="restart"/>
          </w:tcPr>
          <w:p>
            <w:pPr>
              <w:jc w:val="right"/>
              <w:ind w:right="6"/>
              <w:spacing w:after="0" w:line="117"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tcPr>
          <w:p>
            <w:pPr>
              <w:ind w:left="4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360" w:type="dxa"/>
            <w:vAlign w:val="bottom"/>
            <w:vMerge w:val="continue"/>
          </w:tcPr>
          <w:p>
            <w:pPr>
              <w:spacing w:after="0"/>
              <w:rPr>
                <w:sz w:val="6"/>
                <w:szCs w:val="6"/>
                <w:color w:val="auto"/>
              </w:rPr>
            </w:pPr>
          </w:p>
        </w:tc>
        <w:tc>
          <w:tcPr>
            <w:tcW w:w="640" w:type="dxa"/>
            <w:vAlign w:val="bottom"/>
            <w:vMerge w:val="restart"/>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380" w:type="dxa"/>
            <w:vAlign w:val="bottom"/>
            <w:vMerge w:val="continue"/>
          </w:tcPr>
          <w:p>
            <w:pPr>
              <w:spacing w:after="0"/>
              <w:rPr>
                <w:sz w:val="6"/>
                <w:szCs w:val="6"/>
                <w:color w:val="auto"/>
              </w:rPr>
            </w:pPr>
          </w:p>
        </w:tc>
        <w:tc>
          <w:tcPr>
            <w:tcW w:w="1080" w:type="dxa"/>
            <w:vAlign w:val="bottom"/>
            <w:vMerge w:val="restart"/>
          </w:tcPr>
          <w:p>
            <w:pPr>
              <w:ind w:left="96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620" w:type="dxa"/>
            <w:vAlign w:val="bottom"/>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400" w:type="dxa"/>
            <w:vAlign w:val="bottom"/>
            <w:gridSpan w:val="2"/>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360" w:type="dxa"/>
            <w:vAlign w:val="bottom"/>
            <w:gridSpan w:val="2"/>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340" w:type="dxa"/>
            <w:vAlign w:val="bottom"/>
            <w:gridSpan w:val="2"/>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2/09/2021 </w:t>
            </w:r>
            <w:r>
              <w:rPr>
                <w:rFonts w:ascii="Times New Roman" w:cs="Times New Roman" w:eastAsia="Times New Roman" w:hAnsi="Times New Roman"/>
                <w:sz w:val="14"/>
                <w:szCs w:val="14"/>
                <w:color w:val="auto"/>
                <w:vertAlign w:val="superscript"/>
              </w:rPr>
              <w:t>(2)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3/12/2021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3/26/2021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0.07</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6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38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80" w:type="dxa"/>
            <w:vAlign w:val="bottom"/>
          </w:tcPr>
          <w:p>
            <w:pPr>
              <w:ind w:left="96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5/03/2021</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6/14/2021</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6/28/2021</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0.31</w:t>
            </w: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7,576</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7,576</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6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40" w:type="dxa"/>
            <w:vAlign w:val="bottom"/>
            <w:vMerge w:val="restart"/>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38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80" w:type="dxa"/>
            <w:vAlign w:val="bottom"/>
            <w:vMerge w:val="restart"/>
          </w:tcPr>
          <w:p>
            <w:pPr>
              <w:ind w:left="96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620" w:type="dxa"/>
            <w:vAlign w:val="bottom"/>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5/03/2021 </w:t>
            </w:r>
            <w:r>
              <w:rPr>
                <w:rFonts w:ascii="Times New Roman" w:cs="Times New Roman" w:eastAsia="Times New Roman" w:hAnsi="Times New Roman"/>
                <w:sz w:val="14"/>
                <w:szCs w:val="14"/>
                <w:color w:val="auto"/>
                <w:vertAlign w:val="superscript"/>
              </w:rPr>
              <w:t>(2)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6/14/2021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6/28/2021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0.08</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6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38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80" w:type="dxa"/>
            <w:vAlign w:val="bottom"/>
          </w:tcPr>
          <w:p>
            <w:pPr>
              <w:ind w:left="96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8/02/2021</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9/14/2021</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9/28/2021</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0.32</w:t>
            </w: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7,820</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7,820</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6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40" w:type="dxa"/>
            <w:vAlign w:val="bottom"/>
            <w:vMerge w:val="restart"/>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38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80" w:type="dxa"/>
            <w:vAlign w:val="bottom"/>
            <w:vMerge w:val="restart"/>
          </w:tcPr>
          <w:p>
            <w:pPr>
              <w:ind w:left="96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620" w:type="dxa"/>
            <w:vAlign w:val="bottom"/>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8/02/2021 </w:t>
            </w:r>
            <w:r>
              <w:rPr>
                <w:rFonts w:ascii="Times New Roman" w:cs="Times New Roman" w:eastAsia="Times New Roman" w:hAnsi="Times New Roman"/>
                <w:sz w:val="14"/>
                <w:szCs w:val="14"/>
                <w:color w:val="auto"/>
                <w:vertAlign w:val="superscript"/>
              </w:rPr>
              <w:t>(2)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9/14/2021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9/28/2021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0.06</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6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38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80" w:type="dxa"/>
            <w:vAlign w:val="bottom"/>
          </w:tcPr>
          <w:p>
            <w:pPr>
              <w:ind w:left="96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8/02/2021 </w:t>
            </w:r>
            <w:r>
              <w:rPr>
                <w:rFonts w:ascii="Times New Roman" w:cs="Times New Roman" w:eastAsia="Times New Roman" w:hAnsi="Times New Roman"/>
                <w:sz w:val="14"/>
                <w:szCs w:val="14"/>
                <w:color w:val="auto"/>
                <w:vertAlign w:val="superscript"/>
              </w:rPr>
              <w:t>(1)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9/14/2021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9/28/2021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0.04</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6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38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80" w:type="dxa"/>
            <w:vAlign w:val="bottom"/>
          </w:tcPr>
          <w:p>
            <w:pPr>
              <w:ind w:left="96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11/01/2021</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12/3/2021</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12/17/2021</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0.32</w:t>
            </w: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7,820</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7,820</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6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40" w:type="dxa"/>
            <w:vAlign w:val="bottom"/>
            <w:vMerge w:val="restart"/>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38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80" w:type="dxa"/>
            <w:vAlign w:val="bottom"/>
            <w:vMerge w:val="restart"/>
          </w:tcPr>
          <w:p>
            <w:pPr>
              <w:ind w:left="96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620" w:type="dxa"/>
            <w:vAlign w:val="bottom"/>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11/01/2021 </w:t>
            </w:r>
            <w:r>
              <w:rPr>
                <w:rFonts w:ascii="Times New Roman" w:cs="Times New Roman" w:eastAsia="Times New Roman" w:hAnsi="Times New Roman"/>
                <w:sz w:val="14"/>
                <w:szCs w:val="14"/>
                <w:color w:val="auto"/>
                <w:vertAlign w:val="superscript"/>
              </w:rPr>
              <w:t>(2)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12/3/2021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12/17/2021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0.04</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6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38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80" w:type="dxa"/>
            <w:vAlign w:val="bottom"/>
          </w:tcPr>
          <w:p>
            <w:pPr>
              <w:ind w:left="96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11/01/2021 </w:t>
            </w:r>
            <w:r>
              <w:rPr>
                <w:rFonts w:ascii="Times New Roman" w:cs="Times New Roman" w:eastAsia="Times New Roman" w:hAnsi="Times New Roman"/>
                <w:sz w:val="14"/>
                <w:szCs w:val="14"/>
                <w:color w:val="auto"/>
                <w:vertAlign w:val="superscript"/>
              </w:rPr>
              <w:t>(1)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12/3/2021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12/17/2021</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1,222</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1,222</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6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38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80" w:type="dxa"/>
            <w:vAlign w:val="bottom"/>
          </w:tcPr>
          <w:p>
            <w:pPr>
              <w:ind w:left="96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240" w:type="dxa"/>
            <w:vAlign w:val="bottom"/>
          </w:tcPr>
          <w:p>
            <w:pPr>
              <w:spacing w:after="0"/>
              <w:rPr>
                <w:sz w:val="11"/>
                <w:szCs w:val="11"/>
                <w:color w:val="auto"/>
              </w:rPr>
            </w:pPr>
          </w:p>
        </w:tc>
        <w:tc>
          <w:tcPr>
            <w:tcW w:w="1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39,100</w:t>
            </w:r>
          </w:p>
        </w:tc>
        <w:tc>
          <w:tcPr>
            <w:tcW w:w="220" w:type="dxa"/>
            <w:vAlign w:val="bottom"/>
          </w:tcPr>
          <w:p>
            <w:pPr>
              <w:spacing w:after="0"/>
              <w:rPr>
                <w:sz w:val="11"/>
                <w:szCs w:val="11"/>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39,100</w:t>
            </w:r>
          </w:p>
        </w:tc>
        <w:tc>
          <w:tcPr>
            <w:tcW w:w="220" w:type="dxa"/>
            <w:vAlign w:val="bottom"/>
          </w:tcPr>
          <w:p>
            <w:pPr>
              <w:spacing w:after="0"/>
              <w:rPr>
                <w:sz w:val="11"/>
                <w:szCs w:val="11"/>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60" w:type="dxa"/>
            <w:vAlign w:val="bottom"/>
          </w:tcPr>
          <w:p>
            <w:pPr>
              <w:spacing w:after="0"/>
              <w:rPr>
                <w:sz w:val="11"/>
                <w:szCs w:val="11"/>
                <w:color w:val="auto"/>
              </w:rPr>
            </w:pPr>
          </w:p>
        </w:tc>
        <w:tc>
          <w:tcPr>
            <w:tcW w:w="6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Nine months ended September 30, 2022:</w:t>
            </w: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40" w:type="dxa"/>
            <w:vAlign w:val="bottom"/>
            <w:tcBorders>
              <w:bottom w:val="single" w:sz="8" w:color="auto"/>
            </w:tcBorders>
          </w:tcPr>
          <w:p>
            <w:pPr>
              <w:spacing w:after="0" w:line="20" w:lineRule="exact"/>
              <w:rPr>
                <w:sz w:val="1"/>
                <w:szCs w:val="1"/>
                <w:color w:val="auto"/>
              </w:rPr>
            </w:pPr>
          </w:p>
        </w:tc>
        <w:tc>
          <w:tcPr>
            <w:tcW w:w="380" w:type="dxa"/>
            <w:vAlign w:val="bottom"/>
            <w:vMerge w:val="restart"/>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6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620" w:type="dxa"/>
            <w:vAlign w:val="bottom"/>
            <w:vMerge w:val="restart"/>
          </w:tcPr>
          <w:p>
            <w:pPr>
              <w:ind w:left="20"/>
              <w:spacing w:after="0" w:line="117" w:lineRule="exact"/>
              <w:rPr>
                <w:sz w:val="20"/>
                <w:szCs w:val="20"/>
                <w:color w:val="auto"/>
              </w:rPr>
            </w:pPr>
            <w:r>
              <w:rPr>
                <w:rFonts w:ascii="Times New Roman" w:cs="Times New Roman" w:eastAsia="Times New Roman" w:hAnsi="Times New Roman"/>
                <w:sz w:val="11"/>
                <w:szCs w:val="11"/>
                <w:color w:val="auto"/>
              </w:rPr>
              <w:t>2/15/2022</w:t>
            </w:r>
          </w:p>
        </w:tc>
        <w:tc>
          <w:tcPr>
            <w:tcW w:w="860" w:type="dxa"/>
            <w:vAlign w:val="bottom"/>
            <w:gridSpan w:val="2"/>
            <w:vMerge w:val="restart"/>
          </w:tcPr>
          <w:p>
            <w:pPr>
              <w:jc w:val="right"/>
              <w:spacing w:after="0" w:line="117" w:lineRule="exact"/>
              <w:rPr>
                <w:sz w:val="20"/>
                <w:szCs w:val="20"/>
                <w:color w:val="auto"/>
              </w:rPr>
            </w:pPr>
            <w:r>
              <w:rPr>
                <w:rFonts w:ascii="Times New Roman" w:cs="Times New Roman" w:eastAsia="Times New Roman" w:hAnsi="Times New Roman"/>
                <w:sz w:val="11"/>
                <w:szCs w:val="11"/>
                <w:color w:val="auto"/>
              </w:rPr>
              <w:t>3/11/2022</w:t>
            </w:r>
          </w:p>
        </w:tc>
        <w:tc>
          <w:tcPr>
            <w:tcW w:w="880" w:type="dxa"/>
            <w:vAlign w:val="bottom"/>
            <w:gridSpan w:val="2"/>
            <w:vMerge w:val="restart"/>
          </w:tcPr>
          <w:p>
            <w:pPr>
              <w:jc w:val="right"/>
              <w:spacing w:after="0" w:line="117" w:lineRule="exact"/>
              <w:rPr>
                <w:sz w:val="20"/>
                <w:szCs w:val="20"/>
                <w:color w:val="auto"/>
              </w:rPr>
            </w:pPr>
            <w:r>
              <w:rPr>
                <w:rFonts w:ascii="Times New Roman" w:cs="Times New Roman" w:eastAsia="Times New Roman" w:hAnsi="Times New Roman"/>
                <w:sz w:val="11"/>
                <w:szCs w:val="11"/>
                <w:color w:val="auto"/>
              </w:rPr>
              <w:t>3/25/2022</w:t>
            </w:r>
          </w:p>
        </w:tc>
        <w:tc>
          <w:tcPr>
            <w:tcW w:w="240" w:type="dxa"/>
            <w:vAlign w:val="bottom"/>
            <w:gridSpan w:val="2"/>
            <w:vMerge w:val="restart"/>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vMerge w:val="restart"/>
          </w:tcPr>
          <w:p>
            <w:pPr>
              <w:jc w:val="right"/>
              <w:spacing w:after="0" w:line="117" w:lineRule="exact"/>
              <w:rPr>
                <w:sz w:val="20"/>
                <w:szCs w:val="20"/>
                <w:color w:val="auto"/>
              </w:rPr>
            </w:pPr>
            <w:r>
              <w:rPr>
                <w:rFonts w:ascii="Times New Roman" w:cs="Times New Roman" w:eastAsia="Times New Roman" w:hAnsi="Times New Roman"/>
                <w:sz w:val="11"/>
                <w:szCs w:val="11"/>
                <w:color w:val="auto"/>
              </w:rPr>
              <w:t>0.36</w:t>
            </w:r>
          </w:p>
        </w:tc>
        <w:tc>
          <w:tcPr>
            <w:tcW w:w="400" w:type="dxa"/>
            <w:vAlign w:val="bottom"/>
            <w:gridSpan w:val="2"/>
            <w:vMerge w:val="restart"/>
          </w:tcPr>
          <w:p>
            <w:pPr>
              <w:jc w:val="right"/>
              <w:ind w:right="26"/>
              <w:spacing w:after="0" w:line="117"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vMerge w:val="restart"/>
          </w:tcPr>
          <w:p>
            <w:pPr>
              <w:jc w:val="right"/>
              <w:spacing w:after="0" w:line="117" w:lineRule="exact"/>
              <w:rPr>
                <w:sz w:val="20"/>
                <w:szCs w:val="20"/>
                <w:color w:val="auto"/>
              </w:rPr>
            </w:pPr>
            <w:r>
              <w:rPr>
                <w:rFonts w:ascii="Times New Roman" w:cs="Times New Roman" w:eastAsia="Times New Roman" w:hAnsi="Times New Roman"/>
                <w:sz w:val="11"/>
                <w:szCs w:val="11"/>
                <w:color w:val="auto"/>
              </w:rPr>
              <w:t>8,797</w:t>
            </w:r>
          </w:p>
        </w:tc>
        <w:tc>
          <w:tcPr>
            <w:tcW w:w="360" w:type="dxa"/>
            <w:vAlign w:val="bottom"/>
            <w:gridSpan w:val="2"/>
            <w:vMerge w:val="restart"/>
          </w:tcPr>
          <w:p>
            <w:pPr>
              <w:jc w:val="right"/>
              <w:ind w:right="26"/>
              <w:spacing w:after="0" w:line="117"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vMerge w:val="restart"/>
          </w:tcPr>
          <w:p>
            <w:pPr>
              <w:jc w:val="right"/>
              <w:spacing w:after="0" w:line="117" w:lineRule="exact"/>
              <w:rPr>
                <w:sz w:val="20"/>
                <w:szCs w:val="20"/>
                <w:color w:val="auto"/>
              </w:rPr>
            </w:pPr>
            <w:r>
              <w:rPr>
                <w:rFonts w:ascii="Times New Roman" w:cs="Times New Roman" w:eastAsia="Times New Roman" w:hAnsi="Times New Roman"/>
                <w:sz w:val="11"/>
                <w:szCs w:val="11"/>
                <w:color w:val="auto"/>
              </w:rPr>
              <w:t>8,797</w:t>
            </w:r>
          </w:p>
        </w:tc>
        <w:tc>
          <w:tcPr>
            <w:tcW w:w="340" w:type="dxa"/>
            <w:vAlign w:val="bottom"/>
            <w:gridSpan w:val="2"/>
            <w:vMerge w:val="restart"/>
          </w:tcPr>
          <w:p>
            <w:pPr>
              <w:jc w:val="right"/>
              <w:ind w:right="6"/>
              <w:spacing w:after="0" w:line="117"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tcPr>
          <w:p>
            <w:pPr>
              <w:ind w:left="4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360" w:type="dxa"/>
            <w:vAlign w:val="bottom"/>
            <w:vMerge w:val="continue"/>
          </w:tcPr>
          <w:p>
            <w:pPr>
              <w:spacing w:after="0"/>
              <w:rPr>
                <w:sz w:val="6"/>
                <w:szCs w:val="6"/>
                <w:color w:val="auto"/>
              </w:rPr>
            </w:pPr>
          </w:p>
        </w:tc>
        <w:tc>
          <w:tcPr>
            <w:tcW w:w="640" w:type="dxa"/>
            <w:vAlign w:val="bottom"/>
            <w:vMerge w:val="restart"/>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380" w:type="dxa"/>
            <w:vAlign w:val="bottom"/>
            <w:vMerge w:val="continue"/>
          </w:tcPr>
          <w:p>
            <w:pPr>
              <w:spacing w:after="0"/>
              <w:rPr>
                <w:sz w:val="6"/>
                <w:szCs w:val="6"/>
                <w:color w:val="auto"/>
              </w:rPr>
            </w:pPr>
          </w:p>
        </w:tc>
        <w:tc>
          <w:tcPr>
            <w:tcW w:w="1080" w:type="dxa"/>
            <w:vAlign w:val="bottom"/>
            <w:vMerge w:val="restart"/>
          </w:tcPr>
          <w:p>
            <w:pPr>
              <w:ind w:left="96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620" w:type="dxa"/>
            <w:vAlign w:val="bottom"/>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400" w:type="dxa"/>
            <w:vAlign w:val="bottom"/>
            <w:gridSpan w:val="2"/>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360" w:type="dxa"/>
            <w:vAlign w:val="bottom"/>
            <w:gridSpan w:val="2"/>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340" w:type="dxa"/>
            <w:vAlign w:val="bottom"/>
            <w:gridSpan w:val="2"/>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2/15/2022 </w:t>
            </w:r>
            <w:r>
              <w:rPr>
                <w:rFonts w:ascii="Times New Roman" w:cs="Times New Roman" w:eastAsia="Times New Roman" w:hAnsi="Times New Roman"/>
                <w:sz w:val="14"/>
                <w:szCs w:val="14"/>
                <w:color w:val="auto"/>
                <w:vertAlign w:val="superscript"/>
              </w:rPr>
              <w:t>(2)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3/11/2022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3/25/2022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0.17</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4,154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4,154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6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38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80" w:type="dxa"/>
            <w:vAlign w:val="bottom"/>
          </w:tcPr>
          <w:p>
            <w:pPr>
              <w:ind w:left="96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5/02/2022</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6/10/2022</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6/24/2022</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0.36</w:t>
            </w: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8,797</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8,797</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6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40" w:type="dxa"/>
            <w:vAlign w:val="bottom"/>
            <w:vMerge w:val="restart"/>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38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80" w:type="dxa"/>
            <w:vAlign w:val="bottom"/>
            <w:vMerge w:val="restart"/>
          </w:tcPr>
          <w:p>
            <w:pPr>
              <w:ind w:left="96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620" w:type="dxa"/>
            <w:vAlign w:val="bottom"/>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5/02/2022 </w:t>
            </w:r>
            <w:r>
              <w:rPr>
                <w:rFonts w:ascii="Times New Roman" w:cs="Times New Roman" w:eastAsia="Times New Roman" w:hAnsi="Times New Roman"/>
                <w:sz w:val="14"/>
                <w:szCs w:val="14"/>
                <w:color w:val="auto"/>
                <w:vertAlign w:val="superscript"/>
              </w:rPr>
              <w:t>(2)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6/10/2022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6/24/2022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0.07</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6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38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80" w:type="dxa"/>
            <w:vAlign w:val="bottom"/>
          </w:tcPr>
          <w:p>
            <w:pPr>
              <w:ind w:left="96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8/01/2022</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9/9/2022</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9/23/2022</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0.36</w:t>
            </w: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8,797</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8,797</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6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40" w:type="dxa"/>
            <w:vAlign w:val="bottom"/>
            <w:vMerge w:val="restart"/>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38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80" w:type="dxa"/>
            <w:vAlign w:val="bottom"/>
            <w:vMerge w:val="restart"/>
          </w:tcPr>
          <w:p>
            <w:pPr>
              <w:ind w:left="96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620" w:type="dxa"/>
            <w:vAlign w:val="bottom"/>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8/01/2022 </w:t>
            </w:r>
            <w:r>
              <w:rPr>
                <w:rFonts w:ascii="Times New Roman" w:cs="Times New Roman" w:eastAsia="Times New Roman" w:hAnsi="Times New Roman"/>
                <w:sz w:val="14"/>
                <w:szCs w:val="14"/>
                <w:color w:val="auto"/>
                <w:vertAlign w:val="superscript"/>
              </w:rPr>
              <w:t>(2)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9/9/2022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9/23/2022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0.07</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6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38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80" w:type="dxa"/>
            <w:vAlign w:val="bottom"/>
          </w:tcPr>
          <w:p>
            <w:pPr>
              <w:ind w:left="96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8/01/2022</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12/2/2022</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12/16/2022</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0.36</w:t>
            </w: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6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40" w:type="dxa"/>
            <w:vAlign w:val="bottom"/>
            <w:vMerge w:val="restart"/>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38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80" w:type="dxa"/>
            <w:vAlign w:val="bottom"/>
            <w:vMerge w:val="restart"/>
          </w:tcPr>
          <w:p>
            <w:pPr>
              <w:ind w:left="96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620" w:type="dxa"/>
            <w:vAlign w:val="bottom"/>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8/01/2022 </w:t>
            </w:r>
            <w:r>
              <w:rPr>
                <w:rFonts w:ascii="Times New Roman" w:cs="Times New Roman" w:eastAsia="Times New Roman" w:hAnsi="Times New Roman"/>
                <w:sz w:val="14"/>
                <w:szCs w:val="14"/>
                <w:color w:val="auto"/>
                <w:vertAlign w:val="superscript"/>
              </w:rPr>
              <w:t>(2)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12/2/2022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12/16/2022</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0.07</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6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6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38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(3)</w:t>
            </w:r>
          </w:p>
        </w:tc>
        <w:tc>
          <w:tcPr>
            <w:tcW w:w="1080" w:type="dxa"/>
            <w:vAlign w:val="bottom"/>
          </w:tcPr>
          <w:p>
            <w:pPr>
              <w:ind w:left="96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240" w:type="dxa"/>
            <w:vAlign w:val="bottom"/>
          </w:tcPr>
          <w:p>
            <w:pPr>
              <w:spacing w:after="0"/>
              <w:rPr>
                <w:sz w:val="11"/>
                <w:szCs w:val="11"/>
                <w:color w:val="auto"/>
              </w:rPr>
            </w:pPr>
          </w:p>
        </w:tc>
        <w:tc>
          <w:tcPr>
            <w:tcW w:w="1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33,968</w:t>
            </w:r>
          </w:p>
        </w:tc>
        <w:tc>
          <w:tcPr>
            <w:tcW w:w="220" w:type="dxa"/>
            <w:vAlign w:val="bottom"/>
          </w:tcPr>
          <w:p>
            <w:pPr>
              <w:spacing w:after="0"/>
              <w:rPr>
                <w:sz w:val="11"/>
                <w:szCs w:val="11"/>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33,968</w:t>
            </w:r>
          </w:p>
        </w:tc>
        <w:tc>
          <w:tcPr>
            <w:tcW w:w="220" w:type="dxa"/>
            <w:vAlign w:val="bottom"/>
          </w:tcPr>
          <w:p>
            <w:pPr>
              <w:spacing w:after="0"/>
              <w:rPr>
                <w:sz w:val="11"/>
                <w:szCs w:val="11"/>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1"/>
                <w:szCs w:val="11"/>
                <w:color w:val="auto"/>
                <w:w w:val="90"/>
              </w:rPr>
              <w:t>—</w:t>
            </w:r>
          </w:p>
        </w:tc>
        <w:tc>
          <w:tcPr>
            <w:tcW w:w="360" w:type="dxa"/>
            <w:vAlign w:val="bottom"/>
          </w:tcPr>
          <w:p>
            <w:pPr>
              <w:spacing w:after="0"/>
              <w:rPr>
                <w:sz w:val="11"/>
                <w:szCs w:val="11"/>
                <w:color w:val="auto"/>
              </w:rPr>
            </w:pPr>
          </w:p>
        </w:tc>
        <w:tc>
          <w:tcPr>
            <w:tcW w:w="6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-2588260</wp:posOffset>
            </wp:positionV>
            <wp:extent cx="7132320" cy="8572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-2416810</wp:posOffset>
            </wp:positionV>
            <wp:extent cx="7132320" cy="8572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-2245360</wp:posOffset>
            </wp:positionV>
            <wp:extent cx="7132320" cy="8572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-1979295</wp:posOffset>
            </wp:positionV>
            <wp:extent cx="7132320" cy="1968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-1696720</wp:posOffset>
            </wp:positionV>
            <wp:extent cx="7132320" cy="8572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-1525270</wp:posOffset>
            </wp:positionV>
            <wp:extent cx="7132320" cy="8572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-1353820</wp:posOffset>
            </wp:positionV>
            <wp:extent cx="7132320" cy="8572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-1182370</wp:posOffset>
            </wp:positionV>
            <wp:extent cx="7132320" cy="8572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-890905</wp:posOffset>
            </wp:positionV>
            <wp:extent cx="7132320" cy="8572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8572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8572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7132320" cy="8572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8572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60" w:lineRule="exact"/>
        <w:rPr>
          <w:sz w:val="20"/>
          <w:szCs w:val="20"/>
          <w:color w:val="auto"/>
        </w:rPr>
      </w:pPr>
    </w:p>
    <w:p>
      <w:pPr>
        <w:ind w:left="360" w:hanging="339"/>
        <w:spacing w:after="0"/>
        <w:tabs>
          <w:tab w:leader="none" w:pos="3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Special dividend</w:t>
      </w:r>
    </w:p>
    <w:p>
      <w:pPr>
        <w:spacing w:after="0" w:line="17" w:lineRule="exact"/>
        <w:rPr>
          <w:rFonts w:ascii="Times New Roman" w:cs="Times New Roman" w:eastAsia="Times New Roman" w:hAnsi="Times New Roman"/>
          <w:sz w:val="14"/>
          <w:szCs w:val="14"/>
          <w:color w:val="auto"/>
        </w:rPr>
      </w:pPr>
    </w:p>
    <w:p>
      <w:pPr>
        <w:ind w:left="360" w:hanging="339"/>
        <w:spacing w:after="0"/>
        <w:tabs>
          <w:tab w:leader="none" w:pos="3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Supplemental dividend</w:t>
      </w:r>
    </w:p>
    <w:p>
      <w:pPr>
        <w:spacing w:after="0" w:line="1" w:lineRule="exact"/>
        <w:rPr>
          <w:rFonts w:ascii="Times New Roman" w:cs="Times New Roman" w:eastAsia="Times New Roman" w:hAnsi="Times New Roman"/>
          <w:sz w:val="14"/>
          <w:szCs w:val="14"/>
          <w:color w:val="auto"/>
        </w:rPr>
      </w:pPr>
    </w:p>
    <w:p>
      <w:pPr>
        <w:ind w:left="360" w:right="40" w:hanging="339"/>
        <w:spacing w:after="0" w:line="233" w:lineRule="auto"/>
        <w:tabs>
          <w:tab w:leader="none" w:pos="3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nine months ended September 30, 2022 and the years ended December 31, 2021 and 2020, the Company directed the DRIP plan administrator to repurchase shares on the open market in order to satisfy the DRIP obligation to deliver shares of common stock in lieu of issuing new shares. Accordingly, the Company purchased and reissued shares to satisfy the DRIP obligation as follows:</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36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36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36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5"/>
                <w:szCs w:val="15"/>
                <w:color w:val="auto"/>
              </w:rPr>
            </w:pPr>
          </w:p>
        </w:tc>
      </w:tr>
      <w:tr>
        <w:trPr>
          <w:trHeight w:val="187"/>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 Ended December 31, 2020:</w:t>
            </w:r>
          </w:p>
        </w:tc>
        <w:tc>
          <w:tcPr>
            <w:tcW w:w="134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Reissued</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Amount Paid</w:t>
            </w:r>
          </w:p>
        </w:tc>
        <w:tc>
          <w:tcPr>
            <w:tcW w:w="80" w:type="dxa"/>
            <w:vAlign w:val="bottom"/>
          </w:tcPr>
          <w:p>
            <w:pPr>
              <w:spacing w:after="0"/>
              <w:rPr>
                <w:sz w:val="16"/>
                <w:szCs w:val="16"/>
                <w:color w:val="auto"/>
              </w:rPr>
            </w:pPr>
          </w:p>
        </w:tc>
      </w:tr>
      <w:tr>
        <w:trPr>
          <w:trHeight w:val="16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January 1, 2020 through March 31, 2020</w:t>
            </w:r>
          </w:p>
        </w:tc>
        <w:tc>
          <w:tcPr>
            <w:tcW w:w="1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31,586</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80" w:type="dxa"/>
            <w:vAlign w:val="bottom"/>
            <w:shd w:val="clear" w:color="auto" w:fill="CCEEFF"/>
          </w:tcPr>
          <w:p>
            <w:pPr>
              <w:spacing w:after="0"/>
              <w:rPr>
                <w:sz w:val="14"/>
                <w:szCs w:val="14"/>
                <w:color w:val="auto"/>
              </w:rPr>
            </w:pPr>
          </w:p>
        </w:tc>
      </w:tr>
      <w:tr>
        <w:trPr>
          <w:trHeight w:val="176"/>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April 1, 2020 through June 30, 2020</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21,904</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tcPr>
          <w:p>
            <w:pPr>
              <w:spacing w:after="0"/>
              <w:rPr>
                <w:sz w:val="15"/>
                <w:szCs w:val="15"/>
                <w:color w:val="auto"/>
              </w:rPr>
            </w:pPr>
          </w:p>
        </w:tc>
      </w:tr>
      <w:tr>
        <w:trPr>
          <w:trHeight w:val="17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July 1, 2020 through September 30, 2020</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28,871</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shd w:val="clear" w:color="auto" w:fill="CCEEFF"/>
          </w:tcPr>
          <w:p>
            <w:pPr>
              <w:spacing w:after="0"/>
              <w:rPr>
                <w:sz w:val="15"/>
                <w:szCs w:val="15"/>
                <w:color w:val="auto"/>
              </w:rPr>
            </w:pPr>
          </w:p>
        </w:tc>
      </w:tr>
      <w:tr>
        <w:trPr>
          <w:trHeight w:val="175"/>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October 1, 2020 through December 31, 2020</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20,222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80" w:type="dxa"/>
            <w:vAlign w:val="bottom"/>
          </w:tcPr>
          <w:p>
            <w:pPr>
              <w:spacing w:after="0"/>
              <w:rPr>
                <w:sz w:val="15"/>
                <w:szCs w:val="15"/>
                <w:color w:val="auto"/>
              </w:rPr>
            </w:pPr>
          </w:p>
        </w:tc>
      </w:tr>
      <w:tr>
        <w:trPr>
          <w:trHeight w:val="209"/>
        </w:trPr>
        <w:tc>
          <w:tcPr>
            <w:tcW w:w="360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102,583</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9.67</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992</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-24765</wp:posOffset>
            </wp:positionV>
            <wp:extent cx="6032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-7620</wp:posOffset>
            </wp:positionV>
            <wp:extent cx="6032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5143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5143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(unaudited)</w:t>
      </w:r>
    </w:p>
    <w:p>
      <w:pPr>
        <w:spacing w:after="0" w:line="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ectPr>
          <w:pgSz w:w="11900" w:h="16838" w:orient="portrait"/>
          <w:cols w:equalWidth="0" w:num="1">
            <w:col w:w="11300"/>
          </w:cols>
          <w:pgMar w:left="320" w:top="117" w:right="27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16510</wp:posOffset>
            </wp:positionV>
            <wp:extent cx="228854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January 1, 2021 through March 31, 2021</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April 1, 2021 through June 30, 2021</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July 1, 2021 through September 30, 2021</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October 1, 2021 through December 31, 2021</w:t>
      </w:r>
    </w:p>
    <w:p>
      <w:pPr>
        <w:spacing w:after="0" w:line="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11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6"/>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5"/>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7"/>
        </w:trPr>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Reissued</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Amount Paid</w:t>
            </w:r>
          </w:p>
        </w:tc>
      </w:tr>
      <w:tr>
        <w:trPr>
          <w:trHeight w:val="160"/>
        </w:trPr>
        <w:tc>
          <w:tcPr>
            <w:tcW w:w="118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15,562</w:t>
            </w:r>
          </w:p>
        </w:tc>
        <w:tc>
          <w:tcPr>
            <w:tcW w:w="240" w:type="dxa"/>
            <w:vAlign w:val="bottom"/>
          </w:tcPr>
          <w:p>
            <w:pPr>
              <w:spacing w:after="0"/>
              <w:rPr>
                <w:sz w:val="13"/>
                <w:szCs w:val="13"/>
                <w:color w:val="auto"/>
              </w:rPr>
            </w:pPr>
          </w:p>
        </w:tc>
        <w:tc>
          <w:tcPr>
            <w:tcW w:w="160" w:type="dxa"/>
            <w:vAlign w:val="bottom"/>
          </w:tcPr>
          <w:p>
            <w:pPr>
              <w:jc w:val="right"/>
              <w:ind w:right="8"/>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15.62</w:t>
            </w:r>
          </w:p>
        </w:tc>
        <w:tc>
          <w:tcPr>
            <w:tcW w:w="240" w:type="dxa"/>
            <w:vAlign w:val="bottom"/>
          </w:tcPr>
          <w:p>
            <w:pPr>
              <w:spacing w:after="0"/>
              <w:rPr>
                <w:sz w:val="13"/>
                <w:szCs w:val="13"/>
                <w:color w:val="auto"/>
              </w:rPr>
            </w:pPr>
          </w:p>
        </w:tc>
        <w:tc>
          <w:tcPr>
            <w:tcW w:w="12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243</w:t>
            </w:r>
          </w:p>
        </w:tc>
      </w:tr>
      <w:tr>
        <w:trPr>
          <w:trHeight w:val="175"/>
        </w:trPr>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17,042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r>
      <w:tr>
        <w:trPr>
          <w:trHeight w:val="176"/>
        </w:trPr>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r>
      <w:tr>
        <w:trPr>
          <w:trHeight w:val="185"/>
        </w:trPr>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18,283</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17.42</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w:t>
            </w:r>
          </w:p>
        </w:tc>
      </w:tr>
      <w:tr>
        <w:trPr>
          <w:trHeight w:val="169"/>
        </w:trPr>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69,088</w:t>
            </w:r>
          </w:p>
        </w:tc>
        <w:tc>
          <w:tcPr>
            <w:tcW w:w="240" w:type="dxa"/>
            <w:vAlign w:val="bottom"/>
          </w:tcPr>
          <w:p>
            <w:pPr>
              <w:spacing w:after="0"/>
              <w:rPr>
                <w:sz w:val="14"/>
                <w:szCs w:val="14"/>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17.05</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1,178</w:t>
            </w: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-3147695</wp:posOffset>
            </wp:positionH>
            <wp:positionV relativeFrom="paragraph">
              <wp:posOffset>-591185</wp:posOffset>
            </wp:positionV>
            <wp:extent cx="5700395" cy="11112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700395" cy="111125"/>
                    </a:xfrm>
                    <a:prstGeom prst="rect">
                      <a:avLst/>
                    </a:prstGeom>
                    <a:noFill/>
                  </pic:spPr>
                </pic:pic>
              </a:graphicData>
            </a:graphic>
          </wp:anchor>
        </w:drawing>
        <w:drawing>
          <wp:anchor simplePos="0" relativeHeight="251657728" behindDoc="1" locked="0" layoutInCell="0" allowOverlap="1">
            <wp:simplePos x="0" y="0"/>
            <wp:positionH relativeFrom="column">
              <wp:posOffset>-3147695</wp:posOffset>
            </wp:positionH>
            <wp:positionV relativeFrom="paragraph">
              <wp:posOffset>-368300</wp:posOffset>
            </wp:positionV>
            <wp:extent cx="5700395" cy="11176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700395" cy="111760"/>
                    </a:xfrm>
                    <a:prstGeom prst="rect">
                      <a:avLst/>
                    </a:prstGeom>
                    <a:noFill/>
                  </pic:spPr>
                </pic:pic>
              </a:graphicData>
            </a:graphic>
          </wp:anchor>
        </w:drawing>
        <w:drawing>
          <wp:anchor simplePos="0" relativeHeight="251657728" behindDoc="1" locked="0" layoutInCell="0" allowOverlap="1">
            <wp:simplePos x="0" y="0"/>
            <wp:positionH relativeFrom="column">
              <wp:posOffset>-3147695</wp:posOffset>
            </wp:positionH>
            <wp:positionV relativeFrom="paragraph">
              <wp:posOffset>-136525</wp:posOffset>
            </wp:positionV>
            <wp:extent cx="5700395" cy="1371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91" w:lineRule="exact"/>
        <w:rPr>
          <w:sz w:val="20"/>
          <w:szCs w:val="20"/>
          <w:color w:val="auto"/>
        </w:rPr>
      </w:pPr>
    </w:p>
    <w:p>
      <w:pPr>
        <w:sectPr>
          <w:pgSz w:w="11900" w:h="16838" w:orient="portrait"/>
          <w:cols w:equalWidth="0" w:num="2">
            <w:col w:w="5380" w:space="720"/>
            <w:col w:w="5200"/>
          </w:cols>
          <w:pgMar w:left="320" w:top="117" w:right="279" w:bottom="1440" w:gutter="0" w:footer="0" w:header="0"/>
          <w:type w:val="continuous"/>
        </w:sectPr>
      </w:pPr>
    </w:p>
    <w:tbl>
      <w:tblPr>
        <w:tblLayout w:type="fixed"/>
        <w:tblInd w:w="1140" w:type="dxa"/>
        <w:tblCellMar>
          <w:top w:w="0" w:type="dxa"/>
          <w:left w:w="0" w:type="dxa"/>
          <w:bottom w:w="0" w:type="dxa"/>
          <w:right w:w="0" w:type="dxa"/>
        </w:tblCellMar>
      </w:tblPr>
      <w:tr>
        <w:trPr>
          <w:trHeight w:val="175"/>
        </w:trPr>
        <w:tc>
          <w:tcPr>
            <w:tcW w:w="3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3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3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5"/>
                <w:szCs w:val="15"/>
                <w:color w:val="auto"/>
              </w:rPr>
            </w:pPr>
          </w:p>
        </w:tc>
      </w:tr>
      <w:tr>
        <w:trPr>
          <w:trHeight w:val="187"/>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116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Reissued</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Amount Paid</w:t>
            </w:r>
          </w:p>
        </w:tc>
        <w:tc>
          <w:tcPr>
            <w:tcW w:w="80" w:type="dxa"/>
            <w:vAlign w:val="bottom"/>
          </w:tcPr>
          <w:p>
            <w:pPr>
              <w:spacing w:after="0"/>
              <w:rPr>
                <w:sz w:val="16"/>
                <w:szCs w:val="16"/>
                <w:color w:val="auto"/>
              </w:rPr>
            </w:pPr>
          </w:p>
        </w:tc>
      </w:tr>
      <w:tr>
        <w:trPr>
          <w:trHeight w:val="169"/>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January 1, 2022 through March 31, 2022</w:t>
            </w:r>
          </w:p>
        </w:tc>
        <w:tc>
          <w:tcPr>
            <w:tcW w:w="1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20,380</w:t>
            </w: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20.51</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80" w:type="dxa"/>
            <w:vAlign w:val="bottom"/>
            <w:shd w:val="clear" w:color="auto" w:fill="CFF0FC"/>
          </w:tcPr>
          <w:p>
            <w:pPr>
              <w:spacing w:after="0"/>
              <w:rPr>
                <w:sz w:val="14"/>
                <w:szCs w:val="14"/>
                <w:color w:val="auto"/>
              </w:rPr>
            </w:pPr>
          </w:p>
        </w:tc>
      </w:tr>
      <w:tr>
        <w:trPr>
          <w:trHeight w:val="175"/>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April 1, 2022 through June 30, 2022</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20,233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80" w:type="dxa"/>
            <w:vAlign w:val="bottom"/>
          </w:tcPr>
          <w:p>
            <w:pPr>
              <w:spacing w:after="0"/>
              <w:rPr>
                <w:sz w:val="15"/>
                <w:szCs w:val="15"/>
                <w:color w:val="auto"/>
              </w:rPr>
            </w:pPr>
          </w:p>
        </w:tc>
      </w:tr>
      <w:tr>
        <w:trPr>
          <w:trHeight w:val="176"/>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July 1, 2022 through September 30, 2022</w:t>
            </w:r>
          </w:p>
        </w:tc>
        <w:tc>
          <w:tcPr>
            <w:tcW w:w="2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21,114</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17.08</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shd w:val="clear" w:color="auto" w:fill="CFF0FC"/>
          </w:tcPr>
          <w:p>
            <w:pPr>
              <w:spacing w:after="0"/>
              <w:rPr>
                <w:sz w:val="15"/>
                <w:szCs w:val="15"/>
                <w:color w:val="auto"/>
              </w:rPr>
            </w:pPr>
          </w:p>
        </w:tc>
      </w:tr>
      <w:tr>
        <w:trPr>
          <w:trHeight w:val="169"/>
        </w:trPr>
        <w:tc>
          <w:tcPr>
            <w:tcW w:w="36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16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61,727</w:t>
            </w:r>
          </w:p>
        </w:tc>
        <w:tc>
          <w:tcPr>
            <w:tcW w:w="1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18.47</w:t>
            </w:r>
          </w:p>
        </w:tc>
        <w:tc>
          <w:tcPr>
            <w:tcW w:w="16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1,140</w:t>
            </w:r>
          </w:p>
        </w:tc>
        <w:tc>
          <w:tcPr>
            <w:tcW w:w="80" w:type="dxa"/>
            <w:vAlign w:val="bottom"/>
          </w:tcPr>
          <w:p>
            <w:pPr>
              <w:spacing w:after="0"/>
              <w:rPr>
                <w:sz w:val="14"/>
                <w:szCs w:val="14"/>
                <w:color w:val="auto"/>
              </w:rPr>
            </w:pPr>
          </w:p>
        </w:tc>
      </w:tr>
      <w:tr>
        <w:trPr>
          <w:trHeight w:val="20"/>
        </w:trPr>
        <w:tc>
          <w:tcPr>
            <w:tcW w:w="3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Financial Highlights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is a schedule of financial highlights for the nine months ended September 30, 2022 and 2021: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0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60" w:type="dxa"/>
            <w:vAlign w:val="bottom"/>
            <w:gridSpan w:val="7"/>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1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508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Net asset value at beginning of period</w:t>
            </w:r>
          </w:p>
        </w:tc>
        <w:tc>
          <w:tcPr>
            <w:tcW w:w="2360" w:type="dxa"/>
            <w:vAlign w:val="bottom"/>
            <w:gridSpan w:val="2"/>
          </w:tcPr>
          <w:p>
            <w:pPr>
              <w:jc w:val="right"/>
              <w:ind w:right="210"/>
              <w:spacing w:after="0" w:line="164"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19.96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jc w:val="right"/>
              <w:ind w:right="230"/>
              <w:spacing w:after="0" w:line="164"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16.81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Net investment income </w:t>
            </w:r>
            <w:r>
              <w:rPr>
                <w:rFonts w:ascii="Times New Roman" w:cs="Times New Roman" w:eastAsia="Times New Roman" w:hAnsi="Times New Roman"/>
                <w:sz w:val="24"/>
                <w:szCs w:val="24"/>
                <w:color w:val="auto"/>
                <w:vertAlign w:val="superscript"/>
              </w:rPr>
              <w:t>(1)</w:t>
            </w: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Net realized gain (loss) on investments, net of tax (provision) </w:t>
            </w:r>
            <w:r>
              <w:rPr>
                <w:rFonts w:ascii="Times New Roman" w:cs="Times New Roman" w:eastAsia="Times New Roman" w:hAnsi="Times New Roman"/>
                <w:sz w:val="24"/>
                <w:szCs w:val="24"/>
                <w:color w:val="auto"/>
                <w:vertAlign w:val="superscript"/>
              </w:rPr>
              <w:t>(1)</w:t>
            </w: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Net unrealized appreciation (depreciation) on investments </w:t>
            </w:r>
            <w:r>
              <w:rPr>
                <w:rFonts w:ascii="Times New Roman" w:cs="Times New Roman" w:eastAsia="Times New Roman" w:hAnsi="Times New Roman"/>
                <w:sz w:val="24"/>
                <w:szCs w:val="24"/>
                <w:color w:val="auto"/>
                <w:vertAlign w:val="superscript"/>
              </w:rPr>
              <w:t>(1)</w:t>
            </w: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(2.78 )</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Realized losses on extinguishment of debt </w:t>
            </w:r>
            <w:r>
              <w:rPr>
                <w:rFonts w:ascii="Times New Roman" w:cs="Times New Roman" w:eastAsia="Times New Roman" w:hAnsi="Times New Roman"/>
                <w:sz w:val="24"/>
                <w:szCs w:val="24"/>
                <w:color w:val="auto"/>
                <w:vertAlign w:val="superscript"/>
              </w:rPr>
              <w:t>(1)</w:t>
            </w:r>
          </w:p>
        </w:tc>
        <w:tc>
          <w:tcPr>
            <w:tcW w:w="1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(0.01 )</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(0.11 )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5080" w:type="dxa"/>
            <w:vAlign w:val="bottom"/>
            <w:vMerge w:val="restart"/>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Total increase from investment operations </w:t>
            </w:r>
            <w:r>
              <w:rPr>
                <w:rFonts w:ascii="Times New Roman" w:cs="Times New Roman" w:eastAsia="Times New Roman" w:hAnsi="Times New Roman"/>
                <w:sz w:val="24"/>
                <w:szCs w:val="24"/>
                <w:color w:val="auto"/>
                <w:vertAlign w:val="superscript"/>
              </w:rPr>
              <w:t>(1)</w:t>
            </w:r>
          </w:p>
        </w:tc>
        <w:tc>
          <w:tcPr>
            <w:tcW w:w="196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Accretive (dilutive) effect of share issuances and repurchases</w:t>
            </w: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Dividends declared to stockholders</w:t>
            </w:r>
          </w:p>
        </w:tc>
        <w:tc>
          <w:tcPr>
            <w:tcW w:w="1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(1.82 )</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from capital gains</w:t>
            </w: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8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Taxes paid on deemed distributions</w:t>
            </w:r>
          </w:p>
        </w:tc>
        <w:tc>
          <w:tcPr>
            <w:tcW w:w="1960" w:type="dxa"/>
            <w:vAlign w:val="bottom"/>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(11)</w:t>
            </w: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asset value at end of period</w:t>
            </w:r>
          </w:p>
        </w:tc>
        <w:tc>
          <w:tcPr>
            <w:tcW w:w="19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Market value at end of period</w:t>
            </w:r>
          </w:p>
        </w:tc>
        <w:tc>
          <w:tcPr>
            <w:tcW w:w="2360" w:type="dxa"/>
            <w:vAlign w:val="bottom"/>
            <w:gridSpan w:val="2"/>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17.18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17.44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Shares outstanding at end of period</w:t>
            </w:r>
          </w:p>
        </w:tc>
        <w:tc>
          <w:tcPr>
            <w:tcW w:w="19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24,437,400</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24,437,400</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during the period</w:t>
            </w: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24,437,400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24,437,400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508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Net assets at end of period</w:t>
            </w:r>
          </w:p>
        </w:tc>
        <w:tc>
          <w:tcPr>
            <w:tcW w:w="2360" w:type="dxa"/>
            <w:vAlign w:val="bottom"/>
            <w:gridSpan w:val="2"/>
          </w:tcPr>
          <w:p>
            <w:pPr>
              <w:jc w:val="right"/>
              <w:ind w:right="210"/>
              <w:spacing w:after="0" w:line="164"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474,387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jc w:val="right"/>
              <w:ind w:right="230"/>
              <w:spacing w:after="0" w:line="164"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447,545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508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Average net assets </w:t>
            </w:r>
            <w:r>
              <w:rPr>
                <w:rFonts w:ascii="Times New Roman" w:cs="Times New Roman" w:eastAsia="Times New Roman" w:hAnsi="Times New Roman"/>
                <w:sz w:val="24"/>
                <w:szCs w:val="24"/>
                <w:color w:val="auto"/>
                <w:vertAlign w:val="superscript"/>
              </w:rPr>
              <w:t>(6)</w:t>
            </w:r>
          </w:p>
        </w:tc>
        <w:tc>
          <w:tcPr>
            <w:tcW w:w="23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483,157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425,171</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508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b w:val="1"/>
                <w:bCs w:val="1"/>
                <w:color w:val="auto"/>
              </w:rPr>
              <w:t>Ratios to average net assets:</w:t>
            </w: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Total expenses </w:t>
            </w:r>
            <w:r>
              <w:rPr>
                <w:rFonts w:ascii="Times New Roman" w:cs="Times New Roman" w:eastAsia="Times New Roman" w:hAnsi="Times New Roman"/>
                <w:sz w:val="24"/>
                <w:szCs w:val="24"/>
                <w:color w:val="auto"/>
                <w:vertAlign w:val="superscript"/>
              </w:rPr>
              <w:t>(2)(4)(10)</w:t>
            </w: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9.0 %</w:t>
            </w:r>
          </w:p>
        </w:tc>
        <w:tc>
          <w:tcPr>
            <w:tcW w:w="44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Net investment income </w:t>
            </w:r>
            <w:r>
              <w:rPr>
                <w:rFonts w:ascii="Times New Roman" w:cs="Times New Roman" w:eastAsia="Times New Roman" w:hAnsi="Times New Roman"/>
                <w:sz w:val="24"/>
                <w:szCs w:val="24"/>
                <w:color w:val="auto"/>
                <w:vertAlign w:val="superscript"/>
              </w:rPr>
              <w:t>(5)</w:t>
            </w: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9.4 %</w:t>
            </w:r>
          </w:p>
        </w:tc>
        <w:tc>
          <w:tcPr>
            <w:tcW w:w="44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Total return based on market value </w:t>
            </w:r>
            <w:r>
              <w:rPr>
                <w:rFonts w:ascii="Times New Roman" w:cs="Times New Roman" w:eastAsia="Times New Roman" w:hAnsi="Times New Roman"/>
                <w:sz w:val="24"/>
                <w:szCs w:val="24"/>
                <w:color w:val="auto"/>
                <w:vertAlign w:val="superscript"/>
              </w:rPr>
              <w:t>(3)</w:t>
            </w: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3.2 %</w:t>
            </w:r>
          </w:p>
        </w:tc>
        <w:tc>
          <w:tcPr>
            <w:tcW w:w="44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46.1 %</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Total return based on net asset value </w:t>
            </w:r>
            <w:r>
              <w:rPr>
                <w:rFonts w:ascii="Times New Roman" w:cs="Times New Roman" w:eastAsia="Times New Roman" w:hAnsi="Times New Roman"/>
                <w:sz w:val="24"/>
                <w:szCs w:val="24"/>
                <w:color w:val="auto"/>
                <w:vertAlign w:val="superscript"/>
              </w:rPr>
              <w:t>(8)</w:t>
            </w: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6.4 %</w:t>
            </w:r>
          </w:p>
        </w:tc>
        <w:tc>
          <w:tcPr>
            <w:tcW w:w="44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r>
        <w:trPr>
          <w:trHeight w:val="268"/>
        </w:trPr>
        <w:tc>
          <w:tcPr>
            <w:tcW w:w="508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Portfolio turnover ratio </w:t>
            </w:r>
            <w:r>
              <w:rPr>
                <w:rFonts w:ascii="Times New Roman" w:cs="Times New Roman" w:eastAsia="Times New Roman" w:hAnsi="Times New Roman"/>
                <w:sz w:val="24"/>
                <w:szCs w:val="24"/>
                <w:color w:val="auto"/>
                <w:vertAlign w:val="superscript"/>
              </w:rPr>
              <w:t>(9)</w:t>
            </w:r>
          </w:p>
        </w:tc>
        <w:tc>
          <w:tcPr>
            <w:tcW w:w="1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21.3 %</w:t>
            </w:r>
          </w:p>
        </w:tc>
        <w:tc>
          <w:tcPr>
            <w:tcW w:w="440" w:type="dxa"/>
            <w:vAlign w:val="bottom"/>
          </w:tcPr>
          <w:p>
            <w:pPr>
              <w:spacing w:after="0"/>
              <w:rPr>
                <w:sz w:val="23"/>
                <w:szCs w:val="23"/>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44.9 %</w:t>
            </w:r>
          </w:p>
        </w:tc>
        <w:tc>
          <w:tcPr>
            <w:tcW w:w="0" w:type="dxa"/>
            <w:vAlign w:val="bottom"/>
          </w:tcPr>
          <w:p>
            <w:pPr>
              <w:spacing w:after="0"/>
              <w:rPr>
                <w:sz w:val="1"/>
                <w:szCs w:val="1"/>
                <w:color w:val="auto"/>
              </w:rPr>
            </w:pPr>
          </w:p>
        </w:tc>
      </w:tr>
      <w:tr>
        <w:trPr>
          <w:trHeight w:val="164"/>
        </w:trPr>
        <w:tc>
          <w:tcPr>
            <w:tcW w:w="508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b w:val="1"/>
                <w:bCs w:val="1"/>
                <w:color w:val="auto"/>
              </w:rPr>
              <w:t>Supplemental Data:</w:t>
            </w: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Average debt outstanding </w:t>
            </w:r>
            <w:r>
              <w:rPr>
                <w:rFonts w:ascii="Times New Roman" w:cs="Times New Roman" w:eastAsia="Times New Roman" w:hAnsi="Times New Roman"/>
                <w:sz w:val="24"/>
                <w:szCs w:val="24"/>
                <w:color w:val="auto"/>
                <w:vertAlign w:val="superscript"/>
              </w:rPr>
              <w:t>(7)</w:t>
            </w:r>
          </w:p>
        </w:tc>
        <w:tc>
          <w:tcPr>
            <w:tcW w:w="23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508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Average debt per share </w:t>
            </w:r>
            <w:r>
              <w:rPr>
                <w:rFonts w:ascii="Times New Roman" w:cs="Times New Roman" w:eastAsia="Times New Roman" w:hAnsi="Times New Roman"/>
                <w:sz w:val="24"/>
                <w:szCs w:val="24"/>
                <w:color w:val="auto"/>
                <w:vertAlign w:val="superscript"/>
              </w:rPr>
              <w:t>(1)</w:t>
            </w:r>
          </w:p>
        </w:tc>
        <w:tc>
          <w:tcPr>
            <w:tcW w:w="23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8"/>
        </w:trPr>
        <w:tc>
          <w:tcPr>
            <w:tcW w:w="5080" w:type="dxa"/>
            <w:vAlign w:val="bottom"/>
          </w:tcPr>
          <w:p>
            <w:pPr>
              <w:spacing w:after="0"/>
              <w:rPr>
                <w:sz w:val="24"/>
                <w:szCs w:val="24"/>
                <w:color w:val="auto"/>
              </w:rPr>
            </w:pPr>
          </w:p>
        </w:tc>
        <w:tc>
          <w:tcPr>
            <w:tcW w:w="196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36</w:t>
            </w: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080" w:type="dxa"/>
            <w:vAlign w:val="bottom"/>
            <w:tcBorders>
              <w:bottom w:val="single" w:sz="8" w:color="9A9A9A"/>
            </w:tcBorders>
          </w:tcPr>
          <w:p>
            <w:pPr>
              <w:spacing w:after="0"/>
              <w:rPr>
                <w:sz w:val="7"/>
                <w:szCs w:val="7"/>
                <w:color w:val="auto"/>
              </w:rPr>
            </w:pPr>
          </w:p>
        </w:tc>
        <w:tc>
          <w:tcPr>
            <w:tcW w:w="19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-3830955</wp:posOffset>
            </wp:positionV>
            <wp:extent cx="7132320" cy="13716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-3556635</wp:posOffset>
            </wp:positionV>
            <wp:extent cx="7132320" cy="13716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-3274060</wp:posOffset>
            </wp:positionV>
            <wp:extent cx="7132320" cy="13716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-2725420</wp:posOffset>
            </wp:positionV>
            <wp:extent cx="4465955" cy="1371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465955" cy="13716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-2305050</wp:posOffset>
            </wp:positionV>
            <wp:extent cx="1482725" cy="18859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48272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-1842135</wp:posOffset>
            </wp:positionV>
            <wp:extent cx="7132320" cy="13716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-1567815</wp:posOffset>
            </wp:positionV>
            <wp:extent cx="7132320" cy="13716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-1293495</wp:posOffset>
            </wp:positionV>
            <wp:extent cx="7132320" cy="13716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-1019175</wp:posOffset>
            </wp:positionV>
            <wp:extent cx="7132320" cy="13716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-744855</wp:posOffset>
            </wp:positionV>
            <wp:extent cx="7132320" cy="13716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3716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17" w:right="279" w:bottom="1440" w:gutter="0" w:footer="0" w:header="0"/>
          <w:type w:val="continuous"/>
        </w:sectPr>
      </w:pPr>
    </w:p>
    <w:bookmarkStart w:id="36" w:name="page37"/>
    <w:bookmarkEnd w:id="36"/>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2" w:lineRule="exact"/>
        <w:rPr>
          <w:sz w:val="20"/>
          <w:szCs w:val="20"/>
          <w:color w:val="auto"/>
        </w:rPr>
      </w:pPr>
    </w:p>
    <w:p>
      <w:pPr>
        <w:ind w:left="520" w:hanging="499"/>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per share data.</w:t>
      </w:r>
    </w:p>
    <w:p>
      <w:pPr>
        <w:spacing w:after="0" w:line="11" w:lineRule="exact"/>
        <w:rPr>
          <w:rFonts w:ascii="Times New Roman" w:cs="Times New Roman" w:eastAsia="Times New Roman" w:hAnsi="Times New Roman"/>
          <w:sz w:val="14"/>
          <w:szCs w:val="14"/>
          <w:color w:val="auto"/>
        </w:rPr>
      </w:pPr>
    </w:p>
    <w:p>
      <w:pPr>
        <w:ind w:left="520" w:hanging="499"/>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Annualized with the exception of income tax (provision) benefit from realized gains on investments.</w:t>
      </w:r>
    </w:p>
    <w:p>
      <w:pPr>
        <w:spacing w:after="0" w:line="14" w:lineRule="exact"/>
        <w:rPr>
          <w:rFonts w:ascii="Times New Roman" w:cs="Times New Roman" w:eastAsia="Times New Roman" w:hAnsi="Times New Roman"/>
          <w:sz w:val="14"/>
          <w:szCs w:val="14"/>
          <w:color w:val="auto"/>
        </w:rPr>
      </w:pPr>
    </w:p>
    <w:p>
      <w:pPr>
        <w:jc w:val="both"/>
        <w:ind w:left="520" w:right="100" w:hanging="499"/>
        <w:spacing w:after="0" w:line="234" w:lineRule="auto"/>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based on market value equals the change in the market value of the Company’s common stock per share during the period divided by the market value per share at the beginning of the period, and assumes reinvestment of dividends at prices obtained by our dividend reinvestment plan during the period. The return does not reflect any sales load that may be paid by an investor.</w:t>
      </w:r>
    </w:p>
    <w:p>
      <w:pPr>
        <w:spacing w:after="0" w:line="2" w:lineRule="exact"/>
        <w:rPr>
          <w:rFonts w:ascii="Times New Roman" w:cs="Times New Roman" w:eastAsia="Times New Roman" w:hAnsi="Times New Roman"/>
          <w:sz w:val="14"/>
          <w:szCs w:val="14"/>
          <w:color w:val="auto"/>
        </w:rPr>
      </w:pPr>
    </w:p>
    <w:p>
      <w:pPr>
        <w:ind w:left="520" w:right="80" w:hanging="499"/>
        <w:spacing w:after="0" w:line="250" w:lineRule="auto"/>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expenses to average net assets ratio is calculated using (i) the “total expenses, net of base management waiver”, (ii) the “income tax provision (benefit)”, and (iii) the “income tax (provision) benefit from realized gains on investments” captions, as presented on the consolidated statements of operations.</w:t>
      </w:r>
    </w:p>
    <w:p>
      <w:pPr>
        <w:spacing w:after="0" w:line="1" w:lineRule="exact"/>
        <w:rPr>
          <w:rFonts w:ascii="Times New Roman" w:cs="Times New Roman" w:eastAsia="Times New Roman" w:hAnsi="Times New Roman"/>
          <w:sz w:val="14"/>
          <w:szCs w:val="14"/>
          <w:color w:val="auto"/>
        </w:rPr>
      </w:pPr>
    </w:p>
    <w:p>
      <w:pPr>
        <w:ind w:left="520" w:right="100" w:hanging="499"/>
        <w:spacing w:after="0" w:line="241" w:lineRule="auto"/>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investment income to average net assets ratio is calculated using the net investment income caption as presented on the consolidated statements of operations, which includes incentive fee.</w:t>
      </w:r>
    </w:p>
    <w:p>
      <w:pPr>
        <w:ind w:left="520" w:hanging="499"/>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net assets is calculated as the average of the net asset balances as of each quarter end during the fiscal year and the prior year end.</w:t>
      </w:r>
    </w:p>
    <w:p>
      <w:pPr>
        <w:spacing w:after="0" w:line="14" w:lineRule="exact"/>
        <w:rPr>
          <w:rFonts w:ascii="Times New Roman" w:cs="Times New Roman" w:eastAsia="Times New Roman" w:hAnsi="Times New Roman"/>
          <w:sz w:val="14"/>
          <w:szCs w:val="14"/>
          <w:color w:val="auto"/>
        </w:rPr>
      </w:pPr>
    </w:p>
    <w:p>
      <w:pPr>
        <w:ind w:left="520" w:hanging="499"/>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debt outstanding is calculated as the average of the outstanding debt balances, including secured borrowings, as of each quarter end during the fiscal year and the prior year end.</w:t>
      </w:r>
    </w:p>
    <w:p>
      <w:pPr>
        <w:spacing w:after="0" w:line="109" w:lineRule="exact"/>
        <w:rPr>
          <w:rFonts w:ascii="Times New Roman" w:cs="Times New Roman" w:eastAsia="Times New Roman" w:hAnsi="Times New Roman"/>
          <w:sz w:val="14"/>
          <w:szCs w:val="14"/>
          <w:color w:val="auto"/>
        </w:rPr>
      </w:pPr>
    </w:p>
    <w:p>
      <w:pPr>
        <w:jc w:val="both"/>
        <w:ind w:left="520" w:right="80" w:hanging="499"/>
        <w:spacing w:after="0" w:line="241" w:lineRule="auto"/>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based on net asset value per share equals the change in net asset value per share during the period, plus dividends paid per share during the period, less other non-operating changes during the period, and divided by beginning net asset value per share for the period. Non-operating changes include any items that affect net asset value per share other than increase from investment operations, such as the effects of share issuances and repurchases and other miscellaneous items.</w:t>
      </w:r>
    </w:p>
    <w:p>
      <w:pPr>
        <w:spacing w:after="0" w:line="176" w:lineRule="exact"/>
        <w:rPr>
          <w:rFonts w:ascii="Times New Roman" w:cs="Times New Roman" w:eastAsia="Times New Roman" w:hAnsi="Times New Roman"/>
          <w:sz w:val="14"/>
          <w:szCs w:val="14"/>
          <w:color w:val="auto"/>
        </w:rPr>
      </w:pPr>
    </w:p>
    <w:p>
      <w:pPr>
        <w:ind w:left="520" w:hanging="499"/>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Annualized.</w:t>
      </w:r>
    </w:p>
    <w:p>
      <w:pPr>
        <w:spacing w:after="0" w:line="27" w:lineRule="exact"/>
        <w:rPr>
          <w:rFonts w:ascii="Times New Roman" w:cs="Times New Roman" w:eastAsia="Times New Roman" w:hAnsi="Times New Roman"/>
          <w:sz w:val="14"/>
          <w:szCs w:val="14"/>
          <w:color w:val="auto"/>
        </w:rPr>
      </w:pPr>
    </w:p>
    <w:p>
      <w:pPr>
        <w:ind w:left="520" w:hanging="499"/>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are schedules of supplemental expense ratios to average net assets: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32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36"/>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Ratio to average net assets:</w:t>
            </w:r>
          </w:p>
        </w:tc>
        <w:tc>
          <w:tcPr>
            <w:tcW w:w="196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820" w:type="dxa"/>
            <w:vAlign w:val="bottom"/>
            <w:tcBorders>
              <w:top w:val="single" w:sz="8" w:color="auto"/>
            </w:tcBorders>
          </w:tcPr>
          <w:p>
            <w:pPr>
              <w:ind w:left="20"/>
              <w:spacing w:after="0" w:line="178" w:lineRule="exact"/>
              <w:rPr>
                <w:sz w:val="20"/>
                <w:szCs w:val="20"/>
                <w:color w:val="auto"/>
              </w:rPr>
            </w:pPr>
            <w:r>
              <w:rPr>
                <w:rFonts w:ascii="Times New Roman" w:cs="Times New Roman" w:eastAsia="Times New Roman" w:hAnsi="Times New Roman"/>
                <w:sz w:val="15"/>
                <w:szCs w:val="15"/>
                <w:color w:val="auto"/>
              </w:rPr>
              <w:t xml:space="preserve">Expenses other than incentive fee </w:t>
            </w:r>
            <w:r>
              <w:rPr>
                <w:rFonts w:ascii="Times New Roman" w:cs="Times New Roman" w:eastAsia="Times New Roman" w:hAnsi="Times New Roman"/>
                <w:sz w:val="20"/>
                <w:szCs w:val="20"/>
                <w:color w:val="auto"/>
                <w:vertAlign w:val="superscript"/>
              </w:rPr>
              <w:t>(2)</w:t>
            </w:r>
          </w:p>
        </w:tc>
        <w:tc>
          <w:tcPr>
            <w:tcW w:w="160" w:type="dxa"/>
            <w:vAlign w:val="bottom"/>
          </w:tcPr>
          <w:p>
            <w:pPr>
              <w:spacing w:after="0"/>
              <w:rPr>
                <w:sz w:val="15"/>
                <w:szCs w:val="15"/>
                <w:color w:val="auto"/>
              </w:rPr>
            </w:pPr>
          </w:p>
        </w:tc>
        <w:tc>
          <w:tcPr>
            <w:tcW w:w="196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7.7</w:t>
            </w:r>
          </w:p>
        </w:tc>
        <w:tc>
          <w:tcPr>
            <w:tcW w:w="28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w w:val="93"/>
              </w:rPr>
              <w:t>%</w:t>
            </w:r>
          </w:p>
        </w:tc>
        <w:tc>
          <w:tcPr>
            <w:tcW w:w="192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Incentive fee </w:t>
            </w:r>
            <w:r>
              <w:rPr>
                <w:rFonts w:ascii="Times New Roman" w:cs="Times New Roman" w:eastAsia="Times New Roman" w:hAnsi="Times New Roman"/>
                <w:sz w:val="24"/>
                <w:szCs w:val="24"/>
                <w:color w:val="auto"/>
                <w:vertAlign w:val="superscript"/>
              </w:rPr>
              <w:t>(9)</w:t>
            </w:r>
          </w:p>
        </w:tc>
        <w:tc>
          <w:tcPr>
            <w:tcW w:w="2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1.3 %</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5"/>
        </w:trPr>
        <w:tc>
          <w:tcPr>
            <w:tcW w:w="6980" w:type="dxa"/>
            <w:vAlign w:val="bottom"/>
            <w:gridSpan w:val="2"/>
            <w:vMerge w:val="restart"/>
          </w:tcPr>
          <w:p>
            <w:pPr>
              <w:ind w:left="20"/>
              <w:spacing w:after="0" w:line="255" w:lineRule="exact"/>
              <w:rPr>
                <w:sz w:val="20"/>
                <w:szCs w:val="20"/>
                <w:color w:val="auto"/>
              </w:rPr>
            </w:pPr>
            <w:r>
              <w:rPr>
                <w:rFonts w:ascii="Times New Roman" w:cs="Times New Roman" w:eastAsia="Times New Roman" w:hAnsi="Times New Roman"/>
                <w:sz w:val="18"/>
                <w:szCs w:val="18"/>
                <w:color w:val="auto"/>
              </w:rPr>
              <w:t xml:space="preserve">Total expenses </w:t>
            </w:r>
            <w:r>
              <w:rPr>
                <w:rFonts w:ascii="Times New Roman" w:cs="Times New Roman" w:eastAsia="Times New Roman" w:hAnsi="Times New Roman"/>
                <w:sz w:val="24"/>
                <w:szCs w:val="24"/>
                <w:color w:val="auto"/>
                <w:vertAlign w:val="superscript"/>
              </w:rPr>
              <w:t>(2)(4)</w:t>
            </w:r>
          </w:p>
        </w:tc>
        <w:tc>
          <w:tcPr>
            <w:tcW w:w="19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980" w:type="dxa"/>
            <w:vAlign w:val="bottom"/>
            <w:gridSpan w:val="2"/>
            <w:vMerge w:val="continue"/>
          </w:tcPr>
          <w:p>
            <w:pPr>
              <w:spacing w:after="0"/>
              <w:rPr>
                <w:sz w:val="18"/>
                <w:szCs w:val="18"/>
                <w:color w:val="auto"/>
              </w:rPr>
            </w:pPr>
          </w:p>
        </w:tc>
        <w:tc>
          <w:tcPr>
            <w:tcW w:w="2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9.0 </w:t>
            </w:r>
            <w:r>
              <w:rPr>
                <w:rFonts w:ascii="Times New Roman" w:cs="Times New Roman" w:eastAsia="Times New Roman" w:hAnsi="Times New Roman"/>
                <w:sz w:val="18"/>
                <w:szCs w:val="18"/>
                <w:color w:val="auto"/>
                <w:highlight w:val="white"/>
              </w:rPr>
              <w:t>%</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13.7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54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860" w:type="dxa"/>
            <w:vAlign w:val="bottom"/>
          </w:tcPr>
          <w:p>
            <w:pPr>
              <w:spacing w:after="0"/>
              <w:rPr>
                <w:sz w:val="22"/>
                <w:szCs w:val="22"/>
                <w:color w:val="auto"/>
              </w:rPr>
            </w:pPr>
          </w:p>
        </w:tc>
        <w:tc>
          <w:tcPr>
            <w:tcW w:w="4440" w:type="dxa"/>
            <w:vAlign w:val="bottom"/>
            <w:gridSpan w:val="5"/>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37"/>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Ratio to average net assets:</w:t>
            </w:r>
          </w:p>
        </w:tc>
        <w:tc>
          <w:tcPr>
            <w:tcW w:w="208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6860" w:type="dxa"/>
            <w:vAlign w:val="bottom"/>
          </w:tcPr>
          <w:p>
            <w:pPr>
              <w:ind w:left="20"/>
              <w:spacing w:after="0" w:line="164" w:lineRule="exact"/>
              <w:rPr>
                <w:sz w:val="20"/>
                <w:szCs w:val="20"/>
                <w:color w:val="auto"/>
              </w:rPr>
            </w:pPr>
            <w:r>
              <w:rPr>
                <w:rFonts w:ascii="Times New Roman" w:cs="Times New Roman" w:eastAsia="Times New Roman" w:hAnsi="Times New Roman"/>
                <w:sz w:val="15"/>
                <w:szCs w:val="15"/>
                <w:color w:val="auto"/>
              </w:rPr>
              <w:t xml:space="preserve">Total expenses, before base management fee waiver </w:t>
            </w:r>
            <w:r>
              <w:rPr>
                <w:rFonts w:ascii="Times New Roman" w:cs="Times New Roman" w:eastAsia="Times New Roman" w:hAnsi="Times New Roman"/>
                <w:sz w:val="19"/>
                <w:szCs w:val="19"/>
                <w:color w:val="auto"/>
                <w:vertAlign w:val="superscript"/>
              </w:rPr>
              <w:t>(2)</w:t>
            </w: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9.1</w:t>
            </w:r>
          </w:p>
        </w:tc>
        <w:tc>
          <w:tcPr>
            <w:tcW w:w="2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93"/>
              </w:rPr>
              <w:t>%</w:t>
            </w:r>
          </w:p>
        </w:tc>
        <w:tc>
          <w:tcPr>
            <w:tcW w:w="400" w:type="dxa"/>
            <w:vAlign w:val="bottom"/>
          </w:tcPr>
          <w:p>
            <w:pPr>
              <w:spacing w:after="0"/>
              <w:rPr>
                <w:sz w:val="14"/>
                <w:szCs w:val="14"/>
                <w:color w:val="auto"/>
              </w:rPr>
            </w:pPr>
          </w:p>
        </w:tc>
        <w:tc>
          <w:tcPr>
            <w:tcW w:w="15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13.7</w:t>
            </w:r>
          </w:p>
        </w:tc>
        <w:tc>
          <w:tcPr>
            <w:tcW w:w="1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Base management fee waiver </w:t>
            </w:r>
            <w:r>
              <w:rPr>
                <w:rFonts w:ascii="Times New Roman" w:cs="Times New Roman" w:eastAsia="Times New Roman" w:hAnsi="Times New Roman"/>
                <w:sz w:val="24"/>
                <w:szCs w:val="24"/>
                <w:color w:val="auto"/>
                <w:vertAlign w:val="superscript"/>
              </w:rPr>
              <w:t>(9)</w:t>
            </w:r>
          </w:p>
        </w:tc>
        <w:tc>
          <w:tcPr>
            <w:tcW w:w="27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(0.1 %)</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38"/>
        </w:trPr>
        <w:tc>
          <w:tcPr>
            <w:tcW w:w="6860" w:type="dxa"/>
            <w:vAlign w:val="bottom"/>
            <w:vMerge w:val="restart"/>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Total expenses </w:t>
            </w:r>
            <w:r>
              <w:rPr>
                <w:rFonts w:ascii="Times New Roman" w:cs="Times New Roman" w:eastAsia="Times New Roman" w:hAnsi="Times New Roman"/>
                <w:sz w:val="24"/>
                <w:szCs w:val="24"/>
                <w:color w:val="auto"/>
                <w:vertAlign w:val="superscript"/>
              </w:rPr>
              <w:t>(2)(4)</w:t>
            </w:r>
          </w:p>
        </w:tc>
        <w:tc>
          <w:tcPr>
            <w:tcW w:w="2080" w:type="dxa"/>
            <w:vAlign w:val="bottom"/>
            <w:tcBorders>
              <w:bottom w:val="single" w:sz="8" w:color="auto"/>
            </w:tcBorders>
          </w:tcPr>
          <w:p>
            <w:pPr>
              <w:spacing w:after="0"/>
              <w:rPr>
                <w:sz w:val="3"/>
                <w:szCs w:val="3"/>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highlight w:val="white"/>
                <w:w w:val="93"/>
              </w:rPr>
              <w:t>%</w:t>
            </w:r>
          </w:p>
        </w:tc>
        <w:tc>
          <w:tcPr>
            <w:tcW w:w="4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highlight w:val="white"/>
                <w:w w:val="93"/>
              </w:rPr>
              <w:t>%</w:t>
            </w:r>
          </w:p>
        </w:tc>
        <w:tc>
          <w:tcPr>
            <w:tcW w:w="0" w:type="dxa"/>
            <w:vAlign w:val="bottom"/>
          </w:tcPr>
          <w:p>
            <w:pPr>
              <w:spacing w:after="0"/>
              <w:rPr>
                <w:sz w:val="1"/>
                <w:szCs w:val="1"/>
                <w:color w:val="auto"/>
              </w:rPr>
            </w:pPr>
          </w:p>
        </w:tc>
      </w:tr>
      <w:tr>
        <w:trPr>
          <w:trHeight w:val="210"/>
        </w:trPr>
        <w:tc>
          <w:tcPr>
            <w:tcW w:w="6860" w:type="dxa"/>
            <w:vAlign w:val="bottom"/>
            <w:vMerge w:val="continue"/>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426910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26910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60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0" w:lineRule="exact"/>
        <w:rPr>
          <w:sz w:val="20"/>
          <w:szCs w:val="20"/>
          <w:color w:val="auto"/>
        </w:rPr>
      </w:pPr>
    </w:p>
    <w:p>
      <w:pPr>
        <w:ind w:left="480" w:right="260" w:hanging="459"/>
        <w:spacing w:after="0" w:line="261" w:lineRule="auto"/>
        <w:tabs>
          <w:tab w:leader="none" w:pos="4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impact of different share amounts used in calculating per share data as a result of calculating certain per share data based on weighted average shares outstanding during the period and certain per share data based on the shares outstanding as of a period end or transaction date, or other rounding.</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378" w:lineRule="exact"/>
        <w:rPr>
          <w:sz w:val="20"/>
          <w:szCs w:val="20"/>
          <w:color w:val="auto"/>
        </w:rPr>
      </w:pPr>
    </w:p>
    <w:p>
      <w:pPr>
        <w:jc w:val="both"/>
        <w:ind w:right="60" w:firstLine="478"/>
        <w:spacing w:after="0" w:line="250" w:lineRule="auto"/>
        <w:rPr>
          <w:sz w:val="20"/>
          <w:szCs w:val="20"/>
          <w:color w:val="auto"/>
        </w:rPr>
      </w:pPr>
      <w:r>
        <w:rPr>
          <w:rFonts w:ascii="Times New Roman" w:cs="Times New Roman" w:eastAsia="Times New Roman" w:hAnsi="Times New Roman"/>
          <w:sz w:val="18"/>
          <w:szCs w:val="18"/>
          <w:color w:val="auto"/>
        </w:rPr>
        <w:t>On October 3, 2022, the Company invested $1,000 in common equity of EBL, LLC, which was acquired under a new holding company, FOM Eblens Holdings, LLC (dba Eblens), and became a controlled affiliate investment. In conjunction with the transaction, the Company amended the terms of its second lien debt investment and committed up to $375 in incremental common equity.</w:t>
      </w:r>
    </w:p>
    <w:p>
      <w:pPr>
        <w:spacing w:after="0" w:line="136" w:lineRule="exact"/>
        <w:rPr>
          <w:sz w:val="20"/>
          <w:szCs w:val="20"/>
          <w:color w:val="auto"/>
        </w:rPr>
      </w:pPr>
    </w:p>
    <w:p>
      <w:pPr>
        <w:jc w:val="both"/>
        <w:ind w:right="60" w:firstLine="478"/>
        <w:spacing w:after="0" w:line="266" w:lineRule="auto"/>
        <w:rPr>
          <w:sz w:val="20"/>
          <w:szCs w:val="20"/>
          <w:color w:val="auto"/>
        </w:rPr>
      </w:pPr>
      <w:r>
        <w:rPr>
          <w:rFonts w:ascii="Times New Roman" w:cs="Times New Roman" w:eastAsia="Times New Roman" w:hAnsi="Times New Roman"/>
          <w:sz w:val="18"/>
          <w:szCs w:val="18"/>
          <w:color w:val="auto"/>
        </w:rPr>
        <w:t>On October 7, 2022, the Company exited its debt investment in UPG Company, LLC. The Company received payment in full of $16,986 on its first lien debt, which included a prepayment fee.</w:t>
      </w:r>
    </w:p>
    <w:p>
      <w:pPr>
        <w:spacing w:after="0" w:line="108" w:lineRule="exact"/>
        <w:rPr>
          <w:sz w:val="20"/>
          <w:szCs w:val="20"/>
          <w:color w:val="auto"/>
        </w:rPr>
      </w:pPr>
    </w:p>
    <w:p>
      <w:pPr>
        <w:jc w:val="both"/>
        <w:ind w:right="60" w:firstLine="478"/>
        <w:spacing w:after="0" w:line="258" w:lineRule="auto"/>
        <w:rPr>
          <w:sz w:val="20"/>
          <w:szCs w:val="20"/>
          <w:color w:val="auto"/>
        </w:rPr>
      </w:pPr>
      <w:r>
        <w:rPr>
          <w:rFonts w:ascii="Times New Roman" w:cs="Times New Roman" w:eastAsia="Times New Roman" w:hAnsi="Times New Roman"/>
          <w:sz w:val="18"/>
          <w:szCs w:val="18"/>
          <w:color w:val="auto"/>
        </w:rPr>
        <w:t>On October 17, 2022, the Company exited its debt and equity investment in OMC Investors, LLC (dba Ohio Medical Corporation). The Company received payment in full of $5,150 on its second lien debt, which included a prepayment fee. The Company received a distribution on its equity investment for a realized gain of approximately $656.</w:t>
      </w:r>
    </w:p>
    <w:p>
      <w:pPr>
        <w:spacing w:after="0" w:line="115" w:lineRule="exact"/>
        <w:rPr>
          <w:sz w:val="20"/>
          <w:szCs w:val="20"/>
          <w:color w:val="auto"/>
        </w:rPr>
      </w:pPr>
    </w:p>
    <w:p>
      <w:pPr>
        <w:jc w:val="both"/>
        <w:ind w:right="60" w:firstLine="478"/>
        <w:spacing w:after="0" w:line="282" w:lineRule="auto"/>
        <w:rPr>
          <w:sz w:val="20"/>
          <w:szCs w:val="20"/>
          <w:color w:val="auto"/>
        </w:rPr>
      </w:pPr>
      <w:r>
        <w:rPr>
          <w:rFonts w:ascii="Times New Roman" w:cs="Times New Roman" w:eastAsia="Times New Roman" w:hAnsi="Times New Roman"/>
          <w:sz w:val="18"/>
          <w:szCs w:val="18"/>
          <w:color w:val="auto"/>
        </w:rPr>
        <w:t>On October 31, 2022, the Board declared an incremental supplemental dividend of $0.08 per share and a special dividend of $0.10 per share for the fourth quarter, which are payable on December 16, 2022, to stockholders of record as of December 2, 2022.</w:t>
      </w:r>
    </w:p>
    <w:p>
      <w:pPr>
        <w:spacing w:after="0" w:line="135" w:lineRule="exact"/>
        <w:rPr>
          <w:sz w:val="20"/>
          <w:szCs w:val="20"/>
          <w:color w:val="auto"/>
        </w:rPr>
      </w:pPr>
    </w:p>
    <w:p>
      <w:pPr>
        <w:ind w:right="100" w:firstLine="479"/>
        <w:spacing w:after="0" w:line="282" w:lineRule="auto"/>
        <w:rPr>
          <w:sz w:val="20"/>
          <w:szCs w:val="20"/>
          <w:color w:val="auto"/>
        </w:rPr>
      </w:pPr>
      <w:r>
        <w:rPr>
          <w:rFonts w:ascii="Times New Roman" w:cs="Times New Roman" w:eastAsia="Times New Roman" w:hAnsi="Times New Roman"/>
          <w:sz w:val="18"/>
          <w:szCs w:val="18"/>
          <w:color w:val="auto"/>
        </w:rPr>
        <w:t>On October 31, 2022, the Company invested $6,000 in second lien debt of Education Incites, LLC (dba Acceleration Academies), a leading provider of alternative education academies focused on high school dropout recovery throughout the United States.</w:t>
      </w:r>
    </w:p>
    <w:p>
      <w:pPr>
        <w:spacing w:after="0" w:line="94" w:lineRule="exact"/>
        <w:rPr>
          <w:sz w:val="20"/>
          <w:szCs w:val="20"/>
          <w:color w:val="auto"/>
        </w:rPr>
      </w:pPr>
    </w:p>
    <w:p>
      <w:pPr>
        <w:ind w:right="60" w:firstLine="478"/>
        <w:spacing w:after="0" w:line="266" w:lineRule="auto"/>
        <w:rPr>
          <w:sz w:val="20"/>
          <w:szCs w:val="20"/>
          <w:color w:val="auto"/>
        </w:rPr>
      </w:pPr>
      <w:r>
        <w:rPr>
          <w:rFonts w:ascii="Times New Roman" w:cs="Times New Roman" w:eastAsia="Times New Roman" w:hAnsi="Times New Roman"/>
          <w:sz w:val="18"/>
          <w:szCs w:val="18"/>
          <w:color w:val="auto"/>
        </w:rPr>
        <w:t>On November 1, 2022, the Company issued an additional $5,000 and $3,000 in SBA debentures, which will bear interest at fixed interim interest rates of 5.221% and 5.123%, respectively, until the pooling date in March 2023.</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7" w:right="2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Fidus Investment Corporation’s consolidated financial statements and related notes appearing in our annual report on Form 10-K for the year ended December 31, 2021, filed with the SEC on March 3, 2022. The information contained in this section should also be read in conjunction with our unaudited consolidated financial statements and related notes thereto appearing elsewhere in this Quarterly Report on Form 10-Q.</w:t>
      </w:r>
    </w:p>
    <w:p>
      <w:pPr>
        <w:spacing w:after="0" w:line="160" w:lineRule="exact"/>
        <w:rPr>
          <w:sz w:val="20"/>
          <w:szCs w:val="20"/>
          <w:color w:val="auto"/>
        </w:rPr>
      </w:pPr>
    </w:p>
    <w:p>
      <w:pPr>
        <w:jc w:val="both"/>
        <w:ind w:firstLine="281"/>
        <w:spacing w:after="0" w:line="284" w:lineRule="auto"/>
        <w:rPr>
          <w:sz w:val="20"/>
          <w:szCs w:val="20"/>
          <w:color w:val="auto"/>
        </w:rPr>
      </w:pPr>
      <w:r>
        <w:rPr>
          <w:rFonts w:ascii="Times New Roman" w:cs="Times New Roman" w:eastAsia="Times New Roman" w:hAnsi="Times New Roman"/>
          <w:sz w:val="18"/>
          <w:szCs w:val="18"/>
          <w:i w:val="1"/>
          <w:iCs w:val="1"/>
          <w:color w:val="auto"/>
        </w:rPr>
        <w:t>Except as otherwise specified, references to “we,” “us,” “our,” “Fidus” and “FIC” refer to Fidus Investment Corporation and its consolidated subsidiaries.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62"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Fidus Investment Corporation,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Quarterly Report on Form 10-Q involve risks and uncertainties, including statements as to:</w:t>
      </w:r>
    </w:p>
    <w:p>
      <w:pPr>
        <w:spacing w:after="0" w:line="126"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 and the uncertainties associated with the continued impact of the COVID-19 pandemic thereon;</w:t>
      </w:r>
    </w:p>
    <w:p>
      <w:pPr>
        <w:spacing w:after="0" w:line="1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and lending markets;</w:t>
      </w:r>
    </w:p>
    <w:p>
      <w:pPr>
        <w:spacing w:after="0" w:line="7" w:lineRule="exact"/>
        <w:rPr>
          <w:rFonts w:ascii="Times New Roman" w:cs="Times New Roman" w:eastAsia="Times New Roman" w:hAnsi="Times New Roman"/>
          <w:sz w:val="18"/>
          <w:szCs w:val="18"/>
          <w:color w:val="auto"/>
        </w:rPr>
      </w:pPr>
    </w:p>
    <w:p>
      <w:pPr>
        <w:ind w:left="1020" w:right="160" w:hanging="503"/>
        <w:spacing w:after="0" w:line="235"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portfolio companies, including our and their ability to achieve our respective objectives as a result of the ongoing COVID-19 pandemic;</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7" w:lineRule="exact"/>
        <w:rPr>
          <w:rFonts w:ascii="Times New Roman" w:cs="Times New Roman" w:eastAsia="Times New Roman" w:hAnsi="Times New Roman"/>
          <w:sz w:val="18"/>
          <w:szCs w:val="18"/>
          <w:color w:val="auto"/>
        </w:rPr>
      </w:pPr>
    </w:p>
    <w:p>
      <w:pPr>
        <w:ind w:left="1020" w:hanging="503"/>
        <w:spacing w:after="0" w:line="23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ind w:left="1020" w:right="540" w:hanging="503"/>
        <w:spacing w:after="0" w:line="24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 and the impact of the COVID-19 pandemic thereon;</w:t>
      </w:r>
    </w:p>
    <w:p>
      <w:pPr>
        <w:spacing w:after="0" w:line="1" w:lineRule="exact"/>
        <w:rPr>
          <w:rFonts w:ascii="Times New Roman" w:cs="Times New Roman" w:eastAsia="Times New Roman" w:hAnsi="Times New Roman"/>
          <w:sz w:val="18"/>
          <w:szCs w:val="18"/>
          <w:color w:val="auto"/>
        </w:rPr>
      </w:pPr>
    </w:p>
    <w:p>
      <w:pPr>
        <w:ind w:left="1020" w:hanging="503"/>
        <w:spacing w:after="0" w:line="23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portfolio companies to achieve their objectives;</w:t>
      </w:r>
    </w:p>
    <w:p>
      <w:pPr>
        <w:ind w:left="1020" w:hanging="503"/>
        <w:spacing w:after="0" w:line="234"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 and investments;</w:t>
      </w:r>
    </w:p>
    <w:p>
      <w:pPr>
        <w:ind w:left="1020" w:hanging="503"/>
        <w:spacing w:after="0" w:line="234"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w:t>
      </w: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portfolio companies and the impact of the COVID-19 pandemic thereon;</w:t>
      </w:r>
    </w:p>
    <w:p>
      <w:pPr>
        <w:spacing w:after="0" w:line="7" w:lineRule="exact"/>
        <w:rPr>
          <w:rFonts w:ascii="Times New Roman" w:cs="Times New Roman" w:eastAsia="Times New Roman" w:hAnsi="Times New Roman"/>
          <w:sz w:val="18"/>
          <w:szCs w:val="18"/>
          <w:color w:val="auto"/>
        </w:rPr>
      </w:pPr>
    </w:p>
    <w:p>
      <w:pPr>
        <w:ind w:left="1020" w:right="160" w:hanging="503"/>
        <w:spacing w:after="0" w:line="235"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Investment Advisor to locate suitable investments for us and to monitor and administer our investments and the impacts of the COVID-19 pandemic thereon;</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investment advisor to attract and retain highly talented professionals;</w:t>
      </w:r>
    </w:p>
    <w:p>
      <w:pPr>
        <w:spacing w:after="0" w:line="7" w:lineRule="exact"/>
        <w:rPr>
          <w:rFonts w:ascii="Times New Roman" w:cs="Times New Roman" w:eastAsia="Times New Roman" w:hAnsi="Times New Roman"/>
          <w:sz w:val="18"/>
          <w:szCs w:val="18"/>
          <w:color w:val="auto"/>
        </w:rPr>
      </w:pPr>
    </w:p>
    <w:p>
      <w:pPr>
        <w:ind w:left="1020" w:hanging="503"/>
        <w:spacing w:after="0" w:line="23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regulatory structure and tax treatment;</w:t>
      </w:r>
    </w:p>
    <w:p>
      <w:pPr>
        <w:ind w:left="1020" w:hanging="503"/>
        <w:spacing w:after="0" w:line="234"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as a BDC and a RIC and each of the Funds to operate as an SBIC;</w:t>
      </w: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form and amount of any dividend distributions;</w:t>
      </w:r>
    </w:p>
    <w:p>
      <w:pPr>
        <w:spacing w:after="0" w:line="7" w:lineRule="exact"/>
        <w:rPr>
          <w:rFonts w:ascii="Times New Roman" w:cs="Times New Roman" w:eastAsia="Times New Roman" w:hAnsi="Times New Roman"/>
          <w:sz w:val="18"/>
          <w:szCs w:val="18"/>
          <w:color w:val="auto"/>
        </w:rPr>
      </w:pPr>
    </w:p>
    <w:p>
      <w:pPr>
        <w:ind w:left="1020" w:right="120" w:hanging="503"/>
        <w:spacing w:after="0" w:line="235"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rate volatility, including the decommissioning of LIBOR and rising interest rates, and the elevated level of inflation on our business and portfolio companies;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any investments in portfolio companies, particularly those having no liquid trading market; and</w:t>
      </w:r>
    </w:p>
    <w:p>
      <w:pPr>
        <w:spacing w:after="0" w:line="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recover unrealized losses.</w:t>
      </w:r>
    </w:p>
    <w:p>
      <w:pPr>
        <w:spacing w:after="0" w:line="13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56" w:lineRule="exact"/>
        <w:rPr>
          <w:sz w:val="20"/>
          <w:szCs w:val="20"/>
          <w:color w:val="auto"/>
        </w:rPr>
      </w:pPr>
    </w:p>
    <w:p>
      <w:pPr>
        <w:ind w:left="1020" w:right="20" w:hanging="503"/>
        <w:spacing w:after="0" w:line="247"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including as a result of the current COVID-19 pandemic, and significant disruptions to our portfolio companies, including supply chain disruptions and labor shortages, could impair our portfolio companies’ ability to continue to operate, which could lead to the loss of some or all of our investments in such portfolio companies;</w:t>
      </w:r>
    </w:p>
    <w:p>
      <w:pPr>
        <w:spacing w:after="0" w:line="1" w:lineRule="exact"/>
        <w:rPr>
          <w:rFonts w:ascii="Times New Roman" w:cs="Times New Roman" w:eastAsia="Times New Roman" w:hAnsi="Times New Roman"/>
          <w:sz w:val="18"/>
          <w:szCs w:val="18"/>
          <w:color w:val="auto"/>
        </w:rPr>
      </w:pPr>
    </w:p>
    <w:p>
      <w:pPr>
        <w:ind w:left="1020" w:right="420" w:hanging="503"/>
        <w:spacing w:after="0" w:line="24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contraction of available credit and/or an inability to access the equity markets, including as a result of the COVID-19 pandemic, could impair our lending and investment activities;</w:t>
      </w:r>
    </w:p>
    <w:p>
      <w:pPr>
        <w:spacing w:after="0" w:line="1" w:lineRule="exact"/>
        <w:rPr>
          <w:rFonts w:ascii="Times New Roman" w:cs="Times New Roman" w:eastAsia="Times New Roman" w:hAnsi="Times New Roman"/>
          <w:sz w:val="18"/>
          <w:szCs w:val="18"/>
          <w:color w:val="auto"/>
        </w:rPr>
      </w:pPr>
    </w:p>
    <w:p>
      <w:pPr>
        <w:ind w:left="1020" w:right="440" w:hanging="503"/>
        <w:spacing w:after="0" w:line="235"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vo</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atility, including the decommissioning of LIBOR and rising interest rates, could adversely affect our results, particularly because we use leverage as part of our investment strategy;</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elevated level of inflation could adversely affect our business, results of operations and financial condition of our portfolio companies,</w:t>
      </w:r>
    </w:p>
    <w:p>
      <w:pPr>
        <w:spacing w:after="0" w:line="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which may, in turn, impact the valuation of such portfolio companies; and</w:t>
      </w:r>
    </w:p>
    <w:p>
      <w:pPr>
        <w:ind w:left="55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8" w:name="page39"/>
    <w:bookmarkEnd w:id="38"/>
    <w:p>
      <w:pPr>
        <w:ind w:left="1020" w:right="2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Item 1A. – Risk Factors contained in our Annual Report on Form 10-K for the year ended December 31, 2021, elsewhere in this Quarterly Report on Form 10-Q and in our other filings with the SEC.</w:t>
      </w:r>
    </w:p>
    <w:p>
      <w:pPr>
        <w:spacing w:after="0" w:line="94" w:lineRule="exact"/>
        <w:rPr>
          <w:sz w:val="20"/>
          <w:szCs w:val="20"/>
          <w:color w:val="auto"/>
        </w:rPr>
      </w:pPr>
    </w:p>
    <w:p>
      <w:pPr>
        <w:jc w:val="both"/>
        <w:ind w:firstLine="829"/>
        <w:spacing w:after="0" w:line="245" w:lineRule="auto"/>
        <w:rPr>
          <w:sz w:val="20"/>
          <w:szCs w:val="20"/>
          <w:color w:val="auto"/>
        </w:rPr>
      </w:pPr>
      <w:r>
        <w:rPr>
          <w:rFonts w:ascii="Times New Roman" w:cs="Times New Roman" w:eastAsia="Times New Roman" w:hAnsi="Times New Roman"/>
          <w:sz w:val="18"/>
          <w:szCs w:val="18"/>
          <w:color w:val="auto"/>
        </w:rPr>
        <w:t xml:space="preserve">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debt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w:t>
      </w:r>
      <w:r>
        <w:rPr>
          <w:rFonts w:ascii="Times New Roman" w:cs="Times New Roman" w:eastAsia="Times New Roman" w:hAnsi="Times New Roman"/>
          <w:sz w:val="18"/>
          <w:szCs w:val="18"/>
          <w:i w:val="1"/>
          <w:iCs w:val="1"/>
          <w:color w:val="auto"/>
        </w:rPr>
        <w:t>Item 1.A – Risk Factors</w:t>
      </w:r>
      <w:r>
        <w:rPr>
          <w:rFonts w:ascii="Times New Roman" w:cs="Times New Roman" w:eastAsia="Times New Roman" w:hAnsi="Times New Roman"/>
          <w:sz w:val="18"/>
          <w:szCs w:val="18"/>
          <w:color w:val="auto"/>
        </w:rPr>
        <w:t xml:space="preserve"> contained in our Annual Report on Form 10-K for the year ended December 31, 2021, filed with the SEC on March 3, 2022. You should not place undue reliance on these forward-looking statements, which apply only as of the date of this Quarterly Report on Form 10-Q.</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General and Corporate Structure</w:t>
      </w:r>
    </w:p>
    <w:p>
      <w:pPr>
        <w:spacing w:after="0" w:line="160" w:lineRule="exact"/>
        <w:rPr>
          <w:sz w:val="20"/>
          <w:szCs w:val="20"/>
          <w:color w:val="auto"/>
        </w:rPr>
      </w:pPr>
    </w:p>
    <w:p>
      <w:pPr>
        <w:jc w:val="both"/>
        <w:ind w:firstLine="478"/>
        <w:spacing w:after="0" w:line="247" w:lineRule="auto"/>
        <w:rPr>
          <w:sz w:val="20"/>
          <w:szCs w:val="20"/>
          <w:color w:val="auto"/>
        </w:rPr>
      </w:pPr>
      <w:r>
        <w:rPr>
          <w:rFonts w:ascii="Times New Roman" w:cs="Times New Roman" w:eastAsia="Times New Roman" w:hAnsi="Times New Roman"/>
          <w:sz w:val="18"/>
          <w:szCs w:val="18"/>
          <w:color w:val="auto"/>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w:t>
      </w:r>
    </w:p>
    <w:p>
      <w:pPr>
        <w:spacing w:after="0" w:line="126" w:lineRule="exact"/>
        <w:rPr>
          <w:sz w:val="20"/>
          <w:szCs w:val="20"/>
          <w:color w:val="auto"/>
        </w:rPr>
      </w:pPr>
    </w:p>
    <w:p>
      <w:pPr>
        <w:jc w:val="both"/>
        <w:ind w:firstLine="478"/>
        <w:spacing w:after="0" w:line="244" w:lineRule="auto"/>
        <w:rPr>
          <w:sz w:val="20"/>
          <w:szCs w:val="20"/>
          <w:color w:val="auto"/>
        </w:rPr>
      </w:pPr>
      <w:r>
        <w:rPr>
          <w:rFonts w:ascii="Times New Roman" w:cs="Times New Roman" w:eastAsia="Times New Roman" w:hAnsi="Times New Roman"/>
          <w:sz w:val="18"/>
          <w:szCs w:val="18"/>
          <w:color w:val="auto"/>
        </w:rPr>
        <w:t>FIC was formed as a Maryland corporation on February 14, 2011. We completed our initial public offering, or IPO, in June 2011. On June 20, 2011, FIC acquired all of the limited partnership interests of Fund I and membership interests of Fidus Mezzanine Capital GP, LLC, its general partner, resulting in Fund I becoming our wholly-owned SBIC subsidiary. Immediately following the acquisition, we and Fund I elected to be treated as business development companies, or BDCs, under the 1940 Act and our investment activities have been managed by Fidus Investment Advisors, LLC, our investment advisor, and supervised by our board of directors, a majority of whom are independent of us. On March 29, 2013, we commenced operations of a second wholly-owned subsidiary, Fund II. On April 18, 2018, we commenced operations of a third wholly-owned subsidiary, Fund III.</w:t>
      </w:r>
    </w:p>
    <w:p>
      <w:pPr>
        <w:spacing w:after="0" w:line="141" w:lineRule="exact"/>
        <w:rPr>
          <w:sz w:val="20"/>
          <w:szCs w:val="20"/>
          <w:color w:val="auto"/>
        </w:rPr>
      </w:pPr>
    </w:p>
    <w:p>
      <w:pPr>
        <w:jc w:val="both"/>
        <w:ind w:firstLine="478"/>
        <w:spacing w:after="0" w:line="246" w:lineRule="auto"/>
        <w:rPr>
          <w:sz w:val="20"/>
          <w:szCs w:val="20"/>
          <w:color w:val="auto"/>
        </w:rPr>
      </w:pPr>
      <w:r>
        <w:rPr>
          <w:rFonts w:ascii="Times New Roman" w:cs="Times New Roman" w:eastAsia="Times New Roman" w:hAnsi="Times New Roman"/>
          <w:sz w:val="18"/>
          <w:szCs w:val="18"/>
          <w:color w:val="auto"/>
        </w:rPr>
        <w:t>Fund II and Fund III received their SBIC licenses on May 28, 2013, and March 21, 2019, respectively. We plan to continue to operate the Funds as SBICs, subject to SBA approval, and to utilize the proceeds of the sale of SBA-guaranteed debentures to enhance returns to our stockholders. As of September 9, 2019, Fund I completed a wind-down plan, relinquished its SBIC license, and can no longer issue additional SBA debentures. We have also made, and continue to make, investments directly through FIC. We believe that utilizing FIC and the Funds as investment vehicles provides us with access to a broader array of investment opportunities.</w:t>
      </w:r>
    </w:p>
    <w:p>
      <w:pPr>
        <w:spacing w:after="0" w:line="127" w:lineRule="exact"/>
        <w:rPr>
          <w:sz w:val="20"/>
          <w:szCs w:val="20"/>
          <w:color w:val="auto"/>
        </w:rPr>
      </w:pPr>
    </w:p>
    <w:p>
      <w:pPr>
        <w:jc w:val="both"/>
        <w:ind w:firstLine="478"/>
        <w:spacing w:after="0" w:line="243" w:lineRule="auto"/>
        <w:rPr>
          <w:sz w:val="20"/>
          <w:szCs w:val="20"/>
          <w:color w:val="auto"/>
        </w:rPr>
      </w:pPr>
      <w:r>
        <w:rPr>
          <w:rFonts w:ascii="Times New Roman" w:cs="Times New Roman" w:eastAsia="Times New Roman" w:hAnsi="Times New Roman"/>
          <w:sz w:val="18"/>
          <w:szCs w:val="18"/>
          <w:color w:val="auto"/>
        </w:rPr>
        <w:t>We have certain wholly-owned taxable subsidiaries (the “Taxable Subsidiaries”), each of which generally holds one or more of our portfolio investments listed on the consolidated schedules of investments. The Taxable Subsidiaries are consolidated for financial reporting purposes, such that our consolidated financial statements reflect our investment in the portfolio company investments owned by the Taxable Subsidiaries. The purpose of the Taxable Subsidiaries is to permit us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us for U.S. federal corporate income tax purposes, and each Taxable Subsidiary will be subject to U.S. federal corporate income tax on its taxable income. Any such income or expense is reflected in the consolidated statements of operations.</w:t>
      </w:r>
    </w:p>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COVID-19 Update</w:t>
      </w:r>
    </w:p>
    <w:p>
      <w:pPr>
        <w:spacing w:after="0" w:line="160"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On March 11, 2020, the World Health Organization declared the novel coronavirus, or COVID-19, as a pandemic, and on March 13, 2020 the United States declared a national emergency with respect to COVID-19. The outbreak of COVID-19 has severely impacted global economic activity and caused significant volatility and negative pressure in financial markets. We have been closely monitoring, and will continue to monitor, the impact of the COVID-19 pandemic, including the Delta and Omicron variants and any new variants, and its impact on all aspects of our business, including how it will impact our portfolio companies, employees, due diligence and underwriting processes, and financial markets. Given the fluidity of the pandemic, we cannot estimate the long-term impact of COVID-19 on our business, future results of operations, financial position or cash flows at this time. Further, the operational and financial performance of the portfolio companies in which we make investments may be significantly impacted by COVID-19, which may in turn impact the valuation of our investments. We believe our portfolio companies have taken, and continue to take, immediate actions to effectively and efficiently respond to the challenges posed by COVID-19 and related orders imposed by state and local governments and private businesses, including developing liquidity plans supported by internal cash reserves, and shareholder support. The COVID-19 pandemic and preventative measures taken to contain or mitigate its spread have caused, and are continuing to cause, business shutdowns and cancellations of events, restrictions on travel, significant reduction in demand for certain goods and services, reductions in business activity and financial transactions, supply chain disruptions, labor difficulties and shortages, commodity inflation and elements of economic and financial market instability in the United States and globally. Such effects will likely continue for the duration of the pandemic, which is uncertain, and for some period thereafter.</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0" w:name="page41"/>
    <w:bookmarkEnd w:id="40"/>
    <w:p>
      <w:pPr>
        <w:ind w:left="480"/>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73"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We seek to create a diversified investment portfolio that primarily includes debt investments and, to a lesser extent, equity securities. Our investments typically range between $5.0 million to $35.0 million per portfolio company, although this investment size may vary proportionately with the size of our capital base. Our investment objective is to provide attractive risk-adjusted returns by generating both current income from our debt investments and capital appreciation from our equity related investments. We may invest in the equity securities of our portfolio companies, such as preferred stock, common stock, warrants and other equity interests, either directly or in conjunction with our debt investments.</w:t>
      </w:r>
    </w:p>
    <w:p>
      <w:pPr>
        <w:spacing w:after="0" w:line="125" w:lineRule="exact"/>
        <w:rPr>
          <w:sz w:val="20"/>
          <w:szCs w:val="20"/>
          <w:color w:val="auto"/>
        </w:rPr>
      </w:pPr>
    </w:p>
    <w:p>
      <w:pPr>
        <w:jc w:val="both"/>
        <w:ind w:firstLine="656"/>
        <w:spacing w:after="0" w:line="243" w:lineRule="auto"/>
        <w:rPr>
          <w:sz w:val="20"/>
          <w:szCs w:val="20"/>
          <w:color w:val="auto"/>
        </w:rPr>
      </w:pPr>
      <w:r>
        <w:rPr>
          <w:rFonts w:ascii="Times New Roman" w:cs="Times New Roman" w:eastAsia="Times New Roman" w:hAnsi="Times New Roman"/>
          <w:sz w:val="18"/>
          <w:szCs w:val="18"/>
          <w:i w:val="1"/>
          <w:iCs w:val="1"/>
          <w:color w:val="auto"/>
        </w:rPr>
        <w:t>First Lien Debt</w:t>
      </w:r>
      <w:r>
        <w:rPr>
          <w:rFonts w:ascii="Times New Roman" w:cs="Times New Roman" w:eastAsia="Times New Roman" w:hAnsi="Times New Roman"/>
          <w:sz w:val="18"/>
          <w:szCs w:val="18"/>
          <w:color w:val="auto"/>
        </w:rPr>
        <w:t>. We structure some of our investments as senior secured or first lien debt investments. First lien debt investments are secured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priority lien on existing and future assets of the borrower and may take the form of term loans or revolving lines of credit. First lien debt is typically senior on a lien basis to other liabilities in the issuer’s capital structure and has the benefit of a first-priority security interest in assets of the issuer. The security interest ranks above the security interest of any second lien lenders in those assets. Our first lien debt may include stand-alone first lien loans, “last out” first lien loans, or “unitranche” loans. Stand-alone first lien loans are traditional first lien loans. All lenders in the facility have equal rights to the collateral that is subject to the first-priority security interest. “Last out” first lien loans have a secondary priority behind super-senior “first out” first lien loans in the collateral securing the loans in certain circumstances. The arrangements for a “last out” first 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 lien loans. Agreements among lenders also typically provide greater voting rights to the “last out” lenders than the intercreditor agreements to which second lien lenders often are subject.</w:t>
      </w:r>
    </w:p>
    <w:p>
      <w:pPr>
        <w:spacing w:after="0" w:line="174" w:lineRule="exact"/>
        <w:rPr>
          <w:sz w:val="20"/>
          <w:szCs w:val="20"/>
          <w:color w:val="auto"/>
        </w:rPr>
      </w:pPr>
    </w:p>
    <w:p>
      <w:pPr>
        <w:jc w:val="both"/>
        <w:ind w:firstLine="656"/>
        <w:spacing w:after="0" w:line="258" w:lineRule="auto"/>
        <w:rPr>
          <w:sz w:val="20"/>
          <w:szCs w:val="20"/>
          <w:color w:val="auto"/>
        </w:rPr>
      </w:pPr>
      <w:r>
        <w:rPr>
          <w:rFonts w:ascii="Times New Roman" w:cs="Times New Roman" w:eastAsia="Times New Roman" w:hAnsi="Times New Roman"/>
          <w:sz w:val="18"/>
          <w:szCs w:val="18"/>
          <w:color w:val="auto"/>
        </w:rPr>
        <w:t>Many of our debt investments also include excess cash flow sweep features, whereby principal repayment may be required before maturity if the portfolio company achieves certain defined operating targets. Additionally, our debt investments typically have principal prepayment penalties in the early years of the debt investment. The majority of our debt investments provide for a variable interest rate, generally with a LIBOR floor.</w:t>
      </w:r>
    </w:p>
    <w:p>
      <w:pPr>
        <w:spacing w:after="0" w:line="113"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Second Lien Debt. </w:t>
      </w:r>
      <w:r>
        <w:rPr>
          <w:rFonts w:ascii="Times New Roman" w:cs="Times New Roman" w:eastAsia="Times New Roman" w:hAnsi="Times New Roman"/>
          <w:sz w:val="18"/>
          <w:szCs w:val="18"/>
          <w:color w:val="auto"/>
        </w:rPr>
        <w:t>Some of our debt investments take the form of second lien debt, which includes senior subordinated notes. Second lien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obtain security interests in the assets of the portfolio company as collateral in support of the repayment of such loans. Second lien debt typically is senior on a lien basis to other liabilities in the issuer’s capital structure and has the benefit of a security interest over assets of the issuer, though ranking junior to first lien debt secured by those assets. First lien lenders and second lien lenders typically have separate liens on the collateral, and an intercreditor agreement provides the first lien lenders with priority over the second lien lenders’ liens on the collateral. These loans typically provide for no contractual loan amortization, with all amortization deferred until loan maturity, and may include payment-in-kind (“PIK”) interest, which increases the principal balance over the term and, coupled with the deferred principal payment provision, increases credit risk exposure over the life of the loan.</w:t>
      </w:r>
    </w:p>
    <w:p>
      <w:pPr>
        <w:spacing w:after="0" w:line="127"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Subordinated Debt. </w:t>
      </w:r>
      <w:r>
        <w:rPr>
          <w:rFonts w:ascii="Times New Roman" w:cs="Times New Roman" w:eastAsia="Times New Roman" w:hAnsi="Times New Roman"/>
          <w:sz w:val="18"/>
          <w:szCs w:val="18"/>
          <w:color w:val="auto"/>
        </w:rPr>
        <w:t>These investments are typically structured as unsecured, subordinated notes. Structurally, subordinated debt usually ranks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subordinate in priority of payment to first lien and second lien debt and may not have the benefit of financial covenants common in first lien and second lien debt. Subordinated debt may rank junior as it relates to proceeds in certain liquidations where it does not have the benefit of a lien in specific collateral held by creditors (typically first lien and/or second lien) who have a perfected security interest in such collateral. However, subordinated debt ranks senior to common and preferred equity in an issuer’s capital structure. These loans typically have relatively higher fixed interest rates (often representing a combination of cash pay and PIK interest) and amortization of principal deferred to maturity. The PIK feature (meaning a feature allowing for the payment of interest in the form of additional principal amount of the loan instead of in cash), which effectively operates as negative amortization of loan principal, coupled with the deferred principal payment provision, increases credit risk exposure over the life of the loan.</w:t>
      </w:r>
    </w:p>
    <w:p>
      <w:pPr>
        <w:spacing w:after="0" w:line="179"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i w:val="1"/>
          <w:iCs w:val="1"/>
          <w:color w:val="auto"/>
        </w:rPr>
        <w:t>Equity Securities</w:t>
      </w:r>
      <w:r>
        <w:rPr>
          <w:rFonts w:ascii="Times New Roman" w:cs="Times New Roman" w:eastAsia="Times New Roman" w:hAnsi="Times New Roman"/>
          <w:sz w:val="18"/>
          <w:szCs w:val="18"/>
          <w:color w:val="auto"/>
        </w:rPr>
        <w:t>. Our equity securities typically consist of either a direct minority equity investment in common or preferred stock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membership/partnership interests of a portfolio company, or we may receive warrants to buy a minority equity interest in a portfolio company in connection with a debt investment. Warrants we receive with our debt investments typically require only a nominal cost to exercise, and thus, as a portfolio company appreciates in value, we may achieve additional investment return from this equity interest. Our equity investments are typically not control-oriented investments, and in many cases, we acquire equity securities as part of a group of private equity investors in which we are not the lead investor. We may structure such equity investments to include provisions protecting our rights as a minority-interest holder, as well as a “put,” or right to sell such securities back to the issuer, upon the occurrence of specified events. In many cases, we may also seek to obtain registration rights in connection with these equity interests, which may include demand and “piggyback” registration rights. Our equity investments typically are made in connection with debt investments to the same portfolio companies.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41" w:name="page42"/>
    <w:bookmarkEnd w:id="41"/>
    <w:p>
      <w:pPr>
        <w:jc w:val="both"/>
        <w:ind w:firstLine="509"/>
        <w:spacing w:after="0" w:line="241"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We generate revenue in the form of interest and fee income on debt investments and dividends, if any, on equity investments. Our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whether in the form of second lien, subordinated or first lien loans, typically have terms of five to seven years and most bear interest at fixed or variable rates. In some instances, we receive payments on our debt investments based on scheduled amortization of the outstanding balances. In addition, we may receive repayments of some of our debt investments prior to their scheduled maturity dates, which may include prepayment penalties. The frequency or volume of these repayments fluctuates significantly from period to period. Our portfolio activity may reflect the proceeds of sales of securities. In some cases, our investments provide for deferred interest payments or PIK interest. The principal amount of debt investments and any accrued but unpaid interest generally become due at the maturity date. In addition, we may generate revenue in the form of commitment, origination, amendment, or structuring fees and fees for providing managerial assistance. Debt investment origination fees, OID and market discount or premium, if any, are capitalized, and we accrete or amortize such amounts into interest income. We record prepayment penalties on debt investments as fee income when earned. Interest and dividend income is recorded on the accrual basis to the extent that we expect to collect such amounts. Interest is accrued daily based on the outstanding principal amount and the contractual terms of the debt investment. Dividend income is recorded as dividends are declared or at the point an obligation exists for the portfolio company to make a distribution, and is generally recognized when received. Distributions of earnings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 Debt investments or preferred equity investments (for which we are accruing PIK dividends) are placed on non-accrual status when principal, interest or dividend payments become materially past due, or when there is reasonable doubt that principal, interest or dividends will be collected.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 See “Critical Accounting Policies and Use of Estimates – Revenue Recognition.”</w:t>
      </w:r>
    </w:p>
    <w:p>
      <w:pPr>
        <w:spacing w:after="0" w:line="15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We recognize realized gains or losses on investments based on the difference between the net proceeds from the disposition and the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121"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All investment professionals of the Investment Advisor and/or its affiliates, when and to the extent engaged in providing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advisory and management services to us, and the compensation and routine overhead expenses allocable to personnel who provide these services to us, are provided and paid for by the Investment Advisor and not by us. We bear all other out-of-pocket costs and expenses of our operations and transactions,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without limitation, those relating to:</w:t>
      </w:r>
    </w:p>
    <w:p>
      <w:pPr>
        <w:spacing w:after="0" w:line="212"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w:t>
      </w:r>
    </w:p>
    <w:p>
      <w:pPr>
        <w:spacing w:after="0" w:line="27" w:lineRule="exact"/>
        <w:rPr>
          <w:rFonts w:ascii="Times New Roman" w:cs="Times New Roman" w:eastAsia="Times New Roman" w:hAnsi="Times New Roman"/>
          <w:sz w:val="18"/>
          <w:szCs w:val="18"/>
          <w:color w:val="auto"/>
        </w:rPr>
      </w:pPr>
    </w:p>
    <w:p>
      <w:pPr>
        <w:ind w:left="1020" w:hanging="503"/>
        <w:spacing w:after="0" w:line="23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our net asset value (including the cost and expenses of any independent valuation firm);</w:t>
      </w:r>
    </w:p>
    <w:p>
      <w:pPr>
        <w:ind w:left="1020" w:right="180" w:hanging="503"/>
        <w:spacing w:after="0" w:line="238"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by the Investment Advisor under the Investment Advisory Agreement or payable to third parties, including agents, consultants or other advisors, in monitoring financial and legal affairs for us and in monitoring our investments and performing due diligence on our prospective portfolio companies or otherwise relating to, or associated with, evaluating and making investments, including “dead deal” costs;</w:t>
      </w:r>
    </w:p>
    <w:p>
      <w:pPr>
        <w:spacing w:after="0" w:line="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on debt, if any, incurred to finance our investments;</w:t>
      </w:r>
    </w:p>
    <w:p>
      <w:pPr>
        <w:spacing w:after="0" w:line="7" w:lineRule="exact"/>
        <w:rPr>
          <w:rFonts w:ascii="Times New Roman" w:cs="Times New Roman" w:eastAsia="Times New Roman" w:hAnsi="Times New Roman"/>
          <w:sz w:val="18"/>
          <w:szCs w:val="18"/>
          <w:color w:val="auto"/>
        </w:rPr>
      </w:pPr>
    </w:p>
    <w:p>
      <w:pPr>
        <w:ind w:left="1020" w:hanging="503"/>
        <w:spacing w:after="0" w:line="23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offerings of our common stock and other securities;</w:t>
      </w:r>
    </w:p>
    <w:p>
      <w:pPr>
        <w:ind w:left="1020" w:hanging="503"/>
        <w:spacing w:after="0" w:line="234"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advisory fees and management fees;</w:t>
      </w:r>
    </w:p>
    <w:p>
      <w:pPr>
        <w:ind w:left="1020" w:right="100" w:hanging="503"/>
        <w:spacing w:after="0" w:line="24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and expenses, if any, payable under the Administration Agreement (including payments under the Administration Agreement between us and the Investment Advisor based upon our allocable portion of the Investment Advisor’s overhead in performing its obligations under the Administration Agreement, including rent and the allocable portion of the cost of our officers, including our chief compliance officer, our chief financial officer, and their respective staffs);</w:t>
      </w:r>
    </w:p>
    <w:p>
      <w:pPr>
        <w:ind w:left="1020" w:hanging="503"/>
        <w:spacing w:after="0" w:line="23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dividend agent and custodial fees and expenses;</w:t>
      </w:r>
    </w:p>
    <w:p>
      <w:pPr>
        <w:ind w:left="1020" w:hanging="503"/>
        <w:spacing w:after="0" w:line="234"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registration fees;</w:t>
      </w:r>
    </w:p>
    <w:p>
      <w:pPr>
        <w:ind w:left="1020" w:hanging="503"/>
        <w:spacing w:after="0" w:line="234"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of registration and listing our shares on any securities exchange;</w:t>
      </w: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state and local taxes;</w:t>
      </w:r>
    </w:p>
    <w:p>
      <w:pPr>
        <w:spacing w:after="0" w:line="7" w:lineRule="exact"/>
        <w:rPr>
          <w:rFonts w:ascii="Times New Roman" w:cs="Times New Roman" w:eastAsia="Times New Roman" w:hAnsi="Times New Roman"/>
          <w:sz w:val="18"/>
          <w:szCs w:val="18"/>
          <w:color w:val="auto"/>
        </w:rPr>
      </w:pPr>
    </w:p>
    <w:p>
      <w:pPr>
        <w:ind w:left="1020" w:hanging="503"/>
        <w:spacing w:after="0" w:line="23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fees and expenses;</w:t>
      </w:r>
    </w:p>
    <w:p>
      <w:pPr>
        <w:ind w:left="1020" w:hanging="503"/>
        <w:spacing w:after="0" w:line="234"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and filing reports or other documents required by the SEC or other regulators including printing costs;</w:t>
      </w: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any reports, proxy statements or other notices to stockholders, including printing and mailing costs;</w:t>
      </w:r>
    </w:p>
    <w:p>
      <w:pPr>
        <w:spacing w:after="0" w:line="7" w:lineRule="exact"/>
        <w:rPr>
          <w:rFonts w:ascii="Times New Roman" w:cs="Times New Roman" w:eastAsia="Times New Roman" w:hAnsi="Times New Roman"/>
          <w:sz w:val="18"/>
          <w:szCs w:val="18"/>
          <w:color w:val="auto"/>
        </w:rPr>
      </w:pPr>
    </w:p>
    <w:p>
      <w:pPr>
        <w:ind w:left="1020" w:hanging="503"/>
        <w:spacing w:after="0" w:line="23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allocable portion of any fidelity bond, directors and officers/errors and omissions liability insurance, and any other insurance premiums;</w:t>
      </w:r>
    </w:p>
    <w:p>
      <w:pPr>
        <w:ind w:left="1020" w:right="680" w:hanging="503"/>
        <w:spacing w:after="0" w:line="24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printing, mailing, long distance telephone, copying, secretarial and other staff, independent auditors and outside legal costs;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42" w:name="page43"/>
    <w:bookmarkEnd w:id="42"/>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proxy voting expenses; and</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us or the Investment Advisor in connection with administering our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Composition, Investment Activity and Yield</w:t>
      </w:r>
    </w:p>
    <w:p>
      <w:pPr>
        <w:spacing w:after="0" w:line="162" w:lineRule="exact"/>
        <w:rPr>
          <w:sz w:val="20"/>
          <w:szCs w:val="20"/>
          <w:color w:val="auto"/>
        </w:rPr>
      </w:pPr>
    </w:p>
    <w:p>
      <w:pPr>
        <w:jc w:val="both"/>
        <w:ind w:firstLine="479"/>
        <w:spacing w:after="0" w:line="246" w:lineRule="auto"/>
        <w:rPr>
          <w:sz w:val="20"/>
          <w:szCs w:val="20"/>
          <w:color w:val="auto"/>
        </w:rPr>
      </w:pPr>
      <w:r>
        <w:rPr>
          <w:rFonts w:ascii="Times New Roman" w:cs="Times New Roman" w:eastAsia="Times New Roman" w:hAnsi="Times New Roman"/>
          <w:sz w:val="18"/>
          <w:szCs w:val="18"/>
          <w:color w:val="auto"/>
        </w:rPr>
        <w:t>During the nine months ended September 30, 2022 and 2021, we invested $268.0 million and $245.5 million, respectively, in debt and equity investments including fifteen and twelve new portfolio companies, respectively. During the nine months ended September 30, 2022 and 2021, we received proceeds from sales or repayments, including principal, return of capital dividends and net realized gains (losses), of $128.3 million and $319.0 million, respectively, including exits of five and six portfolio companies, respectively. The following table summarizes investment purchases and sales and repayments of investments by type for the nine months ended September 30, 2022 and 2021 (dollars in millions).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Purchases of Investments</w:t>
            </w: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Sales and Repayments of Investments</w:t>
            </w: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69"/>
        </w:trPr>
        <w:tc>
          <w:tcPr>
            <w:tcW w:w="1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9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69"/>
        </w:trPr>
        <w:tc>
          <w:tcPr>
            <w:tcW w:w="1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9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69"/>
        </w:trPr>
        <w:tc>
          <w:tcPr>
            <w:tcW w:w="16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4"/>
                <w:szCs w:val="14"/>
                <w:color w:val="auto"/>
              </w:rPr>
              <w:t>First Lien Debt</w:t>
            </w:r>
            <w:r>
              <w:rPr>
                <w:rFonts w:ascii="Times New Roman" w:cs="Times New Roman" w:eastAsia="Times New Roman" w:hAnsi="Times New Roman"/>
                <w:sz w:val="19"/>
                <w:szCs w:val="19"/>
                <w:color w:val="auto"/>
                <w:vertAlign w:val="superscript"/>
              </w:rPr>
              <w:t>(1)</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46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42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r>
      <w:tr>
        <w:trPr>
          <w:trHeight w:val="175"/>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 Debt</w:t>
            </w:r>
          </w:p>
        </w:tc>
        <w:tc>
          <w:tcPr>
            <w:tcW w:w="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177.8</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280" w:type="dxa"/>
            <w:vAlign w:val="bottom"/>
          </w:tcPr>
          <w:p>
            <w:pPr>
              <w:spacing w:after="0"/>
              <w:rPr>
                <w:sz w:val="15"/>
                <w:szCs w:val="15"/>
                <w:color w:val="auto"/>
              </w:rPr>
            </w:pPr>
          </w:p>
        </w:tc>
      </w:tr>
      <w:tr>
        <w:trPr>
          <w:trHeight w:val="176"/>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4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280" w:type="dxa"/>
            <w:vAlign w:val="bottom"/>
            <w:shd w:val="clear" w:color="auto" w:fill="CCEEFF"/>
          </w:tcPr>
          <w:p>
            <w:pPr>
              <w:spacing w:after="0"/>
              <w:rPr>
                <w:sz w:val="15"/>
                <w:szCs w:val="15"/>
                <w:color w:val="auto"/>
              </w:rPr>
            </w:pPr>
          </w:p>
        </w:tc>
      </w:tr>
      <w:tr>
        <w:trPr>
          <w:trHeight w:val="175"/>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8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80" w:type="dxa"/>
            <w:vAlign w:val="bottom"/>
          </w:tcPr>
          <w:p>
            <w:pPr>
              <w:spacing w:after="0"/>
              <w:rPr>
                <w:sz w:val="15"/>
                <w:szCs w:val="15"/>
                <w:color w:val="auto"/>
              </w:rPr>
            </w:pPr>
          </w:p>
        </w:tc>
      </w:tr>
      <w:tr>
        <w:trPr>
          <w:trHeight w:val="176"/>
        </w:trPr>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3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r>
      <w:tr>
        <w:trPr>
          <w:trHeight w:val="169"/>
        </w:trPr>
        <w:tc>
          <w:tcPr>
            <w:tcW w:w="16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320" w:type="dxa"/>
            <w:vAlign w:val="bottom"/>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268.0</w:t>
            </w:r>
          </w:p>
        </w:tc>
        <w:tc>
          <w:tcPr>
            <w:tcW w:w="240" w:type="dxa"/>
            <w:vAlign w:val="bottom"/>
          </w:tcPr>
          <w:p>
            <w:pPr>
              <w:spacing w:after="0"/>
              <w:rPr>
                <w:sz w:val="14"/>
                <w:szCs w:val="14"/>
                <w:color w:val="auto"/>
              </w:rPr>
            </w:pPr>
          </w:p>
        </w:tc>
        <w:tc>
          <w:tcPr>
            <w:tcW w:w="1300" w:type="dxa"/>
            <w:vAlign w:val="bottom"/>
            <w:gridSpan w:val="2"/>
          </w:tcPr>
          <w:p>
            <w:pPr>
              <w:jc w:val="right"/>
              <w:ind w:right="268"/>
              <w:spacing w:after="0" w:line="155" w:lineRule="exact"/>
              <w:rPr>
                <w:sz w:val="20"/>
                <w:szCs w:val="20"/>
                <w:color w:val="auto"/>
              </w:rPr>
            </w:pPr>
            <w:r>
              <w:rPr>
                <w:rFonts w:ascii="Times New Roman" w:cs="Times New Roman" w:eastAsia="Times New Roman" w:hAnsi="Times New Roman"/>
                <w:sz w:val="14"/>
                <w:szCs w:val="14"/>
                <w:color w:val="auto"/>
              </w:rPr>
              <w:t xml:space="preserve">100.0 </w:t>
            </w:r>
            <w:r>
              <w:rPr>
                <w:rFonts w:ascii="Times New Roman" w:cs="Times New Roman" w:eastAsia="Times New Roman" w:hAnsi="Times New Roman"/>
                <w:sz w:val="14"/>
                <w:szCs w:val="14"/>
                <w:color w:val="auto"/>
                <w:highlight w:val="white"/>
              </w:rPr>
              <w:t>%</w:t>
            </w:r>
          </w:p>
        </w:tc>
        <w:tc>
          <w:tcPr>
            <w:tcW w:w="560" w:type="dxa"/>
            <w:vAlign w:val="bottom"/>
          </w:tcPr>
          <w:p>
            <w:pPr>
              <w:jc w:val="right"/>
              <w:ind w:right="3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245.5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rPr>
              <w:t xml:space="preserve">100.0 </w:t>
            </w:r>
            <w:r>
              <w:rPr>
                <w:rFonts w:ascii="Times New Roman" w:cs="Times New Roman" w:eastAsia="Times New Roman" w:hAnsi="Times New Roman"/>
                <w:sz w:val="14"/>
                <w:szCs w:val="14"/>
                <w:color w:val="auto"/>
                <w:highlight w:val="white"/>
              </w:rPr>
              <w:t>%</w:t>
            </w:r>
          </w:p>
        </w:tc>
        <w:tc>
          <w:tcPr>
            <w:tcW w:w="3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128.3</w:t>
            </w:r>
          </w:p>
        </w:tc>
        <w:tc>
          <w:tcPr>
            <w:tcW w:w="80" w:type="dxa"/>
            <w:vAlign w:val="bottom"/>
          </w:tcPr>
          <w:p>
            <w:pPr>
              <w:spacing w:after="0"/>
              <w:rPr>
                <w:sz w:val="14"/>
                <w:szCs w:val="14"/>
                <w:color w:val="auto"/>
              </w:rPr>
            </w:pPr>
          </w:p>
        </w:tc>
        <w:tc>
          <w:tcPr>
            <w:tcW w:w="1800" w:type="dxa"/>
            <w:vAlign w:val="bottom"/>
            <w:gridSpan w:val="3"/>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rPr>
              <w:t xml:space="preserve">100.0 </w:t>
            </w:r>
            <w:r>
              <w:rPr>
                <w:rFonts w:ascii="Times New Roman" w:cs="Times New Roman" w:eastAsia="Times New Roman" w:hAnsi="Times New Roman"/>
                <w:sz w:val="14"/>
                <w:szCs w:val="14"/>
                <w:color w:val="auto"/>
                <w:highlight w:val="white"/>
              </w:rPr>
              <w:t>%</w:t>
            </w:r>
          </w:p>
        </w:tc>
        <w:tc>
          <w:tcPr>
            <w:tcW w:w="320" w:type="dxa"/>
            <w:vAlign w:val="bottom"/>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319.0</w:t>
            </w:r>
          </w:p>
        </w:tc>
        <w:tc>
          <w:tcPr>
            <w:tcW w:w="220" w:type="dxa"/>
            <w:vAlign w:val="bottom"/>
          </w:tcPr>
          <w:p>
            <w:pPr>
              <w:spacing w:after="0"/>
              <w:rPr>
                <w:sz w:val="14"/>
                <w:szCs w:val="14"/>
                <w:color w:val="auto"/>
              </w:rPr>
            </w:pPr>
          </w:p>
        </w:tc>
        <w:tc>
          <w:tcPr>
            <w:tcW w:w="920" w:type="dxa"/>
            <w:vAlign w:val="bottom"/>
            <w:gridSpan w:val="2"/>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 xml:space="preserve">100.0 </w:t>
            </w:r>
            <w:r>
              <w:rPr>
                <w:rFonts w:ascii="Times New Roman" w:cs="Times New Roman" w:eastAsia="Times New Roman" w:hAnsi="Times New Roman"/>
                <w:sz w:val="14"/>
                <w:szCs w:val="14"/>
                <w:color w:val="auto"/>
                <w:highlight w:val="white"/>
              </w:rPr>
              <w:t>%</w:t>
            </w:r>
          </w:p>
        </w:tc>
      </w:tr>
      <w:tr>
        <w:trPr>
          <w:trHeight w:val="20"/>
        </w:trPr>
        <w:tc>
          <w:tcPr>
            <w:tcW w:w="1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-144780</wp:posOffset>
            </wp:positionV>
            <wp:extent cx="76835" cy="1454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-144780</wp:posOffset>
            </wp:positionV>
            <wp:extent cx="68580" cy="1454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-144780</wp:posOffset>
            </wp:positionV>
            <wp:extent cx="68580" cy="1454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-144780</wp:posOffset>
            </wp:positionV>
            <wp:extent cx="68580" cy="1454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65" w:lineRule="exact"/>
        <w:rPr>
          <w:sz w:val="20"/>
          <w:szCs w:val="20"/>
          <w:color w:val="auto"/>
        </w:rPr>
      </w:pPr>
    </w:p>
    <w:p>
      <w:pPr>
        <w:ind w:firstLine="8"/>
        <w:spacing w:after="0" w:line="282" w:lineRule="auto"/>
        <w:tabs>
          <w:tab w:leader="none" w:pos="20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nine months ended September 30, 2022 and 2021, includes unitranche securities, which account for 39.8% and 66.4% of purchases, respectively. For the nine months ended September 30, 2022 and 2021, includes unitranche securities, which account for 21.6% and 12.7% of repayments, respectively.</w:t>
      </w:r>
    </w:p>
    <w:p>
      <w:pPr>
        <w:spacing w:after="0" w:line="112" w:lineRule="exact"/>
        <w:rPr>
          <w:sz w:val="20"/>
          <w:szCs w:val="20"/>
          <w:color w:val="auto"/>
        </w:rPr>
      </w:pPr>
    </w:p>
    <w:p>
      <w:pPr>
        <w:jc w:val="both"/>
        <w:ind w:firstLine="478"/>
        <w:spacing w:after="0" w:line="247" w:lineRule="auto"/>
        <w:rPr>
          <w:sz w:val="20"/>
          <w:szCs w:val="20"/>
          <w:color w:val="auto"/>
        </w:rPr>
      </w:pPr>
      <w:r>
        <w:rPr>
          <w:rFonts w:ascii="Times New Roman" w:cs="Times New Roman" w:eastAsia="Times New Roman" w:hAnsi="Times New Roman"/>
          <w:sz w:val="18"/>
          <w:szCs w:val="18"/>
          <w:color w:val="auto"/>
        </w:rPr>
        <w:t>As of September 30, 2022, the fair value of our investment portfolio totaled $856.9 million and consisted of 75 active portfolio companies and thirteen portfolio companies that have sold their underlying operations. As of September 30, 2022, 43 portfolio companies’ debt investments bore interest at a variable rate, which represented $538.1 million, or 72.0%, of our debt investment portfolio on a fair value basis, and the remainder of our debt investment portfolio was comprised of fixed rate investments. Overall, the portfolio had net unrealized appreciation of $29.5 million as of September 30, 2022. As of September 30, 2022, our average active portfolio company investment at amortized cost was $11.0 million, which excludes investments in the thirteen portfolio companies that have sold their underlying operations.</w:t>
      </w:r>
    </w:p>
    <w:p>
      <w:pPr>
        <w:spacing w:after="0" w:line="126" w:lineRule="exact"/>
        <w:rPr>
          <w:sz w:val="20"/>
          <w:szCs w:val="20"/>
          <w:color w:val="auto"/>
        </w:rPr>
      </w:pPr>
    </w:p>
    <w:p>
      <w:pPr>
        <w:jc w:val="both"/>
        <w:ind w:firstLine="478"/>
        <w:spacing w:after="0" w:line="247" w:lineRule="auto"/>
        <w:rPr>
          <w:sz w:val="20"/>
          <w:szCs w:val="20"/>
          <w:color w:val="auto"/>
        </w:rPr>
      </w:pPr>
      <w:r>
        <w:rPr>
          <w:rFonts w:ascii="Times New Roman" w:cs="Times New Roman" w:eastAsia="Times New Roman" w:hAnsi="Times New Roman"/>
          <w:sz w:val="18"/>
          <w:szCs w:val="18"/>
          <w:color w:val="auto"/>
        </w:rPr>
        <w:t>As of December 31, 2021, the fair value of our investment portfolio totaled $719.1 million and consisted of 70 active portfolio companies and eight portfolio companies that have sold their underlying operations. As of December 31, 2021, 32 portfolio companies’ debt investments bore interest at a variable rate, which represented $376.0 million, or 68.4%, of our debt investment portfolio on a fair value basis, and the remainder of our debt investment portfolio was comprised of fixed rate investments. Overall, the portfolio had net unrealized appreciation of $97.3 million as of December 31, 2021. As of December 31, 2021, our average active portfolio company investment at amortized cost was $8.8 million, which excludes investments in the eight portfolio companies that have sold their underlying operations.</w:t>
      </w:r>
    </w:p>
    <w:p>
      <w:pPr>
        <w:spacing w:after="0" w:line="126" w:lineRule="exact"/>
        <w:rPr>
          <w:sz w:val="20"/>
          <w:szCs w:val="20"/>
          <w:color w:val="auto"/>
        </w:rPr>
      </w:pPr>
    </w:p>
    <w:p>
      <w:pPr>
        <w:jc w:val="both"/>
        <w:ind w:firstLine="478"/>
        <w:spacing w:after="0" w:line="246" w:lineRule="auto"/>
        <w:rPr>
          <w:sz w:val="20"/>
          <w:szCs w:val="20"/>
          <w:color w:val="auto"/>
        </w:rPr>
      </w:pPr>
      <w:r>
        <w:rPr>
          <w:rFonts w:ascii="Times New Roman" w:cs="Times New Roman" w:eastAsia="Times New Roman" w:hAnsi="Times New Roman"/>
          <w:sz w:val="18"/>
          <w:szCs w:val="18"/>
          <w:color w:val="auto"/>
        </w:rPr>
        <w:t>The weighted average yield on debt investments as of September 30, 2022 and December 31, 2021 was 12.9% and 12.3%, respectively. The weighted average yield of our debt investments is not the same as a return on investment for our stockholders but, rather, relates to a portion of our investment portfolio and is calculated before the payment of all of our and our subsidiaries’ fees and expenses. The weighted average yields were computed using the effective interest rates for debt investments at cost including the accretion of OID and debt investment origination fees, but excluding investments on non-accrual status, if any.</w:t>
      </w:r>
    </w:p>
    <w:p>
      <w:pPr>
        <w:spacing w:after="0" w:line="141"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The following table shows the portfolio composition by investment type at fair value and cost and as a percentage of total investments (dollars in millions):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6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r>
      <w:tr>
        <w:trPr>
          <w:trHeight w:val="158"/>
        </w:trPr>
        <w:tc>
          <w:tcPr>
            <w:tcW w:w="1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3"/>
          </w:tcPr>
          <w:p>
            <w:pPr>
              <w:jc w:val="center"/>
              <w:ind w:left="48"/>
              <w:spacing w:after="0" w:line="15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3"/>
          </w:tcPr>
          <w:p>
            <w:pPr>
              <w:jc w:val="center"/>
              <w:ind w:left="4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3"/>
          </w:tcPr>
          <w:p>
            <w:pPr>
              <w:jc w:val="center"/>
              <w:ind w:left="48"/>
              <w:spacing w:after="0" w:line="15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3"/>
          </w:tcPr>
          <w:p>
            <w:pPr>
              <w:jc w:val="center"/>
              <w:ind w:left="6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87"/>
        </w:trPr>
        <w:tc>
          <w:tcPr>
            <w:tcW w:w="1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r>
      <w:tr>
        <w:trPr>
          <w:trHeight w:val="169"/>
        </w:trPr>
        <w:tc>
          <w:tcPr>
            <w:tcW w:w="184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4"/>
                <w:szCs w:val="14"/>
                <w:color w:val="auto"/>
              </w:rPr>
              <w:t>First Lien Debt</w:t>
            </w:r>
            <w:r>
              <w:rPr>
                <w:rFonts w:ascii="Times New Roman" w:cs="Times New Roman" w:eastAsia="Times New Roman" w:hAnsi="Times New Roman"/>
                <w:sz w:val="19"/>
                <w:szCs w:val="19"/>
                <w:color w:val="auto"/>
                <w:vertAlign w:val="superscript"/>
              </w:rPr>
              <w:t>(1)</w:t>
            </w: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488.3</w:t>
            </w:r>
          </w:p>
        </w:tc>
        <w:tc>
          <w:tcPr>
            <w:tcW w:w="2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58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354.9</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540" w:type="dxa"/>
            <w:vAlign w:val="bottom"/>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488.0</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353.3</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36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r>
      <w:tr>
        <w:trPr>
          <w:trHeight w:val="175"/>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 Debt</w:t>
            </w:r>
          </w:p>
        </w:tc>
        <w:tc>
          <w:tcPr>
            <w:tcW w:w="3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177.2</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360" w:type="dxa"/>
            <w:vAlign w:val="bottom"/>
          </w:tcPr>
          <w:p>
            <w:pPr>
              <w:spacing w:after="0"/>
              <w:rPr>
                <w:sz w:val="15"/>
                <w:szCs w:val="15"/>
                <w:color w:val="auto"/>
              </w:rPr>
            </w:pPr>
          </w:p>
        </w:tc>
      </w:tr>
      <w:tr>
        <w:trPr>
          <w:trHeight w:val="175"/>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3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2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5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5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360" w:type="dxa"/>
            <w:vAlign w:val="bottom"/>
            <w:shd w:val="clear" w:color="auto" w:fill="CFF0FC"/>
          </w:tcPr>
          <w:p>
            <w:pPr>
              <w:spacing w:after="0"/>
              <w:rPr>
                <w:sz w:val="15"/>
                <w:szCs w:val="15"/>
                <w:color w:val="auto"/>
              </w:rPr>
            </w:pPr>
          </w:p>
        </w:tc>
      </w:tr>
      <w:tr>
        <w:trPr>
          <w:trHeight w:val="175"/>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3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166.1</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360" w:type="dxa"/>
            <w:vAlign w:val="bottom"/>
          </w:tcPr>
          <w:p>
            <w:pPr>
              <w:spacing w:after="0"/>
              <w:rPr>
                <w:sz w:val="15"/>
                <w:szCs w:val="15"/>
                <w:color w:val="auto"/>
              </w:rPr>
            </w:pPr>
          </w:p>
        </w:tc>
      </w:tr>
      <w:tr>
        <w:trPr>
          <w:trHeight w:val="175"/>
        </w:trPr>
        <w:tc>
          <w:tcPr>
            <w:tcW w:w="1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32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8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5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4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5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4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360" w:type="dxa"/>
            <w:vAlign w:val="bottom"/>
            <w:tcBorders>
              <w:bottom w:val="single" w:sz="8" w:color="CFF0FC"/>
            </w:tcBorders>
            <w:shd w:val="clear" w:color="auto" w:fill="CFF0FC"/>
          </w:tcPr>
          <w:p>
            <w:pPr>
              <w:spacing w:after="0"/>
              <w:rPr>
                <w:sz w:val="15"/>
                <w:szCs w:val="15"/>
                <w:color w:val="auto"/>
              </w:rPr>
            </w:pPr>
          </w:p>
        </w:tc>
      </w:tr>
      <w:tr>
        <w:trPr>
          <w:trHeight w:val="169"/>
        </w:trPr>
        <w:tc>
          <w:tcPr>
            <w:tcW w:w="18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320" w:type="dxa"/>
            <w:vAlign w:val="bottom"/>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856.9</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tcPr>
          <w:p>
            <w:pPr>
              <w:jc w:val="right"/>
              <w:ind w:right="368"/>
              <w:spacing w:after="0" w:line="155" w:lineRule="exact"/>
              <w:rPr>
                <w:sz w:val="20"/>
                <w:szCs w:val="20"/>
                <w:color w:val="auto"/>
              </w:rPr>
            </w:pPr>
            <w:r>
              <w:rPr>
                <w:rFonts w:ascii="Times New Roman" w:cs="Times New Roman" w:eastAsia="Times New Roman" w:hAnsi="Times New Roman"/>
                <w:sz w:val="14"/>
                <w:szCs w:val="14"/>
                <w:color w:val="auto"/>
              </w:rPr>
              <w:t xml:space="preserve">100.0 </w:t>
            </w:r>
            <w:r>
              <w:rPr>
                <w:rFonts w:ascii="Times New Roman" w:cs="Times New Roman" w:eastAsia="Times New Roman" w:hAnsi="Times New Roman"/>
                <w:sz w:val="14"/>
                <w:szCs w:val="14"/>
                <w:color w:val="auto"/>
                <w:highlight w:val="white"/>
              </w:rPr>
              <w:t>%</w:t>
            </w:r>
          </w:p>
        </w:tc>
        <w:tc>
          <w:tcPr>
            <w:tcW w:w="20" w:type="dxa"/>
            <w:vAlign w:val="bottom"/>
          </w:tcPr>
          <w:p>
            <w:pPr>
              <w:spacing w:after="0"/>
              <w:rPr>
                <w:sz w:val="14"/>
                <w:szCs w:val="14"/>
                <w:color w:val="auto"/>
              </w:rPr>
            </w:pP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719.1</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tcPr>
          <w:p>
            <w:pPr>
              <w:jc w:val="right"/>
              <w:ind w:right="348"/>
              <w:spacing w:after="0" w:line="155" w:lineRule="exact"/>
              <w:rPr>
                <w:sz w:val="20"/>
                <w:szCs w:val="20"/>
                <w:color w:val="auto"/>
              </w:rPr>
            </w:pPr>
            <w:r>
              <w:rPr>
                <w:rFonts w:ascii="Times New Roman" w:cs="Times New Roman" w:eastAsia="Times New Roman" w:hAnsi="Times New Roman"/>
                <w:sz w:val="14"/>
                <w:szCs w:val="14"/>
                <w:color w:val="auto"/>
              </w:rPr>
              <w:t xml:space="preserve">100.0 </w:t>
            </w:r>
            <w:r>
              <w:rPr>
                <w:rFonts w:ascii="Times New Roman" w:cs="Times New Roman" w:eastAsia="Times New Roman" w:hAnsi="Times New Roman"/>
                <w:sz w:val="14"/>
                <w:szCs w:val="14"/>
                <w:color w:val="auto"/>
                <w:highlight w:val="white"/>
              </w:rPr>
              <w:t>%</w:t>
            </w:r>
          </w:p>
        </w:tc>
        <w:tc>
          <w:tcPr>
            <w:tcW w:w="240" w:type="dxa"/>
            <w:vAlign w:val="bottom"/>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827.4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 xml:space="preserve">100.0 </w:t>
            </w:r>
            <w:r>
              <w:rPr>
                <w:rFonts w:ascii="Times New Roman" w:cs="Times New Roman" w:eastAsia="Times New Roman" w:hAnsi="Times New Roman"/>
                <w:sz w:val="14"/>
                <w:szCs w:val="14"/>
                <w:color w:val="auto"/>
                <w:highlight w:val="white"/>
              </w:rPr>
              <w:t>%</w:t>
            </w:r>
          </w:p>
        </w:tc>
        <w:tc>
          <w:tcPr>
            <w:tcW w:w="660" w:type="dxa"/>
            <w:vAlign w:val="bottom"/>
            <w:gridSpan w:val="2"/>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621.8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rPr>
              <w:t xml:space="preserve">100.0 </w:t>
            </w:r>
            <w:r>
              <w:rPr>
                <w:rFonts w:ascii="Times New Roman" w:cs="Times New Roman" w:eastAsia="Times New Roman" w:hAnsi="Times New Roman"/>
                <w:sz w:val="14"/>
                <w:szCs w:val="14"/>
                <w:color w:val="auto"/>
                <w:highlight w:val="white"/>
              </w:rPr>
              <w:t>%</w:t>
            </w:r>
          </w:p>
        </w:tc>
      </w:tr>
      <w:tr>
        <w:trPr>
          <w:trHeight w:val="20"/>
        </w:trPr>
        <w:tc>
          <w:tcPr>
            <w:tcW w:w="1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-145415</wp:posOffset>
            </wp:positionV>
            <wp:extent cx="76835" cy="1460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-145415</wp:posOffset>
            </wp:positionV>
            <wp:extent cx="77470" cy="1460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-145415</wp:posOffset>
            </wp:positionV>
            <wp:extent cx="68580" cy="1460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-145415</wp:posOffset>
            </wp:positionV>
            <wp:extent cx="68580" cy="1460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73" w:lineRule="exact"/>
        <w:rPr>
          <w:sz w:val="20"/>
          <w:szCs w:val="20"/>
          <w:color w:val="auto"/>
        </w:rPr>
      </w:pPr>
    </w:p>
    <w:p>
      <w:pPr>
        <w:ind w:firstLine="8"/>
        <w:spacing w:after="0" w:line="282" w:lineRule="auto"/>
        <w:tabs>
          <w:tab w:leader="none" w:pos="209"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unitranche investments, which account for 43.1% and 44.4% of our portfolio on a fair value and cost basis as of September 30, 2022, respectively. Includes unitranche investments, which account for 40.2% and 46.3% of our portfolio on a fair value and cost basis as of December 31, 2021, respectively.</w:t>
      </w:r>
    </w:p>
    <w:p>
      <w:pPr>
        <w:spacing w:after="0" w:line="112" w:lineRule="exact"/>
        <w:rPr>
          <w:sz w:val="20"/>
          <w:szCs w:val="20"/>
          <w:color w:val="auto"/>
        </w:rPr>
      </w:pPr>
    </w:p>
    <w:p>
      <w:pPr>
        <w:jc w:val="both"/>
        <w:ind w:firstLine="478"/>
        <w:spacing w:after="0" w:line="250" w:lineRule="auto"/>
        <w:rPr>
          <w:sz w:val="20"/>
          <w:szCs w:val="20"/>
          <w:color w:val="auto"/>
        </w:rPr>
      </w:pPr>
      <w:r>
        <w:rPr>
          <w:rFonts w:ascii="Times New Roman" w:cs="Times New Roman" w:eastAsia="Times New Roman" w:hAnsi="Times New Roman"/>
          <w:sz w:val="18"/>
          <w:szCs w:val="18"/>
          <w:color w:val="auto"/>
        </w:rPr>
        <w:t>All investments made by us as of September 30, 2022 and December 31, 2021 were made in portfolio companies headquartered in the United States. The following table shows portfolio composition by geographic region at fair value and cost and as a percentage of total investments (dollars in millions). The geographic composition is determined by the location of the corporate headquarters of the portfolio company, which may not be indicative of the primary source of the portfolio company’s business.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87"/>
        </w:trPr>
        <w:tc>
          <w:tcPr>
            <w:tcW w:w="1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6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r>
      <w:tr>
        <w:trPr>
          <w:trHeight w:val="158"/>
        </w:trPr>
        <w:tc>
          <w:tcPr>
            <w:tcW w:w="1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3"/>
          </w:tcPr>
          <w:p>
            <w:pPr>
              <w:ind w:left="240"/>
              <w:spacing w:after="0" w:line="15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3"/>
          </w:tcPr>
          <w:p>
            <w:pPr>
              <w:ind w:left="240"/>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3"/>
          </w:tcPr>
          <w:p>
            <w:pPr>
              <w:jc w:val="center"/>
              <w:ind w:left="48"/>
              <w:spacing w:after="0" w:line="15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3"/>
          </w:tcPr>
          <w:p>
            <w:pPr>
              <w:jc w:val="center"/>
              <w:ind w:left="6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87"/>
        </w:trPr>
        <w:tc>
          <w:tcPr>
            <w:tcW w:w="1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r>
      <w:tr>
        <w:trPr>
          <w:trHeight w:val="169"/>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Midwest</w:t>
            </w: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186.0</w:t>
            </w:r>
          </w:p>
        </w:tc>
        <w:tc>
          <w:tcPr>
            <w:tcW w:w="2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58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157.2</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540" w:type="dxa"/>
            <w:vAlign w:val="bottom"/>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36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r>
      <w:tr>
        <w:trPr>
          <w:trHeight w:val="176"/>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Southeast</w:t>
            </w:r>
          </w:p>
        </w:tc>
        <w:tc>
          <w:tcPr>
            <w:tcW w:w="320" w:type="dxa"/>
            <w:vAlign w:val="bottom"/>
          </w:tcPr>
          <w:p>
            <w:pPr>
              <w:spacing w:after="0"/>
              <w:rPr>
                <w:sz w:val="15"/>
                <w:szCs w:val="15"/>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250.5</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220.0</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360" w:type="dxa"/>
            <w:vAlign w:val="bottom"/>
          </w:tcPr>
          <w:p>
            <w:pPr>
              <w:spacing w:after="0"/>
              <w:rPr>
                <w:sz w:val="15"/>
                <w:szCs w:val="15"/>
                <w:color w:val="auto"/>
              </w:rPr>
            </w:pPr>
          </w:p>
        </w:tc>
      </w:tr>
      <w:tr>
        <w:trPr>
          <w:trHeight w:val="175"/>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Northeast</w:t>
            </w:r>
          </w:p>
        </w:tc>
        <w:tc>
          <w:tcPr>
            <w:tcW w:w="320" w:type="dxa"/>
            <w:vAlign w:val="bottom"/>
            <w:shd w:val="clear" w:color="auto" w:fill="CFF0FC"/>
          </w:tcPr>
          <w:p>
            <w:pPr>
              <w:spacing w:after="0"/>
              <w:rPr>
                <w:sz w:val="15"/>
                <w:szCs w:val="15"/>
                <w:color w:val="auto"/>
              </w:rPr>
            </w:pPr>
          </w:p>
        </w:tc>
        <w:tc>
          <w:tcPr>
            <w:tcW w:w="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123.9</w:t>
            </w:r>
          </w:p>
        </w:tc>
        <w:tc>
          <w:tcPr>
            <w:tcW w:w="2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5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126.6</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5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360" w:type="dxa"/>
            <w:vAlign w:val="bottom"/>
            <w:shd w:val="clear" w:color="auto" w:fill="CFF0FC"/>
          </w:tcPr>
          <w:p>
            <w:pPr>
              <w:spacing w:after="0"/>
              <w:rPr>
                <w:sz w:val="15"/>
                <w:szCs w:val="15"/>
                <w:color w:val="auto"/>
              </w:rPr>
            </w:pPr>
          </w:p>
        </w:tc>
      </w:tr>
      <w:tr>
        <w:trPr>
          <w:trHeight w:val="176"/>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West</w:t>
            </w:r>
          </w:p>
        </w:tc>
        <w:tc>
          <w:tcPr>
            <w:tcW w:w="320" w:type="dxa"/>
            <w:vAlign w:val="bottom"/>
          </w:tcPr>
          <w:p>
            <w:pPr>
              <w:spacing w:after="0"/>
              <w:rPr>
                <w:sz w:val="15"/>
                <w:szCs w:val="15"/>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154.9</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105.9</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360" w:type="dxa"/>
            <w:vAlign w:val="bottom"/>
          </w:tcPr>
          <w:p>
            <w:pPr>
              <w:spacing w:after="0"/>
              <w:rPr>
                <w:sz w:val="15"/>
                <w:szCs w:val="15"/>
                <w:color w:val="auto"/>
              </w:rPr>
            </w:pPr>
          </w:p>
        </w:tc>
      </w:tr>
      <w:tr>
        <w:trPr>
          <w:trHeight w:val="176"/>
        </w:trPr>
        <w:tc>
          <w:tcPr>
            <w:tcW w:w="1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Southwest</w:t>
            </w:r>
          </w:p>
        </w:tc>
        <w:tc>
          <w:tcPr>
            <w:tcW w:w="32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141.6</w:t>
            </w:r>
          </w:p>
        </w:tc>
        <w:tc>
          <w:tcPr>
            <w:tcW w:w="28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5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109.4</w:t>
            </w:r>
          </w:p>
        </w:tc>
        <w:tc>
          <w:tcPr>
            <w:tcW w:w="24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5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145.3</w:t>
            </w: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4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360" w:type="dxa"/>
            <w:vAlign w:val="bottom"/>
            <w:tcBorders>
              <w:bottom w:val="single" w:sz="8" w:color="CFF0FC"/>
            </w:tcBorders>
            <w:shd w:val="clear" w:color="auto" w:fill="CFF0FC"/>
          </w:tcPr>
          <w:p>
            <w:pPr>
              <w:spacing w:after="0"/>
              <w:rPr>
                <w:sz w:val="15"/>
                <w:szCs w:val="15"/>
                <w:color w:val="auto"/>
              </w:rPr>
            </w:pPr>
          </w:p>
        </w:tc>
      </w:tr>
      <w:tr>
        <w:trPr>
          <w:trHeight w:val="169"/>
        </w:trPr>
        <w:tc>
          <w:tcPr>
            <w:tcW w:w="18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320" w:type="dxa"/>
            <w:vAlign w:val="bottom"/>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ind w:left="220"/>
              <w:spacing w:after="0" w:line="155" w:lineRule="exact"/>
              <w:rPr>
                <w:sz w:val="20"/>
                <w:szCs w:val="20"/>
                <w:color w:val="auto"/>
              </w:rPr>
            </w:pPr>
            <w:r>
              <w:rPr>
                <w:rFonts w:ascii="Times New Roman" w:cs="Times New Roman" w:eastAsia="Times New Roman" w:hAnsi="Times New Roman"/>
                <w:sz w:val="14"/>
                <w:szCs w:val="14"/>
                <w:color w:val="auto"/>
              </w:rPr>
              <w:t>856.9</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tcPr>
          <w:p>
            <w:pPr>
              <w:jc w:val="right"/>
              <w:ind w:right="368"/>
              <w:spacing w:after="0" w:line="155" w:lineRule="exact"/>
              <w:rPr>
                <w:sz w:val="20"/>
                <w:szCs w:val="20"/>
                <w:color w:val="auto"/>
              </w:rPr>
            </w:pPr>
            <w:r>
              <w:rPr>
                <w:rFonts w:ascii="Times New Roman" w:cs="Times New Roman" w:eastAsia="Times New Roman" w:hAnsi="Times New Roman"/>
                <w:sz w:val="14"/>
                <w:szCs w:val="14"/>
                <w:color w:val="auto"/>
              </w:rPr>
              <w:t xml:space="preserve">100.0 </w:t>
            </w:r>
            <w:r>
              <w:rPr>
                <w:rFonts w:ascii="Times New Roman" w:cs="Times New Roman" w:eastAsia="Times New Roman" w:hAnsi="Times New Roman"/>
                <w:sz w:val="14"/>
                <w:szCs w:val="14"/>
                <w:color w:val="auto"/>
                <w:highlight w:val="white"/>
              </w:rPr>
              <w:t>%</w:t>
            </w:r>
          </w:p>
        </w:tc>
        <w:tc>
          <w:tcPr>
            <w:tcW w:w="20" w:type="dxa"/>
            <w:vAlign w:val="bottom"/>
          </w:tcPr>
          <w:p>
            <w:pPr>
              <w:spacing w:after="0"/>
              <w:rPr>
                <w:sz w:val="14"/>
                <w:szCs w:val="14"/>
                <w:color w:val="auto"/>
              </w:rPr>
            </w:pP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ind w:left="240"/>
              <w:spacing w:after="0" w:line="155" w:lineRule="exact"/>
              <w:rPr>
                <w:sz w:val="20"/>
                <w:szCs w:val="20"/>
                <w:color w:val="auto"/>
              </w:rPr>
            </w:pPr>
            <w:r>
              <w:rPr>
                <w:rFonts w:ascii="Times New Roman" w:cs="Times New Roman" w:eastAsia="Times New Roman" w:hAnsi="Times New Roman"/>
                <w:sz w:val="14"/>
                <w:szCs w:val="14"/>
                <w:color w:val="auto"/>
              </w:rPr>
              <w:t>719.1</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tcPr>
          <w:p>
            <w:pPr>
              <w:jc w:val="right"/>
              <w:ind w:right="348"/>
              <w:spacing w:after="0" w:line="155" w:lineRule="exact"/>
              <w:rPr>
                <w:sz w:val="20"/>
                <w:szCs w:val="20"/>
                <w:color w:val="auto"/>
              </w:rPr>
            </w:pPr>
            <w:r>
              <w:rPr>
                <w:rFonts w:ascii="Times New Roman" w:cs="Times New Roman" w:eastAsia="Times New Roman" w:hAnsi="Times New Roman"/>
                <w:sz w:val="14"/>
                <w:szCs w:val="14"/>
                <w:color w:val="auto"/>
              </w:rPr>
              <w:t xml:space="preserve">100.0 </w:t>
            </w:r>
            <w:r>
              <w:rPr>
                <w:rFonts w:ascii="Times New Roman" w:cs="Times New Roman" w:eastAsia="Times New Roman" w:hAnsi="Times New Roman"/>
                <w:sz w:val="14"/>
                <w:szCs w:val="14"/>
                <w:color w:val="auto"/>
                <w:highlight w:val="white"/>
              </w:rPr>
              <w:t>%</w:t>
            </w:r>
          </w:p>
        </w:tc>
        <w:tc>
          <w:tcPr>
            <w:tcW w:w="240" w:type="dxa"/>
            <w:vAlign w:val="bottom"/>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827.4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 xml:space="preserve">100.0 </w:t>
            </w:r>
            <w:r>
              <w:rPr>
                <w:rFonts w:ascii="Times New Roman" w:cs="Times New Roman" w:eastAsia="Times New Roman" w:hAnsi="Times New Roman"/>
                <w:sz w:val="14"/>
                <w:szCs w:val="14"/>
                <w:color w:val="auto"/>
                <w:highlight w:val="white"/>
              </w:rPr>
              <w:t>%</w:t>
            </w:r>
          </w:p>
        </w:tc>
        <w:tc>
          <w:tcPr>
            <w:tcW w:w="660" w:type="dxa"/>
            <w:vAlign w:val="bottom"/>
            <w:gridSpan w:val="2"/>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621.8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rPr>
              <w:t xml:space="preserve">100.0 </w:t>
            </w:r>
            <w:r>
              <w:rPr>
                <w:rFonts w:ascii="Times New Roman" w:cs="Times New Roman" w:eastAsia="Times New Roman" w:hAnsi="Times New Roman"/>
                <w:sz w:val="14"/>
                <w:szCs w:val="14"/>
                <w:color w:val="auto"/>
                <w:highlight w:val="white"/>
              </w:rPr>
              <w:t>%</w:t>
            </w:r>
          </w:p>
        </w:tc>
      </w:tr>
      <w:tr>
        <w:trPr>
          <w:trHeight w:val="20"/>
        </w:trPr>
        <w:tc>
          <w:tcPr>
            <w:tcW w:w="1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-144780</wp:posOffset>
            </wp:positionV>
            <wp:extent cx="76835" cy="1454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-144780</wp:posOffset>
            </wp:positionV>
            <wp:extent cx="77470" cy="1454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-144780</wp:posOffset>
            </wp:positionV>
            <wp:extent cx="68580" cy="1454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-144780</wp:posOffset>
            </wp:positionV>
            <wp:extent cx="68580" cy="1454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the detailed industry composition of our portfolio at fair value and cost as a percentage of total investments: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80" w:type="dxa"/>
            <w:vAlign w:val="bottom"/>
          </w:tcPr>
          <w:p>
            <w:pPr>
              <w:spacing w:after="0"/>
              <w:rPr>
                <w:sz w:val="16"/>
                <w:szCs w:val="16"/>
                <w:color w:val="auto"/>
              </w:rPr>
            </w:pPr>
          </w:p>
        </w:tc>
        <w:tc>
          <w:tcPr>
            <w:tcW w:w="2160" w:type="dxa"/>
            <w:vAlign w:val="bottom"/>
            <w:tcBorders>
              <w:bottom w:val="single" w:sz="8" w:color="auto"/>
            </w:tcBorders>
            <w:gridSpan w:val="4"/>
          </w:tcPr>
          <w:p>
            <w:pPr>
              <w:jc w:val="center"/>
              <w:ind w:left="124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3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r>
      <w:tr>
        <w:trPr>
          <w:trHeight w:val="158"/>
        </w:trPr>
        <w:tc>
          <w:tcPr>
            <w:tcW w:w="3780" w:type="dxa"/>
            <w:vAlign w:val="bottom"/>
          </w:tcPr>
          <w:p>
            <w:pPr>
              <w:spacing w:after="0"/>
              <w:rPr>
                <w:sz w:val="13"/>
                <w:szCs w:val="13"/>
                <w:color w:val="auto"/>
              </w:rPr>
            </w:pPr>
          </w:p>
        </w:tc>
        <w:tc>
          <w:tcPr>
            <w:tcW w:w="1700" w:type="dxa"/>
            <w:vAlign w:val="bottom"/>
            <w:gridSpan w:val="2"/>
          </w:tcPr>
          <w:p>
            <w:pPr>
              <w:jc w:val="right"/>
              <w:ind w:right="408"/>
              <w:spacing w:after="0" w:line="15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right"/>
              <w:ind w:right="28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3"/>
                <w:szCs w:val="13"/>
                <w:color w:val="auto"/>
              </w:rPr>
            </w:pPr>
          </w:p>
        </w:tc>
        <w:tc>
          <w:tcPr>
            <w:tcW w:w="2000" w:type="dxa"/>
            <w:vAlign w:val="bottom"/>
            <w:gridSpan w:val="3"/>
          </w:tcPr>
          <w:p>
            <w:pPr>
              <w:ind w:left="320"/>
              <w:spacing w:after="0" w:line="15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360" w:type="dxa"/>
            <w:vAlign w:val="bottom"/>
          </w:tcPr>
          <w:p>
            <w:pPr>
              <w:jc w:val="right"/>
              <w:ind w:right="28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3"/>
                <w:szCs w:val="13"/>
                <w:color w:val="auto"/>
              </w:rPr>
            </w:pPr>
          </w:p>
        </w:tc>
      </w:tr>
      <w:tr>
        <w:trPr>
          <w:trHeight w:val="187"/>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6"/>
                <w:szCs w:val="16"/>
                <w:color w:val="auto"/>
              </w:rPr>
            </w:pPr>
          </w:p>
        </w:tc>
        <w:tc>
          <w:tcPr>
            <w:tcW w:w="152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6"/>
                <w:szCs w:val="16"/>
                <w:color w:val="auto"/>
              </w:rPr>
            </w:pPr>
          </w:p>
        </w:tc>
      </w:tr>
      <w:tr>
        <w:trPr>
          <w:trHeight w:val="16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Information Technology Services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Business Services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3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340" w:type="dxa"/>
            <w:vAlign w:val="bottom"/>
          </w:tcPr>
          <w:p>
            <w:pPr>
              <w:spacing w:after="0"/>
              <w:rPr>
                <w:sz w:val="15"/>
                <w:szCs w:val="15"/>
                <w:color w:val="auto"/>
              </w:rPr>
            </w:pPr>
          </w:p>
        </w:tc>
      </w:tr>
      <w:tr>
        <w:trPr>
          <w:trHeight w:val="17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Healthcare Products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3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340" w:type="dxa"/>
            <w:vAlign w:val="bottom"/>
            <w:shd w:val="clear" w:color="auto" w:fill="CCEEFF"/>
          </w:tcPr>
          <w:p>
            <w:pPr>
              <w:spacing w:after="0"/>
              <w:rPr>
                <w:sz w:val="15"/>
                <w:szCs w:val="15"/>
                <w:color w:val="auto"/>
              </w:rPr>
            </w:pPr>
          </w:p>
        </w:tc>
      </w:tr>
      <w:tr>
        <w:trPr>
          <w:trHeight w:val="175"/>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Component Manufacturing</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3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340" w:type="dxa"/>
            <w:vAlign w:val="bottom"/>
          </w:tcPr>
          <w:p>
            <w:pPr>
              <w:spacing w:after="0"/>
              <w:rPr>
                <w:sz w:val="15"/>
                <w:szCs w:val="15"/>
                <w:color w:val="auto"/>
              </w:rPr>
            </w:pPr>
          </w:p>
        </w:tc>
      </w:tr>
      <w:tr>
        <w:trPr>
          <w:trHeight w:val="17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Specialty Distribution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3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340" w:type="dxa"/>
            <w:vAlign w:val="bottom"/>
            <w:shd w:val="clear" w:color="auto" w:fill="CCEEFF"/>
          </w:tcPr>
          <w:p>
            <w:pPr>
              <w:spacing w:after="0"/>
              <w:rPr>
                <w:sz w:val="15"/>
                <w:szCs w:val="15"/>
                <w:color w:val="auto"/>
              </w:rPr>
            </w:pPr>
          </w:p>
        </w:tc>
      </w:tr>
      <w:tr>
        <w:trPr>
          <w:trHeight w:val="175"/>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Aerospace &amp; Defense Manufacturing</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3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340" w:type="dxa"/>
            <w:vAlign w:val="bottom"/>
          </w:tcPr>
          <w:p>
            <w:pPr>
              <w:spacing w:after="0"/>
              <w:rPr>
                <w:sz w:val="15"/>
                <w:szCs w:val="15"/>
                <w:color w:val="auto"/>
              </w:rPr>
            </w:pPr>
          </w:p>
        </w:tc>
      </w:tr>
      <w:tr>
        <w:trPr>
          <w:trHeight w:val="17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Transportation Services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3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340" w:type="dxa"/>
            <w:vAlign w:val="bottom"/>
            <w:shd w:val="clear" w:color="auto" w:fill="CCEEFF"/>
          </w:tcPr>
          <w:p>
            <w:pPr>
              <w:spacing w:after="0"/>
              <w:rPr>
                <w:sz w:val="15"/>
                <w:szCs w:val="15"/>
                <w:color w:val="auto"/>
              </w:rPr>
            </w:pPr>
          </w:p>
        </w:tc>
      </w:tr>
      <w:tr>
        <w:trPr>
          <w:trHeight w:val="17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Promotional Products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3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340" w:type="dxa"/>
            <w:vAlign w:val="bottom"/>
          </w:tcPr>
          <w:p>
            <w:pPr>
              <w:spacing w:after="0"/>
              <w:rPr>
                <w:sz w:val="15"/>
                <w:szCs w:val="15"/>
                <w:color w:val="auto"/>
              </w:rPr>
            </w:pPr>
          </w:p>
        </w:tc>
      </w:tr>
      <w:tr>
        <w:trPr>
          <w:trHeight w:val="17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3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340" w:type="dxa"/>
            <w:vAlign w:val="bottom"/>
            <w:shd w:val="clear" w:color="auto" w:fill="CCEEFF"/>
          </w:tcPr>
          <w:p>
            <w:pPr>
              <w:spacing w:after="0"/>
              <w:rPr>
                <w:sz w:val="15"/>
                <w:szCs w:val="15"/>
                <w:color w:val="auto"/>
              </w:rPr>
            </w:pPr>
          </w:p>
        </w:tc>
      </w:tr>
      <w:tr>
        <w:trPr>
          <w:trHeight w:val="17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 Products Manufacturing</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3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340" w:type="dxa"/>
            <w:vAlign w:val="bottom"/>
          </w:tcPr>
          <w:p>
            <w:pPr>
              <w:spacing w:after="0"/>
              <w:rPr>
                <w:sz w:val="15"/>
                <w:szCs w:val="15"/>
                <w:color w:val="auto"/>
              </w:rPr>
            </w:pPr>
          </w:p>
        </w:tc>
      </w:tr>
      <w:tr>
        <w:trPr>
          <w:trHeight w:val="17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Healthcare Services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3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340" w:type="dxa"/>
            <w:vAlign w:val="bottom"/>
            <w:shd w:val="clear" w:color="auto" w:fill="CCEEFF"/>
          </w:tcPr>
          <w:p>
            <w:pPr>
              <w:spacing w:after="0"/>
              <w:rPr>
                <w:sz w:val="15"/>
                <w:szCs w:val="15"/>
                <w:color w:val="auto"/>
              </w:rPr>
            </w:pPr>
          </w:p>
        </w:tc>
      </w:tr>
      <w:tr>
        <w:trPr>
          <w:trHeight w:val="17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Environmental Industries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3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340" w:type="dxa"/>
            <w:vAlign w:val="bottom"/>
          </w:tcPr>
          <w:p>
            <w:pPr>
              <w:spacing w:after="0"/>
              <w:rPr>
                <w:sz w:val="15"/>
                <w:szCs w:val="15"/>
                <w:color w:val="auto"/>
              </w:rPr>
            </w:pPr>
          </w:p>
        </w:tc>
      </w:tr>
      <w:tr>
        <w:trPr>
          <w:trHeight w:val="17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 Products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3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340" w:type="dxa"/>
            <w:vAlign w:val="bottom"/>
            <w:shd w:val="clear" w:color="auto" w:fill="CCEEFF"/>
          </w:tcPr>
          <w:p>
            <w:pPr>
              <w:spacing w:after="0"/>
              <w:rPr>
                <w:sz w:val="15"/>
                <w:szCs w:val="15"/>
                <w:color w:val="auto"/>
              </w:rPr>
            </w:pPr>
          </w:p>
        </w:tc>
      </w:tr>
      <w:tr>
        <w:trPr>
          <w:trHeight w:val="175"/>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Oil &amp; Gas Services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3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340" w:type="dxa"/>
            <w:vAlign w:val="bottom"/>
          </w:tcPr>
          <w:p>
            <w:pPr>
              <w:spacing w:after="0"/>
              <w:rPr>
                <w:sz w:val="15"/>
                <w:szCs w:val="15"/>
                <w:color w:val="auto"/>
              </w:rPr>
            </w:pPr>
          </w:p>
        </w:tc>
      </w:tr>
      <w:tr>
        <w:trPr>
          <w:trHeight w:val="17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Utilities: Services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3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340" w:type="dxa"/>
            <w:vAlign w:val="bottom"/>
            <w:shd w:val="clear" w:color="auto" w:fill="CCEEFF"/>
          </w:tcPr>
          <w:p>
            <w:pPr>
              <w:spacing w:after="0"/>
              <w:rPr>
                <w:sz w:val="15"/>
                <w:szCs w:val="15"/>
                <w:color w:val="auto"/>
              </w:rPr>
            </w:pPr>
          </w:p>
        </w:tc>
      </w:tr>
      <w:tr>
        <w:trPr>
          <w:trHeight w:val="175"/>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Industrial Cleaning &amp; Coatings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3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340" w:type="dxa"/>
            <w:vAlign w:val="bottom"/>
          </w:tcPr>
          <w:p>
            <w:pPr>
              <w:spacing w:after="0"/>
              <w:rPr>
                <w:sz w:val="15"/>
                <w:szCs w:val="15"/>
                <w:color w:val="auto"/>
              </w:rPr>
            </w:pPr>
          </w:p>
        </w:tc>
      </w:tr>
      <w:tr>
        <w:trPr>
          <w:trHeight w:val="17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Restaurants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0"/>
                <w:szCs w:val="10"/>
                <w:color w:val="auto"/>
                <w:w w:val="85"/>
              </w:rPr>
              <w:t>(1)</w:t>
            </w: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340" w:type="dxa"/>
            <w:vAlign w:val="bottom"/>
            <w:shd w:val="clear" w:color="auto" w:fill="CCEEFF"/>
          </w:tcPr>
          <w:p>
            <w:pPr>
              <w:spacing w:after="0"/>
              <w:rPr>
                <w:sz w:val="15"/>
                <w:szCs w:val="15"/>
                <w:color w:val="auto"/>
              </w:rPr>
            </w:pPr>
          </w:p>
        </w:tc>
      </w:tr>
      <w:tr>
        <w:trPr>
          <w:trHeight w:val="17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Specialty Chemicals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40" w:type="dxa"/>
            <w:vAlign w:val="bottom"/>
          </w:tcPr>
          <w:p>
            <w:pPr>
              <w:spacing w:after="0"/>
              <w:rPr>
                <w:sz w:val="15"/>
                <w:szCs w:val="15"/>
                <w:color w:val="auto"/>
              </w:rPr>
            </w:pPr>
          </w:p>
        </w:tc>
        <w:tc>
          <w:tcPr>
            <w:tcW w:w="1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85"/>
              </w:rPr>
              <w:t>(1)</w:t>
            </w: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200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340" w:type="dxa"/>
            <w:vAlign w:val="bottom"/>
          </w:tcPr>
          <w:p>
            <w:pPr>
              <w:jc w:val="right"/>
              <w:ind w:right="36"/>
              <w:spacing w:after="0"/>
              <w:rPr>
                <w:sz w:val="20"/>
                <w:szCs w:val="20"/>
                <w:color w:val="auto"/>
              </w:rPr>
            </w:pPr>
            <w:r>
              <w:rPr>
                <w:rFonts w:ascii="Times New Roman" w:cs="Times New Roman" w:eastAsia="Times New Roman" w:hAnsi="Times New Roman"/>
                <w:sz w:val="10"/>
                <w:szCs w:val="10"/>
                <w:color w:val="auto"/>
              </w:rPr>
              <w:t>(1)</w:t>
            </w:r>
          </w:p>
        </w:tc>
      </w:tr>
      <w:tr>
        <w:trPr>
          <w:trHeight w:val="17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Utility Equipment Manufacturing</w:t>
            </w:r>
          </w:p>
        </w:tc>
        <w:tc>
          <w:tcPr>
            <w:tcW w:w="17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300" w:type="dxa"/>
            <w:vAlign w:val="bottom"/>
            <w:shd w:val="clear" w:color="auto" w:fill="CCEEFF"/>
          </w:tcPr>
          <w:p>
            <w:pPr>
              <w:spacing w:after="0"/>
              <w:rPr>
                <w:sz w:val="15"/>
                <w:szCs w:val="15"/>
                <w:color w:val="auto"/>
              </w:rPr>
            </w:pPr>
          </w:p>
        </w:tc>
        <w:tc>
          <w:tcPr>
            <w:tcW w:w="20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340" w:type="dxa"/>
            <w:vAlign w:val="bottom"/>
            <w:shd w:val="clear" w:color="auto" w:fill="CCEEFF"/>
          </w:tcPr>
          <w:p>
            <w:pPr>
              <w:spacing w:after="0"/>
              <w:rPr>
                <w:sz w:val="15"/>
                <w:szCs w:val="15"/>
                <w:color w:val="auto"/>
              </w:rPr>
            </w:pPr>
          </w:p>
        </w:tc>
      </w:tr>
      <w:tr>
        <w:trPr>
          <w:trHeight w:val="175"/>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Vending Equipment Manufacturing</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40" w:type="dxa"/>
            <w:vAlign w:val="bottom"/>
          </w:tcPr>
          <w:p>
            <w:pPr>
              <w:spacing w:after="0"/>
              <w:rPr>
                <w:sz w:val="15"/>
                <w:szCs w:val="15"/>
                <w:color w:val="auto"/>
              </w:rPr>
            </w:pPr>
          </w:p>
        </w:tc>
        <w:tc>
          <w:tcPr>
            <w:tcW w:w="1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85"/>
              </w:rPr>
              <w:t>(1)</w:t>
            </w: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300" w:type="dxa"/>
            <w:vAlign w:val="bottom"/>
          </w:tcPr>
          <w:p>
            <w:pPr>
              <w:spacing w:after="0"/>
              <w:rPr>
                <w:sz w:val="15"/>
                <w:szCs w:val="15"/>
                <w:color w:val="auto"/>
              </w:rPr>
            </w:pPr>
          </w:p>
        </w:tc>
        <w:tc>
          <w:tcPr>
            <w:tcW w:w="200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340" w:type="dxa"/>
            <w:vAlign w:val="bottom"/>
          </w:tcPr>
          <w:p>
            <w:pPr>
              <w:spacing w:after="0"/>
              <w:rPr>
                <w:sz w:val="15"/>
                <w:szCs w:val="15"/>
                <w:color w:val="auto"/>
              </w:rPr>
            </w:pPr>
          </w:p>
        </w:tc>
      </w:tr>
      <w:tr>
        <w:trPr>
          <w:trHeight w:val="209"/>
        </w:trPr>
        <w:tc>
          <w:tcPr>
            <w:tcW w:w="378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14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300" w:type="dxa"/>
            <w:vAlign w:val="bottom"/>
            <w:tcBorders>
              <w:bottom w:val="single" w:sz="8" w:color="CCEEFF"/>
            </w:tcBorders>
            <w:shd w:val="clear" w:color="auto" w:fill="CCEEFF"/>
          </w:tcPr>
          <w:p>
            <w:pPr>
              <w:jc w:val="right"/>
              <w:ind w:right="96"/>
              <w:spacing w:after="0" w:line="155"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28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340" w:type="dxa"/>
            <w:vAlign w:val="bottom"/>
            <w:tcBorders>
              <w:bottom w:val="single" w:sz="8" w:color="CCEEFF"/>
            </w:tcBorders>
            <w:shd w:val="clear" w:color="auto" w:fill="CCEEFF"/>
          </w:tcPr>
          <w:p>
            <w:pPr>
              <w:jc w:val="right"/>
              <w:ind w:right="136"/>
              <w:spacing w:after="0" w:line="155" w:lineRule="exact"/>
              <w:rPr>
                <w:sz w:val="20"/>
                <w:szCs w:val="20"/>
                <w:color w:val="auto"/>
              </w:rPr>
            </w:pPr>
            <w:r>
              <w:rPr>
                <w:rFonts w:ascii="Times New Roman" w:cs="Times New Roman" w:eastAsia="Times New Roman" w:hAnsi="Times New Roman"/>
                <w:sz w:val="14"/>
                <w:szCs w:val="14"/>
                <w:color w:val="auto"/>
              </w:rPr>
              <w:t>%</w:t>
            </w:r>
          </w:p>
        </w:tc>
      </w:tr>
      <w:tr>
        <w:trPr>
          <w:trHeight w:val="169"/>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(1) Percentage is less than 0.1% of respective total.</w:t>
            </w: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-144780</wp:posOffset>
            </wp:positionV>
            <wp:extent cx="7747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-127635</wp:posOffset>
            </wp:positionV>
            <wp:extent cx="7747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-144780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-127635</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-144780</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-127635</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-144780</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-127635</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Asset Quality</w:t>
      </w:r>
    </w:p>
    <w:p>
      <w:pPr>
        <w:spacing w:after="0" w:line="16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addition to various risk management and monitoring tools, the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w:t>
      </w:r>
    </w:p>
    <w:p>
      <w:pPr>
        <w:spacing w:after="0" w:line="115" w:lineRule="exact"/>
        <w:rPr>
          <w:sz w:val="20"/>
          <w:szCs w:val="20"/>
          <w:color w:val="auto"/>
        </w:rPr>
      </w:pPr>
    </w:p>
    <w:p>
      <w:pPr>
        <w:ind w:left="1020" w:right="40" w:hanging="503"/>
        <w:spacing w:after="0" w:line="247"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 on the equity investment.</w:t>
      </w:r>
    </w:p>
    <w:p>
      <w:pPr>
        <w:spacing w:after="0" w:line="1" w:lineRule="exact"/>
        <w:rPr>
          <w:rFonts w:ascii="Times New Roman" w:cs="Times New Roman" w:eastAsia="Times New Roman" w:hAnsi="Times New Roman"/>
          <w:sz w:val="18"/>
          <w:szCs w:val="18"/>
          <w:color w:val="auto"/>
        </w:rPr>
      </w:pPr>
    </w:p>
    <w:p>
      <w:pPr>
        <w:ind w:left="1020" w:right="6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Rating 2 is used for investments that involve a level of risk similar to the risk at the time of origination. The portfolio company is performing substantially within our expectations and the risk factors are neutral or favorable. Each new portfolio investment enters our portfolio with Investment Rating 2.</w:t>
      </w:r>
    </w:p>
    <w:p>
      <w:pPr>
        <w:ind w:left="1020" w:right="6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p>
      <w:pPr>
        <w:ind w:left="1020" w:right="40" w:hanging="503"/>
        <w:spacing w:after="0" w:line="241"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Rating 4 is used for investments performing materially below expectations and the risk has increased materially since origination. The investment has the potential for some loss of investment return, but we expect no loss of principal.</w:t>
      </w:r>
    </w:p>
    <w:p>
      <w:pPr>
        <w:spacing w:after="0" w:line="1" w:lineRule="exact"/>
        <w:rPr>
          <w:rFonts w:ascii="Times New Roman" w:cs="Times New Roman" w:eastAsia="Times New Roman" w:hAnsi="Times New Roman"/>
          <w:sz w:val="18"/>
          <w:szCs w:val="18"/>
          <w:color w:val="auto"/>
        </w:rPr>
      </w:pPr>
    </w:p>
    <w:p>
      <w:pPr>
        <w:ind w:left="1020" w:right="100" w:hanging="503"/>
        <w:spacing w:after="0" w:line="245"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Rating 5 is used for investments performing substantially below our expectations and the risks have increased substantially since origination. We expect some loss of principal.</w:t>
      </w:r>
    </w:p>
    <w:p>
      <w:pPr>
        <w:spacing w:after="0" w:line="126" w:lineRule="exact"/>
        <w:rPr>
          <w:sz w:val="20"/>
          <w:szCs w:val="20"/>
          <w:color w:val="auto"/>
        </w:rPr>
      </w:pPr>
    </w:p>
    <w:p>
      <w:pPr>
        <w:jc w:val="both"/>
        <w:ind w:firstLine="479"/>
        <w:spacing w:after="0" w:line="258" w:lineRule="auto"/>
        <w:rPr>
          <w:sz w:val="20"/>
          <w:szCs w:val="20"/>
          <w:color w:val="auto"/>
        </w:rPr>
      </w:pPr>
      <w:r>
        <w:rPr>
          <w:rFonts w:ascii="Times New Roman" w:cs="Times New Roman" w:eastAsia="Times New Roman" w:hAnsi="Times New Roman"/>
          <w:sz w:val="18"/>
          <w:szCs w:val="18"/>
          <w:color w:val="auto"/>
        </w:rPr>
        <w:t>As the COVID-19 pandemic continues to evolve, we are maintaining close communications with our portfolio companies to proactively assess and manage risks across our investment portfolio. We have also increased oversight and analysis of credits in vulnerable industries in an attempt to improve performance and reduce credit risk.</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4" w:name="page45"/>
    <w:bookmarkEnd w:id="44"/>
    <w:p>
      <w:pPr>
        <w:ind w:right="80" w:firstLine="479"/>
        <w:spacing w:after="0" w:line="282" w:lineRule="auto"/>
        <w:rPr>
          <w:sz w:val="20"/>
          <w:szCs w:val="20"/>
          <w:color w:val="auto"/>
        </w:rPr>
      </w:pPr>
      <w:r>
        <w:rPr>
          <w:rFonts w:ascii="Times New Roman" w:cs="Times New Roman" w:eastAsia="Times New Roman" w:hAnsi="Times New Roman"/>
          <w:sz w:val="18"/>
          <w:szCs w:val="18"/>
          <w:color w:val="auto"/>
        </w:rPr>
        <w:t>The following table shows the distribution of our investments on the 1 to 5 investment rating scale at fair value and cost as of September 30, 2022 and December 31, 2021 (dollars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6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r>
      <w:tr>
        <w:trPr>
          <w:trHeight w:val="158"/>
        </w:trPr>
        <w:tc>
          <w:tcPr>
            <w:tcW w:w="1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3"/>
          </w:tcPr>
          <w:p>
            <w:pPr>
              <w:jc w:val="center"/>
              <w:ind w:left="48"/>
              <w:spacing w:after="0" w:line="15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3"/>
          </w:tcPr>
          <w:p>
            <w:pPr>
              <w:jc w:val="center"/>
              <w:ind w:left="4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3"/>
          </w:tcPr>
          <w:p>
            <w:pPr>
              <w:jc w:val="center"/>
              <w:ind w:left="48"/>
              <w:spacing w:after="0" w:line="15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3"/>
          </w:tcPr>
          <w:p>
            <w:pPr>
              <w:jc w:val="center"/>
              <w:ind w:left="6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87"/>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Rating</w:t>
            </w:r>
          </w:p>
        </w:tc>
        <w:tc>
          <w:tcPr>
            <w:tcW w:w="32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69"/>
        </w:trPr>
        <w:tc>
          <w:tcPr>
            <w:tcW w:w="16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28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58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240" w:type="dxa"/>
            <w:vAlign w:val="bottom"/>
            <w:tcBorders>
              <w:top w:val="single" w:sz="8" w:color="auto"/>
            </w:tcBorders>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540" w:type="dxa"/>
            <w:vAlign w:val="bottom"/>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24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24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36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r>
      <w:tr>
        <w:trPr>
          <w:trHeight w:val="176"/>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674.9</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566.7</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664.9</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360" w:type="dxa"/>
            <w:vAlign w:val="bottom"/>
          </w:tcPr>
          <w:p>
            <w:pPr>
              <w:spacing w:after="0"/>
              <w:rPr>
                <w:sz w:val="15"/>
                <w:szCs w:val="15"/>
                <w:color w:val="auto"/>
              </w:rPr>
            </w:pPr>
          </w:p>
        </w:tc>
      </w:tr>
      <w:tr>
        <w:trPr>
          <w:trHeight w:val="175"/>
        </w:trPr>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2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5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5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360" w:type="dxa"/>
            <w:vAlign w:val="bottom"/>
            <w:shd w:val="clear" w:color="auto" w:fill="CFF0FC"/>
          </w:tcPr>
          <w:p>
            <w:pPr>
              <w:spacing w:after="0"/>
              <w:rPr>
                <w:sz w:val="15"/>
                <w:szCs w:val="15"/>
                <w:color w:val="auto"/>
              </w:rPr>
            </w:pPr>
          </w:p>
        </w:tc>
      </w:tr>
      <w:tr>
        <w:trPr>
          <w:trHeight w:val="176"/>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360" w:type="dxa"/>
            <w:vAlign w:val="bottom"/>
          </w:tcPr>
          <w:p>
            <w:pPr>
              <w:spacing w:after="0"/>
              <w:rPr>
                <w:sz w:val="15"/>
                <w:szCs w:val="15"/>
                <w:color w:val="auto"/>
              </w:rPr>
            </w:pPr>
          </w:p>
        </w:tc>
      </w:tr>
      <w:tr>
        <w:trPr>
          <w:trHeight w:val="175"/>
        </w:trPr>
        <w:tc>
          <w:tcPr>
            <w:tcW w:w="1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8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5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4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360" w:type="dxa"/>
            <w:vAlign w:val="bottom"/>
            <w:tcBorders>
              <w:bottom w:val="single" w:sz="8" w:color="CFF0FC"/>
            </w:tcBorders>
            <w:shd w:val="clear" w:color="auto" w:fill="CFF0FC"/>
          </w:tcPr>
          <w:p>
            <w:pPr>
              <w:spacing w:after="0"/>
              <w:rPr>
                <w:sz w:val="15"/>
                <w:szCs w:val="15"/>
                <w:color w:val="auto"/>
              </w:rPr>
            </w:pPr>
          </w:p>
        </w:tc>
      </w:tr>
      <w:tr>
        <w:trPr>
          <w:trHeight w:val="169"/>
        </w:trPr>
        <w:tc>
          <w:tcPr>
            <w:tcW w:w="184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320" w:type="dxa"/>
            <w:vAlign w:val="bottom"/>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856.9</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tcPr>
          <w:p>
            <w:pPr>
              <w:jc w:val="right"/>
              <w:ind w:right="368"/>
              <w:spacing w:after="0" w:line="155" w:lineRule="exact"/>
              <w:rPr>
                <w:sz w:val="20"/>
                <w:szCs w:val="20"/>
                <w:color w:val="auto"/>
              </w:rPr>
            </w:pPr>
            <w:r>
              <w:rPr>
                <w:rFonts w:ascii="Times New Roman" w:cs="Times New Roman" w:eastAsia="Times New Roman" w:hAnsi="Times New Roman"/>
                <w:sz w:val="14"/>
                <w:szCs w:val="14"/>
                <w:color w:val="auto"/>
              </w:rPr>
              <w:t xml:space="preserve">100.0 </w:t>
            </w:r>
            <w:r>
              <w:rPr>
                <w:rFonts w:ascii="Times New Roman" w:cs="Times New Roman" w:eastAsia="Times New Roman" w:hAnsi="Times New Roman"/>
                <w:sz w:val="14"/>
                <w:szCs w:val="14"/>
                <w:color w:val="auto"/>
                <w:highlight w:val="white"/>
              </w:rPr>
              <w:t>%</w:t>
            </w:r>
          </w:p>
        </w:tc>
        <w:tc>
          <w:tcPr>
            <w:tcW w:w="20" w:type="dxa"/>
            <w:vAlign w:val="bottom"/>
          </w:tcPr>
          <w:p>
            <w:pPr>
              <w:spacing w:after="0"/>
              <w:rPr>
                <w:sz w:val="14"/>
                <w:szCs w:val="14"/>
                <w:color w:val="auto"/>
              </w:rPr>
            </w:pP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719.1</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tcPr>
          <w:p>
            <w:pPr>
              <w:jc w:val="right"/>
              <w:ind w:right="348"/>
              <w:spacing w:after="0" w:line="155" w:lineRule="exact"/>
              <w:rPr>
                <w:sz w:val="20"/>
                <w:szCs w:val="20"/>
                <w:color w:val="auto"/>
              </w:rPr>
            </w:pPr>
            <w:r>
              <w:rPr>
                <w:rFonts w:ascii="Times New Roman" w:cs="Times New Roman" w:eastAsia="Times New Roman" w:hAnsi="Times New Roman"/>
                <w:sz w:val="14"/>
                <w:szCs w:val="14"/>
                <w:color w:val="auto"/>
              </w:rPr>
              <w:t xml:space="preserve">100.0 </w:t>
            </w:r>
            <w:r>
              <w:rPr>
                <w:rFonts w:ascii="Times New Roman" w:cs="Times New Roman" w:eastAsia="Times New Roman" w:hAnsi="Times New Roman"/>
                <w:sz w:val="14"/>
                <w:szCs w:val="14"/>
                <w:color w:val="auto"/>
                <w:highlight w:val="white"/>
              </w:rPr>
              <w:t>%</w:t>
            </w:r>
          </w:p>
        </w:tc>
        <w:tc>
          <w:tcPr>
            <w:tcW w:w="240" w:type="dxa"/>
            <w:vAlign w:val="bottom"/>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827.4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 xml:space="preserve">100.0 </w:t>
            </w:r>
            <w:r>
              <w:rPr>
                <w:rFonts w:ascii="Times New Roman" w:cs="Times New Roman" w:eastAsia="Times New Roman" w:hAnsi="Times New Roman"/>
                <w:sz w:val="14"/>
                <w:szCs w:val="14"/>
                <w:color w:val="auto"/>
                <w:highlight w:val="white"/>
              </w:rPr>
              <w:t>%</w:t>
            </w:r>
          </w:p>
        </w:tc>
        <w:tc>
          <w:tcPr>
            <w:tcW w:w="660" w:type="dxa"/>
            <w:vAlign w:val="bottom"/>
            <w:gridSpan w:val="2"/>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621.8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rPr>
              <w:t xml:space="preserve">100.0 </w:t>
            </w:r>
            <w:r>
              <w:rPr>
                <w:rFonts w:ascii="Times New Roman" w:cs="Times New Roman" w:eastAsia="Times New Roman" w:hAnsi="Times New Roman"/>
                <w:sz w:val="14"/>
                <w:szCs w:val="14"/>
                <w:color w:val="auto"/>
                <w:highlight w:val="white"/>
              </w:rPr>
              <w:t>%</w:t>
            </w:r>
          </w:p>
        </w:tc>
      </w:tr>
      <w:tr>
        <w:trPr>
          <w:trHeight w:val="20"/>
        </w:trPr>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-145415</wp:posOffset>
            </wp:positionV>
            <wp:extent cx="76835" cy="1460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-145415</wp:posOffset>
            </wp:positionV>
            <wp:extent cx="77470" cy="1460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-145415</wp:posOffset>
            </wp:positionV>
            <wp:extent cx="68580" cy="1460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-145415</wp:posOffset>
            </wp:positionV>
            <wp:extent cx="68580" cy="1460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24" w:lineRule="exact"/>
        <w:rPr>
          <w:sz w:val="20"/>
          <w:szCs w:val="20"/>
          <w:color w:val="auto"/>
        </w:rPr>
      </w:pPr>
    </w:p>
    <w:p>
      <w:pPr>
        <w:jc w:val="both"/>
        <w:ind w:right="80" w:firstLine="478"/>
        <w:spacing w:after="0" w:line="266" w:lineRule="auto"/>
        <w:rPr>
          <w:sz w:val="20"/>
          <w:szCs w:val="20"/>
          <w:color w:val="auto"/>
        </w:rPr>
      </w:pPr>
      <w:r>
        <w:rPr>
          <w:rFonts w:ascii="Times New Roman" w:cs="Times New Roman" w:eastAsia="Times New Roman" w:hAnsi="Times New Roman"/>
          <w:sz w:val="18"/>
          <w:szCs w:val="18"/>
          <w:color w:val="auto"/>
        </w:rPr>
        <w:t>Based on our investment rating system, the weighted average rating of our portfolio as of September 30, 2022 and December 31, 2021 was 2.0 and 1.9, respectively, on a fair value basis and 2.2 and 2.1, respectively, on a cost basis.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Non-Accrual</w:t>
      </w:r>
    </w:p>
    <w:p>
      <w:pPr>
        <w:spacing w:after="0" w:line="160" w:lineRule="exact"/>
        <w:rPr>
          <w:sz w:val="20"/>
          <w:szCs w:val="20"/>
          <w:color w:val="auto"/>
        </w:rPr>
      </w:pPr>
    </w:p>
    <w:p>
      <w:pPr>
        <w:jc w:val="both"/>
        <w:ind w:right="80" w:firstLine="479"/>
        <w:spacing w:after="0" w:line="266" w:lineRule="auto"/>
        <w:rPr>
          <w:sz w:val="20"/>
          <w:szCs w:val="20"/>
          <w:color w:val="auto"/>
        </w:rPr>
      </w:pPr>
      <w:r>
        <w:rPr>
          <w:rFonts w:ascii="Times New Roman" w:cs="Times New Roman" w:eastAsia="Times New Roman" w:hAnsi="Times New Roman"/>
          <w:sz w:val="18"/>
          <w:szCs w:val="18"/>
          <w:color w:val="auto"/>
        </w:rPr>
        <w:t>As of September 30, 2022, we had debt investments in three portfolio companies on non-accrual status. As of December 31, 2021, we had a debt investment in one portfolio company on non-accrual status (dollars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40" w:type="dxa"/>
            <w:vAlign w:val="bottom"/>
            <w:tcBorders>
              <w:bottom w:val="single" w:sz="8" w:color="auto"/>
            </w:tcBorders>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tcBorders>
              <w:bottom w:val="single" w:sz="8" w:color="auto"/>
            </w:tcBorders>
            <w:gridSpan w:val="4"/>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r>
      <w:tr>
        <w:trPr>
          <w:trHeight w:val="158"/>
        </w:trPr>
        <w:tc>
          <w:tcPr>
            <w:tcW w:w="5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68"/>
              <w:spacing w:after="0" w:line="158" w:lineRule="exact"/>
              <w:rPr>
                <w:sz w:val="20"/>
                <w:szCs w:val="20"/>
                <w:color w:val="auto"/>
              </w:rPr>
            </w:pPr>
            <w:r>
              <w:rPr>
                <w:rFonts w:ascii="Times New Roman" w:cs="Times New Roman" w:eastAsia="Times New Roman" w:hAnsi="Times New Roman"/>
                <w:sz w:val="14"/>
                <w:szCs w:val="14"/>
                <w:b w:val="1"/>
                <w:bCs w:val="1"/>
                <w:color w:val="auto"/>
              </w:rPr>
              <w:t>Fair</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48"/>
              <w:spacing w:after="0" w:line="158" w:lineRule="exact"/>
              <w:rPr>
                <w:sz w:val="20"/>
                <w:szCs w:val="20"/>
                <w:color w:val="auto"/>
              </w:rPr>
            </w:pPr>
            <w:r>
              <w:rPr>
                <w:rFonts w:ascii="Times New Roman" w:cs="Times New Roman" w:eastAsia="Times New Roman" w:hAnsi="Times New Roman"/>
                <w:sz w:val="14"/>
                <w:szCs w:val="14"/>
                <w:b w:val="1"/>
                <w:bCs w:val="1"/>
                <w:color w:val="auto"/>
              </w:rPr>
              <w:t>Fair</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87"/>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Cost</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69"/>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EBL, LLC (EbLens)</w:t>
            </w:r>
          </w:p>
        </w:tc>
        <w:tc>
          <w:tcPr>
            <w:tcW w:w="180" w:type="dxa"/>
            <w:vAlign w:val="bottom"/>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8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24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w:t>
            </w:r>
          </w:p>
        </w:tc>
        <w:tc>
          <w:tcPr>
            <w:tcW w:w="720" w:type="dxa"/>
            <w:vAlign w:val="bottom"/>
            <w:tcBorders>
              <w:top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r>
      <w:tr>
        <w:trPr>
          <w:trHeight w:val="175"/>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GreenFiber, LLC</w:t>
            </w:r>
          </w:p>
        </w:tc>
        <w:tc>
          <w:tcPr>
            <w:tcW w:w="8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(2)</w:t>
            </w:r>
          </w:p>
        </w:tc>
        <w:tc>
          <w:tcPr>
            <w:tcW w:w="7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3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w:t>
            </w:r>
          </w:p>
        </w:tc>
      </w:tr>
      <w:tr>
        <w:trPr>
          <w:trHeight w:val="176"/>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K2 Merger Agreement Agent, LLC (fka K2 Industrial Services, Inc.)</w:t>
            </w:r>
          </w:p>
        </w:tc>
        <w:tc>
          <w:tcPr>
            <w:tcW w:w="8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w:t>
            </w:r>
          </w:p>
        </w:tc>
        <w:tc>
          <w:tcPr>
            <w:tcW w:w="7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r>
      <w:tr>
        <w:trPr>
          <w:trHeight w:val="169"/>
        </w:trPr>
        <w:tc>
          <w:tcPr>
            <w:tcW w:w="584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820" w:type="dxa"/>
            <w:vAlign w:val="bottom"/>
          </w:tcPr>
          <w:p>
            <w:pPr>
              <w:jc w:val="right"/>
              <w:ind w:right="6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4.6</w:t>
            </w:r>
          </w:p>
        </w:tc>
        <w:tc>
          <w:tcPr>
            <w:tcW w:w="1040" w:type="dxa"/>
            <w:vAlign w:val="bottom"/>
            <w:gridSpan w:val="2"/>
          </w:tcPr>
          <w:p>
            <w:pPr>
              <w:jc w:val="right"/>
              <w:ind w:right="6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16.9</w:t>
            </w:r>
          </w:p>
        </w:tc>
        <w:tc>
          <w:tcPr>
            <w:tcW w:w="1000" w:type="dxa"/>
            <w:vAlign w:val="bottom"/>
            <w:gridSpan w:val="2"/>
          </w:tcPr>
          <w:p>
            <w:pPr>
              <w:jc w:val="right"/>
              <w:ind w:right="5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8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4"/>
                <w:szCs w:val="14"/>
                <w:color w:val="auto"/>
              </w:rPr>
            </w:pPr>
          </w:p>
        </w:tc>
        <w:tc>
          <w:tcPr>
            <w:tcW w:w="720" w:type="dxa"/>
            <w:vAlign w:val="bottom"/>
          </w:tcPr>
          <w:p>
            <w:pPr>
              <w:jc w:val="right"/>
              <w:ind w:right="5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5.2</w:t>
            </w:r>
          </w:p>
        </w:tc>
        <w:tc>
          <w:tcPr>
            <w:tcW w:w="340" w:type="dxa"/>
            <w:vAlign w:val="bottom"/>
          </w:tcPr>
          <w:p>
            <w:pPr>
              <w:spacing w:after="0"/>
              <w:rPr>
                <w:sz w:val="14"/>
                <w:szCs w:val="14"/>
                <w:color w:val="auto"/>
              </w:rPr>
            </w:pPr>
          </w:p>
        </w:tc>
      </w:tr>
      <w:tr>
        <w:trPr>
          <w:trHeight w:val="20"/>
        </w:trPr>
        <w:tc>
          <w:tcPr>
            <w:tcW w:w="5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-144780</wp:posOffset>
            </wp:positionV>
            <wp:extent cx="77470" cy="1454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-144780</wp:posOffset>
            </wp:positionV>
            <wp:extent cx="68580" cy="1454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-144780</wp:posOffset>
            </wp:positionV>
            <wp:extent cx="68580" cy="1454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-144780</wp:posOffset>
            </wp:positionV>
            <wp:extent cx="68580" cy="1454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60" w:lineRule="exact"/>
        <w:rPr>
          <w:sz w:val="20"/>
          <w:szCs w:val="20"/>
          <w:color w:val="auto"/>
        </w:rPr>
      </w:pPr>
    </w:p>
    <w:p>
      <w:pPr>
        <w:ind w:left="220" w:hanging="212"/>
        <w:spacing w:after="0"/>
        <w:tabs>
          <w:tab w:leader="none" w:pos="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company debt investment was not on non-accrual status at December 31, 2021.</w:t>
      </w:r>
    </w:p>
    <w:p>
      <w:pPr>
        <w:spacing w:after="0" w:line="1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company was on PIK-only non-accrual status at December 31, 2021, meaning we ceased recognizing PIK interest income on the investment.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and Analysis of Results of Operations</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and nine months ended September 30, 2022 and 2021</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Below is a summary of the changes in total investment income for the three months ended September 30, 2022 as compared to the same period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(dollars in millions, percent change calculated based on underlying dollar amounts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00" w:type="dxa"/>
            <w:vAlign w:val="bottom"/>
          </w:tcPr>
          <w:p>
            <w:pPr>
              <w:spacing w:after="0"/>
              <w:rPr>
                <w:sz w:val="16"/>
                <w:szCs w:val="16"/>
                <w:color w:val="auto"/>
              </w:rPr>
            </w:pPr>
          </w:p>
        </w:tc>
        <w:tc>
          <w:tcPr>
            <w:tcW w:w="2580" w:type="dxa"/>
            <w:vAlign w:val="bottom"/>
            <w:tcBorders>
              <w:bottom w:val="single" w:sz="8" w:color="auto"/>
            </w:tcBorders>
            <w:gridSpan w:val="5"/>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8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 xml:space="preserve">% Change </w:t>
            </w:r>
            <w:r>
              <w:rPr>
                <w:rFonts w:ascii="Times New Roman" w:cs="Times New Roman" w:eastAsia="Times New Roman" w:hAnsi="Times New Roman"/>
                <w:sz w:val="19"/>
                <w:szCs w:val="19"/>
                <w:b w:val="1"/>
                <w:bCs w:val="1"/>
                <w:color w:val="auto"/>
                <w:vertAlign w:val="superscript"/>
              </w:rPr>
              <w:t>(1)(2)</w:t>
            </w: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800" w:type="dxa"/>
            <w:vAlign w:val="bottom"/>
            <w:tcBorders>
              <w:top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26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2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20" w:type="dxa"/>
            <w:vAlign w:val="bottom"/>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Payment-in-kind interest income</w:t>
            </w:r>
          </w:p>
        </w:tc>
        <w:tc>
          <w:tcPr>
            <w:tcW w:w="8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(0.8 )</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(67.2 %)</w:t>
            </w:r>
          </w:p>
        </w:tc>
        <w:tc>
          <w:tcPr>
            <w:tcW w:w="0" w:type="dxa"/>
            <w:vAlign w:val="bottom"/>
          </w:tcPr>
          <w:p>
            <w:pPr>
              <w:spacing w:after="0"/>
              <w:rPr>
                <w:sz w:val="1"/>
                <w:szCs w:val="1"/>
                <w:color w:val="auto"/>
              </w:rPr>
            </w:pPr>
          </w:p>
        </w:tc>
      </w:tr>
      <w:tr>
        <w:trPr>
          <w:trHeight w:val="17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income</w:t>
            </w: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2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Fee income</w:t>
            </w:r>
          </w:p>
        </w:tc>
        <w:tc>
          <w:tcPr>
            <w:tcW w:w="8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20" w:type="dxa"/>
            <w:vAlign w:val="bottom"/>
          </w:tcPr>
          <w:p>
            <w:pPr>
              <w:spacing w:after="0"/>
              <w:rPr>
                <w:sz w:val="15"/>
                <w:szCs w:val="15"/>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46.6 %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on idle funds and other income</w:t>
            </w:r>
          </w:p>
        </w:tc>
        <w:tc>
          <w:tcPr>
            <w:tcW w:w="8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investment income</w:t>
            </w:r>
          </w:p>
        </w:tc>
        <w:tc>
          <w:tcPr>
            <w:tcW w:w="80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5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4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2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17.7 </w:t>
            </w:r>
            <w:r>
              <w:rPr>
                <w:rFonts w:ascii="Times New Roman" w:cs="Times New Roman" w:eastAsia="Times New Roman" w:hAnsi="Times New Roman"/>
                <w:sz w:val="14"/>
                <w:szCs w:val="14"/>
                <w:color w:val="auto"/>
                <w:highlight w:val="white"/>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-145415</wp:posOffset>
            </wp:positionV>
            <wp:extent cx="76835" cy="14605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-145415</wp:posOffset>
            </wp:positionV>
            <wp:extent cx="68580" cy="14605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-145415</wp:posOffset>
            </wp:positionV>
            <wp:extent cx="68580" cy="1460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60" w:lineRule="exact"/>
        <w:rPr>
          <w:sz w:val="20"/>
          <w:szCs w:val="20"/>
          <w:color w:val="auto"/>
        </w:rPr>
      </w:pPr>
    </w:p>
    <w:p>
      <w:pPr>
        <w:ind w:left="220" w:hanging="212"/>
        <w:spacing w:after="0"/>
        <w:tabs>
          <w:tab w:leader="none" w:pos="2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 = Not meaningful</w:t>
      </w:r>
    </w:p>
    <w:p>
      <w:pPr>
        <w:spacing w:after="0" w:line="4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 change calculated based on underlying dollar amounts in thousands as presented on the consolidated statements of operations.</w:t>
      </w:r>
    </w:p>
    <w:p>
      <w:pPr>
        <w:spacing w:after="0" w:line="181" w:lineRule="exact"/>
        <w:rPr>
          <w:sz w:val="20"/>
          <w:szCs w:val="20"/>
          <w:color w:val="auto"/>
        </w:rPr>
      </w:pPr>
    </w:p>
    <w:p>
      <w:pPr>
        <w:jc w:val="both"/>
        <w:ind w:right="80" w:firstLine="479"/>
        <w:spacing w:after="0" w:line="250" w:lineRule="auto"/>
        <w:rPr>
          <w:sz w:val="20"/>
          <w:szCs w:val="20"/>
          <w:color w:val="auto"/>
        </w:rPr>
      </w:pPr>
      <w:r>
        <w:rPr>
          <w:rFonts w:ascii="Times New Roman" w:cs="Times New Roman" w:eastAsia="Times New Roman" w:hAnsi="Times New Roman"/>
          <w:sz w:val="18"/>
          <w:szCs w:val="18"/>
          <w:color w:val="auto"/>
        </w:rPr>
        <w:t>For the three months ended September 30, 2022, total investment income was $25.0 million, an increase of $3.8 million or 17.7%, from the $21.2 million of total investment income for the three months ended September 30, 2021. As reflected in the table above, the increase is primarily attributable to the following:</w:t>
      </w:r>
    </w:p>
    <w:p>
      <w:pPr>
        <w:spacing w:after="0" w:line="136" w:lineRule="exact"/>
        <w:rPr>
          <w:sz w:val="20"/>
          <w:szCs w:val="20"/>
          <w:color w:val="auto"/>
        </w:rPr>
      </w:pPr>
    </w:p>
    <w:p>
      <w:pPr>
        <w:ind w:left="1140" w:right="80" w:hanging="383"/>
        <w:spacing w:after="0" w:line="266"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million increase in total interest income (which includes PIK interest income) resulting from an increase in average debt investment balances and an increase in weighted average yield on debt investment balances outstanding, during 2022 as compared to 2021.</w:t>
      </w:r>
    </w:p>
    <w:p>
      <w:pPr>
        <w:spacing w:after="0" w:line="10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increase in dividend income due to an increase in distributions received from equity investments.</w:t>
      </w:r>
    </w:p>
    <w:p>
      <w:pPr>
        <w:spacing w:after="0" w:line="171" w:lineRule="exact"/>
        <w:rPr>
          <w:rFonts w:ascii="Times New Roman" w:cs="Times New Roman" w:eastAsia="Times New Roman" w:hAnsi="Times New Roman"/>
          <w:sz w:val="18"/>
          <w:szCs w:val="18"/>
          <w:color w:val="auto"/>
        </w:rPr>
      </w:pPr>
    </w:p>
    <w:p>
      <w:pPr>
        <w:ind w:left="1140" w:right="100" w:hanging="383"/>
        <w:spacing w:after="0" w:line="246"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increase in fee income resulting from an increase in origination and amendment fees, partially offset by a decrease in prepayment fees, during 2022 as compared to 2021.</w:t>
      </w:r>
    </w:p>
    <w:p>
      <w:pPr>
        <w:spacing w:after="0" w:line="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486" w:right="259" w:bottom="1440" w:gutter="0" w:footer="0" w:header="0"/>
        </w:sectPr>
      </w:pPr>
    </w:p>
    <w:bookmarkStart w:id="45" w:name="page46"/>
    <w:bookmarkEnd w:id="45"/>
    <w:p>
      <w:pPr>
        <w:ind w:right="80" w:firstLine="479"/>
        <w:spacing w:after="0" w:line="282" w:lineRule="auto"/>
        <w:rPr>
          <w:sz w:val="20"/>
          <w:szCs w:val="20"/>
          <w:color w:val="auto"/>
        </w:rPr>
      </w:pPr>
      <w:r>
        <w:rPr>
          <w:rFonts w:ascii="Times New Roman" w:cs="Times New Roman" w:eastAsia="Times New Roman" w:hAnsi="Times New Roman"/>
          <w:sz w:val="18"/>
          <w:szCs w:val="18"/>
          <w:color w:val="auto"/>
        </w:rPr>
        <w:t>Below is a summary of the changes in total investment income for the nine months ended September 30, 2022 as compared to the same period in 2021 (dollars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00" w:type="dxa"/>
            <w:vAlign w:val="bottom"/>
          </w:tcPr>
          <w:p>
            <w:pPr>
              <w:spacing w:after="0"/>
              <w:rPr>
                <w:sz w:val="16"/>
                <w:szCs w:val="16"/>
                <w:color w:val="auto"/>
              </w:rPr>
            </w:pPr>
          </w:p>
        </w:tc>
        <w:tc>
          <w:tcPr>
            <w:tcW w:w="2580" w:type="dxa"/>
            <w:vAlign w:val="bottom"/>
            <w:tcBorders>
              <w:bottom w:val="single" w:sz="8" w:color="auto"/>
            </w:tcBorders>
            <w:gridSpan w:val="5"/>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8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 xml:space="preserve">% Change </w:t>
            </w:r>
            <w:r>
              <w:rPr>
                <w:rFonts w:ascii="Times New Roman" w:cs="Times New Roman" w:eastAsia="Times New Roman" w:hAnsi="Times New Roman"/>
                <w:sz w:val="19"/>
                <w:szCs w:val="19"/>
                <w:b w:val="1"/>
                <w:bCs w:val="1"/>
                <w:color w:val="auto"/>
                <w:vertAlign w:val="superscript"/>
              </w:rPr>
              <w:t>(1)(2)</w:t>
            </w: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800" w:type="dxa"/>
            <w:vAlign w:val="bottom"/>
            <w:tcBorders>
              <w:top w:val="single" w:sz="8" w:color="auto"/>
            </w:tcBorders>
            <w:shd w:val="clear" w:color="auto" w:fill="CFF0FC"/>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26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2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20" w:type="dxa"/>
            <w:vAlign w:val="bottom"/>
            <w:shd w:val="clear" w:color="auto" w:fill="CFF0FC"/>
          </w:tcPr>
          <w:p>
            <w:pPr>
              <w:spacing w:after="0"/>
              <w:rPr>
                <w:sz w:val="14"/>
                <w:szCs w:val="14"/>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Payment-in-kind interest income</w:t>
            </w:r>
          </w:p>
        </w:tc>
        <w:tc>
          <w:tcPr>
            <w:tcW w:w="8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(2.0 )</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(60.2 %)</w:t>
            </w:r>
          </w:p>
        </w:tc>
        <w:tc>
          <w:tcPr>
            <w:tcW w:w="0" w:type="dxa"/>
            <w:vAlign w:val="bottom"/>
          </w:tcPr>
          <w:p>
            <w:pPr>
              <w:spacing w:after="0"/>
              <w:rPr>
                <w:sz w:val="1"/>
                <w:szCs w:val="1"/>
                <w:color w:val="auto"/>
              </w:rPr>
            </w:pPr>
          </w:p>
        </w:tc>
      </w:tr>
      <w:tr>
        <w:trPr>
          <w:trHeight w:val="17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Dividend income</w:t>
            </w:r>
          </w:p>
        </w:tc>
        <w:tc>
          <w:tcPr>
            <w:tcW w:w="8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4"/>
                <w:szCs w:val="14"/>
                <w:color w:val="auto"/>
              </w:rPr>
              <w:t>NM</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Fee income</w:t>
            </w:r>
          </w:p>
        </w:tc>
        <w:tc>
          <w:tcPr>
            <w:tcW w:w="8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(0.8 )</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(13.0 %)</w:t>
            </w:r>
          </w:p>
        </w:tc>
        <w:tc>
          <w:tcPr>
            <w:tcW w:w="0" w:type="dxa"/>
            <w:vAlign w:val="bottom"/>
          </w:tcPr>
          <w:p>
            <w:pPr>
              <w:spacing w:after="0"/>
              <w:rPr>
                <w:sz w:val="1"/>
                <w:szCs w:val="1"/>
                <w:color w:val="auto"/>
              </w:rPr>
            </w:pPr>
          </w:p>
        </w:tc>
      </w:tr>
      <w:tr>
        <w:trPr>
          <w:trHeight w:val="175"/>
        </w:trPr>
        <w:tc>
          <w:tcPr>
            <w:tcW w:w="5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on idle funds and other income</w:t>
            </w:r>
          </w:p>
        </w:tc>
        <w:tc>
          <w:tcPr>
            <w:tcW w:w="800" w:type="dxa"/>
            <w:vAlign w:val="bottom"/>
            <w:tcBorders>
              <w:bottom w:val="single" w:sz="8" w:color="auto"/>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investment income</w:t>
            </w:r>
          </w:p>
        </w:tc>
        <w:tc>
          <w:tcPr>
            <w:tcW w:w="80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5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4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2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0.5 </w:t>
            </w:r>
            <w:r>
              <w:rPr>
                <w:rFonts w:ascii="Times New Roman" w:cs="Times New Roman" w:eastAsia="Times New Roman" w:hAnsi="Times New Roman"/>
                <w:sz w:val="14"/>
                <w:szCs w:val="14"/>
                <w:color w:val="auto"/>
                <w:highlight w:val="white"/>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-145415</wp:posOffset>
            </wp:positionV>
            <wp:extent cx="76835" cy="1460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-145415</wp:posOffset>
            </wp:positionV>
            <wp:extent cx="68580" cy="14605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-145415</wp:posOffset>
            </wp:positionV>
            <wp:extent cx="68580" cy="1460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65" w:lineRule="exact"/>
        <w:rPr>
          <w:sz w:val="20"/>
          <w:szCs w:val="20"/>
          <w:color w:val="auto"/>
        </w:rPr>
      </w:pPr>
    </w:p>
    <w:p>
      <w:pPr>
        <w:ind w:left="220" w:hanging="212"/>
        <w:spacing w:after="0"/>
        <w:tabs>
          <w:tab w:leader="none" w:pos="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 = Not meaningful</w:t>
      </w:r>
    </w:p>
    <w:p>
      <w:pPr>
        <w:spacing w:after="0" w:line="55"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 change calculated based on underlying dollar amounts in thousands as presented on the consolidated statements of operations.</w:t>
      </w:r>
    </w:p>
    <w:p>
      <w:pPr>
        <w:spacing w:after="0" w:line="167" w:lineRule="exact"/>
        <w:rPr>
          <w:sz w:val="20"/>
          <w:szCs w:val="20"/>
          <w:color w:val="auto"/>
        </w:rPr>
      </w:pPr>
    </w:p>
    <w:p>
      <w:pPr>
        <w:jc w:val="both"/>
        <w:ind w:right="100" w:firstLine="479"/>
        <w:spacing w:after="0" w:line="250" w:lineRule="auto"/>
        <w:rPr>
          <w:sz w:val="20"/>
          <w:szCs w:val="20"/>
          <w:color w:val="auto"/>
        </w:rPr>
      </w:pPr>
      <w:r>
        <w:rPr>
          <w:rFonts w:ascii="Times New Roman" w:cs="Times New Roman" w:eastAsia="Times New Roman" w:hAnsi="Times New Roman"/>
          <w:sz w:val="18"/>
          <w:szCs w:val="18"/>
          <w:color w:val="auto"/>
        </w:rPr>
        <w:t>For the nine months ended September 30, 2022, total investment income was $66.7 million, an increase of $0.4 million or 0.5%, from the $66.3 million of total investment income for the nine months ended September 30, 2021. As reflected in the table above, the increase is primarily attributable to the following:</w:t>
      </w:r>
    </w:p>
    <w:p>
      <w:pPr>
        <w:spacing w:after="0" w:line="136" w:lineRule="exact"/>
        <w:rPr>
          <w:sz w:val="20"/>
          <w:szCs w:val="20"/>
          <w:color w:val="auto"/>
        </w:rPr>
      </w:pPr>
    </w:p>
    <w:p>
      <w:pPr>
        <w:jc w:val="both"/>
        <w:ind w:left="1140" w:right="80" w:hanging="383"/>
        <w:spacing w:after="0" w:line="250"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increase in total interest income (which includes a $2.0 million decrease in PIK income) resulting from an increase in average debt investment balances outstanding and an increase in weighted average yield on debt investment balances outstanding, partially offset by repayments of PIK debt investments and an increase in PIK investments on non-accrual, during 2022 as compared to 2021.</w:t>
      </w:r>
    </w:p>
    <w:p>
      <w:pPr>
        <w:spacing w:after="0" w:line="136"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decrease in fee income resulting from a decrease in prepayment and amendment fees, partially offset by an increase in origination fees during 2022 as compared to 2021.</w:t>
      </w:r>
    </w:p>
    <w:p>
      <w:pPr>
        <w:spacing w:after="0" w:line="1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73" w:lineRule="exact"/>
        <w:rPr>
          <w:sz w:val="20"/>
          <w:szCs w:val="20"/>
          <w:color w:val="auto"/>
        </w:rPr>
      </w:pPr>
    </w:p>
    <w:p>
      <w:pPr>
        <w:ind w:right="100" w:firstLine="478"/>
        <w:spacing w:after="0" w:line="266" w:lineRule="auto"/>
        <w:rPr>
          <w:sz w:val="20"/>
          <w:szCs w:val="20"/>
          <w:color w:val="auto"/>
        </w:rPr>
      </w:pPr>
      <w:r>
        <w:rPr>
          <w:rFonts w:ascii="Times New Roman" w:cs="Times New Roman" w:eastAsia="Times New Roman" w:hAnsi="Times New Roman"/>
          <w:sz w:val="18"/>
          <w:szCs w:val="18"/>
          <w:color w:val="auto"/>
        </w:rPr>
        <w:t>Below is a summary of the changes in total expenses, including income tax provision, for the three months ended September 30, 2022 as compared to the same period in 2021 (dollars in millions, percent change calculated based on underlying dollar amounts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00" w:type="dxa"/>
            <w:vAlign w:val="bottom"/>
          </w:tcPr>
          <w:p>
            <w:pPr>
              <w:spacing w:after="0"/>
              <w:rPr>
                <w:sz w:val="16"/>
                <w:szCs w:val="16"/>
                <w:color w:val="auto"/>
              </w:rPr>
            </w:pPr>
          </w:p>
        </w:tc>
        <w:tc>
          <w:tcPr>
            <w:tcW w:w="282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12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8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 xml:space="preserve">% Change </w:t>
            </w:r>
            <w:r>
              <w:rPr>
                <w:rFonts w:ascii="Times New Roman" w:cs="Times New Roman" w:eastAsia="Times New Roman" w:hAnsi="Times New Roman"/>
                <w:sz w:val="19"/>
                <w:szCs w:val="19"/>
                <w:b w:val="1"/>
                <w:bCs w:val="1"/>
                <w:color w:val="auto"/>
                <w:vertAlign w:val="superscript"/>
              </w:rPr>
              <w:t>(1)(2)</w:t>
            </w: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8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financing expenses</w:t>
            </w:r>
          </w:p>
        </w:tc>
        <w:tc>
          <w:tcPr>
            <w:tcW w:w="800" w:type="dxa"/>
            <w:vAlign w:val="bottom"/>
            <w:tcBorders>
              <w:top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40" w:type="dxa"/>
            <w:vAlign w:val="bottom"/>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NM</w:t>
            </w: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Base management fee</w:t>
            </w:r>
          </w:p>
        </w:tc>
        <w:tc>
          <w:tcPr>
            <w:tcW w:w="8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20" w:type="dxa"/>
            <w:vAlign w:val="bottom"/>
          </w:tcPr>
          <w:p>
            <w:pPr>
              <w:spacing w:after="0"/>
              <w:rPr>
                <w:sz w:val="15"/>
                <w:szCs w:val="15"/>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15.1 %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Incentive fee - income</w:t>
            </w:r>
          </w:p>
        </w:tc>
        <w:tc>
          <w:tcPr>
            <w:tcW w:w="8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2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Incentive fee (reversal) - capital gains</w:t>
            </w:r>
          </w:p>
        </w:tc>
        <w:tc>
          <w:tcPr>
            <w:tcW w:w="80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(0.3 )</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(5.0 )</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(105.5 %)</w:t>
            </w: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Administrative service expenses</w:t>
            </w:r>
          </w:p>
        </w:tc>
        <w:tc>
          <w:tcPr>
            <w:tcW w:w="8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2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8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(0.2 )</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(33.1 %)</w:t>
            </w:r>
          </w:p>
        </w:tc>
        <w:tc>
          <w:tcPr>
            <w:tcW w:w="0" w:type="dxa"/>
            <w:vAlign w:val="bottom"/>
          </w:tcPr>
          <w:p>
            <w:pPr>
              <w:spacing w:after="0"/>
              <w:rPr>
                <w:sz w:val="1"/>
                <w:szCs w:val="1"/>
                <w:color w:val="auto"/>
              </w:rPr>
            </w:pPr>
          </w:p>
        </w:tc>
      </w:tr>
      <w:tr>
        <w:trPr>
          <w:trHeight w:val="17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8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2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expenses, before base management and income incentive fee waivers</w:t>
            </w:r>
          </w:p>
        </w:tc>
        <w:tc>
          <w:tcPr>
            <w:tcW w:w="8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(3.8 )</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(23.6 </w:t>
            </w:r>
            <w:r>
              <w:rPr>
                <w:rFonts w:ascii="Times New Roman" w:cs="Times New Roman" w:eastAsia="Times New Roman" w:hAnsi="Times New Roman"/>
                <w:sz w:val="14"/>
                <w:szCs w:val="14"/>
                <w:color w:val="auto"/>
                <w:highlight w:val="white"/>
              </w:rPr>
              <w:t>%)</w:t>
            </w: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Base management and income incentive fee waivers</w:t>
            </w:r>
          </w:p>
        </w:tc>
        <w:tc>
          <w:tcPr>
            <w:tcW w:w="8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(0.1 )</w:t>
            </w:r>
          </w:p>
        </w:tc>
        <w:tc>
          <w:tcPr>
            <w:tcW w:w="2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(0.1 )</w:t>
            </w: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NM</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expenses, before income tax provision</w:t>
            </w:r>
          </w:p>
        </w:tc>
        <w:tc>
          <w:tcPr>
            <w:tcW w:w="8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(3.8 )</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(23.8 </w:t>
            </w:r>
            <w:r>
              <w:rPr>
                <w:rFonts w:ascii="Times New Roman" w:cs="Times New Roman" w:eastAsia="Times New Roman" w:hAnsi="Times New Roman"/>
                <w:sz w:val="14"/>
                <w:szCs w:val="14"/>
                <w:color w:val="auto"/>
                <w:highlight w:val="white"/>
              </w:rPr>
              <w:t>%)</w:t>
            </w:r>
          </w:p>
        </w:tc>
        <w:tc>
          <w:tcPr>
            <w:tcW w:w="0" w:type="dxa"/>
            <w:vAlign w:val="bottom"/>
          </w:tcPr>
          <w:p>
            <w:pPr>
              <w:spacing w:after="0"/>
              <w:rPr>
                <w:sz w:val="1"/>
                <w:szCs w:val="1"/>
                <w:color w:val="auto"/>
              </w:rPr>
            </w:pPr>
          </w:p>
        </w:tc>
      </w:tr>
      <w:tr>
        <w:trPr>
          <w:trHeight w:val="175"/>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80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NM</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0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 expenses, including income tax provision</w:t>
            </w:r>
          </w:p>
        </w:tc>
        <w:tc>
          <w:tcPr>
            <w:tcW w:w="800" w:type="dxa"/>
            <w:vAlign w:val="bottom"/>
          </w:tcPr>
          <w:p>
            <w:pPr>
              <w:jc w:val="right"/>
              <w:ind w:right="6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12.3</w:t>
            </w:r>
          </w:p>
        </w:tc>
        <w:tc>
          <w:tcPr>
            <w:tcW w:w="240" w:type="dxa"/>
            <w:vAlign w:val="bottom"/>
          </w:tcPr>
          <w:p>
            <w:pPr>
              <w:spacing w:after="0"/>
              <w:rPr>
                <w:sz w:val="14"/>
                <w:szCs w:val="14"/>
                <w:color w:val="auto"/>
              </w:rPr>
            </w:pPr>
          </w:p>
        </w:tc>
        <w:tc>
          <w:tcPr>
            <w:tcW w:w="28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16.1</w:t>
            </w:r>
          </w:p>
        </w:tc>
        <w:tc>
          <w:tcPr>
            <w:tcW w:w="240" w:type="dxa"/>
            <w:vAlign w:val="bottom"/>
          </w:tcPr>
          <w:p>
            <w:pPr>
              <w:spacing w:after="0"/>
              <w:rPr>
                <w:sz w:val="14"/>
                <w:szCs w:val="14"/>
                <w:color w:val="auto"/>
              </w:rPr>
            </w:pPr>
          </w:p>
        </w:tc>
        <w:tc>
          <w:tcPr>
            <w:tcW w:w="20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(3.8 )</w:t>
            </w:r>
          </w:p>
        </w:tc>
        <w:tc>
          <w:tcPr>
            <w:tcW w:w="188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auto"/>
              </w:rPr>
              <w:t xml:space="preserve">(23.8 </w:t>
            </w:r>
            <w:r>
              <w:rPr>
                <w:rFonts w:ascii="Times New Roman" w:cs="Times New Roman" w:eastAsia="Times New Roman" w:hAnsi="Times New Roman"/>
                <w:sz w:val="14"/>
                <w:szCs w:val="14"/>
                <w:color w:val="auto"/>
                <w:highlight w:val="white"/>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-607695</wp:posOffset>
            </wp:positionV>
            <wp:extent cx="77470" cy="1200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-607695</wp:posOffset>
            </wp:positionV>
            <wp:extent cx="68580" cy="1200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-607695</wp:posOffset>
            </wp:positionV>
            <wp:extent cx="68580" cy="1200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-376555</wp:posOffset>
            </wp:positionV>
            <wp:extent cx="77470" cy="1200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-376555</wp:posOffset>
            </wp:positionV>
            <wp:extent cx="68580" cy="1200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-376555</wp:posOffset>
            </wp:positionV>
            <wp:extent cx="68580" cy="1200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-145415</wp:posOffset>
            </wp:positionV>
            <wp:extent cx="77470" cy="1460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-145415</wp:posOffset>
            </wp:positionV>
            <wp:extent cx="68580" cy="14605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-145415</wp:posOffset>
            </wp:positionV>
            <wp:extent cx="68580" cy="1460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33" w:lineRule="exact"/>
        <w:rPr>
          <w:sz w:val="20"/>
          <w:szCs w:val="20"/>
          <w:color w:val="auto"/>
        </w:rPr>
      </w:pPr>
    </w:p>
    <w:p>
      <w:pPr>
        <w:ind w:left="220" w:hanging="212"/>
        <w:spacing w:after="0"/>
        <w:tabs>
          <w:tab w:leader="none" w:pos="2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 = Not meaningful</w:t>
      </w:r>
    </w:p>
    <w:p>
      <w:pPr>
        <w:spacing w:after="0" w:line="4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 change calculated based on underlying dollar amounts in thousands as presented on the consolidated statements of operations.</w:t>
      </w:r>
    </w:p>
    <w:p>
      <w:pPr>
        <w:spacing w:after="0" w:line="167" w:lineRule="exact"/>
        <w:rPr>
          <w:sz w:val="20"/>
          <w:szCs w:val="20"/>
          <w:color w:val="auto"/>
        </w:rPr>
      </w:pPr>
    </w:p>
    <w:p>
      <w:pPr>
        <w:jc w:val="both"/>
        <w:ind w:right="80" w:firstLine="478"/>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2022, total expenses, including income tax provision, were $12.3 million, a decrease of $3.8 million or (23.8%), from the $16.1 million of total expenses for the three months ended September 30, 2021. As reflected in the table above, changes across periods were primarily attributable to the following:</w:t>
      </w:r>
    </w:p>
    <w:p>
      <w:pPr>
        <w:spacing w:after="0" w:line="115" w:lineRule="exact"/>
        <w:rPr>
          <w:sz w:val="20"/>
          <w:szCs w:val="20"/>
          <w:color w:val="auto"/>
        </w:rPr>
      </w:pPr>
    </w:p>
    <w:p>
      <w:pPr>
        <w:ind w:left="1220" w:right="80" w:hanging="381"/>
        <w:spacing w:after="0" w:line="282" w:lineRule="auto"/>
        <w:tabs>
          <w:tab w:leader="none" w:pos="1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net increase in base management fee, including the base management fee waiver, due to higher average total assets during 2022 as compared to 2021.</w:t>
      </w:r>
    </w:p>
    <w:p>
      <w:pPr>
        <w:spacing w:after="0" w:line="94" w:lineRule="exact"/>
        <w:rPr>
          <w:rFonts w:ascii="Times New Roman" w:cs="Times New Roman" w:eastAsia="Times New Roman" w:hAnsi="Times New Roman"/>
          <w:sz w:val="18"/>
          <w:szCs w:val="18"/>
          <w:color w:val="auto"/>
        </w:rPr>
      </w:pPr>
    </w:p>
    <w:p>
      <w:pPr>
        <w:ind w:left="1220" w:right="80" w:hanging="381"/>
        <w:spacing w:after="0" w:line="266" w:lineRule="auto"/>
        <w:tabs>
          <w:tab w:leader="none" w:pos="1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net increase in the income incentive fee due to an increase in pre-incentive fee net investment income during 2022 as compared to 2021.</w:t>
      </w:r>
    </w:p>
    <w:p>
      <w:pPr>
        <w:spacing w:after="0" w:line="121" w:lineRule="exact"/>
        <w:rPr>
          <w:rFonts w:ascii="Times New Roman" w:cs="Times New Roman" w:eastAsia="Times New Roman" w:hAnsi="Times New Roman"/>
          <w:sz w:val="18"/>
          <w:szCs w:val="18"/>
          <w:color w:val="auto"/>
        </w:rPr>
      </w:pPr>
    </w:p>
    <w:p>
      <w:pPr>
        <w:jc w:val="both"/>
        <w:ind w:left="1220" w:right="80" w:hanging="381"/>
        <w:spacing w:after="0" w:line="247" w:lineRule="auto"/>
        <w:tabs>
          <w:tab w:leader="none" w:pos="1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million decrease in the accrued capital gains incentive fee due to a $24.6 million decrease in net gain on investments (net realized gains (losses), plus net change in unrealized appreciation (depreciation) on investments) plus realized losses on extinguishment of debt, during 2022 as compared to the same period in 2021.</w:t>
      </w:r>
    </w:p>
    <w:p>
      <w:pPr>
        <w:jc w:val="center"/>
        <w:ind w:right="8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486" w:right="259" w:bottom="1440" w:gutter="0" w:footer="0" w:header="0"/>
        </w:sectPr>
      </w:pPr>
    </w:p>
    <w:bookmarkStart w:id="46" w:name="page47"/>
    <w:bookmarkEnd w:id="46"/>
    <w:p>
      <w:pPr>
        <w:ind w:left="1220" w:hanging="381"/>
        <w:spacing w:after="0"/>
        <w:tabs>
          <w:tab w:leader="none" w:pos="12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decrease in professional fees due to decreased legal, audit and tax compliance costs during 2022 as compared to 2021.</w:t>
      </w:r>
    </w:p>
    <w:p>
      <w:pPr>
        <w:spacing w:after="0" w:line="171" w:lineRule="exact"/>
        <w:rPr>
          <w:sz w:val="20"/>
          <w:szCs w:val="20"/>
          <w:color w:val="auto"/>
        </w:rPr>
      </w:pPr>
    </w:p>
    <w:p>
      <w:pPr>
        <w:ind w:right="100" w:firstLine="478"/>
        <w:spacing w:after="0" w:line="266" w:lineRule="auto"/>
        <w:rPr>
          <w:sz w:val="20"/>
          <w:szCs w:val="20"/>
          <w:color w:val="auto"/>
        </w:rPr>
      </w:pPr>
      <w:r>
        <w:rPr>
          <w:rFonts w:ascii="Times New Roman" w:cs="Times New Roman" w:eastAsia="Times New Roman" w:hAnsi="Times New Roman"/>
          <w:sz w:val="18"/>
          <w:szCs w:val="18"/>
          <w:color w:val="auto"/>
        </w:rPr>
        <w:t>Below is a summary of the changes in total expenses, including income tax provision, for the nine months ended September 30, 2022 as compared to the same period in 2021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00" w:type="dxa"/>
            <w:vAlign w:val="bottom"/>
          </w:tcPr>
          <w:p>
            <w:pPr>
              <w:spacing w:after="0"/>
              <w:rPr>
                <w:sz w:val="16"/>
                <w:szCs w:val="16"/>
                <w:color w:val="auto"/>
              </w:rPr>
            </w:pPr>
          </w:p>
        </w:tc>
        <w:tc>
          <w:tcPr>
            <w:tcW w:w="284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0" w:type="dxa"/>
            <w:vAlign w:val="bottom"/>
          </w:tcPr>
          <w:p>
            <w:pPr>
              <w:spacing w:after="0"/>
              <w:rPr>
                <w:sz w:val="16"/>
                <w:szCs w:val="16"/>
                <w:color w:val="auto"/>
              </w:rPr>
            </w:pPr>
          </w:p>
        </w:tc>
        <w:tc>
          <w:tcPr>
            <w:tcW w:w="1200" w:type="dxa"/>
            <w:vAlign w:val="bottom"/>
            <w:gridSpan w:val="2"/>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8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 xml:space="preserve">% Change </w:t>
            </w:r>
            <w:r>
              <w:rPr>
                <w:rFonts w:ascii="Times New Roman" w:cs="Times New Roman" w:eastAsia="Times New Roman" w:hAnsi="Times New Roman"/>
                <w:sz w:val="19"/>
                <w:szCs w:val="19"/>
                <w:b w:val="1"/>
                <w:bCs w:val="1"/>
                <w:color w:val="auto"/>
                <w:vertAlign w:val="superscript"/>
              </w:rPr>
              <w:t>(1)(2)</w:t>
            </w: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8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financing expenses</w:t>
            </w:r>
          </w:p>
        </w:tc>
        <w:tc>
          <w:tcPr>
            <w:tcW w:w="820" w:type="dxa"/>
            <w:vAlign w:val="bottom"/>
            <w:tcBorders>
              <w:top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260" w:type="dxa"/>
            <w:vAlign w:val="bottom"/>
          </w:tcPr>
          <w:p>
            <w:pPr>
              <w:spacing w:after="0"/>
              <w:rPr>
                <w:sz w:val="14"/>
                <w:szCs w:val="14"/>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220" w:type="dxa"/>
            <w:vAlign w:val="bottom"/>
          </w:tcPr>
          <w:p>
            <w:pPr>
              <w:spacing w:after="0"/>
              <w:rPr>
                <w:sz w:val="14"/>
                <w:szCs w:val="14"/>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7"/>
              </w:rPr>
              <w:t>%)</w:t>
            </w:r>
          </w:p>
        </w:tc>
        <w:tc>
          <w:tcPr>
            <w:tcW w:w="0" w:type="dxa"/>
            <w:vAlign w:val="bottom"/>
          </w:tcPr>
          <w:p>
            <w:pPr>
              <w:spacing w:after="0"/>
              <w:rPr>
                <w:sz w:val="1"/>
                <w:szCs w:val="1"/>
                <w:color w:val="auto"/>
              </w:rPr>
            </w:pPr>
          </w:p>
        </w:tc>
      </w:tr>
      <w:tr>
        <w:trPr>
          <w:trHeight w:val="176"/>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Base management fee</w:t>
            </w:r>
          </w:p>
        </w:tc>
        <w:tc>
          <w:tcPr>
            <w:tcW w:w="8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tcPr>
          <w:p>
            <w:pPr>
              <w:spacing w:after="0"/>
              <w:rPr>
                <w:sz w:val="15"/>
                <w:szCs w:val="15"/>
                <w:color w:val="auto"/>
              </w:rPr>
            </w:pPr>
          </w:p>
        </w:tc>
        <w:tc>
          <w:tcPr>
            <w:tcW w:w="18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11.0 %</w:t>
            </w:r>
          </w:p>
        </w:tc>
        <w:tc>
          <w:tcPr>
            <w:tcW w:w="0" w:type="dxa"/>
            <w:vAlign w:val="bottom"/>
          </w:tcPr>
          <w:p>
            <w:pPr>
              <w:spacing w:after="0"/>
              <w:rPr>
                <w:sz w:val="1"/>
                <w:szCs w:val="1"/>
                <w:color w:val="auto"/>
              </w:rPr>
            </w:pPr>
          </w:p>
        </w:tc>
      </w:tr>
      <w:tr>
        <w:trPr>
          <w:trHeight w:val="176"/>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Incentive fee - income</w:t>
            </w:r>
          </w:p>
        </w:tc>
        <w:tc>
          <w:tcPr>
            <w:tcW w:w="8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(2.3 )</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(30.9 %)</w:t>
            </w:r>
          </w:p>
        </w:tc>
        <w:tc>
          <w:tcPr>
            <w:tcW w:w="0" w:type="dxa"/>
            <w:vAlign w:val="bottom"/>
          </w:tcPr>
          <w:p>
            <w:pPr>
              <w:spacing w:after="0"/>
              <w:rPr>
                <w:sz w:val="1"/>
                <w:szCs w:val="1"/>
                <w:color w:val="auto"/>
              </w:rPr>
            </w:pPr>
          </w:p>
        </w:tc>
      </w:tr>
      <w:tr>
        <w:trPr>
          <w:trHeight w:val="175"/>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Incentive fee - capital gains</w:t>
            </w:r>
          </w:p>
        </w:tc>
        <w:tc>
          <w:tcPr>
            <w:tcW w:w="82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(0.6 )</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(9.2 )</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(106.9 %)</w:t>
            </w: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Administrative service expenses</w:t>
            </w: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2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8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NM</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2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expenses, before base management and income incentive fee waivers</w:t>
            </w:r>
          </w:p>
        </w:tc>
        <w:tc>
          <w:tcPr>
            <w:tcW w:w="8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(10.9 )</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(24.9 </w:t>
            </w:r>
            <w:r>
              <w:rPr>
                <w:rFonts w:ascii="Times New Roman" w:cs="Times New Roman" w:eastAsia="Times New Roman" w:hAnsi="Times New Roman"/>
                <w:sz w:val="14"/>
                <w:szCs w:val="14"/>
                <w:color w:val="auto"/>
                <w:highlight w:val="white"/>
              </w:rPr>
              <w:t>%)</w:t>
            </w:r>
          </w:p>
        </w:tc>
        <w:tc>
          <w:tcPr>
            <w:tcW w:w="0" w:type="dxa"/>
            <w:vAlign w:val="bottom"/>
          </w:tcPr>
          <w:p>
            <w:pPr>
              <w:spacing w:after="0"/>
              <w:rPr>
                <w:sz w:val="1"/>
                <w:szCs w:val="1"/>
                <w:color w:val="auto"/>
              </w:rPr>
            </w:pPr>
          </w:p>
        </w:tc>
      </w:tr>
      <w:tr>
        <w:trPr>
          <w:trHeight w:val="17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Base management and income incentive fee waivers</w:t>
            </w:r>
          </w:p>
        </w:tc>
        <w:tc>
          <w:tcPr>
            <w:tcW w:w="8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(0.2 )</w:t>
            </w:r>
          </w:p>
        </w:tc>
        <w:tc>
          <w:tcPr>
            <w:tcW w:w="2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(0.1 )</w:t>
            </w:r>
          </w:p>
        </w:tc>
        <w:tc>
          <w:tcPr>
            <w:tcW w:w="2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(0.1 )</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expenses, before income tax provision</w:t>
            </w:r>
          </w:p>
        </w:tc>
        <w:tc>
          <w:tcPr>
            <w:tcW w:w="8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(11.0 )</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(25.3 </w:t>
            </w:r>
            <w:r>
              <w:rPr>
                <w:rFonts w:ascii="Times New Roman" w:cs="Times New Roman" w:eastAsia="Times New Roman" w:hAnsi="Times New Roman"/>
                <w:sz w:val="14"/>
                <w:szCs w:val="14"/>
                <w:color w:val="auto"/>
                <w:highlight w:val="white"/>
              </w:rPr>
              <w:t>%)</w:t>
            </w:r>
          </w:p>
        </w:tc>
        <w:tc>
          <w:tcPr>
            <w:tcW w:w="0" w:type="dxa"/>
            <w:vAlign w:val="bottom"/>
          </w:tcPr>
          <w:p>
            <w:pPr>
              <w:spacing w:after="0"/>
              <w:rPr>
                <w:sz w:val="1"/>
                <w:szCs w:val="1"/>
                <w:color w:val="auto"/>
              </w:rPr>
            </w:pPr>
          </w:p>
        </w:tc>
      </w:tr>
      <w:tr>
        <w:trPr>
          <w:trHeight w:val="176"/>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8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(0.1 )</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(106.3 %)</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 expenses, including income tax provision</w:t>
            </w:r>
          </w:p>
        </w:tc>
        <w:tc>
          <w:tcPr>
            <w:tcW w:w="820" w:type="dxa"/>
            <w:vAlign w:val="bottom"/>
          </w:tcPr>
          <w:p>
            <w:pPr>
              <w:jc w:val="right"/>
              <w:ind w:right="6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32.6</w:t>
            </w:r>
          </w:p>
        </w:tc>
        <w:tc>
          <w:tcPr>
            <w:tcW w:w="260" w:type="dxa"/>
            <w:vAlign w:val="bottom"/>
          </w:tcPr>
          <w:p>
            <w:pPr>
              <w:spacing w:after="0"/>
              <w:rPr>
                <w:sz w:val="14"/>
                <w:szCs w:val="14"/>
                <w:color w:val="auto"/>
              </w:rPr>
            </w:pPr>
          </w:p>
        </w:tc>
        <w:tc>
          <w:tcPr>
            <w:tcW w:w="28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43.7</w:t>
            </w:r>
          </w:p>
        </w:tc>
        <w:tc>
          <w:tcPr>
            <w:tcW w:w="220" w:type="dxa"/>
            <w:vAlign w:val="bottom"/>
          </w:tcPr>
          <w:p>
            <w:pPr>
              <w:spacing w:after="0"/>
              <w:rPr>
                <w:sz w:val="14"/>
                <w:szCs w:val="14"/>
                <w:color w:val="auto"/>
              </w:rPr>
            </w:pPr>
          </w:p>
        </w:tc>
        <w:tc>
          <w:tcPr>
            <w:tcW w:w="20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(11.1 )</w:t>
            </w:r>
          </w:p>
        </w:tc>
        <w:tc>
          <w:tcPr>
            <w:tcW w:w="188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auto"/>
              </w:rPr>
              <w:t xml:space="preserve">(25.4 </w:t>
            </w:r>
            <w:r>
              <w:rPr>
                <w:rFonts w:ascii="Times New Roman" w:cs="Times New Roman" w:eastAsia="Times New Roman" w:hAnsi="Times New Roman"/>
                <w:sz w:val="14"/>
                <w:szCs w:val="14"/>
                <w:color w:val="auto"/>
                <w:highlight w:val="white"/>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-1388110</wp:posOffset>
            </wp:positionV>
            <wp:extent cx="7132320" cy="11112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-1165225</wp:posOffset>
            </wp:positionV>
            <wp:extent cx="7132320" cy="11176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-607695</wp:posOffset>
            </wp:positionV>
            <wp:extent cx="77470" cy="1200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-607695</wp:posOffset>
            </wp:positionV>
            <wp:extent cx="68580" cy="1200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-607695</wp:posOffset>
            </wp:positionV>
            <wp:extent cx="68580" cy="1200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7132320" cy="3771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133" w:lineRule="exact"/>
        <w:rPr>
          <w:sz w:val="20"/>
          <w:szCs w:val="20"/>
          <w:color w:val="auto"/>
        </w:rPr>
      </w:pPr>
    </w:p>
    <w:p>
      <w:pPr>
        <w:ind w:left="220" w:hanging="212"/>
        <w:spacing w:after="0"/>
        <w:tabs>
          <w:tab w:leader="none" w:pos="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 = Not meaningful</w:t>
      </w:r>
    </w:p>
    <w:p>
      <w:pPr>
        <w:spacing w:after="0" w:line="4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 change calculated based on underlying dollar amounts in thousands as presented on the consolidated statements of operations.</w:t>
      </w:r>
    </w:p>
    <w:p>
      <w:pPr>
        <w:spacing w:after="0" w:line="167" w:lineRule="exact"/>
        <w:rPr>
          <w:sz w:val="20"/>
          <w:szCs w:val="20"/>
          <w:color w:val="auto"/>
        </w:rPr>
      </w:pPr>
    </w:p>
    <w:p>
      <w:pPr>
        <w:jc w:val="both"/>
        <w:ind w:right="80" w:firstLine="478"/>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2022, total expenses, including income tax provision, were $32.6 million, a decrease of $11.1 million or (25.4%), from the $43.7 million of total expenses for the nine months ended September 30, 2021. As reflected in the table above, changes across periods were primarily attributable to the following:</w:t>
      </w:r>
    </w:p>
    <w:p>
      <w:pPr>
        <w:spacing w:after="0" w:line="115" w:lineRule="exact"/>
        <w:rPr>
          <w:sz w:val="20"/>
          <w:szCs w:val="20"/>
          <w:color w:val="auto"/>
        </w:rPr>
      </w:pPr>
    </w:p>
    <w:p>
      <w:pPr>
        <w:ind w:left="1220" w:right="80" w:hanging="381"/>
        <w:spacing w:after="0" w:line="282" w:lineRule="auto"/>
        <w:tabs>
          <w:tab w:leader="none" w:pos="12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 million decrease in interest and financing expenses due to a decrease in weighted average interest rate, partially offset by an increase in average borrowings outstanding during 2022 as compared to 2021.</w:t>
      </w:r>
    </w:p>
    <w:p>
      <w:pPr>
        <w:spacing w:after="0" w:line="94" w:lineRule="exact"/>
        <w:rPr>
          <w:rFonts w:ascii="Times New Roman" w:cs="Times New Roman" w:eastAsia="Times New Roman" w:hAnsi="Times New Roman"/>
          <w:sz w:val="18"/>
          <w:szCs w:val="18"/>
          <w:color w:val="auto"/>
        </w:rPr>
      </w:pPr>
    </w:p>
    <w:p>
      <w:pPr>
        <w:ind w:left="1220" w:right="80" w:hanging="381"/>
        <w:spacing w:after="0" w:line="266" w:lineRule="auto"/>
        <w:tabs>
          <w:tab w:leader="none" w:pos="12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$0.9 million net increase in base management fee, including the base management fee waiver, due to higher average total assets during 2022 as compared to 2021.</w:t>
      </w:r>
    </w:p>
    <w:p>
      <w:pPr>
        <w:spacing w:after="0" w:line="121" w:lineRule="exact"/>
        <w:rPr>
          <w:rFonts w:ascii="Times New Roman" w:cs="Times New Roman" w:eastAsia="Times New Roman" w:hAnsi="Times New Roman"/>
          <w:sz w:val="18"/>
          <w:szCs w:val="18"/>
          <w:color w:val="auto"/>
        </w:rPr>
      </w:pPr>
    </w:p>
    <w:p>
      <w:pPr>
        <w:ind w:left="1200" w:right="80" w:hanging="369"/>
        <w:spacing w:after="0" w:line="266" w:lineRule="auto"/>
        <w:tabs>
          <w:tab w:leader="none" w:pos="1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million net decrease in the income incentive fee due to a decrease in pre-incentive fee net investment income during 2022 as compared to the same period in 2021.</w:t>
      </w:r>
    </w:p>
    <w:p>
      <w:pPr>
        <w:spacing w:after="0" w:line="108" w:lineRule="exact"/>
        <w:rPr>
          <w:rFonts w:ascii="Times New Roman" w:cs="Times New Roman" w:eastAsia="Times New Roman" w:hAnsi="Times New Roman"/>
          <w:sz w:val="18"/>
          <w:szCs w:val="18"/>
          <w:color w:val="auto"/>
        </w:rPr>
      </w:pPr>
    </w:p>
    <w:p>
      <w:pPr>
        <w:jc w:val="both"/>
        <w:ind w:left="1220" w:right="80" w:hanging="381"/>
        <w:spacing w:after="0" w:line="258" w:lineRule="auto"/>
        <w:tabs>
          <w:tab w:leader="none" w:pos="12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 million decrease in the accrued capital gains incentive fee due to a $46.2 million decrease in net gain on investments (net realized gains (losses), plus net change in unrealized appreciation (depreciation) on investments), plus realized losses on extinguishment of debt during 2022 as compared to the same period in 2021.</w:t>
      </w:r>
    </w:p>
    <w:p>
      <w:pPr>
        <w:spacing w:after="0" w:line="1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Net Investment Income</w:t>
      </w:r>
    </w:p>
    <w:p>
      <w:pPr>
        <w:spacing w:after="0" w:line="173" w:lineRule="exact"/>
        <w:rPr>
          <w:sz w:val="20"/>
          <w:szCs w:val="20"/>
          <w:color w:val="auto"/>
        </w:rPr>
      </w:pPr>
    </w:p>
    <w:p>
      <w:pPr>
        <w:jc w:val="both"/>
        <w:ind w:right="80" w:firstLine="478"/>
        <w:spacing w:after="0" w:line="250" w:lineRule="auto"/>
        <w:rPr>
          <w:sz w:val="20"/>
          <w:szCs w:val="20"/>
          <w:color w:val="auto"/>
        </w:rPr>
      </w:pPr>
      <w:r>
        <w:rPr>
          <w:rFonts w:ascii="Times New Roman" w:cs="Times New Roman" w:eastAsia="Times New Roman" w:hAnsi="Times New Roman"/>
          <w:sz w:val="18"/>
          <w:szCs w:val="18"/>
          <w:color w:val="auto"/>
        </w:rPr>
        <w:t>Net investment income increased by $7.6 million, or 148.5%, to $12.7 million during the three months ended September 30, 2022 as compared to the same period in 2021, as a result of the $3.8 million decrease in total expenses, including base management fee waivers and income tax provision, and the $3.8 increase in total investment income.</w:t>
      </w:r>
    </w:p>
    <w:p>
      <w:pPr>
        <w:spacing w:after="0" w:line="123" w:lineRule="exact"/>
        <w:rPr>
          <w:sz w:val="20"/>
          <w:szCs w:val="20"/>
          <w:color w:val="auto"/>
        </w:rPr>
      </w:pPr>
    </w:p>
    <w:p>
      <w:pPr>
        <w:jc w:val="both"/>
        <w:ind w:right="80" w:firstLine="478"/>
        <w:spacing w:after="0" w:line="247" w:lineRule="auto"/>
        <w:rPr>
          <w:sz w:val="20"/>
          <w:szCs w:val="20"/>
          <w:color w:val="auto"/>
        </w:rPr>
      </w:pPr>
      <w:r>
        <w:rPr>
          <w:rFonts w:ascii="Times New Roman" w:cs="Times New Roman" w:eastAsia="Times New Roman" w:hAnsi="Times New Roman"/>
          <w:sz w:val="18"/>
          <w:szCs w:val="18"/>
          <w:color w:val="auto"/>
        </w:rPr>
        <w:t>Net investment income increased by $11.5 million, or 50.3%, to $34.1 million during the nine months ended September 30, 2022 as compared to the same period in 2021, as a result of the $11.1 million decrease in total expenses, including base management waivers and income tax provision, and the $0.4 increase in total investment income.</w:t>
      </w:r>
    </w:p>
    <w:p>
      <w:pPr>
        <w:spacing w:after="0" w:line="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486" w:right="259" w:bottom="1440" w:gutter="0" w:footer="0" w:header="0"/>
        </w:sectPr>
      </w:pPr>
    </w:p>
    <w:bookmarkStart w:id="47" w:name="page48"/>
    <w:bookmarkEnd w:id="47"/>
    <w:p>
      <w:pPr>
        <w:ind w:left="380"/>
        <w:spacing w:after="0"/>
        <w:rPr>
          <w:sz w:val="20"/>
          <w:szCs w:val="20"/>
          <w:color w:val="auto"/>
        </w:rPr>
      </w:pPr>
      <w:r>
        <w:rPr>
          <w:rFonts w:ascii="Times New Roman" w:cs="Times New Roman" w:eastAsia="Times New Roman" w:hAnsi="Times New Roman"/>
          <w:sz w:val="18"/>
          <w:szCs w:val="18"/>
          <w:i w:val="1"/>
          <w:iCs w:val="1"/>
          <w:color w:val="auto"/>
        </w:rPr>
        <w:t>Net Gain (Loss) on Investments</w:t>
      </w:r>
    </w:p>
    <w:p>
      <w:pPr>
        <w:spacing w:after="0" w:line="173"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18"/>
          <w:szCs w:val="18"/>
          <w:color w:val="auto"/>
        </w:rPr>
        <w:t>For the three and nine months ended September 30, 2022, the total net realized gain/(loss) on investments, before income tax (provision)/benefit, was $40.0 million and $65.2 million, respectively. Income tax (provision) benefit from realized gains on investments was zero and $(0.1) million for the three and nine months ended September 30, 2022, respectively. We realize a gain/(loss) on our equity investments primarily when we either sell our equity investment or the underlying portfolio company is sold. Significant realized gains (losses) for the three and nine months ended September 30, 2022 are summarized below (dollars 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40" w:type="dxa"/>
            <w:vAlign w:val="bottom"/>
            <w:tcBorders>
              <w:bottom w:val="single" w:sz="8" w:color="auto"/>
            </w:tcBorders>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Period Ended September 30, 2022</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2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 xml:space="preserve">Realization Event </w:t>
            </w:r>
            <w:r>
              <w:rPr>
                <w:rFonts w:ascii="Times New Roman" w:cs="Times New Roman" w:eastAsia="Times New Roman" w:hAnsi="Times New Roman"/>
                <w:sz w:val="19"/>
                <w:szCs w:val="19"/>
                <w:b w:val="1"/>
                <w:bCs w:val="1"/>
                <w:color w:val="auto"/>
                <w:vertAlign w:val="superscript"/>
              </w:rPr>
              <w:t>(1)</w:t>
            </w:r>
          </w:p>
        </w:tc>
        <w:tc>
          <w:tcPr>
            <w:tcW w:w="180" w:type="dxa"/>
            <w:vAlign w:val="bottom"/>
            <w:vMerge w:val="restart"/>
          </w:tcPr>
          <w:p>
            <w:pPr>
              <w:spacing w:after="0"/>
              <w:rPr>
                <w:sz w:val="13"/>
                <w:szCs w:val="13"/>
                <w:color w:val="auto"/>
              </w:rPr>
            </w:pPr>
          </w:p>
        </w:tc>
        <w:tc>
          <w:tcPr>
            <w:tcW w:w="980" w:type="dxa"/>
            <w:vAlign w:val="bottom"/>
          </w:tcPr>
          <w:p>
            <w:pPr>
              <w:jc w:val="right"/>
              <w:ind w:right="68"/>
              <w:spacing w:after="0" w:line="158" w:lineRule="exact"/>
              <w:rPr>
                <w:sz w:val="20"/>
                <w:szCs w:val="20"/>
                <w:color w:val="auto"/>
              </w:rPr>
            </w:pPr>
            <w:r>
              <w:rPr>
                <w:rFonts w:ascii="Times New Roman" w:cs="Times New Roman" w:eastAsia="Times New Roman" w:hAnsi="Times New Roman"/>
                <w:sz w:val="14"/>
                <w:szCs w:val="14"/>
                <w:b w:val="1"/>
                <w:bCs w:val="1"/>
                <w:color w:val="auto"/>
              </w:rPr>
              <w:t>Three</w:t>
            </w: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jc w:val="right"/>
              <w:ind w:right="128"/>
              <w:spacing w:after="0" w:line="158" w:lineRule="exact"/>
              <w:rPr>
                <w:sz w:val="20"/>
                <w:szCs w:val="20"/>
                <w:color w:val="auto"/>
              </w:rPr>
            </w:pPr>
            <w:r>
              <w:rPr>
                <w:rFonts w:ascii="Times New Roman" w:cs="Times New Roman" w:eastAsia="Times New Roman" w:hAnsi="Times New Roman"/>
                <w:sz w:val="14"/>
                <w:szCs w:val="14"/>
                <w:b w:val="1"/>
                <w:bCs w:val="1"/>
                <w:color w:val="auto"/>
              </w:rPr>
              <w:t>Nine</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200" w:type="dxa"/>
            <w:vAlign w:val="bottom"/>
          </w:tcPr>
          <w:p>
            <w:pPr>
              <w:spacing w:after="0"/>
              <w:rPr>
                <w:sz w:val="16"/>
                <w:szCs w:val="16"/>
                <w:color w:val="auto"/>
              </w:rPr>
            </w:pPr>
          </w:p>
        </w:tc>
        <w:tc>
          <w:tcPr>
            <w:tcW w:w="282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340" w:type="dxa"/>
            <w:vAlign w:val="bottom"/>
            <w:tcBorders>
              <w:bottom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4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Frontline Food Services, LLC</w:t>
            </w:r>
          </w:p>
        </w:tc>
        <w:tc>
          <w:tcPr>
            <w:tcW w:w="200" w:type="dxa"/>
            <w:vAlign w:val="bottom"/>
            <w:shd w:val="clear" w:color="auto" w:fill="CFF0FC"/>
          </w:tcPr>
          <w:p>
            <w:pPr>
              <w:spacing w:after="0"/>
              <w:rPr>
                <w:sz w:val="11"/>
                <w:szCs w:val="11"/>
                <w:color w:val="auto"/>
              </w:rPr>
            </w:pPr>
          </w:p>
        </w:tc>
        <w:tc>
          <w:tcPr>
            <w:tcW w:w="300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Escrow distribution</w:t>
            </w:r>
          </w:p>
        </w:tc>
        <w:tc>
          <w:tcPr>
            <w:tcW w:w="980" w:type="dxa"/>
            <w:vAlign w:val="bottom"/>
            <w:vMerge w:val="restart"/>
            <w:shd w:val="clear" w:color="auto" w:fill="CFF0FC"/>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vMerge w:val="restart"/>
            <w:shd w:val="clear" w:color="auto" w:fill="CFF0FC"/>
          </w:tcPr>
          <w:p>
            <w:pPr>
              <w:jc w:val="right"/>
              <w:ind w:right="7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shd w:val="clear" w:color="auto" w:fill="CFF0FC"/>
          </w:tcPr>
          <w:p>
            <w:pPr>
              <w:jc w:val="right"/>
              <w:ind w:right="90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(f/k/a Accent Food Services, LLC)</w:t>
            </w:r>
          </w:p>
        </w:tc>
        <w:tc>
          <w:tcPr>
            <w:tcW w:w="200" w:type="dxa"/>
            <w:vAlign w:val="bottom"/>
            <w:shd w:val="clear" w:color="auto" w:fill="CFF0FC"/>
          </w:tcPr>
          <w:p>
            <w:pPr>
              <w:spacing w:after="0"/>
              <w:rPr>
                <w:sz w:val="16"/>
                <w:szCs w:val="16"/>
                <w:color w:val="auto"/>
              </w:rPr>
            </w:pPr>
          </w:p>
        </w:tc>
        <w:tc>
          <w:tcPr>
            <w:tcW w:w="3000" w:type="dxa"/>
            <w:vAlign w:val="bottom"/>
            <w:gridSpan w:val="2"/>
            <w:vMerge w:val="continue"/>
            <w:shd w:val="clear" w:color="auto" w:fill="CFF0FC"/>
          </w:tcPr>
          <w:p>
            <w:pPr>
              <w:spacing w:after="0"/>
              <w:rPr>
                <w:sz w:val="16"/>
                <w:szCs w:val="16"/>
                <w:color w:val="auto"/>
              </w:rPr>
            </w:pPr>
          </w:p>
        </w:tc>
        <w:tc>
          <w:tcPr>
            <w:tcW w:w="980" w:type="dxa"/>
            <w:vAlign w:val="bottom"/>
            <w:vMerge w:val="continue"/>
            <w:shd w:val="clear" w:color="auto" w:fill="CFF0FC"/>
          </w:tcPr>
          <w:p>
            <w:pPr>
              <w:spacing w:after="0"/>
              <w:rPr>
                <w:sz w:val="16"/>
                <w:szCs w:val="16"/>
                <w:color w:val="auto"/>
              </w:rPr>
            </w:pPr>
          </w:p>
        </w:tc>
        <w:tc>
          <w:tcPr>
            <w:tcW w:w="1100" w:type="dxa"/>
            <w:vAlign w:val="bottom"/>
            <w:gridSpan w:val="2"/>
            <w:vMerge w:val="continue"/>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 Management Solutions, LLC</w:t>
            </w:r>
          </w:p>
        </w:tc>
        <w:tc>
          <w:tcPr>
            <w:tcW w:w="200" w:type="dxa"/>
            <w:vAlign w:val="bottom"/>
          </w:tcPr>
          <w:p>
            <w:pPr>
              <w:spacing w:after="0"/>
              <w:rPr>
                <w:sz w:val="15"/>
                <w:szCs w:val="15"/>
                <w:color w:val="auto"/>
              </w:rPr>
            </w:pP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980" w:type="dxa"/>
            <w:vAlign w:val="bottom"/>
          </w:tcPr>
          <w:p>
            <w:pPr>
              <w:spacing w:after="0"/>
              <w:rPr>
                <w:sz w:val="15"/>
                <w:szCs w:val="15"/>
                <w:color w:val="auto"/>
              </w:rPr>
            </w:pPr>
          </w:p>
        </w:tc>
        <w:tc>
          <w:tcPr>
            <w:tcW w:w="11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SpendMend LLC</w:t>
            </w:r>
          </w:p>
        </w:tc>
        <w:tc>
          <w:tcPr>
            <w:tcW w:w="200" w:type="dxa"/>
            <w:vAlign w:val="bottom"/>
            <w:shd w:val="clear" w:color="auto" w:fill="CFF0FC"/>
          </w:tcPr>
          <w:p>
            <w:pPr>
              <w:spacing w:after="0"/>
              <w:rPr>
                <w:sz w:val="15"/>
                <w:szCs w:val="15"/>
                <w:color w:val="auto"/>
              </w:rPr>
            </w:pPr>
          </w:p>
        </w:tc>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Escrow distribution</w:t>
            </w:r>
          </w:p>
        </w:tc>
        <w:tc>
          <w:tcPr>
            <w:tcW w:w="9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FDS Avionics Corp.</w:t>
            </w:r>
          </w:p>
        </w:tc>
        <w:tc>
          <w:tcPr>
            <w:tcW w:w="200" w:type="dxa"/>
            <w:vAlign w:val="bottom"/>
          </w:tcPr>
          <w:p>
            <w:pPr>
              <w:spacing w:after="0"/>
              <w:rPr>
                <w:sz w:val="15"/>
                <w:szCs w:val="15"/>
                <w:color w:val="auto"/>
              </w:rPr>
            </w:pP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Escrow liability release</w:t>
            </w:r>
          </w:p>
        </w:tc>
        <w:tc>
          <w:tcPr>
            <w:tcW w:w="9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Mesa Line Services, LLC</w:t>
            </w:r>
          </w:p>
        </w:tc>
        <w:tc>
          <w:tcPr>
            <w:tcW w:w="200" w:type="dxa"/>
            <w:vAlign w:val="bottom"/>
            <w:shd w:val="clear" w:color="auto" w:fill="CFF0FC"/>
          </w:tcPr>
          <w:p>
            <w:pPr>
              <w:spacing w:after="0"/>
              <w:rPr>
                <w:sz w:val="15"/>
                <w:szCs w:val="15"/>
                <w:color w:val="auto"/>
              </w:rPr>
            </w:pPr>
          </w:p>
        </w:tc>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Sale of portfolio company</w:t>
            </w:r>
          </w:p>
        </w:tc>
        <w:tc>
          <w:tcPr>
            <w:tcW w:w="9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4"/>
                <w:szCs w:val="14"/>
                <w:color w:val="auto"/>
              </w:rPr>
              <w:t>(0.2 )</w:t>
            </w:r>
          </w:p>
        </w:tc>
        <w:tc>
          <w:tcPr>
            <w:tcW w:w="10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Mirage Trailers LLC</w:t>
            </w:r>
          </w:p>
        </w:tc>
        <w:tc>
          <w:tcPr>
            <w:tcW w:w="200" w:type="dxa"/>
            <w:vAlign w:val="bottom"/>
          </w:tcPr>
          <w:p>
            <w:pPr>
              <w:spacing w:after="0"/>
              <w:rPr>
                <w:sz w:val="15"/>
                <w:szCs w:val="15"/>
                <w:color w:val="auto"/>
              </w:rPr>
            </w:pP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Escrow distribution</w:t>
            </w:r>
          </w:p>
        </w:tc>
        <w:tc>
          <w:tcPr>
            <w:tcW w:w="980" w:type="dxa"/>
            <w:vAlign w:val="bottom"/>
          </w:tcPr>
          <w:p>
            <w:pPr>
              <w:spacing w:after="0"/>
              <w:rPr>
                <w:sz w:val="15"/>
                <w:szCs w:val="15"/>
                <w:color w:val="auto"/>
              </w:rPr>
            </w:pPr>
          </w:p>
        </w:tc>
        <w:tc>
          <w:tcPr>
            <w:tcW w:w="11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TransGo, LLC</w:t>
            </w:r>
          </w:p>
        </w:tc>
        <w:tc>
          <w:tcPr>
            <w:tcW w:w="200" w:type="dxa"/>
            <w:vAlign w:val="bottom"/>
            <w:shd w:val="clear" w:color="auto" w:fill="CFF0FC"/>
          </w:tcPr>
          <w:p>
            <w:pPr>
              <w:spacing w:after="0"/>
              <w:rPr>
                <w:sz w:val="15"/>
                <w:szCs w:val="15"/>
                <w:color w:val="auto"/>
              </w:rPr>
            </w:pPr>
          </w:p>
        </w:tc>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Sale of portfolio company</w:t>
            </w:r>
          </w:p>
        </w:tc>
        <w:tc>
          <w:tcPr>
            <w:tcW w:w="9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AVC Investors, LLC (dba Auveco)</w:t>
            </w:r>
          </w:p>
        </w:tc>
        <w:tc>
          <w:tcPr>
            <w:tcW w:w="200" w:type="dxa"/>
            <w:vAlign w:val="bottom"/>
          </w:tcPr>
          <w:p>
            <w:pPr>
              <w:spacing w:after="0"/>
              <w:rPr>
                <w:sz w:val="15"/>
                <w:szCs w:val="15"/>
                <w:color w:val="auto"/>
              </w:rPr>
            </w:pP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Sale of portfolio company</w:t>
            </w:r>
          </w:p>
        </w:tc>
        <w:tc>
          <w:tcPr>
            <w:tcW w:w="980" w:type="dxa"/>
            <w:vAlign w:val="bottom"/>
          </w:tcPr>
          <w:p>
            <w:pPr>
              <w:spacing w:after="0"/>
              <w:rPr>
                <w:sz w:val="15"/>
                <w:szCs w:val="15"/>
                <w:color w:val="auto"/>
              </w:rPr>
            </w:pPr>
          </w:p>
        </w:tc>
        <w:tc>
          <w:tcPr>
            <w:tcW w:w="11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CRS Solutions Holdings, LLC (dba CRS Texas)</w:t>
            </w:r>
          </w:p>
        </w:tc>
        <w:tc>
          <w:tcPr>
            <w:tcW w:w="200" w:type="dxa"/>
            <w:vAlign w:val="bottom"/>
            <w:shd w:val="clear" w:color="auto" w:fill="CFF0FC"/>
          </w:tcPr>
          <w:p>
            <w:pPr>
              <w:spacing w:after="0"/>
              <w:rPr>
                <w:sz w:val="15"/>
                <w:szCs w:val="15"/>
                <w:color w:val="auto"/>
              </w:rPr>
            </w:pPr>
          </w:p>
        </w:tc>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Sale of portfolio company</w:t>
            </w:r>
          </w:p>
        </w:tc>
        <w:tc>
          <w:tcPr>
            <w:tcW w:w="9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Pinnergy, Ltd.</w:t>
            </w:r>
          </w:p>
        </w:tc>
        <w:tc>
          <w:tcPr>
            <w:tcW w:w="200" w:type="dxa"/>
            <w:vAlign w:val="bottom"/>
          </w:tcPr>
          <w:p>
            <w:pPr>
              <w:spacing w:after="0"/>
              <w:rPr>
                <w:sz w:val="15"/>
                <w:szCs w:val="15"/>
                <w:color w:val="auto"/>
              </w:rPr>
            </w:pP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Sale of portfolio company</w:t>
            </w:r>
          </w:p>
        </w:tc>
        <w:tc>
          <w:tcPr>
            <w:tcW w:w="980" w:type="dxa"/>
            <w:vAlign w:val="bottom"/>
          </w:tcPr>
          <w:p>
            <w:pPr>
              <w:spacing w:after="0"/>
              <w:rPr>
                <w:sz w:val="15"/>
                <w:szCs w:val="15"/>
                <w:color w:val="auto"/>
              </w:rPr>
            </w:pPr>
          </w:p>
        </w:tc>
        <w:tc>
          <w:tcPr>
            <w:tcW w:w="11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Palisade Company, LLC</w:t>
            </w:r>
          </w:p>
        </w:tc>
        <w:tc>
          <w:tcPr>
            <w:tcW w:w="200" w:type="dxa"/>
            <w:vAlign w:val="bottom"/>
            <w:shd w:val="clear" w:color="auto" w:fill="CFF0FC"/>
          </w:tcPr>
          <w:p>
            <w:pPr>
              <w:spacing w:after="0"/>
              <w:rPr>
                <w:sz w:val="15"/>
                <w:szCs w:val="15"/>
                <w:color w:val="auto"/>
              </w:rPr>
            </w:pPr>
          </w:p>
        </w:tc>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98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7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Tranzonic Companies</w:t>
            </w:r>
          </w:p>
        </w:tc>
        <w:tc>
          <w:tcPr>
            <w:tcW w:w="200" w:type="dxa"/>
            <w:vAlign w:val="bottom"/>
          </w:tcPr>
          <w:p>
            <w:pPr>
              <w:spacing w:after="0"/>
              <w:rPr>
                <w:sz w:val="15"/>
                <w:szCs w:val="15"/>
                <w:color w:val="auto"/>
              </w:rPr>
            </w:pP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Sale of portfolio company</w:t>
            </w:r>
          </w:p>
        </w:tc>
        <w:tc>
          <w:tcPr>
            <w:tcW w:w="9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Bandon Fitness (Texas), Inc.</w:t>
            </w:r>
          </w:p>
        </w:tc>
        <w:tc>
          <w:tcPr>
            <w:tcW w:w="200" w:type="dxa"/>
            <w:vAlign w:val="bottom"/>
            <w:shd w:val="clear" w:color="auto" w:fill="CFF0FC"/>
          </w:tcPr>
          <w:p>
            <w:pPr>
              <w:spacing w:after="0"/>
              <w:rPr>
                <w:sz w:val="15"/>
                <w:szCs w:val="15"/>
                <w:color w:val="auto"/>
              </w:rPr>
            </w:pPr>
          </w:p>
        </w:tc>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98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7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SES Investors, LLC (dba SES Foam)</w:t>
            </w:r>
          </w:p>
        </w:tc>
        <w:tc>
          <w:tcPr>
            <w:tcW w:w="200" w:type="dxa"/>
            <w:vAlign w:val="bottom"/>
          </w:tcPr>
          <w:p>
            <w:pPr>
              <w:spacing w:after="0"/>
              <w:rPr>
                <w:sz w:val="15"/>
                <w:szCs w:val="15"/>
                <w:color w:val="auto"/>
              </w:rPr>
            </w:pP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Sale of portfolio company</w:t>
            </w:r>
          </w:p>
        </w:tc>
        <w:tc>
          <w:tcPr>
            <w:tcW w:w="9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Pfanstiehl, Inc.</w:t>
            </w:r>
          </w:p>
        </w:tc>
        <w:tc>
          <w:tcPr>
            <w:tcW w:w="200" w:type="dxa"/>
            <w:vAlign w:val="bottom"/>
            <w:shd w:val="clear" w:color="auto" w:fill="CFF0FC"/>
          </w:tcPr>
          <w:p>
            <w:pPr>
              <w:spacing w:after="0"/>
              <w:rPr>
                <w:sz w:val="15"/>
                <w:szCs w:val="15"/>
                <w:color w:val="auto"/>
              </w:rPr>
            </w:pPr>
          </w:p>
        </w:tc>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Partial sale of equity investment</w:t>
            </w:r>
          </w:p>
        </w:tc>
        <w:tc>
          <w:tcPr>
            <w:tcW w:w="98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7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Pool &amp; Electrical Products, LLC</w:t>
            </w:r>
          </w:p>
        </w:tc>
        <w:tc>
          <w:tcPr>
            <w:tcW w:w="200" w:type="dxa"/>
            <w:vAlign w:val="bottom"/>
          </w:tcPr>
          <w:p>
            <w:pPr>
              <w:spacing w:after="0"/>
              <w:rPr>
                <w:sz w:val="15"/>
                <w:szCs w:val="15"/>
                <w:color w:val="auto"/>
              </w:rPr>
            </w:pP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Escrow distribution</w:t>
            </w:r>
          </w:p>
        </w:tc>
        <w:tc>
          <w:tcPr>
            <w:tcW w:w="9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Spectra A&amp;D Acquisition, Inc. (fka FDS Avionics Corp.)</w:t>
            </w:r>
          </w:p>
        </w:tc>
        <w:tc>
          <w:tcPr>
            <w:tcW w:w="200" w:type="dxa"/>
            <w:vAlign w:val="bottom"/>
            <w:shd w:val="clear" w:color="auto" w:fill="CFF0FC"/>
          </w:tcPr>
          <w:p>
            <w:pPr>
              <w:spacing w:after="0"/>
              <w:rPr>
                <w:sz w:val="15"/>
                <w:szCs w:val="15"/>
                <w:color w:val="auto"/>
              </w:rPr>
            </w:pPr>
          </w:p>
        </w:tc>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Escrow distribution</w:t>
            </w:r>
          </w:p>
        </w:tc>
        <w:tc>
          <w:tcPr>
            <w:tcW w:w="980" w:type="dxa"/>
            <w:vAlign w:val="bottom"/>
            <w:shd w:val="clear" w:color="auto" w:fill="CFF0FC"/>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4"/>
                <w:szCs w:val="14"/>
                <w:color w:val="auto"/>
              </w:rPr>
              <w:t>(0.1 )</w:t>
            </w:r>
          </w:p>
        </w:tc>
        <w:tc>
          <w:tcPr>
            <w:tcW w:w="1060" w:type="dxa"/>
            <w:vAlign w:val="bottom"/>
            <w:shd w:val="clear" w:color="auto" w:fill="CFF0FC"/>
          </w:tcPr>
          <w:p>
            <w:pPr>
              <w:jc w:val="right"/>
              <w:ind w:right="90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69"/>
        </w:trPr>
        <w:tc>
          <w:tcPr>
            <w:tcW w:w="44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200" w:type="dxa"/>
            <w:vAlign w:val="bottom"/>
            <w:tcBorders>
              <w:top w:val="single" w:sz="8" w:color="CFF0FC"/>
            </w:tcBorders>
          </w:tcPr>
          <w:p>
            <w:pPr>
              <w:spacing w:after="0"/>
              <w:rPr>
                <w:sz w:val="14"/>
                <w:szCs w:val="14"/>
                <w:color w:val="auto"/>
              </w:rPr>
            </w:pPr>
          </w:p>
        </w:tc>
        <w:tc>
          <w:tcPr>
            <w:tcW w:w="282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760" w:type="dxa"/>
            <w:vAlign w:val="bottom"/>
            <w:tcBorders>
              <w:top w:val="single" w:sz="8" w:color="CFF0FC"/>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 (provision) benefit from realized gains on investments</w:t>
            </w:r>
          </w:p>
        </w:tc>
        <w:tc>
          <w:tcPr>
            <w:tcW w:w="200" w:type="dxa"/>
            <w:vAlign w:val="bottom"/>
            <w:shd w:val="clear" w:color="auto" w:fill="CFF0FC"/>
          </w:tcPr>
          <w:p>
            <w:pPr>
              <w:spacing w:after="0"/>
              <w:rPr>
                <w:sz w:val="15"/>
                <w:szCs w:val="15"/>
                <w:color w:val="auto"/>
              </w:rPr>
            </w:pPr>
          </w:p>
        </w:tc>
        <w:tc>
          <w:tcPr>
            <w:tcW w:w="28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69"/>
        </w:trPr>
        <w:tc>
          <w:tcPr>
            <w:tcW w:w="4420" w:type="dxa"/>
            <w:vAlign w:val="bottom"/>
            <w:tcBorders>
              <w:top w:val="single" w:sz="8" w:color="CFF0FC"/>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Net realized gain (loss), net of income tax provision, on investments</w:t>
            </w:r>
          </w:p>
        </w:tc>
        <w:tc>
          <w:tcPr>
            <w:tcW w:w="200" w:type="dxa"/>
            <w:vAlign w:val="bottom"/>
            <w:tcBorders>
              <w:top w:val="single" w:sz="8" w:color="CFF0FC"/>
            </w:tcBorders>
          </w:tcPr>
          <w:p>
            <w:pPr>
              <w:spacing w:after="0"/>
              <w:rPr>
                <w:sz w:val="14"/>
                <w:szCs w:val="14"/>
                <w:color w:val="auto"/>
              </w:rPr>
            </w:pPr>
          </w:p>
        </w:tc>
        <w:tc>
          <w:tcPr>
            <w:tcW w:w="282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8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40.0</w:t>
            </w:r>
          </w:p>
        </w:tc>
        <w:tc>
          <w:tcPr>
            <w:tcW w:w="760" w:type="dxa"/>
            <w:vAlign w:val="bottom"/>
            <w:tcBorders>
              <w:top w:val="single" w:sz="8" w:color="CFF0FC"/>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9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65.1</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-376555</wp:posOffset>
            </wp:positionV>
            <wp:extent cx="68580" cy="1200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1200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-144780</wp:posOffset>
            </wp:positionV>
            <wp:extent cx="68580" cy="1454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46" w:lineRule="exact"/>
        <w:rPr>
          <w:sz w:val="20"/>
          <w:szCs w:val="20"/>
          <w:color w:val="auto"/>
        </w:rPr>
      </w:pPr>
    </w:p>
    <w:p>
      <w:pPr>
        <w:jc w:val="both"/>
        <w:ind w:firstLine="8"/>
        <w:spacing w:after="0" w:line="255" w:lineRule="auto"/>
        <w:tabs>
          <w:tab w:leader="none" w:pos="215"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it relates to realization events, we define an 'exit' of a portfolio company as situations where we have completely exited our position in all of the portfolio company's securities and no longer carry the portfolio company on our consolidated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pacing w:after="0" w:line="346" w:lineRule="exact"/>
        <w:rPr>
          <w:sz w:val="20"/>
          <w:szCs w:val="20"/>
          <w:color w:val="auto"/>
        </w:rPr>
      </w:pPr>
    </w:p>
    <w:p>
      <w:pPr>
        <w:jc w:val="both"/>
        <w:ind w:firstLine="479"/>
        <w:spacing w:after="0" w:line="246" w:lineRule="auto"/>
        <w:rPr>
          <w:sz w:val="20"/>
          <w:szCs w:val="20"/>
          <w:color w:val="auto"/>
        </w:rPr>
      </w:pPr>
      <w:r>
        <w:rPr>
          <w:rFonts w:ascii="Times New Roman" w:cs="Times New Roman" w:eastAsia="Times New Roman" w:hAnsi="Times New Roman"/>
          <w:sz w:val="18"/>
          <w:szCs w:val="18"/>
          <w:color w:val="auto"/>
        </w:rPr>
        <w:t>For the three and nine months ended September 30, 2021, the total net realized gain/(loss) on investments, before income tax (provision)/benefit, was $8.3 million and $13.7 million, respectively. Income tax (provision) benefit from realized gains/(losses) on investments was $0.1 million and $0.1 million for the three and nine months ended September 30, 2021, respectively. We realize a gain/(loss) on our equity investments primarily when we either sell our equity investment or the underlying portfolio company is sold. Significant realized gains (losses) for the three and nine months ended September 30, 2021 are summarized below (dollars 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Period Ended September 30, 2021</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5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ind w:left="440"/>
              <w:spacing w:after="0" w:line="158" w:lineRule="exact"/>
              <w:rPr>
                <w:sz w:val="20"/>
                <w:szCs w:val="20"/>
                <w:color w:val="auto"/>
              </w:rPr>
            </w:pPr>
            <w:r>
              <w:rPr>
                <w:rFonts w:ascii="Times New Roman" w:cs="Times New Roman" w:eastAsia="Times New Roman" w:hAnsi="Times New Roman"/>
                <w:sz w:val="14"/>
                <w:szCs w:val="14"/>
                <w:b w:val="1"/>
                <w:bCs w:val="1"/>
                <w:color w:val="auto"/>
              </w:rPr>
              <w:t>Three</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168"/>
              <w:spacing w:after="0" w:line="158" w:lineRule="exact"/>
              <w:rPr>
                <w:sz w:val="20"/>
                <w:szCs w:val="20"/>
                <w:color w:val="auto"/>
              </w:rPr>
            </w:pPr>
            <w:r>
              <w:rPr>
                <w:rFonts w:ascii="Times New Roman" w:cs="Times New Roman" w:eastAsia="Times New Roman" w:hAnsi="Times New Roman"/>
                <w:sz w:val="14"/>
                <w:szCs w:val="14"/>
                <w:b w:val="1"/>
                <w:bCs w:val="1"/>
                <w:color w:val="auto"/>
              </w:rPr>
              <w:t>Nine</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320" w:type="dxa"/>
            <w:vAlign w:val="bottom"/>
          </w:tcPr>
          <w:p>
            <w:pPr>
              <w:spacing w:after="0"/>
              <w:rPr>
                <w:sz w:val="16"/>
                <w:szCs w:val="16"/>
                <w:color w:val="auto"/>
              </w:rPr>
            </w:pPr>
          </w:p>
        </w:tc>
        <w:tc>
          <w:tcPr>
            <w:tcW w:w="262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Realization Event (1)</w:t>
            </w:r>
          </w:p>
        </w:tc>
        <w:tc>
          <w:tcPr>
            <w:tcW w:w="9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Spectra A&amp;D Acquisition, Inc. (fka FDS Avionics Corp.)</w:t>
            </w:r>
          </w:p>
        </w:tc>
        <w:tc>
          <w:tcPr>
            <w:tcW w:w="320" w:type="dxa"/>
            <w:vAlign w:val="bottom"/>
          </w:tcPr>
          <w:p>
            <w:pPr>
              <w:spacing w:after="0"/>
              <w:rPr>
                <w:sz w:val="14"/>
                <w:szCs w:val="14"/>
                <w:color w:val="auto"/>
              </w:rPr>
            </w:pPr>
          </w:p>
        </w:tc>
        <w:tc>
          <w:tcPr>
            <w:tcW w:w="2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Sale of portfolio company</w:t>
            </w:r>
          </w:p>
        </w:tc>
        <w:tc>
          <w:tcPr>
            <w:tcW w:w="200" w:type="dxa"/>
            <w:vAlign w:val="bottom"/>
          </w:tcPr>
          <w:p>
            <w:pPr>
              <w:spacing w:after="0"/>
              <w:rPr>
                <w:sz w:val="14"/>
                <w:szCs w:val="14"/>
                <w:color w:val="auto"/>
              </w:rPr>
            </w:pPr>
          </w:p>
        </w:tc>
        <w:tc>
          <w:tcPr>
            <w:tcW w:w="920" w:type="dxa"/>
            <w:vAlign w:val="bottom"/>
            <w:tcBorders>
              <w:top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140" w:type="dxa"/>
            <w:vAlign w:val="bottom"/>
            <w:tcBorders>
              <w:top w:val="single" w:sz="8" w:color="auto"/>
            </w:tcBorders>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4"/>
                <w:szCs w:val="14"/>
                <w:color w:val="auto"/>
              </w:rPr>
            </w:pPr>
          </w:p>
        </w:tc>
      </w:tr>
      <w:tr>
        <w:trPr>
          <w:trHeight w:val="175"/>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Software Technology, LLC</w:t>
            </w:r>
          </w:p>
        </w:tc>
        <w:tc>
          <w:tcPr>
            <w:tcW w:w="320" w:type="dxa"/>
            <w:vAlign w:val="bottom"/>
            <w:shd w:val="clear" w:color="auto" w:fill="CFF0FC"/>
          </w:tcPr>
          <w:p>
            <w:pPr>
              <w:spacing w:after="0"/>
              <w:rPr>
                <w:sz w:val="15"/>
                <w:szCs w:val="15"/>
                <w:color w:val="auto"/>
              </w:rPr>
            </w:pPr>
          </w:p>
        </w:tc>
        <w:tc>
          <w:tcPr>
            <w:tcW w:w="2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92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FF0FC"/>
          </w:tcPr>
          <w:p>
            <w:pPr>
              <w:spacing w:after="0"/>
              <w:rPr>
                <w:sz w:val="15"/>
                <w:szCs w:val="15"/>
                <w:color w:val="auto"/>
              </w:rPr>
            </w:pPr>
          </w:p>
        </w:tc>
      </w:tr>
      <w:tr>
        <w:trPr>
          <w:trHeight w:val="176"/>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Rohrer Corporation</w:t>
            </w:r>
          </w:p>
        </w:tc>
        <w:tc>
          <w:tcPr>
            <w:tcW w:w="320" w:type="dxa"/>
            <w:vAlign w:val="bottom"/>
          </w:tcPr>
          <w:p>
            <w:pPr>
              <w:spacing w:after="0"/>
              <w:rPr>
                <w:sz w:val="15"/>
                <w:szCs w:val="15"/>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920" w:type="dxa"/>
            <w:vAlign w:val="bottom"/>
          </w:tcPr>
          <w:p>
            <w:pPr>
              <w:spacing w:after="0"/>
              <w:rPr>
                <w:sz w:val="15"/>
                <w:szCs w:val="15"/>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5"/>
                <w:szCs w:val="15"/>
                <w:color w:val="auto"/>
              </w:rPr>
            </w:pPr>
          </w:p>
        </w:tc>
      </w:tr>
      <w:tr>
        <w:trPr>
          <w:trHeight w:val="175"/>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Wheel Pros, Inc.</w:t>
            </w:r>
          </w:p>
        </w:tc>
        <w:tc>
          <w:tcPr>
            <w:tcW w:w="320" w:type="dxa"/>
            <w:vAlign w:val="bottom"/>
            <w:shd w:val="clear" w:color="auto" w:fill="CFF0FC"/>
          </w:tcPr>
          <w:p>
            <w:pPr>
              <w:spacing w:after="0"/>
              <w:rPr>
                <w:sz w:val="15"/>
                <w:szCs w:val="15"/>
                <w:color w:val="auto"/>
              </w:rPr>
            </w:pPr>
          </w:p>
        </w:tc>
        <w:tc>
          <w:tcPr>
            <w:tcW w:w="2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92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(0.1 )</w:t>
            </w:r>
          </w:p>
        </w:tc>
        <w:tc>
          <w:tcPr>
            <w:tcW w:w="114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FF0FC"/>
          </w:tcPr>
          <w:p>
            <w:pPr>
              <w:spacing w:after="0"/>
              <w:rPr>
                <w:sz w:val="15"/>
                <w:szCs w:val="15"/>
                <w:color w:val="auto"/>
              </w:rPr>
            </w:pPr>
          </w:p>
        </w:tc>
      </w:tr>
      <w:tr>
        <w:trPr>
          <w:trHeight w:val="175"/>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Hilco Plastics Holdings, LLC (dba Hilco Technologies)</w:t>
            </w:r>
          </w:p>
        </w:tc>
        <w:tc>
          <w:tcPr>
            <w:tcW w:w="320" w:type="dxa"/>
            <w:vAlign w:val="bottom"/>
          </w:tcPr>
          <w:p>
            <w:pPr>
              <w:spacing w:after="0"/>
              <w:rPr>
                <w:sz w:val="15"/>
                <w:szCs w:val="15"/>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Sale of portfolio company</w:t>
            </w:r>
          </w:p>
        </w:tc>
        <w:tc>
          <w:tcPr>
            <w:tcW w:w="92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(1.0 )</w:t>
            </w:r>
          </w:p>
        </w:tc>
        <w:tc>
          <w:tcPr>
            <w:tcW w:w="114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(1.0 )</w:t>
            </w:r>
          </w:p>
        </w:tc>
      </w:tr>
      <w:tr>
        <w:trPr>
          <w:trHeight w:val="175"/>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Worldwide Express Operations, LLC</w:t>
            </w:r>
          </w:p>
        </w:tc>
        <w:tc>
          <w:tcPr>
            <w:tcW w:w="320" w:type="dxa"/>
            <w:vAlign w:val="bottom"/>
            <w:shd w:val="clear" w:color="auto" w:fill="CFF0FC"/>
          </w:tcPr>
          <w:p>
            <w:pPr>
              <w:spacing w:after="0"/>
              <w:rPr>
                <w:sz w:val="15"/>
                <w:szCs w:val="15"/>
                <w:color w:val="auto"/>
              </w:rPr>
            </w:pPr>
          </w:p>
        </w:tc>
        <w:tc>
          <w:tcPr>
            <w:tcW w:w="2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Sale of portfolio company</w:t>
            </w:r>
          </w:p>
        </w:tc>
        <w:tc>
          <w:tcPr>
            <w:tcW w:w="92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FF0FC"/>
          </w:tcPr>
          <w:p>
            <w:pPr>
              <w:spacing w:after="0"/>
              <w:rPr>
                <w:sz w:val="15"/>
                <w:szCs w:val="15"/>
                <w:color w:val="auto"/>
              </w:rPr>
            </w:pPr>
          </w:p>
        </w:tc>
      </w:tr>
      <w:tr>
        <w:trPr>
          <w:trHeight w:val="175"/>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Pugh Lubricants, LLC</w:t>
            </w:r>
          </w:p>
        </w:tc>
        <w:tc>
          <w:tcPr>
            <w:tcW w:w="320" w:type="dxa"/>
            <w:vAlign w:val="bottom"/>
          </w:tcPr>
          <w:p>
            <w:pPr>
              <w:spacing w:after="0"/>
              <w:rPr>
                <w:sz w:val="15"/>
                <w:szCs w:val="15"/>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9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r>
      <w:tr>
        <w:trPr>
          <w:trHeight w:val="175"/>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LNG Indy, LLC (dba Kinetrex Energy)</w:t>
            </w:r>
          </w:p>
        </w:tc>
        <w:tc>
          <w:tcPr>
            <w:tcW w:w="320" w:type="dxa"/>
            <w:vAlign w:val="bottom"/>
            <w:shd w:val="clear" w:color="auto" w:fill="CFF0FC"/>
          </w:tcPr>
          <w:p>
            <w:pPr>
              <w:spacing w:after="0"/>
              <w:rPr>
                <w:sz w:val="15"/>
                <w:szCs w:val="15"/>
                <w:color w:val="auto"/>
              </w:rPr>
            </w:pPr>
          </w:p>
        </w:tc>
        <w:tc>
          <w:tcPr>
            <w:tcW w:w="2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Sale of portfolio company</w:t>
            </w:r>
          </w:p>
        </w:tc>
        <w:tc>
          <w:tcPr>
            <w:tcW w:w="92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FF0FC"/>
          </w:tcPr>
          <w:p>
            <w:pPr>
              <w:spacing w:after="0"/>
              <w:rPr>
                <w:sz w:val="15"/>
                <w:szCs w:val="15"/>
                <w:color w:val="auto"/>
              </w:rPr>
            </w:pPr>
          </w:p>
        </w:tc>
      </w:tr>
      <w:tr>
        <w:trPr>
          <w:trHeight w:val="176"/>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Allied 100 Group, Inc.</w:t>
            </w:r>
          </w:p>
        </w:tc>
        <w:tc>
          <w:tcPr>
            <w:tcW w:w="320" w:type="dxa"/>
            <w:vAlign w:val="bottom"/>
          </w:tcPr>
          <w:p>
            <w:pPr>
              <w:spacing w:after="0"/>
              <w:rPr>
                <w:sz w:val="15"/>
                <w:szCs w:val="15"/>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9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r>
      <w:tr>
        <w:trPr>
          <w:trHeight w:val="169"/>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320" w:type="dxa"/>
            <w:vAlign w:val="bottom"/>
            <w:shd w:val="clear" w:color="auto" w:fill="CFF0FC"/>
          </w:tcPr>
          <w:p>
            <w:pPr>
              <w:spacing w:after="0"/>
              <w:rPr>
                <w:sz w:val="14"/>
                <w:szCs w:val="14"/>
                <w:color w:val="auto"/>
              </w:rPr>
            </w:pPr>
          </w:p>
        </w:tc>
        <w:tc>
          <w:tcPr>
            <w:tcW w:w="2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FF0FC"/>
          </w:tcPr>
          <w:p>
            <w:pPr>
              <w:spacing w:after="0"/>
              <w:rPr>
                <w:sz w:val="14"/>
                <w:szCs w:val="14"/>
                <w:color w:val="auto"/>
              </w:rPr>
            </w:pPr>
          </w:p>
        </w:tc>
      </w:tr>
      <w:tr>
        <w:trPr>
          <w:trHeight w:val="175"/>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(provision) benefit from realized gains on investments</w:t>
            </w:r>
          </w:p>
        </w:tc>
        <w:tc>
          <w:tcPr>
            <w:tcW w:w="3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r>
      <w:tr>
        <w:trPr>
          <w:trHeight w:val="209"/>
        </w:trPr>
        <w:tc>
          <w:tcPr>
            <w:tcW w:w="524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Net realized gain (loss), net of income tax provision, on investments</w:t>
            </w:r>
          </w:p>
        </w:tc>
        <w:tc>
          <w:tcPr>
            <w:tcW w:w="320" w:type="dxa"/>
            <w:vAlign w:val="bottom"/>
            <w:tcBorders>
              <w:bottom w:val="single" w:sz="8" w:color="CFF0FC"/>
            </w:tcBorders>
            <w:shd w:val="clear" w:color="auto" w:fill="CFF0FC"/>
          </w:tcPr>
          <w:p>
            <w:pPr>
              <w:spacing w:after="0"/>
              <w:rPr>
                <w:sz w:val="18"/>
                <w:szCs w:val="18"/>
                <w:color w:val="auto"/>
              </w:rPr>
            </w:pPr>
          </w:p>
        </w:tc>
        <w:tc>
          <w:tcPr>
            <w:tcW w:w="24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7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8.4</w:t>
            </w:r>
          </w:p>
        </w:tc>
        <w:tc>
          <w:tcPr>
            <w:tcW w:w="2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9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13.8</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-24765</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jc w:val="both"/>
        <w:ind w:firstLine="8"/>
        <w:spacing w:after="0" w:line="261" w:lineRule="auto"/>
        <w:tabs>
          <w:tab w:leader="none" w:pos="215"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48" w:name="page49"/>
    <w:bookmarkEnd w:id="48"/>
    <w:p>
      <w:pPr>
        <w:jc w:val="both"/>
        <w:ind w:firstLine="47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and 2021, we recorded a net change in unrealized appreciation (depreciation) on investments attributable to the following (dollars in millions):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Appreciation (Depreciation)</w:t>
            </w:r>
          </w:p>
        </w:tc>
        <w:tc>
          <w:tcPr>
            <w:tcW w:w="292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80" w:type="dxa"/>
            <w:vAlign w:val="bottom"/>
            <w:gridSpan w:val="5"/>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4400" w:type="dxa"/>
            <w:vAlign w:val="bottom"/>
            <w:gridSpan w:val="2"/>
            <w:vMerge w:val="continue"/>
          </w:tcPr>
          <w:p>
            <w:pPr>
              <w:spacing w:after="0"/>
              <w:rPr>
                <w:sz w:val="14"/>
                <w:szCs w:val="14"/>
                <w:color w:val="auto"/>
              </w:rPr>
            </w:pPr>
          </w:p>
        </w:tc>
        <w:tc>
          <w:tcPr>
            <w:tcW w:w="10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Exit, sale or restructuring of investments</w:t>
            </w:r>
          </w:p>
        </w:tc>
        <w:tc>
          <w:tcPr>
            <w:tcW w:w="120" w:type="dxa"/>
            <w:vAlign w:val="bottom"/>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32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4"/>
              </w:rPr>
              <w:t>)</w:t>
            </w:r>
          </w:p>
        </w:tc>
        <w:tc>
          <w:tcPr>
            <w:tcW w:w="1100" w:type="dxa"/>
            <w:vAlign w:val="bottom"/>
            <w:tcBorders>
              <w:top w:val="single" w:sz="8" w:color="auto"/>
            </w:tcBorders>
            <w:shd w:val="clear" w:color="auto" w:fill="CFF0FC"/>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280" w:type="dxa"/>
            <w:vAlign w:val="bottom"/>
            <w:tcBorders>
              <w:top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2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380" w:type="dxa"/>
            <w:vAlign w:val="bottom"/>
            <w:tcBorders>
              <w:top w:val="single" w:sz="8" w:color="auto"/>
            </w:tcBorders>
            <w:shd w:val="clear" w:color="auto" w:fill="CFF0FC"/>
          </w:tcPr>
          <w:p>
            <w:pPr>
              <w:jc w:val="center"/>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75"/>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Fair value adjustments to debt investments</w:t>
            </w:r>
          </w:p>
        </w:tc>
        <w:tc>
          <w:tcPr>
            <w:tcW w:w="1040" w:type="dxa"/>
            <w:vAlign w:val="bottom"/>
          </w:tcPr>
          <w:p>
            <w:pPr>
              <w:spacing w:after="0"/>
              <w:rPr>
                <w:sz w:val="15"/>
                <w:szCs w:val="15"/>
                <w:color w:val="auto"/>
              </w:rPr>
            </w:pPr>
          </w:p>
        </w:tc>
        <w:tc>
          <w:tcPr>
            <w:tcW w:w="7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(9.5 )</w:t>
            </w:r>
          </w:p>
        </w:tc>
        <w:tc>
          <w:tcPr>
            <w:tcW w:w="1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(12.9 )</w:t>
            </w:r>
          </w:p>
        </w:tc>
        <w:tc>
          <w:tcPr>
            <w:tcW w:w="38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0" w:type="dxa"/>
            <w:vAlign w:val="bottom"/>
          </w:tcPr>
          <w:p>
            <w:pPr>
              <w:spacing w:after="0"/>
              <w:rPr>
                <w:sz w:val="1"/>
                <w:szCs w:val="1"/>
                <w:color w:val="auto"/>
              </w:rPr>
            </w:pPr>
          </w:p>
        </w:tc>
      </w:tr>
      <w:tr>
        <w:trPr>
          <w:trHeight w:val="176"/>
        </w:trPr>
        <w:tc>
          <w:tcPr>
            <w:tcW w:w="44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Fair value adjustments to equity investments</w:t>
            </w:r>
          </w:p>
        </w:tc>
        <w:tc>
          <w:tcPr>
            <w:tcW w:w="104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32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change in unrealized appreciation (depreciation)</w:t>
            </w:r>
          </w:p>
        </w:tc>
        <w:tc>
          <w:tcPr>
            <w:tcW w:w="104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(41.3 )</w:t>
            </w:r>
          </w:p>
        </w:tc>
        <w:tc>
          <w:tcPr>
            <w:tcW w:w="1100" w:type="dxa"/>
            <w:vAlign w:val="bottom"/>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26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(67.8 )</w:t>
            </w:r>
          </w:p>
        </w:tc>
        <w:tc>
          <w:tcPr>
            <w:tcW w:w="38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-144780</wp:posOffset>
            </wp:positionV>
            <wp:extent cx="77470" cy="14541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-144780</wp:posOffset>
            </wp:positionV>
            <wp:extent cx="68580" cy="14541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-144780</wp:posOffset>
            </wp:positionV>
            <wp:extent cx="68580" cy="1454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3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Net Increase in Net Assets Resulting From Operations</w:t>
      </w:r>
    </w:p>
    <w:p>
      <w:pPr>
        <w:spacing w:after="0" w:line="160" w:lineRule="exact"/>
        <w:rPr>
          <w:sz w:val="20"/>
          <w:szCs w:val="20"/>
          <w:color w:val="auto"/>
        </w:rPr>
      </w:pPr>
    </w:p>
    <w:p>
      <w:pPr>
        <w:jc w:val="both"/>
        <w:ind w:right="20" w:firstLine="479"/>
        <w:spacing w:after="0" w:line="266" w:lineRule="auto"/>
        <w:rPr>
          <w:sz w:val="20"/>
          <w:szCs w:val="20"/>
          <w:color w:val="auto"/>
        </w:rPr>
      </w:pPr>
      <w:r>
        <w:rPr>
          <w:rFonts w:ascii="Times New Roman" w:cs="Times New Roman" w:eastAsia="Times New Roman" w:hAnsi="Times New Roman"/>
          <w:sz w:val="18"/>
          <w:szCs w:val="18"/>
          <w:color w:val="auto"/>
        </w:rPr>
        <w:t>Net increase (decrease) in net assets resulting from operations during the three months ended September 30, 2022 and 2021 was $11.4 million and $28.4 million, respectively, as a result of the events described above.</w:t>
      </w:r>
    </w:p>
    <w:p>
      <w:pPr>
        <w:spacing w:after="0" w:line="122" w:lineRule="exact"/>
        <w:rPr>
          <w:sz w:val="20"/>
          <w:szCs w:val="20"/>
          <w:color w:val="auto"/>
        </w:rPr>
      </w:pPr>
    </w:p>
    <w:p>
      <w:pPr>
        <w:jc w:val="both"/>
        <w:ind w:right="20" w:firstLine="479"/>
        <w:spacing w:after="0" w:line="266" w:lineRule="auto"/>
        <w:rPr>
          <w:sz w:val="20"/>
          <w:szCs w:val="20"/>
          <w:color w:val="auto"/>
        </w:rPr>
      </w:pPr>
      <w:r>
        <w:rPr>
          <w:rFonts w:ascii="Times New Roman" w:cs="Times New Roman" w:eastAsia="Times New Roman" w:hAnsi="Times New Roman"/>
          <w:sz w:val="18"/>
          <w:szCs w:val="18"/>
          <w:color w:val="auto"/>
        </w:rPr>
        <w:t>Net increase (decrease) in net assets resulting from operations during the nine months ended September 30, 2022 and 2021 was $31.1 million and $65.8 million, respectively, as a result of the events described above.</w:t>
      </w:r>
    </w:p>
    <w:p>
      <w:pPr>
        <w:spacing w:after="0" w:line="1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62" w:lineRule="exact"/>
        <w:rPr>
          <w:sz w:val="20"/>
          <w:szCs w:val="20"/>
          <w:color w:val="auto"/>
        </w:rPr>
      </w:pPr>
    </w:p>
    <w:p>
      <w:pPr>
        <w:jc w:val="both"/>
        <w:ind w:firstLine="478"/>
        <w:spacing w:after="0" w:line="243" w:lineRule="auto"/>
        <w:rPr>
          <w:sz w:val="20"/>
          <w:szCs w:val="20"/>
          <w:color w:val="auto"/>
        </w:rPr>
      </w:pPr>
      <w:r>
        <w:rPr>
          <w:rFonts w:ascii="Times New Roman" w:cs="Times New Roman" w:eastAsia="Times New Roman" w:hAnsi="Times New Roman"/>
          <w:sz w:val="18"/>
          <w:szCs w:val="18"/>
          <w:color w:val="auto"/>
        </w:rPr>
        <w:t>As of September 30, 2022, we had $40.4 million in cash and cash equivalents and our net assets totaled $474.4 million. We believe that our current cash and cash equivalents on hand, our Credit Facility, our continued access to SBA-guaranteed debentures, and our anticipated cash flows from investments will provide adequate capital resources with which to operate and finance our investment business and make distributions to our stockholders for at least the next 12 months. We intend to generate additional cash primarily from the future offerings of securities (including the “at-the-market” program) and future borrowings, as well as cash flows from operations, including income earned from investments in our portfolio companies. On both a short-term and long-term basis, our primary use of funds will be investments in portfolio companies and cash distributions to our stockholders. During the nine months ended September 30, 2022, we repaid $30.0 million of SBA debentures which would have matured during the period March 1, 2025 through March 1, 2028. Our remaining outstanding SBA debentures continue to mature in 2025 and subsequent years through 2033, which will require repayment on or before the respective maturity dates. This “Liquidity and Capital Resources” section should be read in conjunction with the “COVID-19 Updates” section above.</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60" w:lineRule="exact"/>
        <w:rPr>
          <w:sz w:val="20"/>
          <w:szCs w:val="20"/>
          <w:color w:val="auto"/>
        </w:rPr>
      </w:pPr>
    </w:p>
    <w:p>
      <w:pPr>
        <w:jc w:val="both"/>
        <w:ind w:firstLine="479"/>
        <w:spacing w:after="0" w:line="244" w:lineRule="auto"/>
        <w:rPr>
          <w:sz w:val="20"/>
          <w:szCs w:val="20"/>
          <w:color w:val="auto"/>
        </w:rPr>
      </w:pPr>
      <w:r>
        <w:rPr>
          <w:rFonts w:ascii="Times New Roman" w:cs="Times New Roman" w:eastAsia="Times New Roman" w:hAnsi="Times New Roman"/>
          <w:sz w:val="18"/>
          <w:szCs w:val="18"/>
          <w:color w:val="auto"/>
        </w:rPr>
        <w:t>For the nine months ended September 30, 2022, we experienced a net decrease in cash and cash equivalents in the amount of $129.0 million. During that period, we made payments of $117.4 million of cash for operating activities, which included the funding of $268.0 million of investments which was partially offset by proceeds received from sales and repayments of investments of $128.3 million. During the same period, we received repayments of $0.6 million on our secured borrowings, made repayments of SBA debentures of $30.0 million, which were offset by proceeds from the issuances of SBA debentures of $56.0 million, paid cash dividends to stockholders of $34.0 million, and made payment of deferred financing costs related to our debt financings of $3.0 million.</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Capital Resources</w:t>
      </w:r>
    </w:p>
    <w:p>
      <w:pPr>
        <w:spacing w:after="0" w:line="160"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We anticipate that we will continue to fund our investment activities on a long-term basis through a combination of additional debt and equity capital.</w:t>
      </w:r>
    </w:p>
    <w:p>
      <w:pPr>
        <w:spacing w:after="0" w:line="1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SBA debentures</w:t>
      </w:r>
    </w:p>
    <w:p>
      <w:pPr>
        <w:spacing w:after="0" w:line="160" w:lineRule="exact"/>
        <w:rPr>
          <w:sz w:val="20"/>
          <w:szCs w:val="20"/>
          <w:color w:val="auto"/>
        </w:rPr>
      </w:pPr>
    </w:p>
    <w:p>
      <w:pPr>
        <w:jc w:val="both"/>
        <w:ind w:firstLine="469"/>
        <w:spacing w:after="0" w:line="260" w:lineRule="auto"/>
        <w:rPr>
          <w:sz w:val="20"/>
          <w:szCs w:val="20"/>
          <w:color w:val="auto"/>
        </w:rPr>
      </w:pPr>
      <w:r>
        <w:rPr>
          <w:rFonts w:ascii="Times New Roman" w:cs="Times New Roman" w:eastAsia="Times New Roman" w:hAnsi="Times New Roman"/>
          <w:sz w:val="17"/>
          <w:szCs w:val="17"/>
          <w:color w:val="auto"/>
        </w:rPr>
        <w:t>The Funds are licensed SBICs, and have the ability to issue debentures guaranteed by the SBA at favorable interest rates. Under the Small Business Investment Act and the SBA regulations applicable to SBICs, an SBIC can have outstanding at any time debentures guaranteed by the SBA in an amount up to twice its regulatory capital. The SBA regulations currently limit the amount that is available to be borrowed by any SBIC and guaranteed by the SBA to 300.0% of an SBIC’s regulatory capital or $175.0 million, whichever is less. For two or more SBICs under common control, the maximum amount of outstanding SBA debentures cannot exceed $350.0 million. SBA debentures have fixed interest rates that approximate prevailing 10-year Treasury Notes rates plus a spread and have a maturity of ten years with interest payable semi-annually. The principal amount of the SBA debentures is not required to be paid before maturity but may be pre-paid at any time. As of September 30, 2022, Fund II and Fund III had $40.0 million and $93.0 million of outstanding SBA debentures, respectively. Subject to SBA regulatory requirements and approval, Fund III may access up to $82.0 million of additional SBA debentures under the SBIC debenture program. For more information on the SBA debentures, please refer to Note 6 to our consolidated financial statements.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49" w:name="page50"/>
    <w:bookmarkEnd w:id="49"/>
    <w:p>
      <w:pPr>
        <w:jc w:val="both"/>
        <w:ind w:firstLine="469"/>
        <w:spacing w:after="0" w:line="242" w:lineRule="auto"/>
        <w:rPr>
          <w:sz w:val="20"/>
          <w:szCs w:val="20"/>
          <w:color w:val="auto"/>
        </w:rPr>
      </w:pPr>
      <w:r>
        <w:rPr>
          <w:rFonts w:ascii="Times New Roman" w:cs="Times New Roman" w:eastAsia="Times New Roman" w:hAnsi="Times New Roman"/>
          <w:sz w:val="18"/>
          <w:szCs w:val="18"/>
          <w:color w:val="auto"/>
        </w:rPr>
        <w:t>On June 16, 2014, we entered into a senior secured revolving credit agreement (the "Credit Agreement" and the senior secured revolving credit facility, the “Credit Facility”) with ING Capital LLC (“ING”), as the administrative agent, collateral agent, and lender. The Credit Facility is secured by certain portfolio investments held by us, but portfolio investments held by the Funds are not collateral for the Credit Facility. On April 24, 2019, we entered into an Amended &amp; Restated Senior Secured Revolving Credit Agreement (the “Amended Credit Agreement”) among us, as borrower, the lenders party thereto, and ING, as administrative agent. On June 26, 2020, we entered into an amendment on the Amended Credit Agreement that, among other changes, modified certain financial covenants. On August 17, 2022, the Company entered into a second amendment to the Amended Credit Agreement (“Second Amendment”). The Second Amendment, among other things: (i) changed the underlying benchmark used to compute interest under the Amended Credit Agreement to the Secured Overnight Financing Rate (SOFR) from the London Interbank Offered Rate (LIBOR); (ii) reduced the applicable margin from 3.00% to 2.675% on SOFR loans prior to satisfying certain step-down conditions, and from 2.675% to 2.50% after satisfying certain step-down conditions, with commensurate reductions in the applicable margins for base rate loans; (iii) provided for a loan commitment availability period ending on August 17, 2026; (iv) extended the maturity date to August 17, 2027 from April 24, 2023; and (v) amended certain financial covenants, including (a) amending the asset coverage ratio to no less than 1.50 to 1.00 from no less than 2.00 to 1.00 (on a regulatory basis); and (b) requiring the Company to maintain a senior asset coverage ratio of no less than 2.00 to 1.00.</w:t>
      </w:r>
    </w:p>
    <w:p>
      <w:pPr>
        <w:spacing w:after="0" w:line="135" w:lineRule="exact"/>
        <w:rPr>
          <w:sz w:val="20"/>
          <w:szCs w:val="20"/>
          <w:color w:val="auto"/>
        </w:rPr>
      </w:pPr>
    </w:p>
    <w:p>
      <w:pPr>
        <w:jc w:val="both"/>
        <w:ind w:firstLine="469"/>
        <w:spacing w:after="0" w:line="250" w:lineRule="auto"/>
        <w:rPr>
          <w:sz w:val="20"/>
          <w:szCs w:val="20"/>
          <w:color w:val="auto"/>
        </w:rPr>
      </w:pPr>
      <w:r>
        <w:rPr>
          <w:rFonts w:ascii="Times New Roman" w:cs="Times New Roman" w:eastAsia="Times New Roman" w:hAnsi="Times New Roman"/>
          <w:sz w:val="18"/>
          <w:szCs w:val="18"/>
          <w:color w:val="auto"/>
        </w:rPr>
        <w:t>We pay a commitment fee that varies depending on the size of the unused portion of the Credit Facility: 2.500% to 2.675% per annum on the unused portion of the Credit Facility at or below 35% of the commitments and 0.50% per annum on any remaining unused portion of the Credit Facility between the total commitments and the 35% minimum utilization. The Credit Facility is secured by a first priority security interest in all of our assets, excluding the assets of our SBIC subsidiaries.</w:t>
      </w:r>
    </w:p>
    <w:p>
      <w:pPr>
        <w:spacing w:after="0" w:line="137" w:lineRule="exact"/>
        <w:rPr>
          <w:sz w:val="20"/>
          <w:szCs w:val="20"/>
          <w:color w:val="auto"/>
        </w:rPr>
      </w:pPr>
    </w:p>
    <w:p>
      <w:pPr>
        <w:jc w:val="both"/>
        <w:ind w:firstLine="469"/>
        <w:spacing w:after="0" w:line="250" w:lineRule="auto"/>
        <w:rPr>
          <w:sz w:val="20"/>
          <w:szCs w:val="20"/>
          <w:color w:val="auto"/>
        </w:rPr>
      </w:pPr>
      <w:r>
        <w:rPr>
          <w:rFonts w:ascii="Times New Roman" w:cs="Times New Roman" w:eastAsia="Times New Roman" w:hAnsi="Times New Roman"/>
          <w:sz w:val="18"/>
          <w:szCs w:val="18"/>
          <w:color w:val="auto"/>
        </w:rPr>
        <w:t>Amounts available to borrow under the Credit Facility are subject to a minimum borrowing/collateral base that applies an advance rate to certain investments held by us, excluding investments held by the Funds. We are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123" w:lineRule="exact"/>
        <w:rPr>
          <w:sz w:val="20"/>
          <w:szCs w:val="20"/>
          <w:color w:val="auto"/>
        </w:rPr>
      </w:pPr>
    </w:p>
    <w:p>
      <w:pPr>
        <w:jc w:val="both"/>
        <w:ind w:firstLine="469"/>
        <w:spacing w:after="0" w:line="250" w:lineRule="auto"/>
        <w:rPr>
          <w:sz w:val="20"/>
          <w:szCs w:val="20"/>
          <w:color w:val="auto"/>
        </w:rPr>
      </w:pPr>
      <w:r>
        <w:rPr>
          <w:rFonts w:ascii="Times New Roman" w:cs="Times New Roman" w:eastAsia="Times New Roman" w:hAnsi="Times New Roman"/>
          <w:sz w:val="18"/>
          <w:szCs w:val="18"/>
          <w:color w:val="auto"/>
        </w:rPr>
        <w:t>We have made customary representations and warranties and we are required to comply with various covenants, reporting requirements and other customary requirements for similar credit facilities. These covenants are subject to important limitations and exceptions that are described in the documents governing the Credit Facility. As of September 30, 2022, we were in compliance with all covenants of the Credit Facility and there were no borrowings outstanding under the Credit Facility.</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160" w:lineRule="exact"/>
        <w:rPr>
          <w:sz w:val="20"/>
          <w:szCs w:val="20"/>
          <w:color w:val="auto"/>
        </w:rPr>
      </w:pPr>
    </w:p>
    <w:p>
      <w:pPr>
        <w:jc w:val="both"/>
        <w:ind w:firstLine="469"/>
        <w:spacing w:after="0" w:line="247" w:lineRule="auto"/>
        <w:rPr>
          <w:sz w:val="20"/>
          <w:szCs w:val="20"/>
          <w:color w:val="auto"/>
        </w:rPr>
      </w:pPr>
      <w:r>
        <w:rPr>
          <w:rFonts w:ascii="Times New Roman" w:cs="Times New Roman" w:eastAsia="Times New Roman" w:hAnsi="Times New Roman"/>
          <w:sz w:val="18"/>
          <w:szCs w:val="18"/>
          <w:color w:val="auto"/>
        </w:rPr>
        <w:t>On February 2, 2018, we closed the public offering of approximately $43.5 million in aggregate principal amount of our 5.875% notes due 2023, or the “2023 Notes.” On February 22, 2018, the underwriters exercised their option to purchase an additional $6.5 million in aggregate principal of the 2023 Notes. The total net proceeds to us from the 2023 Notes, including the exercise of the underwriters’ option, after deducting underwriting discounts of approximately $1.5 million and offering expenses of $0.4 million, were approximately $48.1 million. On January 19, 2021, we redeemed $50.0 million in the aggregate principal amount on the issued and outstanding 2023 Notes, resulting in a realized loss on extinguishment of debt of approximately $0.8 million.</w:t>
      </w:r>
    </w:p>
    <w:p>
      <w:pPr>
        <w:spacing w:after="0" w:line="126" w:lineRule="exact"/>
        <w:rPr>
          <w:sz w:val="20"/>
          <w:szCs w:val="20"/>
          <w:color w:val="auto"/>
        </w:rPr>
      </w:pPr>
    </w:p>
    <w:p>
      <w:pPr>
        <w:jc w:val="both"/>
        <w:ind w:firstLine="469"/>
        <w:spacing w:after="0" w:line="245" w:lineRule="auto"/>
        <w:rPr>
          <w:sz w:val="20"/>
          <w:szCs w:val="20"/>
          <w:color w:val="auto"/>
        </w:rPr>
      </w:pPr>
      <w:r>
        <w:rPr>
          <w:rFonts w:ascii="Times New Roman" w:cs="Times New Roman" w:eastAsia="Times New Roman" w:hAnsi="Times New Roman"/>
          <w:sz w:val="18"/>
          <w:szCs w:val="18"/>
          <w:color w:val="auto"/>
        </w:rPr>
        <w:t>On February 8, 2019, we closed the public offering of approximately $60.0 million in aggregate principal amount of our 6.000% notes due 2024, or the “February 2024 Notes”. On February 19, 2019, the underwriters exercised their option to purchase an additional $9.0 million in aggregate principal of the February 2024 Notes. The total net proceeds to us from the February 2024 Notes, including the exercise of the underwriters’ option, after deducting underwriting discounts of approximately $2.1 million and estimated offering expenses of $0.4 million, were approximately $66.5 million. On February 16, 2021, we redeemed $50.0 million of the $69.0 million in aggregate principal amount on the February 2024 Notes, resulting in a realized loss on extinguishment of debt of approximately $1.1 million. On November 2, 2021, we fully redeemed the remaining $19.0 million in aggregate principal amount on the issued and outstanding February 2024 Notes, resulting in a realized loss on extinguishment of debt of approximately $0.3 million.</w:t>
      </w:r>
    </w:p>
    <w:p>
      <w:pPr>
        <w:spacing w:after="0" w:line="141" w:lineRule="exact"/>
        <w:rPr>
          <w:sz w:val="20"/>
          <w:szCs w:val="20"/>
          <w:color w:val="auto"/>
        </w:rPr>
      </w:pPr>
    </w:p>
    <w:p>
      <w:pPr>
        <w:jc w:val="both"/>
        <w:ind w:firstLine="469"/>
        <w:spacing w:after="0" w:line="242" w:lineRule="auto"/>
        <w:rPr>
          <w:sz w:val="20"/>
          <w:szCs w:val="20"/>
          <w:color w:val="auto"/>
        </w:rPr>
      </w:pPr>
      <w:r>
        <w:rPr>
          <w:rFonts w:ascii="Times New Roman" w:cs="Times New Roman" w:eastAsia="Times New Roman" w:hAnsi="Times New Roman"/>
          <w:sz w:val="18"/>
          <w:szCs w:val="18"/>
          <w:color w:val="auto"/>
        </w:rPr>
        <w:t>On October 16, 2019, we closed the public offering of approximately $55.0 million in aggregate principal amount of our 5.375% notes due 2024, or the “November 2024 Notes” (and collectively with the 2023 Notes and the February 2024 Notes, the “Public Notes”). On October 23, 2019, the underwriters exercised their option to purchase an additional $8.3 million in aggregate principal of the November 2024 Notes. The total net proceeds to us from the November 2024 Notes, including the exercise of the underwriters’ option, after deducting underwriting discounts of approximately $1.9 million and estimated offering expenses of $0.3 million, were approximately $61.1 million. On November 2, 2021, we fully redeemed the $63.3 million in aggregate principal amount on the issued and outstanding November 2024 Notes, resulting in a realized loss on extinguishment of debt of approximately $1.3 million.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50" w:name="page51"/>
    <w:bookmarkEnd w:id="50"/>
    <w:p>
      <w:pPr>
        <w:jc w:val="both"/>
        <w:ind w:firstLine="479"/>
        <w:spacing w:after="0" w:line="245" w:lineRule="auto"/>
        <w:rPr>
          <w:sz w:val="20"/>
          <w:szCs w:val="20"/>
          <w:color w:val="auto"/>
        </w:rPr>
      </w:pPr>
      <w:r>
        <w:rPr>
          <w:rFonts w:ascii="Times New Roman" w:cs="Times New Roman" w:eastAsia="Times New Roman" w:hAnsi="Times New Roman"/>
          <w:sz w:val="18"/>
          <w:szCs w:val="18"/>
          <w:color w:val="auto"/>
        </w:rPr>
        <w:t>On December 23, 2020, we closed the offering of $125.0 million in aggregate principal amount of our 4.75% notes due 2026, or the “January 2026 Notes”. The total net proceeds to us from the January 2026 Notes after deducting underwriting discounts of $2.5 million and estimated offering expenses of approximately $0.4 million, were approximately $122.1 million. The January 2026 Notes will mature on January 31, 2026 and bear interest at a rate of 4.75%. The January 2026 Notes may be redeemed in whole or in part at any time or from time to time at our option subject to a make whole provision if redeemed more than three months prior to maturity and at par thereafter. Interest on the January 2026 Notes is payable on January 31 and July 31 of each year. We do not intend to list the January 2026 Notes on any securities exchange or automated dealer quotation system. As of September 30, 2022, the outstanding principal balance of the January 2026 Notes was approximately $125.0 million.</w:t>
      </w:r>
    </w:p>
    <w:p>
      <w:pPr>
        <w:spacing w:after="0" w:line="141" w:lineRule="exact"/>
        <w:rPr>
          <w:sz w:val="20"/>
          <w:szCs w:val="20"/>
          <w:color w:val="auto"/>
        </w:rPr>
      </w:pPr>
    </w:p>
    <w:p>
      <w:pPr>
        <w:jc w:val="both"/>
        <w:ind w:firstLine="479"/>
        <w:spacing w:after="0" w:line="243" w:lineRule="auto"/>
        <w:rPr>
          <w:sz w:val="20"/>
          <w:szCs w:val="20"/>
          <w:color w:val="auto"/>
        </w:rPr>
      </w:pPr>
      <w:r>
        <w:rPr>
          <w:rFonts w:ascii="Times New Roman" w:cs="Times New Roman" w:eastAsia="Times New Roman" w:hAnsi="Times New Roman"/>
          <w:sz w:val="18"/>
          <w:szCs w:val="18"/>
          <w:color w:val="auto"/>
        </w:rPr>
        <w:t>On October 8, 2021, we closed the offering of $125.0 million in aggregate principal amount of our 3.50% notes due 2026, or the “November 2026 Notes” (collectively with the Public Notes and the January 2026 Notes, the “Notes”). The total net proceeds to us from the November 2026 Notes, based on a public offering price of 99.996% of par, after deducting underwriting discounts of $2.5 million and estimated offering expenses of approximately $0.3 million, were approximately $122.2 million. The November 2026 Notes will mature on November 15, 2026 and bear interest at a rate of 3.50%. The November 2026 Notes may be redeemed in whole or in part at any time or from time to time at our option subject to a make whole provision if redeemed more than three months prior to maturity and at par thereafter. Interest on the November 2026 Notes is payable on May 15 and November 15 of each year. We do not intend to list the November 2026 Notes on any securities exchange or automated dealer quotation system. As of September 30, 2022, the outstanding principal balance of the November 2026 Notes was approximately $125.0 million.</w:t>
      </w:r>
    </w:p>
    <w:p>
      <w:pPr>
        <w:spacing w:after="0" w:line="132" w:lineRule="exact"/>
        <w:rPr>
          <w:sz w:val="20"/>
          <w:szCs w:val="20"/>
          <w:color w:val="auto"/>
        </w:rPr>
      </w:pPr>
    </w:p>
    <w:p>
      <w:pPr>
        <w:jc w:val="both"/>
        <w:ind w:firstLine="469"/>
        <w:spacing w:after="0" w:line="250" w:lineRule="auto"/>
        <w:rPr>
          <w:sz w:val="20"/>
          <w:szCs w:val="20"/>
          <w:color w:val="auto"/>
        </w:rPr>
      </w:pPr>
      <w:r>
        <w:rPr>
          <w:rFonts w:ascii="Times New Roman" w:cs="Times New Roman" w:eastAsia="Times New Roman" w:hAnsi="Times New Roman"/>
          <w:sz w:val="18"/>
          <w:szCs w:val="18"/>
          <w:color w:val="auto"/>
        </w:rPr>
        <w:t>Each of the Notes are unsecured obligations and rank pari passu with our existing and future unsecured indebtedness; effectively subordinated to all of our existing and future secured indebtedness; and structurally subordinated to all existing and future indebtedness and other obligations of any of our subsidiaries, financing vehicles, or similar facilities we may form in the future, with respect to claims on the assets of any such subsidiaries, financing vehicles, or similar facilities.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Secured Borrowing</w:t>
      </w:r>
    </w:p>
    <w:p>
      <w:pPr>
        <w:spacing w:after="0" w:line="173" w:lineRule="exact"/>
        <w:rPr>
          <w:sz w:val="20"/>
          <w:szCs w:val="20"/>
          <w:color w:val="auto"/>
        </w:rPr>
      </w:pPr>
    </w:p>
    <w:p>
      <w:pPr>
        <w:jc w:val="both"/>
        <w:ind w:left="20" w:firstLine="461"/>
        <w:spacing w:after="0" w:line="244" w:lineRule="auto"/>
        <w:rPr>
          <w:sz w:val="20"/>
          <w:szCs w:val="20"/>
          <w:color w:val="auto"/>
        </w:rPr>
      </w:pPr>
      <w:r>
        <w:rPr>
          <w:rFonts w:ascii="Times New Roman" w:cs="Times New Roman" w:eastAsia="Times New Roman" w:hAnsi="Times New Roman"/>
          <w:sz w:val="18"/>
          <w:szCs w:val="18"/>
          <w:color w:val="auto"/>
        </w:rPr>
        <w:t>As of September 30, 2022, the carrying value of secured borrowings totaled $17.0 million and the fair value of the associated loans included in investments was $16.9 million. As of December 31, 2021, carrying value of secured borrowings totaled $17.6 million and the fair value of the associated loans included in investments was $17.5 million. These secured borrowings were created as a result of our completion of partial loan sales of certain unitranche loan assets that did not meet the definition of a “participating interest.” As a result, sale treatment was not permitted and these partial loan sales were treated as secured borrowings. The weighted average interest rate on our secured borrowings was approximately 6.446% and 4.392% as of September 30, 2022 and December 31, 2021, respectively.</w:t>
      </w:r>
    </w:p>
    <w:p>
      <w:pPr>
        <w:spacing w:after="0" w:line="128" w:lineRule="exact"/>
        <w:rPr>
          <w:sz w:val="20"/>
          <w:szCs w:val="20"/>
          <w:color w:val="auto"/>
        </w:rPr>
      </w:pPr>
    </w:p>
    <w:p>
      <w:pPr>
        <w:jc w:val="both"/>
        <w:ind w:firstLine="469"/>
        <w:spacing w:after="0" w:line="258" w:lineRule="auto"/>
        <w:rPr>
          <w:sz w:val="20"/>
          <w:szCs w:val="20"/>
          <w:color w:val="auto"/>
        </w:rPr>
      </w:pPr>
      <w:r>
        <w:rPr>
          <w:rFonts w:ascii="Times New Roman" w:cs="Times New Roman" w:eastAsia="Times New Roman" w:hAnsi="Times New Roman"/>
          <w:sz w:val="18"/>
          <w:szCs w:val="18"/>
          <w:color w:val="auto"/>
        </w:rPr>
        <w:t>As of September 30, 2022, the weighted average stated interest rates for our SBA debentures and Notes were 3.214% and 4.125%, respectively. As of September 30, 2022, we had $100.0 million of unutilized commitment under our Credit Facility, and we were subject to a 1.200% fee on such amount. As of September 30, 2022, the weighted average stated interest rate on total debt outstanding was 3.921%.</w:t>
      </w:r>
    </w:p>
    <w:p>
      <w:pPr>
        <w:spacing w:after="0" w:line="115" w:lineRule="exact"/>
        <w:rPr>
          <w:sz w:val="20"/>
          <w:szCs w:val="20"/>
          <w:color w:val="auto"/>
        </w:rPr>
      </w:pPr>
    </w:p>
    <w:p>
      <w:pPr>
        <w:jc w:val="both"/>
        <w:ind w:firstLine="469"/>
        <w:spacing w:after="0" w:line="246" w:lineRule="auto"/>
        <w:rPr>
          <w:sz w:val="20"/>
          <w:szCs w:val="20"/>
          <w:color w:val="auto"/>
        </w:rPr>
      </w:pPr>
      <w:r>
        <w:rPr>
          <w:rFonts w:ascii="Times New Roman" w:cs="Times New Roman" w:eastAsia="Times New Roman" w:hAnsi="Times New Roman"/>
          <w:sz w:val="18"/>
          <w:szCs w:val="18"/>
          <w:color w:val="auto"/>
        </w:rPr>
        <w:t>As a BDC, we are generally required to meet an asset coverage ratio of at least 150.0% (defined as the ratio which the value of our consolidated total assets, less all consolidated liabilities and indebtedness not represented by senior securities, bears to the aggregate amount of senior securities representing indebtedness), which includes borrowings and any preferred stock we may issue in the future. This requirement limits the amount that we may borrow. On April 29, 2019, our Board, including a majority of the non-interested directors, approved a minimum asset coverage ratio of 150% under Sections 18(a)(1) and 18(a)(2) of the 1940 Act. As a result, we are subject to the 150% asset coverage ratio effective as of April 29, 2020. We have received exemptive relief from the U.S. Securities and Exchange Commission (“SEC”) to allow us to exclude the senior securities issued by the Funds from the definition of senior securities in the 150% asset coverage requirement applicable to the Company under the 1940 Act, which, in turn, will enable us to fund more investments with debt capital.</w:t>
      </w:r>
    </w:p>
    <w:p>
      <w:pPr>
        <w:spacing w:after="0" w:line="125" w:lineRule="exact"/>
        <w:rPr>
          <w:sz w:val="20"/>
          <w:szCs w:val="20"/>
          <w:color w:val="auto"/>
        </w:rPr>
      </w:pPr>
    </w:p>
    <w:p>
      <w:pPr>
        <w:jc w:val="both"/>
        <w:ind w:firstLine="478"/>
        <w:spacing w:after="0" w:line="245" w:lineRule="auto"/>
        <w:rPr>
          <w:sz w:val="20"/>
          <w:szCs w:val="20"/>
          <w:color w:val="auto"/>
        </w:rPr>
      </w:pPr>
      <w:r>
        <w:rPr>
          <w:rFonts w:ascii="Times New Roman" w:cs="Times New Roman" w:eastAsia="Times New Roman" w:hAnsi="Times New Roman"/>
          <w:sz w:val="18"/>
          <w:szCs w:val="18"/>
          <w:color w:val="auto"/>
        </w:rPr>
        <w:t>As a BDC, we are generally not permitted to issue and sell our common stock at a price below net asset value per share. We may, however, sell our common stock, or warrants, options or rights to acquire our common stock, at a price below the then-current net asset value per share of our common stock if the Board, including the Independent Directors, determines that such sale is in the best interests of us and our stockholders, and if our stockholders approve such sale. On June 29, 2022, our stockholders voted to allow us to sell or otherwise issue common stock at a price below net asset value per share for a period of one year ending on the earlier of June 29, 2023 or the date of our 2023 Annual Meeting of Stockholders. Our stockholders specified that the cumulative number of shares sold in each offering during the one-year period ending on the earlier of June 29, 2023 or the date of our 2023 Annual Meeting of Stockholders may not exceed 25.0% of our outstanding common stock immediately prior to each such sale.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1" w:name="page52"/>
    <w:bookmarkEnd w:id="51"/>
    <w:p>
      <w:pPr>
        <w:ind w:left="380"/>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73" w:lineRule="exact"/>
        <w:rPr>
          <w:sz w:val="20"/>
          <w:szCs w:val="20"/>
          <w:color w:val="auto"/>
        </w:rPr>
      </w:pPr>
    </w:p>
    <w:p>
      <w:pPr>
        <w:jc w:val="both"/>
        <w:ind w:firstLine="478"/>
        <w:spacing w:after="0" w:line="242" w:lineRule="auto"/>
        <w:rPr>
          <w:sz w:val="20"/>
          <w:szCs w:val="20"/>
          <w:color w:val="auto"/>
        </w:rPr>
      </w:pPr>
      <w:r>
        <w:rPr>
          <w:rFonts w:ascii="Times New Roman" w:cs="Times New Roman" w:eastAsia="Times New Roman" w:hAnsi="Times New Roman"/>
          <w:sz w:val="18"/>
          <w:szCs w:val="18"/>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October 31, 2022, the Board extended the Stock Repurchase Program through December 31, 2023,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 We did not make any repurchases of common stock during the three and nine months ended September 30, 2022 and 2021. Refer to Note 8 to our consolidated financial statements for additional information concerning stock repurchases.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62" w:lineRule="exact"/>
        <w:rPr>
          <w:sz w:val="20"/>
          <w:szCs w:val="20"/>
          <w:color w:val="auto"/>
        </w:rPr>
      </w:pPr>
    </w:p>
    <w:p>
      <w:pPr>
        <w:jc w:val="both"/>
        <w:ind w:firstLine="478"/>
        <w:spacing w:after="0" w:line="247"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certain estimates and assumptions affecting amounts reported in the financial statements. We have identified investment valuation, revenue recognition and transfers of financial assets as our most critical accounting policies and estimates. We continuously evaluate our policies and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Portfolio Investments</w:t>
      </w:r>
    </w:p>
    <w:p>
      <w:pPr>
        <w:spacing w:after="0" w:line="162" w:lineRule="exact"/>
        <w:rPr>
          <w:sz w:val="20"/>
          <w:szCs w:val="20"/>
          <w:color w:val="auto"/>
        </w:rPr>
      </w:pPr>
    </w:p>
    <w:p>
      <w:pPr>
        <w:jc w:val="both"/>
        <w:ind w:right="20" w:firstLine="478"/>
        <w:spacing w:after="0" w:line="282" w:lineRule="auto"/>
        <w:rPr>
          <w:sz w:val="20"/>
          <w:szCs w:val="20"/>
          <w:color w:val="auto"/>
        </w:rPr>
      </w:pPr>
      <w:r>
        <w:rPr>
          <w:rFonts w:ascii="Times New Roman" w:cs="Times New Roman" w:eastAsia="Times New Roman" w:hAnsi="Times New Roman"/>
          <w:sz w:val="18"/>
          <w:szCs w:val="18"/>
          <w:color w:val="auto"/>
        </w:rPr>
        <w:t>As a BDC, we report our assets and liabilities at fair value at all times consistent with GAAP and the 1940 Act. Accordingly, we are required to periodically determine the fair value of all of our portfolio investments.</w:t>
      </w:r>
    </w:p>
    <w:p>
      <w:pPr>
        <w:spacing w:after="0" w:line="94" w:lineRule="exact"/>
        <w:rPr>
          <w:sz w:val="20"/>
          <w:szCs w:val="20"/>
          <w:color w:val="auto"/>
        </w:rPr>
      </w:pPr>
    </w:p>
    <w:p>
      <w:pPr>
        <w:jc w:val="both"/>
        <w:ind w:firstLine="478"/>
        <w:spacing w:after="0" w:line="244" w:lineRule="auto"/>
        <w:rPr>
          <w:sz w:val="20"/>
          <w:szCs w:val="20"/>
          <w:color w:val="auto"/>
        </w:rPr>
      </w:pPr>
      <w:r>
        <w:rPr>
          <w:rFonts w:ascii="Times New Roman" w:cs="Times New Roman" w:eastAsia="Times New Roman" w:hAnsi="Times New Roman"/>
          <w:sz w:val="18"/>
          <w:szCs w:val="18"/>
          <w:color w:val="auto"/>
        </w:rPr>
        <w:t>Our investments generally consist of illiquid securities including debt and equity investments in lower middle-market companies. Investments for which market quotations are readily available are valued at such market quotations. Because we expect that there will not be a readily available market for substantially all of the investments in our portfolio, we value substantially all of our portfolio investments at fair value as determined in good faith by our board of directors using a documented valuation policy and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 could be material.</w:t>
      </w:r>
    </w:p>
    <w:p>
      <w:pPr>
        <w:spacing w:after="0" w:line="141" w:lineRule="exact"/>
        <w:rPr>
          <w:sz w:val="20"/>
          <w:szCs w:val="20"/>
          <w:color w:val="auto"/>
        </w:rPr>
      </w:pPr>
    </w:p>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With respect to investments for which market quotations are not readily available, our board of directors undertakes a multi-step valuation process each quarter, as described below:</w:t>
      </w:r>
    </w:p>
    <w:p>
      <w:pPr>
        <w:spacing w:after="0" w:line="108" w:lineRule="exact"/>
        <w:rPr>
          <w:sz w:val="20"/>
          <w:szCs w:val="20"/>
          <w:color w:val="auto"/>
        </w:rPr>
      </w:pPr>
    </w:p>
    <w:p>
      <w:pPr>
        <w:ind w:left="1020" w:right="500" w:hanging="503"/>
        <w:spacing w:after="0" w:line="254"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valuation process begins with each portfolio company or investment being initially evaluated and rated by the investment professionals of the Investment Advisor responsible for the portfolio investment;</w:t>
      </w:r>
    </w:p>
    <w:p>
      <w:pPr>
        <w:ind w:left="1020" w:hanging="503"/>
        <w:spacing w:after="0" w:line="234"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then documented and discussed with the investment committee of the Investment Advisor;</w:t>
      </w:r>
    </w:p>
    <w:p>
      <w:pPr>
        <w:ind w:left="1020" w:hanging="503"/>
        <w:spacing w:after="0" w:line="239"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we may determine that it is not cost-effective, and as a result it is not in our stockholders’ best interest, to request the independent appraisal of certain portfolio company investments. Such instances include, but are not limited to, situations where we determine that the fair value of the portfolio company investment is relatively insignificant to the fair value of the total portfolio. Our board of directors consulted with the independent valuation firm(s) in arriving at our determination of fair value for 14 and 17 of our portfolio company investments representing 29.5% and 40.6% of the total portfolio investments at fair value (exclusive of new portfolio company investments made during the three months ended September 30, 2022 and December 31, 2021, respectively) as of September 30, 2022 and December 31, 2021, respectively;</w:t>
      </w:r>
    </w:p>
    <w:p>
      <w:pPr>
        <w:spacing w:after="0" w:line="4" w:lineRule="exact"/>
        <w:rPr>
          <w:rFonts w:ascii="Times New Roman" w:cs="Times New Roman" w:eastAsia="Times New Roman" w:hAnsi="Times New Roman"/>
          <w:sz w:val="18"/>
          <w:szCs w:val="18"/>
          <w:color w:val="auto"/>
        </w:rPr>
      </w:pPr>
    </w:p>
    <w:p>
      <w:pPr>
        <w:ind w:left="1020" w:right="120" w:hanging="503"/>
        <w:spacing w:after="0" w:line="24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of our board of directors reviews the preliminary valuations of the Investment Advisor and of the independent valuation firm(s) and responds and supplements the valuation recommendations to reflect any comments; and</w:t>
      </w:r>
    </w:p>
    <w:p>
      <w:pPr>
        <w:spacing w:after="0" w:line="1" w:lineRule="exact"/>
        <w:rPr>
          <w:rFonts w:ascii="Times New Roman" w:cs="Times New Roman" w:eastAsia="Times New Roman" w:hAnsi="Times New Roman"/>
          <w:sz w:val="18"/>
          <w:szCs w:val="18"/>
          <w:color w:val="auto"/>
        </w:rPr>
      </w:pPr>
    </w:p>
    <w:p>
      <w:pPr>
        <w:ind w:left="1020" w:right="260" w:hanging="503"/>
        <w:spacing w:after="0" w:line="241"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discusses the valuations and determines the fair value of each investment in our portfolio in good faith, based on the input of the Investment Advisor, the independent valuation firm(s) and the audit committee.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52" w:name="page53"/>
    <w:bookmarkEnd w:id="52"/>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In making the good faith determination of the value of portfolio investments, we start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15" w:lineRule="exact"/>
        <w:rPr>
          <w:sz w:val="20"/>
          <w:szCs w:val="20"/>
          <w:color w:val="auto"/>
        </w:rPr>
      </w:pPr>
    </w:p>
    <w:p>
      <w:pPr>
        <w:jc w:val="both"/>
        <w:ind w:firstLine="478"/>
        <w:spacing w:after="0" w:line="247" w:lineRule="auto"/>
        <w:rPr>
          <w:sz w:val="20"/>
          <w:szCs w:val="20"/>
          <w:color w:val="auto"/>
        </w:rPr>
      </w:pPr>
      <w:r>
        <w:rPr>
          <w:rFonts w:ascii="Times New Roman" w:cs="Times New Roman" w:eastAsia="Times New Roman" w:hAnsi="Times New Roman"/>
          <w:sz w:val="18"/>
          <w:szCs w:val="18"/>
          <w:color w:val="auto"/>
        </w:rPr>
        <w:t>Consistent with the policies and methodologies adopted by the Board, we perform detailed valuations of our debt and equity investments, including an analysis on the Company’s unfunded debt investment commitments, using both the market and income approaches as appropriate. Under the market approach, we typically use the enterprise value methodology to determine the fair value of an investment. There is no one methodology to estimate enterprise value and, in fact, for any one portfolio company, enterprise value is generally best expressed as a range of values, from which we derive a single estimate of enterprise value. Under the income approach, we typically prepare and analyze discounted cash flow models to estimate the present value of future cash flows of either an individual debt investment or of the underlying portfolio company itself.</w:t>
      </w:r>
    </w:p>
    <w:p>
      <w:pPr>
        <w:spacing w:after="0" w:line="126"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We evaluate investments in portfolio companies using the most recent portfolio company financial statements and forecasts. We also consult with the portfolio company’s senior management to obtain further updates on the portfolio company’s performance, including information such as industry trends, new product development and other operational issues.</w:t>
      </w:r>
    </w:p>
    <w:p>
      <w:pPr>
        <w:spacing w:after="0" w:line="115" w:lineRule="exact"/>
        <w:rPr>
          <w:sz w:val="20"/>
          <w:szCs w:val="20"/>
          <w:color w:val="auto"/>
        </w:rPr>
      </w:pPr>
    </w:p>
    <w:p>
      <w:pPr>
        <w:jc w:val="both"/>
        <w:ind w:firstLine="478"/>
        <w:spacing w:after="0" w:line="242" w:lineRule="auto"/>
        <w:rPr>
          <w:sz w:val="20"/>
          <w:szCs w:val="20"/>
          <w:color w:val="auto"/>
        </w:rPr>
      </w:pPr>
      <w:r>
        <w:rPr>
          <w:rFonts w:ascii="Times New Roman" w:cs="Times New Roman" w:eastAsia="Times New Roman" w:hAnsi="Times New Roman"/>
          <w:sz w:val="18"/>
          <w:szCs w:val="18"/>
          <w:color w:val="auto"/>
        </w:rPr>
        <w:t>For our debt investments the primary valuation technique used to estimate the fair value is the discounted cash flow method. However, if there is deterioration in credit quality or a debt investment is in workout status, we may consider other methods in determining the fair value, including the value attributable to the debt investment from the enterprise value of the portfolio company or the proceeds that would be received in a liquidation analysis. Our discounted cash flow models estimate a range of fair values by applying an appropriate discount rate to the future cash flow streams of our debt investments, based on future interest and principal payments as set forth in the associated debt investment agreements. We prepare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We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We estimate the remaining life of our debt investments to generally be the legal maturity date of the instrument, as we generally intend to hold debt investments to maturity. However, if we have information available to us that the debt investment is expected to be repaid in the near term, we would use an estimated remaining life based on the expected repayment date.</w:t>
      </w:r>
    </w:p>
    <w:p>
      <w:pPr>
        <w:spacing w:after="0" w:line="129" w:lineRule="exact"/>
        <w:rPr>
          <w:sz w:val="20"/>
          <w:szCs w:val="20"/>
          <w:color w:val="auto"/>
        </w:rPr>
      </w:pPr>
    </w:p>
    <w:p>
      <w:pPr>
        <w:jc w:val="both"/>
        <w:ind w:firstLine="478"/>
        <w:spacing w:after="0" w:line="247" w:lineRule="auto"/>
        <w:rPr>
          <w:sz w:val="20"/>
          <w:szCs w:val="20"/>
          <w:color w:val="auto"/>
        </w:rPr>
      </w:pPr>
      <w:r>
        <w:rPr>
          <w:rFonts w:ascii="Times New Roman" w:cs="Times New Roman" w:eastAsia="Times New Roman" w:hAnsi="Times New Roman"/>
          <w:sz w:val="18"/>
          <w:szCs w:val="18"/>
          <w:color w:val="auto"/>
        </w:rPr>
        <w:t>For our equity investments, including equity securities and warrants, we generally use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we analyze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spacing w:after="0" w:line="126" w:lineRule="exact"/>
        <w:rPr>
          <w:sz w:val="20"/>
          <w:szCs w:val="20"/>
          <w:color w:val="auto"/>
        </w:rPr>
      </w:pPr>
    </w:p>
    <w:p>
      <w:pPr>
        <w:jc w:val="both"/>
        <w:ind w:firstLine="478"/>
        <w:spacing w:after="0" w:line="247" w:lineRule="auto"/>
        <w:rPr>
          <w:sz w:val="20"/>
          <w:szCs w:val="20"/>
          <w:color w:val="auto"/>
        </w:rPr>
      </w:pPr>
      <w:r>
        <w:rPr>
          <w:rFonts w:ascii="Times New Roman" w:cs="Times New Roman" w:eastAsia="Times New Roman" w:hAnsi="Times New Roman"/>
          <w:sz w:val="18"/>
          <w:szCs w:val="18"/>
          <w:color w:val="auto"/>
        </w:rPr>
        <w:t>We may also utilize an income approach when estimating the fair value of our equity securities, either as a primary methodology if consistent with industry practice or if the market approach is otherwise not applicable, or as a supporting methodology to corroborate the fair value ranges determined by the market approach. We typically prepare and analyze discounted cash flow models based on projections of the future free cash flows (or earnings) of the portfolio company. We consider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26" w:lineRule="exact"/>
        <w:rPr>
          <w:sz w:val="20"/>
          <w:szCs w:val="20"/>
          <w:color w:val="auto"/>
        </w:rPr>
      </w:pPr>
    </w:p>
    <w:p>
      <w:pPr>
        <w:jc w:val="both"/>
        <w:ind w:firstLine="478"/>
        <w:spacing w:after="0" w:line="282" w:lineRule="auto"/>
        <w:rPr>
          <w:sz w:val="20"/>
          <w:szCs w:val="20"/>
          <w:color w:val="auto"/>
        </w:rPr>
      </w:pPr>
      <w:r>
        <w:rPr>
          <w:rFonts w:ascii="Times New Roman" w:cs="Times New Roman" w:eastAsia="Times New Roman" w:hAnsi="Times New Roman"/>
          <w:sz w:val="18"/>
          <w:szCs w:val="18"/>
          <w:color w:val="auto"/>
        </w:rPr>
        <w:t>Determination of fair value involves subjective judgments and estimates. Accordingly, the notes to our consolidated financial statements express the uncertainties with respect to the possible effect of such valuations, and any changes in such valuations, on the consolidated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0" w:lineRule="exact"/>
        <w:rPr>
          <w:sz w:val="20"/>
          <w:szCs w:val="20"/>
          <w:color w:val="auto"/>
        </w:rPr>
      </w:pPr>
    </w:p>
    <w:p>
      <w:pPr>
        <w:jc w:val="both"/>
        <w:ind w:firstLine="478"/>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Investments and related investment income. </w:t>
      </w:r>
      <w:r>
        <w:rPr>
          <w:rFonts w:ascii="Times New Roman" w:cs="Times New Roman" w:eastAsia="Times New Roman" w:hAnsi="Times New Roman"/>
          <w:sz w:val="18"/>
          <w:szCs w:val="18"/>
          <w:color w:val="auto"/>
        </w:rPr>
        <w:t>Realized gains or losses on investments are recorded upon the sale or disposition of a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by the Board through the application of our valuation policy, as well as reclassifications of any prior period unrealized appreciation or depreciation on exited investments to realized gains or losses on investments.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53" w:name="page54"/>
    <w:bookmarkEnd w:id="53"/>
    <w:p>
      <w:pPr>
        <w:jc w:val="both"/>
        <w:ind w:firstLine="478"/>
        <w:spacing w:after="0" w:line="247" w:lineRule="auto"/>
        <w:rPr>
          <w:sz w:val="20"/>
          <w:szCs w:val="20"/>
          <w:color w:val="auto"/>
        </w:rPr>
      </w:pPr>
      <w:r>
        <w:rPr>
          <w:rFonts w:ascii="Times New Roman" w:cs="Times New Roman" w:eastAsia="Times New Roman" w:hAnsi="Times New Roman"/>
          <w:sz w:val="18"/>
          <w:szCs w:val="18"/>
          <w:i w:val="1"/>
          <w:iCs w:val="1"/>
          <w:color w:val="auto"/>
        </w:rPr>
        <w:t>Interest and dividend income</w:t>
      </w:r>
      <w:r>
        <w:rPr>
          <w:rFonts w:ascii="Times New Roman" w:cs="Times New Roman" w:eastAsia="Times New Roman" w:hAnsi="Times New Roman"/>
          <w:sz w:val="18"/>
          <w:szCs w:val="18"/>
          <w:color w:val="auto"/>
        </w:rPr>
        <w:t>. Interest and dividend income are recorded on the accrual basis to the extent that we expect to collect such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spacing w:after="0" w:line="126" w:lineRule="exact"/>
        <w:rPr>
          <w:sz w:val="20"/>
          <w:szCs w:val="20"/>
          <w:color w:val="auto"/>
        </w:rPr>
      </w:pPr>
    </w:p>
    <w:p>
      <w:pPr>
        <w:jc w:val="both"/>
        <w:ind w:firstLine="478"/>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PIK income. </w:t>
      </w:r>
      <w:r>
        <w:rPr>
          <w:rFonts w:ascii="Times New Roman" w:cs="Times New Roman" w:eastAsia="Times New Roman" w:hAnsi="Times New Roman"/>
          <w:sz w:val="18"/>
          <w:szCs w:val="18"/>
          <w:color w:val="auto"/>
        </w:rPr>
        <w:t>Certain of our investments contain a PIK income provision. The PIK income, computed at the contractual rate specified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investment agreement, is added to the principal balance of the investment, rather than being paid in cash, and recorded as interest or dividend income, as applicable, on the consolidated statements of operations. Generally, PIK can be paid-in-kind or all in cash. We stop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our taxable income and, therefore, affects the amount we are required to pay to our stockholders in the form of dividends in order to maintain our tax treatment as a RIC and to avoid paying corporate-level U.S. federal income tax, even though we have not yet collected the cash.</w:t>
      </w:r>
    </w:p>
    <w:p>
      <w:pPr>
        <w:spacing w:after="0" w:line="139" w:lineRule="exact"/>
        <w:rPr>
          <w:sz w:val="20"/>
          <w:szCs w:val="20"/>
          <w:color w:val="auto"/>
        </w:rPr>
      </w:pPr>
    </w:p>
    <w:p>
      <w:pPr>
        <w:jc w:val="both"/>
        <w:ind w:firstLine="478"/>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Non-accrual. </w:t>
      </w:r>
      <w:r>
        <w:rPr>
          <w:rFonts w:ascii="Times New Roman" w:cs="Times New Roman" w:eastAsia="Times New Roman" w:hAnsi="Times New Roman"/>
          <w:sz w:val="18"/>
          <w:szCs w:val="18"/>
          <w:color w:val="auto"/>
        </w:rPr>
        <w:t>Debt investments or preferred equity investments (for which we are accruing PIK dividends) are placed on non-accrual status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applied to the investment principal balance based on management’s judgment. Non-accrual investments are restored to accrual status when past due principal, interest or dividends are paid and, in management’s judgment, are likely to remain current.</w:t>
      </w:r>
    </w:p>
    <w:p>
      <w:pPr>
        <w:spacing w:after="0" w:line="141" w:lineRule="exact"/>
        <w:rPr>
          <w:sz w:val="20"/>
          <w:szCs w:val="20"/>
          <w:color w:val="auto"/>
        </w:rPr>
      </w:pPr>
    </w:p>
    <w:p>
      <w:pPr>
        <w:jc w:val="both"/>
        <w:ind w:firstLine="478"/>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In connection with our debt investments, we will sometimes receive warrants or other equity-related securities (Warrants). We determine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OID and accreted into interest income using the effective interest method over the term of the debt investment. Upon the prepayment of a debt investment, any unaccreted OID is accelerated into interest income.</w:t>
      </w:r>
    </w:p>
    <w:p>
      <w:pPr>
        <w:spacing w:after="0" w:line="123" w:lineRule="exact"/>
        <w:rPr>
          <w:sz w:val="20"/>
          <w:szCs w:val="20"/>
          <w:color w:val="auto"/>
        </w:rPr>
      </w:pPr>
    </w:p>
    <w:p>
      <w:pPr>
        <w:jc w:val="both"/>
        <w:ind w:firstLine="47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Fee income. </w:t>
      </w:r>
      <w:r>
        <w:rPr>
          <w:rFonts w:ascii="Times New Roman" w:cs="Times New Roman" w:eastAsia="Times New Roman" w:hAnsi="Times New Roman"/>
          <w:sz w:val="18"/>
          <w:szCs w:val="18"/>
          <w:color w:val="auto"/>
        </w:rPr>
        <w:t>All transaction fees earned in connection with our investments are recognized as fee income and are generally non-recurring. Such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include fees for services, including structuring and advisory services, provided to portfolio companies. We recognize income from fees for providing such structuring and advisory services when the services are rendered or the transactions are completed. Upon the prepayment of a debt investment, any prepayment penalties are recorded as fee income when earned.</w:t>
      </w:r>
    </w:p>
    <w:p>
      <w:pPr>
        <w:spacing w:after="0" w:line="122" w:lineRule="exact"/>
        <w:rPr>
          <w:sz w:val="20"/>
          <w:szCs w:val="20"/>
          <w:color w:val="auto"/>
        </w:rPr>
      </w:pPr>
    </w:p>
    <w:p>
      <w:pPr>
        <w:jc w:val="both"/>
        <w:ind w:firstLine="478"/>
        <w:spacing w:after="0" w:line="250" w:lineRule="auto"/>
        <w:rPr>
          <w:sz w:val="20"/>
          <w:szCs w:val="20"/>
          <w:color w:val="auto"/>
        </w:rPr>
      </w:pPr>
      <w:r>
        <w:rPr>
          <w:rFonts w:ascii="Times New Roman" w:cs="Times New Roman" w:eastAsia="Times New Roman" w:hAnsi="Times New Roman"/>
          <w:sz w:val="18"/>
          <w:szCs w:val="18"/>
          <w:color w:val="auto"/>
        </w:rPr>
        <w:t>We also typically receive debt investment origination or closing fees in connection with investments. Such debt investment origination and closing fees are capitalized as unearned income and offset against investment cost basis on our consolidated statements of assets and liabilities and accreted into interest income over the term of the investment. Upon the prepayment of a debt investment, any unaccreted debt investment origination and closing fees are accelerated into interest income.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Transfers of Financial Assets</w:t>
      </w:r>
    </w:p>
    <w:p>
      <w:pPr>
        <w:spacing w:after="0" w:line="160" w:lineRule="exact"/>
        <w:rPr>
          <w:sz w:val="20"/>
          <w:szCs w:val="20"/>
          <w:color w:val="auto"/>
        </w:rPr>
      </w:pPr>
    </w:p>
    <w:p>
      <w:pPr>
        <w:jc w:val="both"/>
        <w:ind w:firstLine="469"/>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Partial loan and equity sales. </w:t>
      </w:r>
      <w:r>
        <w:rPr>
          <w:rFonts w:ascii="Times New Roman" w:cs="Times New Roman" w:eastAsia="Times New Roman" w:hAnsi="Times New Roman"/>
          <w:sz w:val="18"/>
          <w:szCs w:val="18"/>
          <w:color w:val="auto"/>
        </w:rPr>
        <w:t>We follow the guidance in ASC 860,</w:t>
      </w:r>
      <w:r>
        <w:rPr>
          <w:rFonts w:ascii="Times New Roman" w:cs="Times New Roman" w:eastAsia="Times New Roman" w:hAnsi="Times New Roman"/>
          <w:sz w:val="18"/>
          <w:szCs w:val="18"/>
          <w:i w:val="1"/>
          <w:iCs w:val="1"/>
          <w:color w:val="auto"/>
        </w:rPr>
        <w:t xml:space="preserve"> Transfers and Servicing, </w:t>
      </w:r>
      <w:r>
        <w:rPr>
          <w:rFonts w:ascii="Times New Roman" w:cs="Times New Roman" w:eastAsia="Times New Roman" w:hAnsi="Times New Roman"/>
          <w:sz w:val="18"/>
          <w:szCs w:val="18"/>
          <w:color w:val="auto"/>
        </w:rPr>
        <w:t>when accounting for loan (debt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participations, equity assignments and other partial loan sales. 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our consolidated statements of assets and liabilities and the proceeds recorded as a secured borrowing until the definition is met.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w:t>
      </w:r>
    </w:p>
    <w:p>
      <w:pPr>
        <w:spacing w:after="0" w:line="175" w:lineRule="exact"/>
        <w:rPr>
          <w:sz w:val="20"/>
          <w:szCs w:val="20"/>
          <w:color w:val="auto"/>
        </w:rPr>
      </w:pPr>
    </w:p>
    <w:p>
      <w:pPr>
        <w:jc w:val="both"/>
        <w:ind w:firstLine="479"/>
        <w:spacing w:after="0" w:line="245" w:lineRule="auto"/>
        <w:rPr>
          <w:sz w:val="20"/>
          <w:szCs w:val="20"/>
          <w:color w:val="auto"/>
        </w:rPr>
      </w:pPr>
      <w:r>
        <w:rPr>
          <w:rFonts w:ascii="Times New Roman" w:cs="Times New Roman" w:eastAsia="Times New Roman" w:hAnsi="Times New Roman"/>
          <w:sz w:val="18"/>
          <w:szCs w:val="18"/>
          <w:color w:val="auto"/>
        </w:rPr>
        <w:t>In June 2022, the Financial Accounting Standards Board (“FASB”) issued Accounting Standards Update (“ASU”) No. 2022-03, “Fair Value Measurement of Equity Securities Subject to Contractual Sale Restrictions (Topic 820),” which clarifies that a contractual sale restriction prohibiting the sale of an equity security is a characteristic of the reporting entity holding the equity security and is not included in the equity security’s unit of account. Accordingly, an entity should not consider the contractual sale restriction when measuring the equity security’s fair value. In addition, ASU No. 2022-03 prohibits an entity from recognizing a contractual sale restriction as a separate unit of account. ASU No. 2022-03’s amendments are effective for fiscal years beginning after December 15, 2023, with early adoption permitted. We are currently evaluating the impact of the adoption of ASU No. 2022-03 on our consolidated financial statements.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 Regulation S-K Update</w:t>
      </w:r>
    </w:p>
    <w:p>
      <w:pPr>
        <w:spacing w:after="0" w:line="162" w:lineRule="exact"/>
        <w:rPr>
          <w:sz w:val="20"/>
          <w:szCs w:val="20"/>
          <w:color w:val="auto"/>
        </w:rPr>
      </w:pPr>
    </w:p>
    <w:p>
      <w:pPr>
        <w:jc w:val="both"/>
        <w:ind w:firstLine="479"/>
        <w:spacing w:after="0" w:line="247" w:lineRule="auto"/>
        <w:rPr>
          <w:sz w:val="20"/>
          <w:szCs w:val="20"/>
          <w:color w:val="auto"/>
        </w:rPr>
      </w:pPr>
      <w:r>
        <w:rPr>
          <w:rFonts w:ascii="Times New Roman" w:cs="Times New Roman" w:eastAsia="Times New Roman" w:hAnsi="Times New Roman"/>
          <w:sz w:val="18"/>
          <w:szCs w:val="18"/>
          <w:color w:val="auto"/>
        </w:rPr>
        <w:t>In November 2020, the SEC issued a final rule that modernized and simplifies Management’s Discussion and Analysis of Financial Condition and Results of Operations and certain financial disclosure requirements in Regulation S-K (the “Amendments”). Specifically, the Amendments: (i) eliminate Item 301 of Regulation S-K (Selected Financial Data); (ii) simplify Item 302 of Regulation S-K (Supplementary Financial Information); and (iii) amend certain aspects of Item 303 of Regulation S-K (Management's Discussion and Analysis of Financial Condition and Results of Operations). The Amendments became effective on February 10, 2021 and compliance was required for the registrant’s fiscal year ending on or after August 9, 2021. We adopted the Amendments on the effective date which did not have a material impact on our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have entered into a number of business relationships with affiliated or related parties, including the following:</w:t>
      </w:r>
    </w:p>
    <w:p>
      <w:pPr>
        <w:spacing w:after="0" w:line="171" w:lineRule="exact"/>
        <w:rPr>
          <w:sz w:val="20"/>
          <w:szCs w:val="20"/>
          <w:color w:val="auto"/>
        </w:rPr>
      </w:pPr>
    </w:p>
    <w:p>
      <w:pPr>
        <w:ind w:left="1020" w:hanging="503"/>
        <w:spacing w:after="0" w:line="244"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the Investment Advisory Agreement with Fidus Investment Advisors as our investment advisor. Pursuant to the agreement, the Investment Advisor manages our day-to-day operating and investing activities. We pay the Investment Advisor a fee for its services under the Investment Advisory Agreement consisting of two components — a base management fee and an incentive fee. See Note 5 to our consolidated financial statements.</w:t>
      </w:r>
    </w:p>
    <w:p>
      <w:pPr>
        <w:spacing w:after="0" w:line="1" w:lineRule="exact"/>
        <w:rPr>
          <w:rFonts w:ascii="Times New Roman" w:cs="Times New Roman" w:eastAsia="Times New Roman" w:hAnsi="Times New Roman"/>
          <w:sz w:val="18"/>
          <w:szCs w:val="18"/>
          <w:color w:val="auto"/>
        </w:rPr>
      </w:pPr>
    </w:p>
    <w:p>
      <w:pPr>
        <w:ind w:left="1020" w:right="6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Fidus Group Holdings, LLC (“Holdings”), a limited liability company organized under the laws of Delaware, is the parent company of Fidus Investment Advisors. Edward H. Ross, our Chairman and Chief Executive Officer, and Thomas C. Lauer, our President, are managers of Holdings.</w:t>
      </w:r>
    </w:p>
    <w:p>
      <w:pPr>
        <w:ind w:left="1020" w:right="360" w:hanging="503"/>
        <w:spacing w:after="0" w:line="234"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the Administration Agreement with Fidus Investment Advisors to provide us with the office facilities and administrative services necessary to conduct day-to-day operations. See Note 5 to our consolidated financial statements.</w:t>
      </w:r>
    </w:p>
    <w:p>
      <w:pPr>
        <w:spacing w:after="0" w:line="1" w:lineRule="exact"/>
        <w:rPr>
          <w:rFonts w:ascii="Times New Roman" w:cs="Times New Roman" w:eastAsia="Times New Roman" w:hAnsi="Times New Roman"/>
          <w:sz w:val="18"/>
          <w:szCs w:val="18"/>
          <w:color w:val="auto"/>
        </w:rPr>
      </w:pPr>
    </w:p>
    <w:p>
      <w:pPr>
        <w:ind w:left="1020" w:right="560" w:hanging="503"/>
        <w:spacing w:after="0" w:line="24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a license agreement with Fidus Partners, LLC, pursuant to which Fidus Partners, LLC has granted us a non-exclusive, royalty-free license to use the name “Fidus.”</w:t>
      </w:r>
    </w:p>
    <w:p>
      <w:pPr>
        <w:spacing w:after="0" w:line="1" w:lineRule="exact"/>
        <w:rPr>
          <w:rFonts w:ascii="Times New Roman" w:cs="Times New Roman" w:eastAsia="Times New Roman" w:hAnsi="Times New Roman"/>
          <w:sz w:val="18"/>
          <w:szCs w:val="18"/>
          <w:color w:val="auto"/>
        </w:rPr>
      </w:pPr>
    </w:p>
    <w:p>
      <w:pPr>
        <w:ind w:left="1020" w:hanging="503"/>
        <w:spacing w:after="0" w:line="238"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25, 2020, the Company entered into a Limited Partnership Agreement (the “Agreement”) with Fidus Equity Fund I, L.P. (“FEF I”). Pursuant to the Agreement, we will serve as the General Partner of FEF I. Owned by third-party investors, FEF I was formed to purchase 50% of select equity investments from us. We will not receive any fees from FEF I for any services provided in our capacity as the General Partner of FEF I.</w:t>
      </w:r>
    </w:p>
    <w:p>
      <w:pPr>
        <w:spacing w:after="0" w:line="2" w:lineRule="exact"/>
        <w:rPr>
          <w:rFonts w:ascii="Times New Roman" w:cs="Times New Roman" w:eastAsia="Times New Roman" w:hAnsi="Times New Roman"/>
          <w:sz w:val="18"/>
          <w:szCs w:val="18"/>
          <w:color w:val="auto"/>
        </w:rPr>
      </w:pPr>
    </w:p>
    <w:p>
      <w:pPr>
        <w:ind w:left="1020" w:right="160" w:hanging="503"/>
        <w:spacing w:after="0" w:line="24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Advisor, in consultation with the Board, agreed to voluntarily waive $0.1 million and $0.2 million of the base management fees on any assets accounted for as secured borrowings as defined under GAAP for the three and nine months ended September 30, 2022, respectively, and $0.1 million and $0.1 million for the three and nine months ended September 30, 2021, respectively.</w:t>
      </w:r>
    </w:p>
    <w:p>
      <w:pPr>
        <w:spacing w:after="0" w:line="127"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In connection with the IPO and our election to be regulated as a BDC, we applied for and received exemptive relief from the SEC on March 27, 2012 to allow us to take certain actions that would otherwise be prohibited by the 1940 Act, as applicable to BDCs. Effective June 30, 2014, pursuant to exemptive relief from the SEC, we are permitted to exclude the senior securities issued by Fund II and Fund III from the definition of senior securities in the asset coverage requirement applicable to the Company under the 1940 Act.</w:t>
      </w:r>
    </w:p>
    <w:p>
      <w:pPr>
        <w:spacing w:after="0" w:line="137" w:lineRule="exact"/>
        <w:rPr>
          <w:sz w:val="20"/>
          <w:szCs w:val="20"/>
          <w:color w:val="auto"/>
        </w:rPr>
      </w:pPr>
    </w:p>
    <w:p>
      <w:pPr>
        <w:jc w:val="both"/>
        <w:ind w:firstLine="479"/>
        <w:spacing w:after="0" w:line="241" w:lineRule="auto"/>
        <w:rPr>
          <w:sz w:val="20"/>
          <w:szCs w:val="20"/>
          <w:color w:val="auto"/>
        </w:rPr>
      </w:pPr>
      <w:r>
        <w:rPr>
          <w:rFonts w:ascii="Times New Roman" w:cs="Times New Roman" w:eastAsia="Times New Roman" w:hAnsi="Times New Roman"/>
          <w:sz w:val="18"/>
          <w:szCs w:val="18"/>
          <w:color w:val="auto"/>
        </w:rPr>
        <w:t>While we may co-invest with investment entities managed by the Investment Advisor or its affiliates, to the extent permitted by the 1940 Act and the rules and regulations thereunder, the 1940 Act imposes significant limits on co-investment. On January 4, 2017, the SEC staff has granted us relief sought in an exemptive order that expands our ability to co-invest in portfolio companies with other funds managed by the Investment Advisor or its affiliates ("Affiliated Funds") in a manner consistent with our investment objective, positions, policies, strategies and restrictions as well as regulatory requirements and other pertinent factors, subject to compliance with certain conditions (the “Order”). Pursuant to the Order, we are permitted to co-invest with our affiliates if a “required majority” (as defined in Section 57(o) of the 1940 Act) or the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55" w:name="page56"/>
    <w:bookmarkEnd w:id="55"/>
    <w:p>
      <w:pPr>
        <w:ind w:firstLine="8"/>
        <w:spacing w:after="0" w:line="282" w:lineRule="auto"/>
        <w:tabs>
          <w:tab w:leader="none" w:pos="26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consistent with the interests of our stockholders and is consistent with our investment objective and strategies. However, neither we nor our affiliates are obligated to invest or co-invest when investment opportunities are referred to us or them.</w:t>
      </w:r>
    </w:p>
    <w:p>
      <w:pPr>
        <w:spacing w:after="0" w:line="94" w:lineRule="exact"/>
        <w:rPr>
          <w:sz w:val="20"/>
          <w:szCs w:val="20"/>
          <w:color w:val="auto"/>
        </w:rPr>
      </w:pPr>
    </w:p>
    <w:p>
      <w:pPr>
        <w:jc w:val="both"/>
        <w:ind w:firstLine="479"/>
        <w:spacing w:after="0" w:line="246" w:lineRule="auto"/>
        <w:rPr>
          <w:sz w:val="20"/>
          <w:szCs w:val="20"/>
          <w:color w:val="auto"/>
        </w:rPr>
      </w:pPr>
      <w:r>
        <w:rPr>
          <w:rFonts w:ascii="Times New Roman" w:cs="Times New Roman" w:eastAsia="Times New Roman" w:hAnsi="Times New Roman"/>
          <w:sz w:val="18"/>
          <w:szCs w:val="18"/>
          <w:color w:val="auto"/>
        </w:rPr>
        <w:t>In addition, we and our Investment Advisor have each adopted a joint code of ethics pursuant to Rule 17j-1 under the 1940 Act that governs the conduct of our and the Investment Advisor’s officers, directors and employees. Additionally, the Investment Advisor has adopted a code of ethics pursuant to Rule 204A-1 under the Advisers Act of 1940, as amended, and in accordance with Rule 17j-1(c) under the 1940 Act. We have also adopted a code of business conduct that is applicable to all officers, directors and employees of Fidus and our Investment Advisor. Our officers and directors also remain subject to the duties imposed by both the 1940 Act and the Maryland General Corporation Law.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62"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On October 3, 2022, we invested $1.0 million in common equity of EBL, LLC, which was acquired under a new holding company, FOM Eblens Holdings, LLC (dba Eblens), and became a controlled affiliate investment. In conjunction with the transaction, we amended the terms of our second lien debt investment and committed up to $0.4 million in incremental common equity.</w:t>
      </w:r>
    </w:p>
    <w:p>
      <w:pPr>
        <w:spacing w:after="0" w:line="115" w:lineRule="exact"/>
        <w:rPr>
          <w:sz w:val="20"/>
          <w:szCs w:val="20"/>
          <w:color w:val="auto"/>
        </w:rPr>
      </w:pPr>
    </w:p>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On October 7, 2022, we exited our debt investment in UPG Company, LLC. We received payment in full of $17.0 million on our first lien debt, which included a prepayment fee.</w:t>
      </w:r>
    </w:p>
    <w:p>
      <w:pPr>
        <w:spacing w:after="0" w:line="122" w:lineRule="exact"/>
        <w:rPr>
          <w:sz w:val="20"/>
          <w:szCs w:val="20"/>
          <w:color w:val="auto"/>
        </w:rPr>
      </w:pPr>
    </w:p>
    <w:p>
      <w:pPr>
        <w:jc w:val="both"/>
        <w:ind w:firstLine="478"/>
        <w:spacing w:after="0" w:line="250" w:lineRule="auto"/>
        <w:rPr>
          <w:sz w:val="20"/>
          <w:szCs w:val="20"/>
          <w:color w:val="auto"/>
        </w:rPr>
      </w:pPr>
      <w:r>
        <w:rPr>
          <w:rFonts w:ascii="Times New Roman" w:cs="Times New Roman" w:eastAsia="Times New Roman" w:hAnsi="Times New Roman"/>
          <w:sz w:val="18"/>
          <w:szCs w:val="18"/>
          <w:color w:val="auto"/>
        </w:rPr>
        <w:t>On October 17, 2022, we exited our debt and equity investment in OMC Investors, LLC (dba Ohio Medical Corporation). We received payment in full of $5.2 million on our second lien debt, which included a prepayment fee. We received a distribution on our equity investment for a realized gain of approximately $0.7 million.</w:t>
      </w:r>
    </w:p>
    <w:p>
      <w:pPr>
        <w:spacing w:after="0" w:line="136" w:lineRule="exact"/>
        <w:rPr>
          <w:sz w:val="20"/>
          <w:szCs w:val="20"/>
          <w:color w:val="auto"/>
        </w:rPr>
      </w:pPr>
    </w:p>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On October 31, 2022, our Board declared an incremental supplemental dividend of $0.08 per share and a special dividend of $0.10 per share for the fourth quarter, which are payable on December 16, 2022, to stockholders of record as of December 2, 2022.</w:t>
      </w:r>
    </w:p>
    <w:p>
      <w:pPr>
        <w:spacing w:after="0" w:line="108" w:lineRule="exact"/>
        <w:rPr>
          <w:sz w:val="20"/>
          <w:szCs w:val="20"/>
          <w:color w:val="auto"/>
        </w:rPr>
      </w:pPr>
    </w:p>
    <w:p>
      <w:pPr>
        <w:jc w:val="both"/>
        <w:ind w:firstLine="478"/>
        <w:spacing w:after="0" w:line="282" w:lineRule="auto"/>
        <w:rPr>
          <w:sz w:val="20"/>
          <w:szCs w:val="20"/>
          <w:color w:val="auto"/>
        </w:rPr>
      </w:pPr>
      <w:r>
        <w:rPr>
          <w:rFonts w:ascii="Times New Roman" w:cs="Times New Roman" w:eastAsia="Times New Roman" w:hAnsi="Times New Roman"/>
          <w:sz w:val="18"/>
          <w:szCs w:val="18"/>
          <w:color w:val="auto"/>
        </w:rPr>
        <w:t>On October 31, 2022, we invested $6.0 million in second lien debt of Education Incites, LLC (dba Acceleration Academies), a leading provider of alternative education academies focused on high school dropout recovery throughout the United States.</w:t>
      </w:r>
    </w:p>
    <w:p>
      <w:pPr>
        <w:spacing w:after="0" w:line="94" w:lineRule="exact"/>
        <w:rPr>
          <w:sz w:val="20"/>
          <w:szCs w:val="20"/>
          <w:color w:val="auto"/>
        </w:rPr>
      </w:pPr>
    </w:p>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On November 1, 2022, we issued an additional $5.0 million and $3.0 million in SBA debentures, which will bear interest at fixed interim interest rates of 5.221% and 5.123%, respectively, until the pooling date in March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jc w:val="both"/>
        <w:ind w:firstLine="479"/>
        <w:spacing w:after="0" w:line="245" w:lineRule="auto"/>
        <w:rPr>
          <w:sz w:val="20"/>
          <w:szCs w:val="20"/>
          <w:color w:val="auto"/>
        </w:rPr>
      </w:pPr>
      <w:r>
        <w:rPr>
          <w:rFonts w:ascii="Times New Roman" w:cs="Times New Roman" w:eastAsia="Times New Roman" w:hAnsi="Times New Roman"/>
          <w:sz w:val="18"/>
          <w:szCs w:val="18"/>
          <w:color w:val="auto"/>
        </w:rPr>
        <w:t>We are subject to financial market risks, including changes in interest rates. Changes in interest rates affect both our cost of funding and the valuation of our investment portfolio. Our risk management systems and procedures are designed to identify and analyze our risk, to set appropriate policies and limits and to continually monitor these risks and limits by means of reliable administrative and information systems and other policies and programs. The prices of securities held by us may decline in response to certain events, including those directly involving the companies in which we invest and conditions affecting the general economy, including: the impact of COVID-19 and any new variants of COVID-19; overall market changes, including an increase in market volatility due to COVID-19; legislative reform; local, regional, national or global political, social or economic instability; and interest rate volatility, including the decommissioning of LIBOR and rising interest rates.</w:t>
      </w:r>
    </w:p>
    <w:p>
      <w:pPr>
        <w:spacing w:after="0" w:line="127" w:lineRule="exact"/>
        <w:rPr>
          <w:sz w:val="20"/>
          <w:szCs w:val="20"/>
          <w:color w:val="auto"/>
        </w:rPr>
      </w:pPr>
    </w:p>
    <w:p>
      <w:pPr>
        <w:jc w:val="both"/>
        <w:ind w:firstLine="479"/>
        <w:spacing w:after="0" w:line="243" w:lineRule="auto"/>
        <w:rPr>
          <w:sz w:val="20"/>
          <w:szCs w:val="20"/>
          <w:color w:val="auto"/>
        </w:rPr>
      </w:pPr>
      <w:r>
        <w:rPr>
          <w:rFonts w:ascii="Times New Roman" w:cs="Times New Roman" w:eastAsia="Times New Roman" w:hAnsi="Times New Roman"/>
          <w:sz w:val="18"/>
          <w:szCs w:val="18"/>
          <w:color w:val="auto"/>
        </w:rPr>
        <w:t>In the future, our investment income may also be affected by changes in various interest rates, including the decommissioning of LIBOR and changes in alternate rates and prime rates, to the extent of any debt investments that include floating interest rates. In connection with the COVID-19 pandemic, the U.S. Federal Reserve and other central banks previously reduced certain interest rates and LIBOR has decreased. A prolonged reduction in interest rates will reduce our gross investment income and could result in a decrease in our net investment income if such decreases in LIBOR are not offset by a corresponding increase in the spread over LIBOR that we earn on any portfolio investments, a decrease in in our operating expenses, including with respect to our income incentive fee, or a decrease in the interest rate of our floating interest rate liabilities tied to LIBOR. Most recently, in March 2022, the Federal Reserve raised interest rates by 0.25%, the first increase since December 2018, and since then, has raised interest rates by an additional 2.75% and indicated that it would consider additional rate hikes in response to ongoing inflation concerns. See Risk Factors contained in our Annual Report on Form 10-K for the year ended December 31, 2021, such as "Changes in interest rates will affect our cost of capital and net investment income”, “Inflation may adversely affect the business, results of operations and financial condition of our portfolio companies, which may, in turn, impact the valuation of such portfolio companies”, and “Changes relating to the discontinuation LIBOR may adversely affect the value of our portfolio of LIBOR-indexed, floating-rate debt securities”.</w:t>
      </w:r>
    </w:p>
    <w:p>
      <w:pPr>
        <w:spacing w:after="0" w:line="131" w:lineRule="exact"/>
        <w:rPr>
          <w:sz w:val="20"/>
          <w:szCs w:val="20"/>
          <w:color w:val="auto"/>
        </w:rPr>
      </w:pPr>
    </w:p>
    <w:p>
      <w:pPr>
        <w:jc w:val="both"/>
        <w:ind w:firstLine="479"/>
        <w:spacing w:after="0" w:line="244" w:lineRule="auto"/>
        <w:rPr>
          <w:sz w:val="20"/>
          <w:szCs w:val="20"/>
          <w:color w:val="auto"/>
        </w:rPr>
      </w:pPr>
      <w:r>
        <w:rPr>
          <w:rFonts w:ascii="Times New Roman" w:cs="Times New Roman" w:eastAsia="Times New Roman" w:hAnsi="Times New Roman"/>
          <w:sz w:val="18"/>
          <w:szCs w:val="18"/>
          <w:color w:val="auto"/>
        </w:rPr>
        <w:t>As of September 30, 2022 and December 31, 2021, 43 and 32 portfolio companies’ debt investments, respectively, bore interest at a variable rate, which represented $538.1 million and $376.0 million of our portfolio on a fair value basis, respectively, and the remainder of our debt portfolio was comprised entirely of fixed rate investments. Our pooled SBA debentures and our Notes bear interest at fixed rates. Our Credit Facility bears interest, at our election, at a rate per annum equal to (a) 2.675% on SOFR loans prior</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56" w:name="page57"/>
    <w:bookmarkEnd w:id="56"/>
    <w:p>
      <w:pPr>
        <w:jc w:val="both"/>
        <w:spacing w:after="0" w:line="247" w:lineRule="auto"/>
        <w:rPr>
          <w:sz w:val="20"/>
          <w:szCs w:val="20"/>
          <w:color w:val="auto"/>
        </w:rPr>
      </w:pPr>
      <w:r>
        <w:rPr>
          <w:rFonts w:ascii="Times New Roman" w:cs="Times New Roman" w:eastAsia="Times New Roman" w:hAnsi="Times New Roman"/>
          <w:sz w:val="18"/>
          <w:szCs w:val="18"/>
          <w:color w:val="auto"/>
        </w:rPr>
        <w:t>to satisfying certain step-down conditions (or 2.50% after satisfying certain step-down conditions, with commensurate reductions in the applicable margins for base rate loans). We pay a commitment fee that varies depending on the size of the unused portion of the Credit Facility: 2.500% to 2.675% per annum on the unused portion of the Credit Facility at or below 35% of the commitments and 0.50% per annum on any remaining unused portion of the Credit Facility between the total commitments and the 35% minimum utilization. The credit agreement relating to the Credit Facility contains certain covenants, including a minimum asset coverage ratio of 1.50 to 1.00 (on a regulatory basis) and a senior asset coverage ratio of no less than 2.00 to 1.00. The Credit Facility is secured by a first priority security interest in all of our assets, excluding the assets of our SBIC subsidiaries.</w:t>
      </w:r>
    </w:p>
    <w:p>
      <w:pPr>
        <w:spacing w:after="0" w:line="180" w:lineRule="exact"/>
        <w:rPr>
          <w:sz w:val="20"/>
          <w:szCs w:val="20"/>
          <w:color w:val="auto"/>
        </w:rPr>
      </w:pPr>
    </w:p>
    <w:p>
      <w:pPr>
        <w:jc w:val="both"/>
        <w:ind w:firstLine="479"/>
        <w:spacing w:after="0" w:line="246" w:lineRule="auto"/>
        <w:rPr>
          <w:sz w:val="20"/>
          <w:szCs w:val="20"/>
          <w:color w:val="auto"/>
        </w:rPr>
      </w:pPr>
      <w:r>
        <w:rPr>
          <w:rFonts w:ascii="Times New Roman" w:cs="Times New Roman" w:eastAsia="Times New Roman" w:hAnsi="Times New Roman"/>
          <w:sz w:val="18"/>
          <w:szCs w:val="18"/>
          <w:color w:val="auto"/>
        </w:rPr>
        <w:t>Because we currently borrow, and plan to borrow in the future, money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168" w:lineRule="exact"/>
        <w:rPr>
          <w:sz w:val="20"/>
          <w:szCs w:val="20"/>
          <w:color w:val="auto"/>
        </w:rPr>
      </w:pPr>
    </w:p>
    <w:p>
      <w:pPr>
        <w:jc w:val="both"/>
        <w:ind w:firstLine="479"/>
        <w:spacing w:after="0" w:line="282" w:lineRule="auto"/>
        <w:rPr>
          <w:sz w:val="20"/>
          <w:szCs w:val="20"/>
          <w:color w:val="auto"/>
        </w:rPr>
      </w:pPr>
      <w:r>
        <w:rPr>
          <w:rFonts w:ascii="Times New Roman" w:cs="Times New Roman" w:eastAsia="Times New Roman" w:hAnsi="Times New Roman"/>
          <w:sz w:val="18"/>
          <w:szCs w:val="18"/>
          <w:color w:val="auto"/>
        </w:rPr>
        <w:t>The following table shows the approximate annualized increase or decrease in the components of net investment income due to hypothetical base rate changes in interest rates, assuming no changes in our investments and borrowings as of September 30, 2022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200" w:type="dxa"/>
            <w:vAlign w:val="bottom"/>
          </w:tcPr>
          <w:p>
            <w:pPr>
              <w:spacing w:after="0"/>
              <w:rPr>
                <w:sz w:val="15"/>
                <w:szCs w:val="15"/>
                <w:color w:val="auto"/>
              </w:rPr>
            </w:pPr>
          </w:p>
        </w:tc>
        <w:tc>
          <w:tcPr>
            <w:tcW w:w="1680" w:type="dxa"/>
            <w:vAlign w:val="bottom"/>
            <w:gridSpan w:val="2"/>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2"/>
          </w:tcPr>
          <w:p>
            <w:pPr>
              <w:jc w:val="center"/>
              <w:ind w:right="388"/>
              <w:spacing w:after="0" w:line="15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200" w:type="dxa"/>
            <w:vAlign w:val="bottom"/>
          </w:tcPr>
          <w:p>
            <w:pPr>
              <w:spacing w:after="0"/>
              <w:rPr>
                <w:sz w:val="13"/>
                <w:szCs w:val="13"/>
                <w:color w:val="auto"/>
              </w:rPr>
            </w:pPr>
          </w:p>
        </w:tc>
        <w:tc>
          <w:tcPr>
            <w:tcW w:w="1680" w:type="dxa"/>
            <w:vAlign w:val="bottom"/>
            <w:gridSpan w:val="2"/>
          </w:tcPr>
          <w:p>
            <w:pPr>
              <w:jc w:val="center"/>
              <w:ind w:right="408"/>
              <w:spacing w:after="0" w:line="15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240" w:type="dxa"/>
            <w:vAlign w:val="bottom"/>
          </w:tcPr>
          <w:p>
            <w:pPr>
              <w:spacing w:after="0"/>
              <w:rPr>
                <w:sz w:val="13"/>
                <w:szCs w:val="13"/>
                <w:color w:val="auto"/>
              </w:rPr>
            </w:pPr>
          </w:p>
        </w:tc>
        <w:tc>
          <w:tcPr>
            <w:tcW w:w="1600" w:type="dxa"/>
            <w:vAlign w:val="bottom"/>
            <w:gridSpan w:val="2"/>
          </w:tcPr>
          <w:p>
            <w:pPr>
              <w:jc w:val="right"/>
              <w:ind w:right="608"/>
              <w:spacing w:after="0" w:line="157" w:lineRule="exact"/>
              <w:rPr>
                <w:sz w:val="20"/>
                <w:szCs w:val="20"/>
                <w:color w:val="auto"/>
              </w:rPr>
            </w:pPr>
            <w:r>
              <w:rPr>
                <w:rFonts w:ascii="Times New Roman" w:cs="Times New Roman" w:eastAsia="Times New Roman" w:hAnsi="Times New Roman"/>
                <w:sz w:val="14"/>
                <w:szCs w:val="14"/>
                <w:b w:val="1"/>
                <w:bCs w:val="1"/>
                <w:color w:val="auto"/>
              </w:rPr>
              <w:t>Net Increase</w:t>
            </w:r>
          </w:p>
        </w:tc>
        <w:tc>
          <w:tcPr>
            <w:tcW w:w="200" w:type="dxa"/>
            <w:vAlign w:val="bottom"/>
          </w:tcPr>
          <w:p>
            <w:pPr>
              <w:spacing w:after="0"/>
              <w:rPr>
                <w:sz w:val="13"/>
                <w:szCs w:val="13"/>
                <w:color w:val="auto"/>
              </w:rPr>
            </w:pPr>
          </w:p>
        </w:tc>
        <w:tc>
          <w:tcPr>
            <w:tcW w:w="1500" w:type="dxa"/>
            <w:vAlign w:val="bottom"/>
            <w:gridSpan w:val="2"/>
          </w:tcPr>
          <w:p>
            <w:pPr>
              <w:jc w:val="right"/>
              <w:ind w:right="368"/>
              <w:spacing w:after="0" w:line="157" w:lineRule="exact"/>
              <w:rPr>
                <w:sz w:val="20"/>
                <w:szCs w:val="20"/>
                <w:color w:val="auto"/>
              </w:rPr>
            </w:pPr>
            <w:r>
              <w:rPr>
                <w:rFonts w:ascii="Times New Roman" w:cs="Times New Roman" w:eastAsia="Times New Roman" w:hAnsi="Times New Roman"/>
                <w:sz w:val="14"/>
                <w:szCs w:val="14"/>
                <w:b w:val="1"/>
                <w:bCs w:val="1"/>
                <w:color w:val="auto"/>
              </w:rPr>
              <w:t>Net Investment</w:t>
            </w:r>
          </w:p>
        </w:tc>
      </w:tr>
      <w:tr>
        <w:trPr>
          <w:trHeight w:val="206"/>
        </w:trPr>
        <w:tc>
          <w:tcPr>
            <w:tcW w:w="3960" w:type="dxa"/>
            <w:vAlign w:val="bottom"/>
            <w:gridSpan w:val="2"/>
          </w:tcPr>
          <w:p>
            <w:pPr>
              <w:jc w:val="right"/>
              <w:ind w:right="1948"/>
              <w:spacing w:after="0"/>
              <w:rPr>
                <w:sz w:val="20"/>
                <w:szCs w:val="20"/>
                <w:color w:val="auto"/>
              </w:rPr>
            </w:pPr>
            <w:r>
              <w:rPr>
                <w:rFonts w:ascii="Times New Roman" w:cs="Times New Roman" w:eastAsia="Times New Roman" w:hAnsi="Times New Roman"/>
                <w:sz w:val="14"/>
                <w:szCs w:val="14"/>
                <w:b w:val="1"/>
                <w:bCs w:val="1"/>
                <w:color w:val="auto"/>
              </w:rPr>
              <w:t>Basis Point Increase (Decrease)</w:t>
            </w:r>
          </w:p>
        </w:tc>
        <w:tc>
          <w:tcPr>
            <w:tcW w:w="200" w:type="dxa"/>
            <w:vAlign w:val="bottom"/>
          </w:tcPr>
          <w:p>
            <w:pPr>
              <w:spacing w:after="0"/>
              <w:rPr>
                <w:sz w:val="17"/>
                <w:szCs w:val="17"/>
                <w:color w:val="auto"/>
              </w:rPr>
            </w:pPr>
          </w:p>
        </w:tc>
        <w:tc>
          <w:tcPr>
            <w:tcW w:w="1660" w:type="dxa"/>
            <w:vAlign w:val="bottom"/>
            <w:gridSpan w:val="2"/>
          </w:tcPr>
          <w:p>
            <w:pPr>
              <w:jc w:val="center"/>
              <w:ind w:right="408"/>
              <w:spacing w:after="0" w:line="206" w:lineRule="exact"/>
              <w:rPr>
                <w:sz w:val="20"/>
                <w:szCs w:val="20"/>
                <w:color w:val="auto"/>
              </w:rPr>
            </w:pPr>
            <w:r>
              <w:rPr>
                <w:rFonts w:ascii="Times New Roman" w:cs="Times New Roman" w:eastAsia="Times New Roman" w:hAnsi="Times New Roman"/>
                <w:sz w:val="14"/>
                <w:szCs w:val="14"/>
                <w:b w:val="1"/>
                <w:bCs w:val="1"/>
                <w:color w:val="auto"/>
                <w:w w:val="94"/>
              </w:rPr>
              <w:t xml:space="preserve">(Decrease) </w:t>
            </w:r>
            <w:r>
              <w:rPr>
                <w:rFonts w:ascii="Times New Roman" w:cs="Times New Roman" w:eastAsia="Times New Roman" w:hAnsi="Times New Roman"/>
                <w:sz w:val="19"/>
                <w:szCs w:val="19"/>
                <w:b w:val="1"/>
                <w:bCs w:val="1"/>
                <w:color w:val="auto"/>
                <w:w w:val="94"/>
                <w:vertAlign w:val="superscript"/>
              </w:rPr>
              <w:t>(1) (2)</w:t>
            </w:r>
          </w:p>
        </w:tc>
        <w:tc>
          <w:tcPr>
            <w:tcW w:w="200" w:type="dxa"/>
            <w:vAlign w:val="bottom"/>
          </w:tcPr>
          <w:p>
            <w:pPr>
              <w:spacing w:after="0"/>
              <w:rPr>
                <w:sz w:val="17"/>
                <w:szCs w:val="17"/>
                <w:color w:val="auto"/>
              </w:rPr>
            </w:pPr>
          </w:p>
        </w:tc>
        <w:tc>
          <w:tcPr>
            <w:tcW w:w="1680" w:type="dxa"/>
            <w:vAlign w:val="bottom"/>
            <w:gridSpan w:val="2"/>
          </w:tcPr>
          <w:p>
            <w:pPr>
              <w:jc w:val="center"/>
              <w:ind w:right="408"/>
              <w:spacing w:after="0" w:line="206" w:lineRule="exact"/>
              <w:rPr>
                <w:sz w:val="20"/>
                <w:szCs w:val="20"/>
                <w:color w:val="auto"/>
              </w:rPr>
            </w:pPr>
            <w:r>
              <w:rPr>
                <w:rFonts w:ascii="Times New Roman" w:cs="Times New Roman" w:eastAsia="Times New Roman" w:hAnsi="Times New Roman"/>
                <w:sz w:val="14"/>
                <w:szCs w:val="14"/>
                <w:b w:val="1"/>
                <w:bCs w:val="1"/>
                <w:color w:val="auto"/>
                <w:w w:val="98"/>
              </w:rPr>
              <w:t xml:space="preserve">(Decrease) </w:t>
            </w:r>
            <w:r>
              <w:rPr>
                <w:rFonts w:ascii="Times New Roman" w:cs="Times New Roman" w:eastAsia="Times New Roman" w:hAnsi="Times New Roman"/>
                <w:sz w:val="19"/>
                <w:szCs w:val="19"/>
                <w:b w:val="1"/>
                <w:bCs w:val="1"/>
                <w:color w:val="auto"/>
                <w:w w:val="98"/>
                <w:vertAlign w:val="superscript"/>
              </w:rPr>
              <w:t>(4)</w:t>
            </w:r>
          </w:p>
        </w:tc>
        <w:tc>
          <w:tcPr>
            <w:tcW w:w="240" w:type="dxa"/>
            <w:vAlign w:val="bottom"/>
          </w:tcPr>
          <w:p>
            <w:pPr>
              <w:spacing w:after="0"/>
              <w:rPr>
                <w:sz w:val="17"/>
                <w:szCs w:val="17"/>
                <w:color w:val="auto"/>
              </w:rPr>
            </w:pPr>
          </w:p>
        </w:tc>
        <w:tc>
          <w:tcPr>
            <w:tcW w:w="1600" w:type="dxa"/>
            <w:vAlign w:val="bottom"/>
            <w:gridSpan w:val="2"/>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00" w:type="dxa"/>
            <w:vAlign w:val="bottom"/>
          </w:tcPr>
          <w:p>
            <w:pPr>
              <w:spacing w:after="0"/>
              <w:rPr>
                <w:sz w:val="17"/>
                <w:szCs w:val="17"/>
                <w:color w:val="auto"/>
              </w:rPr>
            </w:pPr>
          </w:p>
        </w:tc>
        <w:tc>
          <w:tcPr>
            <w:tcW w:w="1500" w:type="dxa"/>
            <w:vAlign w:val="bottom"/>
            <w:gridSpan w:val="2"/>
          </w:tcPr>
          <w:p>
            <w:pPr>
              <w:jc w:val="right"/>
              <w:ind w:right="528"/>
              <w:spacing w:after="0" w:line="206" w:lineRule="exact"/>
              <w:rPr>
                <w:sz w:val="20"/>
                <w:szCs w:val="20"/>
                <w:color w:val="auto"/>
              </w:rPr>
            </w:pPr>
            <w:r>
              <w:rPr>
                <w:rFonts w:ascii="Times New Roman" w:cs="Times New Roman" w:eastAsia="Times New Roman" w:hAnsi="Times New Roman"/>
                <w:sz w:val="14"/>
                <w:szCs w:val="14"/>
                <w:b w:val="1"/>
                <w:bCs w:val="1"/>
                <w:color w:val="auto"/>
              </w:rPr>
              <w:t xml:space="preserve">Income </w:t>
            </w:r>
            <w:r>
              <w:rPr>
                <w:rFonts w:ascii="Times New Roman" w:cs="Times New Roman" w:eastAsia="Times New Roman" w:hAnsi="Times New Roman"/>
                <w:sz w:val="19"/>
                <w:szCs w:val="19"/>
                <w:b w:val="1"/>
                <w:bCs w:val="1"/>
                <w:color w:val="auto"/>
                <w:vertAlign w:val="superscript"/>
              </w:rPr>
              <w:t>(3)</w:t>
            </w:r>
          </w:p>
        </w:tc>
      </w:tr>
      <w:tr>
        <w:trPr>
          <w:trHeight w:val="169"/>
        </w:trPr>
        <w:tc>
          <w:tcPr>
            <w:tcW w:w="3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3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2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2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76"/>
        </w:trPr>
        <w:tc>
          <w:tcPr>
            <w:tcW w:w="39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(150 )</w:t>
            </w:r>
          </w:p>
        </w:tc>
        <w:tc>
          <w:tcPr>
            <w:tcW w:w="200" w:type="dxa"/>
            <w:vAlign w:val="bottom"/>
          </w:tcPr>
          <w:p>
            <w:pPr>
              <w:spacing w:after="0"/>
              <w:rPr>
                <w:sz w:val="15"/>
                <w:szCs w:val="15"/>
                <w:color w:val="auto"/>
              </w:rPr>
            </w:pPr>
          </w:p>
        </w:tc>
        <w:tc>
          <w:tcPr>
            <w:tcW w:w="16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(8.2 )</w:t>
            </w:r>
          </w:p>
        </w:tc>
        <w:tc>
          <w:tcPr>
            <w:tcW w:w="200" w:type="dxa"/>
            <w:vAlign w:val="bottom"/>
          </w:tcPr>
          <w:p>
            <w:pPr>
              <w:spacing w:after="0"/>
              <w:rPr>
                <w:sz w:val="15"/>
                <w:szCs w:val="15"/>
                <w:color w:val="auto"/>
              </w:rPr>
            </w:pPr>
          </w:p>
        </w:tc>
        <w:tc>
          <w:tcPr>
            <w:tcW w:w="16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(0.3 )</w:t>
            </w:r>
          </w:p>
        </w:tc>
        <w:tc>
          <w:tcPr>
            <w:tcW w:w="240" w:type="dxa"/>
            <w:vAlign w:val="bottom"/>
          </w:tcPr>
          <w:p>
            <w:pPr>
              <w:spacing w:after="0"/>
              <w:rPr>
                <w:sz w:val="15"/>
                <w:szCs w:val="15"/>
                <w:color w:val="auto"/>
              </w:rPr>
            </w:pPr>
          </w:p>
        </w:tc>
        <w:tc>
          <w:tcPr>
            <w:tcW w:w="16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(7.9 )</w:t>
            </w:r>
          </w:p>
        </w:tc>
        <w:tc>
          <w:tcPr>
            <w:tcW w:w="20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(6.3 )</w:t>
            </w:r>
          </w:p>
        </w:tc>
      </w:tr>
      <w:tr>
        <w:trPr>
          <w:trHeight w:val="175"/>
        </w:trPr>
        <w:tc>
          <w:tcPr>
            <w:tcW w:w="396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(100 )</w:t>
            </w:r>
          </w:p>
        </w:tc>
        <w:tc>
          <w:tcPr>
            <w:tcW w:w="20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(5.5 )</w:t>
            </w:r>
          </w:p>
        </w:tc>
        <w:tc>
          <w:tcPr>
            <w:tcW w:w="20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(0.2 )</w:t>
            </w:r>
          </w:p>
        </w:tc>
        <w:tc>
          <w:tcPr>
            <w:tcW w:w="24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(5.3 )</w:t>
            </w:r>
          </w:p>
        </w:tc>
        <w:tc>
          <w:tcPr>
            <w:tcW w:w="2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r>
      <w:tr>
        <w:trPr>
          <w:trHeight w:val="176"/>
        </w:trPr>
        <w:tc>
          <w:tcPr>
            <w:tcW w:w="39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(50 )</w:t>
            </w:r>
          </w:p>
        </w:tc>
        <w:tc>
          <w:tcPr>
            <w:tcW w:w="200" w:type="dxa"/>
            <w:vAlign w:val="bottom"/>
          </w:tcPr>
          <w:p>
            <w:pPr>
              <w:spacing w:after="0"/>
              <w:rPr>
                <w:sz w:val="15"/>
                <w:szCs w:val="15"/>
                <w:color w:val="auto"/>
              </w:rPr>
            </w:pPr>
          </w:p>
        </w:tc>
        <w:tc>
          <w:tcPr>
            <w:tcW w:w="16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(2.7 )</w:t>
            </w:r>
          </w:p>
        </w:tc>
        <w:tc>
          <w:tcPr>
            <w:tcW w:w="200" w:type="dxa"/>
            <w:vAlign w:val="bottom"/>
          </w:tcPr>
          <w:p>
            <w:pPr>
              <w:spacing w:after="0"/>
              <w:rPr>
                <w:sz w:val="15"/>
                <w:szCs w:val="15"/>
                <w:color w:val="auto"/>
              </w:rPr>
            </w:pPr>
          </w:p>
        </w:tc>
        <w:tc>
          <w:tcPr>
            <w:tcW w:w="16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(0.1 )</w:t>
            </w:r>
          </w:p>
        </w:tc>
        <w:tc>
          <w:tcPr>
            <w:tcW w:w="240" w:type="dxa"/>
            <w:vAlign w:val="bottom"/>
          </w:tcPr>
          <w:p>
            <w:pPr>
              <w:spacing w:after="0"/>
              <w:rPr>
                <w:sz w:val="15"/>
                <w:szCs w:val="15"/>
                <w:color w:val="auto"/>
              </w:rPr>
            </w:pPr>
          </w:p>
        </w:tc>
        <w:tc>
          <w:tcPr>
            <w:tcW w:w="16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(2.6 )</w:t>
            </w:r>
          </w:p>
        </w:tc>
        <w:tc>
          <w:tcPr>
            <w:tcW w:w="20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176"/>
        </w:trPr>
        <w:tc>
          <w:tcPr>
            <w:tcW w:w="3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5"/>
                <w:szCs w:val="15"/>
                <w:color w:val="auto"/>
              </w:rPr>
            </w:pPr>
          </w:p>
        </w:tc>
      </w:tr>
      <w:tr>
        <w:trPr>
          <w:trHeight w:val="175"/>
        </w:trPr>
        <w:tc>
          <w:tcPr>
            <w:tcW w:w="3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r>
      <w:tr>
        <w:trPr>
          <w:trHeight w:val="176"/>
        </w:trPr>
        <w:tc>
          <w:tcPr>
            <w:tcW w:w="3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5"/>
                <w:szCs w:val="15"/>
                <w:color w:val="auto"/>
              </w:rPr>
            </w:pPr>
          </w:p>
        </w:tc>
      </w:tr>
      <w:tr>
        <w:trPr>
          <w:trHeight w:val="175"/>
        </w:trPr>
        <w:tc>
          <w:tcPr>
            <w:tcW w:w="3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5"/>
                <w:szCs w:val="15"/>
                <w:color w:val="auto"/>
              </w:rPr>
            </w:pPr>
          </w:p>
        </w:tc>
      </w:tr>
      <w:tr>
        <w:trPr>
          <w:trHeight w:val="176"/>
        </w:trPr>
        <w:tc>
          <w:tcPr>
            <w:tcW w:w="3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5"/>
                <w:szCs w:val="15"/>
                <w:color w:val="auto"/>
              </w:rPr>
            </w:pPr>
          </w:p>
        </w:tc>
      </w:tr>
      <w:tr>
        <w:trPr>
          <w:trHeight w:val="188"/>
        </w:trPr>
        <w:tc>
          <w:tcPr>
            <w:tcW w:w="3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6"/>
                <w:szCs w:val="16"/>
                <w:color w:val="auto"/>
              </w:rPr>
            </w:pPr>
          </w:p>
        </w:tc>
      </w:tr>
    </w:tbl>
    <w:p>
      <w:pPr>
        <w:spacing w:after="0" w:line="181" w:lineRule="exact"/>
        <w:rPr>
          <w:sz w:val="20"/>
          <w:szCs w:val="20"/>
          <w:color w:val="auto"/>
        </w:rPr>
      </w:pPr>
    </w:p>
    <w:p>
      <w:pPr>
        <w:ind w:left="220" w:hanging="212"/>
        <w:spacing w:after="0"/>
        <w:tabs>
          <w:tab w:leader="none" w:pos="2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our variable rate debt investments have a LIBOR, PRIME or SOFR interest rate floor, which lessens the impact of decreases in interest rates.</w:t>
      </w:r>
    </w:p>
    <w:p>
      <w:pPr>
        <w:spacing w:after="0" w:line="1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calculated assuming three-month LIBOR, PRIME, and SOFR rate as of September 30, 2022.</w:t>
      </w:r>
    </w:p>
    <w:p>
      <w:pPr>
        <w:spacing w:after="0" w:line="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impact of income incentive fee at 20.0% on net increase (decrease) in net interest.</w:t>
      </w:r>
    </w:p>
    <w:p>
      <w:pPr>
        <w:spacing w:after="0" w:line="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2022, we did not have any borrowings outstanding under our Credit Facility.</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jc w:val="both"/>
        <w:ind w:firstLine="479"/>
        <w:spacing w:after="0" w:line="24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Chief Executive Officer and Chief Financial Officer carried out an evaluation of the effectiveness of the design and operation of our disclosure controls and procedures (as defined in Rule 13a-15(e) of the 1934 Act) as of the end of the period covered by this report. Based on the evaluation of these disclosure controls and procedures, the Chief Executive Officer and Chief Financial Officer concluded that our disclosure controls and procedures were effective. 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w:t>
      </w:r>
    </w:p>
    <w:p>
      <w:pPr>
        <w:spacing w:after="0" w:line="3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60" w:lineRule="exact"/>
        <w:rPr>
          <w:sz w:val="20"/>
          <w:szCs w:val="20"/>
          <w:color w:val="auto"/>
        </w:rPr>
      </w:pPr>
    </w:p>
    <w:p>
      <w:pPr>
        <w:jc w:val="both"/>
        <w:ind w:right="20" w:firstLine="47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third quarter of 2022 that have materially affected, or are reasonably likely to materially affect, our internal control over financial reporting.</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are not, and the Investment Advisor is not, currently subject to any material legal proceedings.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6"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In addition to other information set forth in this report, you should carefully consider the “Risk Factors” discussed in our Annual Report on Form 10-K for the year ended December 31, 2021 filed with the SEC on March 3, 2022, which are incorporated herein by reference. The risk factors therein could materially affect our business, financial condition and/or operating results. Additional risks and uncertainties not currently known to us or that we currently deem to be immaterial also may materially affect our business, financial condition and/or operating results.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Sales of Unregistered Securities</w:t>
      </w:r>
    </w:p>
    <w:p>
      <w:pPr>
        <w:spacing w:after="0" w:line="2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14" w:lineRule="exact"/>
        <w:rPr>
          <w:sz w:val="20"/>
          <w:szCs w:val="20"/>
          <w:color w:val="auto"/>
        </w:rPr>
      </w:pPr>
    </w:p>
    <w:p>
      <w:pPr>
        <w:jc w:val="both"/>
        <w:ind w:firstLine="479"/>
        <w:spacing w:after="0" w:line="242" w:lineRule="auto"/>
        <w:rPr>
          <w:sz w:val="20"/>
          <w:szCs w:val="20"/>
          <w:color w:val="auto"/>
        </w:rPr>
      </w:pPr>
      <w:r>
        <w:rPr>
          <w:rFonts w:ascii="Times New Roman" w:cs="Times New Roman" w:eastAsia="Times New Roman" w:hAnsi="Times New Roman"/>
          <w:sz w:val="18"/>
          <w:szCs w:val="18"/>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October 31, 2022, the Board extended the Stock Repurchase Program through December 31, 2023,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r>
        <w:rPr>
          <w:rFonts w:ascii="Times New Roman" w:cs="Times New Roman" w:eastAsia="Times New Roman" w:hAnsi="Times New Roman"/>
          <w:sz w:val="18"/>
          <w:szCs w:val="18"/>
          <w:b w:val="1"/>
          <w:bCs w:val="1"/>
          <w:i w:val="1"/>
          <w:iCs w:val="1"/>
          <w:color w:val="auto"/>
        </w:rPr>
        <w:t>.</w:t>
      </w: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8"/>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5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gridSpan w:val="3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0" w:type="dxa"/>
            <w:vAlign w:val="bottom"/>
          </w:tcPr>
          <w:p>
            <w:pPr>
              <w:spacing w:after="0"/>
              <w:rPr>
                <w:sz w:val="1"/>
                <w:szCs w:val="1"/>
                <w:color w:val="auto"/>
              </w:rPr>
            </w:pPr>
          </w:p>
        </w:tc>
      </w:tr>
      <w:tr>
        <w:trPr>
          <w:trHeight w:val="169"/>
        </w:trPr>
        <w:tc>
          <w:tcPr>
            <w:tcW w:w="15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60" w:type="dxa"/>
            <w:vAlign w:val="bottom"/>
            <w:gridSpan w:val="32"/>
          </w:tcPr>
          <w:p>
            <w:pPr>
              <w:spacing w:after="0" w:line="169" w:lineRule="exact"/>
              <w:rPr>
                <w:rFonts w:ascii="Times New Roman" w:cs="Times New Roman" w:eastAsia="Times New Roman" w:hAnsi="Times New Roman"/>
                <w:sz w:val="18"/>
                <w:szCs w:val="18"/>
                <w:color w:val="0000FF"/>
              </w:rPr>
            </w:pPr>
            <w:hyperlink r:id="rId493">
              <w:r>
                <w:rPr>
                  <w:rFonts w:ascii="Times New Roman" w:cs="Times New Roman" w:eastAsia="Times New Roman" w:hAnsi="Times New Roman"/>
                  <w:sz w:val="18"/>
                  <w:szCs w:val="18"/>
                  <w:color w:val="0000FF"/>
                </w:rPr>
                <w:t>Articles of Amendment and Restatement of the Registrant (Filed as Exhibit (a)(1) to Pre-Effective Amendment No. 2 to the</w:t>
              </w:r>
            </w:hyperlink>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9460" w:type="dxa"/>
            <w:vAlign w:val="bottom"/>
            <w:gridSpan w:val="32"/>
          </w:tcPr>
          <w:p>
            <w:pPr>
              <w:spacing w:after="0" w:line="156" w:lineRule="exact"/>
              <w:rPr>
                <w:rFonts w:ascii="Times New Roman" w:cs="Times New Roman" w:eastAsia="Times New Roman" w:hAnsi="Times New Roman"/>
                <w:sz w:val="18"/>
                <w:szCs w:val="18"/>
                <w:color w:val="0000FF"/>
              </w:rPr>
            </w:pPr>
            <w:hyperlink r:id="rId493">
              <w:r>
                <w:rPr>
                  <w:rFonts w:ascii="Times New Roman" w:cs="Times New Roman" w:eastAsia="Times New Roman" w:hAnsi="Times New Roman"/>
                  <w:sz w:val="18"/>
                  <w:szCs w:val="18"/>
                  <w:color w:val="0000FF"/>
                </w:rPr>
                <w:t>Registrant’s Registration Statement on Form N-2 (File No. 333-172550) filed with the U.S. Securities and Exchange Commission</w:t>
              </w:r>
            </w:hyperlink>
          </w:p>
        </w:tc>
        <w:tc>
          <w:tcPr>
            <w:tcW w:w="0" w:type="dxa"/>
            <w:vAlign w:val="bottom"/>
          </w:tcPr>
          <w:p>
            <w:pPr>
              <w:spacing w:after="0"/>
              <w:rPr>
                <w:sz w:val="1"/>
                <w:szCs w:val="1"/>
                <w:color w:val="auto"/>
              </w:rPr>
            </w:pPr>
          </w:p>
        </w:tc>
      </w:tr>
      <w:tr>
        <w:trPr>
          <w:trHeight w:val="156"/>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38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493">
              <w:r>
                <w:rPr>
                  <w:rFonts w:ascii="Times New Roman" w:cs="Times New Roman" w:eastAsia="Times New Roman" w:hAnsi="Times New Roman"/>
                  <w:sz w:val="18"/>
                  <w:szCs w:val="18"/>
                  <w:color w:val="0000FF"/>
                </w:rPr>
                <w:t>on April 29, 2011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gridSpan w:val="32"/>
          </w:tcPr>
          <w:p>
            <w:pPr>
              <w:spacing w:after="0"/>
              <w:rPr>
                <w:rFonts w:ascii="Times New Roman" w:cs="Times New Roman" w:eastAsia="Times New Roman" w:hAnsi="Times New Roman"/>
                <w:sz w:val="18"/>
                <w:szCs w:val="18"/>
                <w:color w:val="0000FF"/>
              </w:rPr>
            </w:pPr>
            <w:hyperlink r:id="rId494">
              <w:r>
                <w:rPr>
                  <w:rFonts w:ascii="Times New Roman" w:cs="Times New Roman" w:eastAsia="Times New Roman" w:hAnsi="Times New Roman"/>
                  <w:sz w:val="18"/>
                  <w:szCs w:val="18"/>
                  <w:color w:val="0000FF"/>
                </w:rPr>
                <w:t>Bylaws of the Registrant (Filed as Exhibit (b)(1) to Pre-Effective Amendment No. 2 to the Registrant’s Registration Statement on</w:t>
              </w:r>
            </w:hyperlink>
          </w:p>
        </w:tc>
        <w:tc>
          <w:tcPr>
            <w:tcW w:w="0" w:type="dxa"/>
            <w:vAlign w:val="bottom"/>
          </w:tcPr>
          <w:p>
            <w:pPr>
              <w:spacing w:after="0"/>
              <w:rPr>
                <w:sz w:val="1"/>
                <w:szCs w:val="1"/>
                <w:color w:val="auto"/>
              </w:rPr>
            </w:pPr>
          </w:p>
        </w:tc>
      </w:tr>
      <w:tr>
        <w:trPr>
          <w:trHeight w:val="155"/>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494">
              <w:r>
                <w:rPr>
                  <w:rFonts w:ascii="Times New Roman" w:cs="Times New Roman" w:eastAsia="Times New Roman" w:hAnsi="Times New Roman"/>
                  <w:sz w:val="18"/>
                  <w:szCs w:val="18"/>
                  <w:color w:val="0000FF"/>
                </w:rPr>
                <w:t>Form N-2 (File No. 333-172550) filed with the U.S. Securities and Exchange Commission on April 29, 2011 and incorporated</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1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494">
              <w:r>
                <w:rPr>
                  <w:rFonts w:ascii="Times New Roman" w:cs="Times New Roman" w:eastAsia="Times New Roman" w:hAnsi="Times New Roman"/>
                  <w:sz w:val="18"/>
                  <w:szCs w:val="18"/>
                  <w:color w:val="0000FF"/>
                </w:rPr>
                <w:t>herein by reference).</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gridSpan w:val="32"/>
          </w:tcPr>
          <w:p>
            <w:pPr>
              <w:spacing w:after="0"/>
              <w:rPr>
                <w:rFonts w:ascii="Times New Roman" w:cs="Times New Roman" w:eastAsia="Times New Roman" w:hAnsi="Times New Roman"/>
                <w:sz w:val="18"/>
                <w:szCs w:val="18"/>
                <w:color w:val="0000FF"/>
                <w:w w:val="99"/>
              </w:rPr>
            </w:pPr>
            <w:hyperlink r:id="rId495">
              <w:r>
                <w:rPr>
                  <w:rFonts w:ascii="Times New Roman" w:cs="Times New Roman" w:eastAsia="Times New Roman" w:hAnsi="Times New Roman"/>
                  <w:sz w:val="18"/>
                  <w:szCs w:val="18"/>
                  <w:color w:val="0000FF"/>
                  <w:w w:val="99"/>
                </w:rPr>
                <w:t>Form of Stock Certificate of the Registrant (Filed as Exhibit (d) to Pre-Effective Amendment No. 2 to the Registrant’s Registration</w:t>
              </w:r>
            </w:hyperlink>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2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495">
              <w:r>
                <w:rPr>
                  <w:rFonts w:ascii="Times New Roman" w:cs="Times New Roman" w:eastAsia="Times New Roman" w:hAnsi="Times New Roman"/>
                  <w:sz w:val="18"/>
                  <w:szCs w:val="18"/>
                  <w:color w:val="0000FF"/>
                </w:rPr>
                <w:t>Statement on Form N-2 (File No. 333-172550) filed with the U.S. Securities and Exchange Commission on April 29, 2011 and</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7"/>
              </w:rPr>
            </w:pPr>
            <w:hyperlink r:id="rId495">
              <w:r>
                <w:rPr>
                  <w:rFonts w:ascii="Times New Roman" w:cs="Times New Roman" w:eastAsia="Times New Roman" w:hAnsi="Times New Roman"/>
                  <w:sz w:val="18"/>
                  <w:szCs w:val="18"/>
                  <w:color w:val="0000FF"/>
                  <w:w w:val="97"/>
                </w:rPr>
                <w:t>incorporated herein by reference).</w:t>
              </w:r>
            </w:hyperlink>
          </w:p>
        </w:tc>
        <w:tc>
          <w:tcPr>
            <w:tcW w:w="20" w:type="dxa"/>
            <w:vAlign w:val="bottom"/>
            <w:tcBorders>
              <w:top w:val="single" w:sz="8" w:color="0000FF"/>
              <w:bottom w:val="single" w:sz="8" w:color="0000EE"/>
            </w:tcBorders>
          </w:tcPr>
          <w:p>
            <w:pPr>
              <w:spacing w:after="0"/>
              <w:rPr>
                <w:sz w:val="14"/>
                <w:szCs w:val="14"/>
                <w:color w:val="auto"/>
              </w:rPr>
            </w:pPr>
          </w:p>
        </w:tc>
        <w:tc>
          <w:tcPr>
            <w:tcW w:w="6760" w:type="dxa"/>
            <w:vAlign w:val="bottom"/>
            <w:tcBorders>
              <w:top w:val="single" w:sz="8" w:color="0000FF"/>
            </w:tcBorders>
            <w:gridSpan w:val="19"/>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398"/>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gridSpan w:val="32"/>
          </w:tcPr>
          <w:p>
            <w:pPr>
              <w:spacing w:after="0"/>
              <w:rPr>
                <w:rFonts w:ascii="Times New Roman" w:cs="Times New Roman" w:eastAsia="Times New Roman" w:hAnsi="Times New Roman"/>
                <w:sz w:val="18"/>
                <w:szCs w:val="18"/>
                <w:color w:val="0000FF"/>
              </w:rPr>
            </w:pPr>
            <w:hyperlink r:id="rId496">
              <w:r>
                <w:rPr>
                  <w:rFonts w:ascii="Times New Roman" w:cs="Times New Roman" w:eastAsia="Times New Roman" w:hAnsi="Times New Roman"/>
                  <w:sz w:val="18"/>
                  <w:szCs w:val="18"/>
                  <w:color w:val="0000FF"/>
                </w:rPr>
                <w:t>Agreement to Furnish Certain Instruments (Filed as Exhibit (f)(2) to Pre-Effective Amendment No. 3 to the Registrant’s</w:t>
              </w:r>
            </w:hyperlink>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6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496">
              <w:r>
                <w:rPr>
                  <w:rFonts w:ascii="Times New Roman" w:cs="Times New Roman" w:eastAsia="Times New Roman" w:hAnsi="Times New Roman"/>
                  <w:sz w:val="18"/>
                  <w:szCs w:val="18"/>
                  <w:color w:val="0000FF"/>
                  <w:w w:val="99"/>
                </w:rPr>
                <w:t>Registration Statement on Form N-2 (File No. 333-172550) filed with the U.S. Securities and Exchange Commission on</w:t>
              </w:r>
            </w:hyperlink>
          </w:p>
        </w:tc>
        <w:tc>
          <w:tcPr>
            <w:tcW w:w="800" w:type="dxa"/>
            <w:vAlign w:val="bottom"/>
            <w:gridSpan w:val="18"/>
          </w:tcPr>
          <w:p>
            <w:pPr>
              <w:ind w:left="20"/>
              <w:spacing w:after="0" w:line="169" w:lineRule="exact"/>
              <w:rPr>
                <w:rFonts w:ascii="Times New Roman" w:cs="Times New Roman" w:eastAsia="Times New Roman" w:hAnsi="Times New Roman"/>
                <w:sz w:val="18"/>
                <w:szCs w:val="18"/>
                <w:color w:val="0000FF"/>
              </w:rPr>
            </w:pPr>
            <w:hyperlink r:id="rId496">
              <w:r>
                <w:rPr>
                  <w:rFonts w:ascii="Times New Roman" w:cs="Times New Roman" w:eastAsia="Times New Roman" w:hAnsi="Times New Roman"/>
                  <w:sz w:val="18"/>
                  <w:szCs w:val="18"/>
                  <w:color w:val="0000FF"/>
                </w:rPr>
                <w:t>May 26,</w:t>
              </w:r>
            </w:hyperlink>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32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496">
              <w:r>
                <w:rPr>
                  <w:rFonts w:ascii="Times New Roman" w:cs="Times New Roman" w:eastAsia="Times New Roman" w:hAnsi="Times New Roman"/>
                  <w:sz w:val="18"/>
                  <w:szCs w:val="18"/>
                  <w:color w:val="0000FF"/>
                </w:rPr>
                <w:t>2011 and incorporated herein by reference)</w:t>
              </w:r>
              <w:r>
                <w:rPr>
                  <w:rFonts w:ascii="Times New Roman" w:cs="Times New Roman" w:eastAsia="Times New Roman" w:hAnsi="Times New Roman"/>
                  <w:sz w:val="18"/>
                  <w:szCs w:val="18"/>
                  <w:color w:val="000000"/>
                </w:rPr>
                <w: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EE"/>
            </w:tcBorders>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gridSpan w:val="32"/>
          </w:tcPr>
          <w:p>
            <w:pPr>
              <w:spacing w:after="0"/>
              <w:rPr>
                <w:rFonts w:ascii="Times New Roman" w:cs="Times New Roman" w:eastAsia="Times New Roman" w:hAnsi="Times New Roman"/>
                <w:sz w:val="18"/>
                <w:szCs w:val="18"/>
                <w:color w:val="0000FF"/>
              </w:rPr>
            </w:pPr>
            <w:hyperlink r:id="rId497">
              <w:r>
                <w:rPr>
                  <w:rFonts w:ascii="Times New Roman" w:cs="Times New Roman" w:eastAsia="Times New Roman" w:hAnsi="Times New Roman"/>
                  <w:sz w:val="18"/>
                  <w:szCs w:val="18"/>
                  <w:color w:val="0000FF"/>
                </w:rPr>
                <w:t>Form of Indenture (Filed as Exhibit (d)(5) to Post-Effective Amendment No. 2 to the Registrant’s Registration Statement on Form</w:t>
              </w:r>
            </w:hyperlink>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20" w:type="dxa"/>
            <w:vAlign w:val="bottom"/>
            <w:tcBorders>
              <w:top w:val="single" w:sz="8" w:color="0000FF"/>
              <w:bottom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497">
              <w:r>
                <w:rPr>
                  <w:rFonts w:ascii="Times New Roman" w:cs="Times New Roman" w:eastAsia="Times New Roman" w:hAnsi="Times New Roman"/>
                  <w:sz w:val="18"/>
                  <w:szCs w:val="18"/>
                  <w:color w:val="0000FF"/>
                </w:rPr>
                <w:t>N-2 (File No. 333-202531) filed with the U.S. Securities and Exchange Commission on April 29, 2016 and incorporated herein by</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20" w:type="dxa"/>
            <w:vAlign w:val="bottom"/>
            <w:gridSpan w:val="31"/>
          </w:tcPr>
          <w:p>
            <w:pPr>
              <w:spacing w:after="0" w:line="169" w:lineRule="exact"/>
              <w:rPr>
                <w:rFonts w:ascii="Times New Roman" w:cs="Times New Roman" w:eastAsia="Times New Roman" w:hAnsi="Times New Roman"/>
                <w:sz w:val="18"/>
                <w:szCs w:val="18"/>
                <w:color w:val="0000FF"/>
              </w:rPr>
            </w:pPr>
            <w:hyperlink r:id="rId497">
              <w:r>
                <w:rPr>
                  <w:rFonts w:ascii="Times New Roman" w:cs="Times New Roman" w:eastAsia="Times New Roman" w:hAnsi="Times New Roman"/>
                  <w:sz w:val="18"/>
                  <w:szCs w:val="18"/>
                  <w:color w:val="0000FF"/>
                </w:rPr>
                <w:t>reference).</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gridSpan w:val="32"/>
          </w:tcPr>
          <w:p>
            <w:pPr>
              <w:spacing w:after="0"/>
              <w:rPr>
                <w:rFonts w:ascii="Times New Roman" w:cs="Times New Roman" w:eastAsia="Times New Roman" w:hAnsi="Times New Roman"/>
                <w:sz w:val="18"/>
                <w:szCs w:val="18"/>
                <w:color w:val="0000FF"/>
              </w:rPr>
            </w:pPr>
            <w:hyperlink r:id="rId498">
              <w:r>
                <w:rPr>
                  <w:rFonts w:ascii="Times New Roman" w:cs="Times New Roman" w:eastAsia="Times New Roman" w:hAnsi="Times New Roman"/>
                  <w:sz w:val="18"/>
                  <w:szCs w:val="18"/>
                  <w:color w:val="0000FF"/>
                </w:rPr>
                <w:t>Fourth Supplemental Indenture dated as of December 23, 2020 between Fidus Investment Corporation and U.S. Bank National</w:t>
              </w:r>
            </w:hyperlink>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16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498">
              <w:r>
                <w:rPr>
                  <w:rFonts w:ascii="Times New Roman" w:cs="Times New Roman" w:eastAsia="Times New Roman" w:hAnsi="Times New Roman"/>
                  <w:sz w:val="18"/>
                  <w:szCs w:val="18"/>
                  <w:color w:val="0000FF"/>
                </w:rPr>
                <w:t>Association, as trustee (Filed as Exhibit 4.1 to the Registrant’s Current report on Form 8-K filed with the U.S. Securities and</w:t>
              </w:r>
            </w:hyperlink>
          </w:p>
        </w:tc>
        <w:tc>
          <w:tcPr>
            <w:tcW w:w="6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12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498">
              <w:r>
                <w:rPr>
                  <w:rFonts w:ascii="Times New Roman" w:cs="Times New Roman" w:eastAsia="Times New Roman" w:hAnsi="Times New Roman"/>
                  <w:sz w:val="18"/>
                  <w:szCs w:val="18"/>
                  <w:color w:val="0000FF"/>
                  <w:w w:val="99"/>
                </w:rPr>
                <w:t>Exchange Commission on December 23, 2020 and incorporated herein by reference).</w:t>
              </w:r>
            </w:hyperlink>
          </w:p>
        </w:tc>
        <w:tc>
          <w:tcPr>
            <w:tcW w:w="20" w:type="dxa"/>
            <w:vAlign w:val="bottom"/>
            <w:tcBorders>
              <w:top w:val="single" w:sz="8" w:color="0000FF"/>
              <w:bottom w:val="single" w:sz="8" w:color="0000EE"/>
            </w:tcBorders>
          </w:tcPr>
          <w:p>
            <w:pPr>
              <w:spacing w:after="0"/>
              <w:rPr>
                <w:sz w:val="14"/>
                <w:szCs w:val="14"/>
                <w:color w:val="auto"/>
              </w:rPr>
            </w:pPr>
          </w:p>
        </w:tc>
        <w:tc>
          <w:tcPr>
            <w:tcW w:w="284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gridSpan w:val="4"/>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398"/>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gridSpan w:val="32"/>
          </w:tcPr>
          <w:p>
            <w:pPr>
              <w:spacing w:after="0"/>
              <w:rPr>
                <w:rFonts w:ascii="Times New Roman" w:cs="Times New Roman" w:eastAsia="Times New Roman" w:hAnsi="Times New Roman"/>
                <w:sz w:val="18"/>
                <w:szCs w:val="18"/>
                <w:color w:val="0000FF"/>
              </w:rPr>
            </w:pPr>
            <w:hyperlink r:id="rId498">
              <w:r>
                <w:rPr>
                  <w:rFonts w:ascii="Times New Roman" w:cs="Times New Roman" w:eastAsia="Times New Roman" w:hAnsi="Times New Roman"/>
                  <w:sz w:val="18"/>
                  <w:szCs w:val="18"/>
                  <w:color w:val="0000FF"/>
                </w:rPr>
                <w:t>Form of Global Note with respect to the 4.75% Notes due 2026 (Filed as Exhibit 4.1 to the Registrant’s Current report on Form 8-</w:t>
              </w:r>
            </w:hyperlink>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gridSpan w:val="3"/>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262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340" w:type="dxa"/>
            <w:vAlign w:val="bottom"/>
            <w:gridSpan w:val="27"/>
          </w:tcPr>
          <w:p>
            <w:pPr>
              <w:spacing w:after="0" w:line="169" w:lineRule="exact"/>
              <w:rPr>
                <w:rFonts w:ascii="Times New Roman" w:cs="Times New Roman" w:eastAsia="Times New Roman" w:hAnsi="Times New Roman"/>
                <w:sz w:val="18"/>
                <w:szCs w:val="18"/>
                <w:color w:val="0000FF"/>
              </w:rPr>
            </w:pPr>
            <w:hyperlink r:id="rId498">
              <w:r>
                <w:rPr>
                  <w:rFonts w:ascii="Times New Roman" w:cs="Times New Roman" w:eastAsia="Times New Roman" w:hAnsi="Times New Roman"/>
                  <w:sz w:val="18"/>
                  <w:szCs w:val="18"/>
                  <w:color w:val="0000FF"/>
                </w:rPr>
                <w:t>K filed with the U.S. Securities and Exchange Commission on December 23, 2020 and incorporated herein by reference).</w:t>
              </w:r>
            </w:hyperlink>
          </w:p>
        </w:tc>
        <w:tc>
          <w:tcPr>
            <w:tcW w:w="20" w:type="dxa"/>
            <w:vAlign w:val="bottom"/>
            <w:vMerge w:val="continue"/>
          </w:tcPr>
          <w:p>
            <w:pPr>
              <w:spacing w:after="0"/>
              <w:rPr>
                <w:sz w:val="14"/>
                <w:szCs w:val="14"/>
                <w:color w:val="auto"/>
              </w:rPr>
            </w:pPr>
          </w:p>
        </w:tc>
        <w:tc>
          <w:tcPr>
            <w:tcW w:w="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gridSpan w:val="3"/>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262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gridSpan w:val="32"/>
          </w:tcPr>
          <w:p>
            <w:pPr>
              <w:spacing w:after="0"/>
              <w:rPr>
                <w:rFonts w:ascii="Times New Roman" w:cs="Times New Roman" w:eastAsia="Times New Roman" w:hAnsi="Times New Roman"/>
                <w:sz w:val="18"/>
                <w:szCs w:val="18"/>
                <w:color w:val="0000FF"/>
              </w:rPr>
            </w:pPr>
            <w:hyperlink r:id="rId499">
              <w:r>
                <w:rPr>
                  <w:rFonts w:ascii="Times New Roman" w:cs="Times New Roman" w:eastAsia="Times New Roman" w:hAnsi="Times New Roman"/>
                  <w:sz w:val="18"/>
                  <w:szCs w:val="18"/>
                  <w:color w:val="0000FF"/>
                </w:rPr>
                <w:t>Fifth Supplemental Indenture dated as of October 8, 2021 between Fidus Investment Corporation and U.S. Bank National</w:t>
              </w:r>
            </w:hyperlink>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Borders>
              <w:right w:val="single" w:sz="8" w:color="0000FF"/>
            </w:tcBorders>
            <w:gridSpan w:val="3"/>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262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60" w:type="dxa"/>
            <w:vAlign w:val="bottom"/>
            <w:gridSpan w:val="32"/>
          </w:tcPr>
          <w:p>
            <w:pPr>
              <w:spacing w:after="0" w:line="169" w:lineRule="exact"/>
              <w:rPr>
                <w:rFonts w:ascii="Times New Roman" w:cs="Times New Roman" w:eastAsia="Times New Roman" w:hAnsi="Times New Roman"/>
                <w:sz w:val="18"/>
                <w:szCs w:val="18"/>
                <w:color w:val="0000FF"/>
              </w:rPr>
            </w:pPr>
            <w:hyperlink r:id="rId499">
              <w:r>
                <w:rPr>
                  <w:rFonts w:ascii="Times New Roman" w:cs="Times New Roman" w:eastAsia="Times New Roman" w:hAnsi="Times New Roman"/>
                  <w:sz w:val="18"/>
                  <w:szCs w:val="18"/>
                  <w:color w:val="0000FF"/>
                </w:rPr>
                <w:t>Association, as trustee (Filed as Exhibit 4.1 to the Registrant’s Current report on Form 8-K filed with the U.S. Securities and</w:t>
              </w:r>
            </w:hyperlink>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98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499">
              <w:r>
                <w:rPr>
                  <w:rFonts w:ascii="Times New Roman" w:cs="Times New Roman" w:eastAsia="Times New Roman" w:hAnsi="Times New Roman"/>
                  <w:sz w:val="18"/>
                  <w:szCs w:val="18"/>
                  <w:color w:val="0000FF"/>
                </w:rPr>
                <w:t>Exchange Commission on October 8, 2021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gridSpan w:val="4"/>
          </w:tcPr>
          <w:p>
            <w:pPr>
              <w:spacing w:after="0"/>
              <w:rPr>
                <w:sz w:val="14"/>
                <w:szCs w:val="14"/>
                <w:color w:val="auto"/>
              </w:rPr>
            </w:pPr>
          </w:p>
        </w:tc>
        <w:tc>
          <w:tcPr>
            <w:tcW w:w="140" w:type="dxa"/>
            <w:vAlign w:val="bottom"/>
            <w:gridSpan w:val="3"/>
          </w:tcPr>
          <w:p>
            <w:pPr>
              <w:spacing w:after="0"/>
              <w:rPr>
                <w:sz w:val="14"/>
                <w:szCs w:val="14"/>
                <w:color w:val="auto"/>
              </w:rPr>
            </w:pPr>
          </w:p>
        </w:tc>
        <w:tc>
          <w:tcPr>
            <w:tcW w:w="1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gridSpan w:val="3"/>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40" w:type="dxa"/>
            <w:vAlign w:val="bottom"/>
            <w:tcBorders>
              <w:right w:val="single" w:sz="8" w:color="0000EE"/>
            </w:tcBorders>
            <w:gridSpan w:val="2"/>
            <w:shd w:val="clear" w:color="auto" w:fill="0000FF"/>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gridSpan w:val="32"/>
          </w:tcPr>
          <w:p>
            <w:pPr>
              <w:spacing w:after="0"/>
              <w:rPr>
                <w:rFonts w:ascii="Times New Roman" w:cs="Times New Roman" w:eastAsia="Times New Roman" w:hAnsi="Times New Roman"/>
                <w:sz w:val="18"/>
                <w:szCs w:val="18"/>
                <w:color w:val="0000FF"/>
              </w:rPr>
            </w:pPr>
            <w:hyperlink r:id="rId499">
              <w:r>
                <w:rPr>
                  <w:rFonts w:ascii="Times New Roman" w:cs="Times New Roman" w:eastAsia="Times New Roman" w:hAnsi="Times New Roman"/>
                  <w:sz w:val="18"/>
                  <w:szCs w:val="18"/>
                  <w:color w:val="0000FF"/>
                </w:rPr>
                <w:t>Form of Global Note with respect to the 3.50% Notes due 2026 (Filed as Exhibit 4.1 to the Registrant’s Current report on Form 8-</w:t>
              </w:r>
            </w:hyperlink>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gridSpan w:val="3"/>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960" w:type="dxa"/>
            <w:vAlign w:val="bottom"/>
            <w:tcBorders>
              <w:right w:val="single" w:sz="8" w:color="0000FF"/>
            </w:tcBorders>
            <w:gridSpan w:val="5"/>
            <w:shd w:val="clear" w:color="auto" w:fill="0000FF"/>
          </w:tcPr>
          <w:p>
            <w:pPr>
              <w:spacing w:after="0" w:line="20" w:lineRule="exact"/>
              <w:rPr>
                <w:sz w:val="1"/>
                <w:szCs w:val="1"/>
                <w:color w:val="auto"/>
              </w:rPr>
            </w:pPr>
          </w:p>
        </w:tc>
        <w:tc>
          <w:tcPr>
            <w:tcW w:w="42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340" w:type="dxa"/>
            <w:vAlign w:val="bottom"/>
            <w:gridSpan w:val="27"/>
          </w:tcPr>
          <w:p>
            <w:pPr>
              <w:spacing w:after="0" w:line="169" w:lineRule="exact"/>
              <w:rPr>
                <w:rFonts w:ascii="Times New Roman" w:cs="Times New Roman" w:eastAsia="Times New Roman" w:hAnsi="Times New Roman"/>
                <w:sz w:val="18"/>
                <w:szCs w:val="18"/>
                <w:color w:val="0000FF"/>
              </w:rPr>
            </w:pPr>
            <w:hyperlink r:id="rId499">
              <w:r>
                <w:rPr>
                  <w:rFonts w:ascii="Times New Roman" w:cs="Times New Roman" w:eastAsia="Times New Roman" w:hAnsi="Times New Roman"/>
                  <w:sz w:val="18"/>
                  <w:szCs w:val="18"/>
                  <w:color w:val="0000FF"/>
                </w:rPr>
                <w:t>K filed with the U.S. Securities and Exchange Commission on October 8, 2021 and incorporated herein by reference).</w:t>
              </w:r>
            </w:hyperlink>
          </w:p>
        </w:tc>
        <w:tc>
          <w:tcPr>
            <w:tcW w:w="20" w:type="dxa"/>
            <w:vAlign w:val="bottom"/>
            <w:vMerge w:val="continue"/>
          </w:tcPr>
          <w:p>
            <w:pPr>
              <w:spacing w:after="0"/>
              <w:rPr>
                <w:sz w:val="14"/>
                <w:szCs w:val="14"/>
                <w:color w:val="auto"/>
              </w:rPr>
            </w:pPr>
          </w:p>
        </w:tc>
        <w:tc>
          <w:tcPr>
            <w:tcW w:w="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gridSpan w:val="3"/>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960" w:type="dxa"/>
            <w:vAlign w:val="bottom"/>
            <w:tcBorders>
              <w:right w:val="single" w:sz="8" w:color="0000EE"/>
            </w:tcBorders>
            <w:gridSpan w:val="5"/>
            <w:shd w:val="clear" w:color="auto" w:fill="0000FF"/>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gridSpan w:val="32"/>
          </w:tcPr>
          <w:p>
            <w:pPr>
              <w:spacing w:after="0"/>
              <w:rPr>
                <w:rFonts w:ascii="Times New Roman" w:cs="Times New Roman" w:eastAsia="Times New Roman" w:hAnsi="Times New Roman"/>
                <w:sz w:val="18"/>
                <w:szCs w:val="18"/>
                <w:color w:val="0000FF"/>
              </w:rPr>
            </w:pPr>
            <w:hyperlink r:id="rId500">
              <w:r>
                <w:rPr>
                  <w:rFonts w:ascii="Times New Roman" w:cs="Times New Roman" w:eastAsia="Times New Roman" w:hAnsi="Times New Roman"/>
                  <w:sz w:val="18"/>
                  <w:szCs w:val="18"/>
                  <w:color w:val="0000FF"/>
                </w:rPr>
                <w:t>Amendment No. 2, dated as of August 17, 2022, to the Amended and Restated Senior Secured Revolving Credit Agreement, by</w:t>
              </w:r>
            </w:hyperlink>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Borders>
              <w:right w:val="single" w:sz="8" w:color="0000FF"/>
            </w:tcBorders>
            <w:gridSpan w:val="3"/>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380" w:type="dxa"/>
            <w:vAlign w:val="bottom"/>
            <w:tcBorders>
              <w:right w:val="single" w:sz="8" w:color="0000FF"/>
            </w:tcBorders>
            <w:gridSpan w:val="9"/>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60" w:type="dxa"/>
            <w:vAlign w:val="bottom"/>
            <w:gridSpan w:val="32"/>
          </w:tcPr>
          <w:p>
            <w:pPr>
              <w:spacing w:after="0" w:line="169" w:lineRule="exact"/>
              <w:rPr>
                <w:rFonts w:ascii="Times New Roman" w:cs="Times New Roman" w:eastAsia="Times New Roman" w:hAnsi="Times New Roman"/>
                <w:sz w:val="18"/>
                <w:szCs w:val="18"/>
                <w:color w:val="0000FF"/>
              </w:rPr>
            </w:pPr>
            <w:hyperlink r:id="rId500">
              <w:r>
                <w:rPr>
                  <w:rFonts w:ascii="Times New Roman" w:cs="Times New Roman" w:eastAsia="Times New Roman" w:hAnsi="Times New Roman"/>
                  <w:sz w:val="18"/>
                  <w:szCs w:val="18"/>
                  <w:color w:val="0000FF"/>
                </w:rPr>
                <w:t>and among the Company, the Lenders, and ING Capital LLC, as administrative agent for the Lenders (Filed as Exhibit 10.1 to the</w:t>
              </w:r>
            </w:hyperlink>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360" w:type="dxa"/>
            <w:vAlign w:val="bottom"/>
            <w:tcBorders>
              <w:top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500">
              <w:r>
                <w:rPr>
                  <w:rFonts w:ascii="Times New Roman" w:cs="Times New Roman" w:eastAsia="Times New Roman" w:hAnsi="Times New Roman"/>
                  <w:sz w:val="18"/>
                  <w:szCs w:val="18"/>
                  <w:color w:val="0000FF"/>
                </w:rPr>
                <w:t>Registrant’s Current Report on Form 8-K filed with the U.S. Securities and Exchange Commission on August 23, 2022 and</w:t>
              </w:r>
            </w:hyperlink>
          </w:p>
        </w:tc>
        <w:tc>
          <w:tcPr>
            <w:tcW w:w="1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7"/>
              </w:rPr>
            </w:pPr>
            <w:hyperlink r:id="rId500">
              <w:r>
                <w:rPr>
                  <w:rFonts w:ascii="Times New Roman" w:cs="Times New Roman" w:eastAsia="Times New Roman" w:hAnsi="Times New Roman"/>
                  <w:sz w:val="18"/>
                  <w:szCs w:val="18"/>
                  <w:color w:val="0000FF"/>
                  <w:w w:val="97"/>
                </w:rPr>
                <w:t>incorporated herein by reference).</w:t>
              </w:r>
            </w:hyperlink>
          </w:p>
        </w:tc>
        <w:tc>
          <w:tcPr>
            <w:tcW w:w="20" w:type="dxa"/>
            <w:vAlign w:val="bottom"/>
            <w:tcBorders>
              <w:top w:val="single" w:sz="8" w:color="0000FF"/>
              <w:bottom w:val="single" w:sz="8" w:color="0000EE"/>
            </w:tcBorders>
          </w:tcPr>
          <w:p>
            <w:pPr>
              <w:spacing w:after="0"/>
              <w:rPr>
                <w:sz w:val="14"/>
                <w:szCs w:val="14"/>
                <w:color w:val="auto"/>
              </w:rPr>
            </w:pPr>
          </w:p>
        </w:tc>
        <w:tc>
          <w:tcPr>
            <w:tcW w:w="6480" w:type="dxa"/>
            <w:vAlign w:val="bottom"/>
            <w:tcBorders>
              <w:top w:val="single" w:sz="8" w:color="0000FF"/>
            </w:tcBorders>
            <w:gridSpan w:val="12"/>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398"/>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Chief Executive Officer Certification Pursuant to Rule 13a-14 of the Securities Exchange Act of 1934, as adopted pursuant to</w:t>
            </w:r>
          </w:p>
        </w:tc>
        <w:tc>
          <w:tcPr>
            <w:tcW w:w="0" w:type="dxa"/>
            <w:vAlign w:val="bottom"/>
          </w:tcPr>
          <w:p>
            <w:pPr>
              <w:spacing w:after="0"/>
              <w:rPr>
                <w:sz w:val="1"/>
                <w:szCs w:val="1"/>
                <w:color w:val="auto"/>
              </w:rPr>
            </w:pPr>
          </w:p>
        </w:tc>
      </w:tr>
      <w:tr>
        <w:trPr>
          <w:trHeight w:val="155"/>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8"/>
              </w:rPr>
              <w:t>Section 302 of the Sarbanes-Oxley Act of 2002.*</w:t>
            </w:r>
          </w:p>
        </w:tc>
        <w:tc>
          <w:tcPr>
            <w:tcW w:w="20" w:type="dxa"/>
            <w:vAlign w:val="bottom"/>
            <w:tcBorders>
              <w:top w:val="single" w:sz="8" w:color="0000FF"/>
              <w:bottom w:val="single" w:sz="8" w:color="0000EE"/>
            </w:tcBorders>
          </w:tcPr>
          <w:p>
            <w:pPr>
              <w:spacing w:after="0"/>
              <w:rPr>
                <w:sz w:val="13"/>
                <w:szCs w:val="13"/>
                <w:color w:val="auto"/>
              </w:rPr>
            </w:pPr>
          </w:p>
        </w:tc>
        <w:tc>
          <w:tcPr>
            <w:tcW w:w="5520" w:type="dxa"/>
            <w:vAlign w:val="bottom"/>
            <w:tcBorders>
              <w:top w:val="single" w:sz="8" w:color="0000FF"/>
            </w:tcBorders>
            <w:gridSpan w:val="13"/>
          </w:tcPr>
          <w:p>
            <w:pPr>
              <w:spacing w:after="0"/>
              <w:rPr>
                <w:sz w:val="13"/>
                <w:szCs w:val="13"/>
                <w:color w:val="auto"/>
              </w:rPr>
            </w:pPr>
          </w:p>
        </w:tc>
        <w:tc>
          <w:tcPr>
            <w:tcW w:w="40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Chief Financial Officer Certification Pursuant to Rule 13a-14 of the Securities Exchange Act of 1934, as adopted pursuant to</w:t>
            </w:r>
          </w:p>
        </w:tc>
        <w:tc>
          <w:tcPr>
            <w:tcW w:w="0" w:type="dxa"/>
            <w:vAlign w:val="bottom"/>
          </w:tcPr>
          <w:p>
            <w:pPr>
              <w:spacing w:after="0"/>
              <w:rPr>
                <w:sz w:val="1"/>
                <w:szCs w:val="1"/>
                <w:color w:val="auto"/>
              </w:rPr>
            </w:pPr>
          </w:p>
        </w:tc>
      </w:tr>
      <w:tr>
        <w:trPr>
          <w:trHeight w:val="155"/>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8"/>
              </w:rPr>
              <w:t>Section 302 of the Sarbanes-Oxley Act of 2002.*</w:t>
            </w:r>
          </w:p>
        </w:tc>
        <w:tc>
          <w:tcPr>
            <w:tcW w:w="20" w:type="dxa"/>
            <w:vAlign w:val="bottom"/>
            <w:tcBorders>
              <w:top w:val="single" w:sz="8" w:color="0000FF"/>
              <w:bottom w:val="single" w:sz="8" w:color="0000EE"/>
            </w:tcBorders>
          </w:tcPr>
          <w:p>
            <w:pPr>
              <w:spacing w:after="0"/>
              <w:rPr>
                <w:sz w:val="13"/>
                <w:szCs w:val="13"/>
                <w:color w:val="auto"/>
              </w:rPr>
            </w:pPr>
          </w:p>
        </w:tc>
        <w:tc>
          <w:tcPr>
            <w:tcW w:w="5480" w:type="dxa"/>
            <w:vAlign w:val="bottom"/>
            <w:tcBorders>
              <w:top w:val="single" w:sz="8" w:color="0000FF"/>
            </w:tcBorders>
            <w:gridSpan w:val="12"/>
          </w:tcPr>
          <w:p>
            <w:pPr>
              <w:spacing w:after="0"/>
              <w:rPr>
                <w:sz w:val="13"/>
                <w:szCs w:val="13"/>
                <w:color w:val="auto"/>
              </w:rPr>
            </w:pPr>
          </w:p>
        </w:tc>
        <w:tc>
          <w:tcPr>
            <w:tcW w:w="4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Certification pursuant to Section 1350, Chapter 63 of Title 18, United States Code, as adopted pursuant to Section 906 of the</w:t>
            </w:r>
          </w:p>
        </w:tc>
        <w:tc>
          <w:tcPr>
            <w:tcW w:w="0" w:type="dxa"/>
            <w:vAlign w:val="bottom"/>
          </w:tcPr>
          <w:p>
            <w:pPr>
              <w:spacing w:after="0"/>
              <w:rPr>
                <w:sz w:val="1"/>
                <w:szCs w:val="1"/>
                <w:color w:val="auto"/>
              </w:rPr>
            </w:pPr>
          </w:p>
        </w:tc>
      </w:tr>
      <w:tr>
        <w:trPr>
          <w:trHeight w:val="155"/>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0" w:type="dxa"/>
            <w:vAlign w:val="bottom"/>
            <w:tcBorders>
              <w:top w:val="single" w:sz="8" w:color="0000FF"/>
            </w:tcBorders>
            <w:gridSpan w:val="19"/>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46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EE"/>
            </w:tcBorders>
            <w:gridSpan w:val="3"/>
            <w:shd w:val="clear" w:color="auto" w:fill="0000FF"/>
          </w:tcPr>
          <w:p>
            <w:pPr>
              <w:spacing w:after="0" w:line="20" w:lineRule="exact"/>
              <w:rPr>
                <w:sz w:val="1"/>
                <w:szCs w:val="1"/>
                <w:color w:val="auto"/>
              </w:rPr>
            </w:pPr>
          </w:p>
        </w:tc>
        <w:tc>
          <w:tcPr>
            <w:tcW w:w="7280" w:type="dxa"/>
            <w:vAlign w:val="bottom"/>
            <w:gridSpan w:val="2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6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400"/>
        </w:trPr>
        <w:tc>
          <w:tcPr>
            <w:tcW w:w="1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405"/>
        </w:trPr>
        <w:tc>
          <w:tcPr>
            <w:tcW w:w="1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607"/>
        </w:trPr>
        <w:tc>
          <w:tcPr>
            <w:tcW w:w="1580" w:type="dxa"/>
            <w:vAlign w:val="bottom"/>
          </w:tcPr>
          <w:p>
            <w:pPr>
              <w:spacing w:after="0"/>
              <w:rPr>
                <w:sz w:val="24"/>
                <w:szCs w:val="24"/>
                <w:color w:val="auto"/>
              </w:rPr>
            </w:pPr>
          </w:p>
        </w:tc>
        <w:tc>
          <w:tcPr>
            <w:tcW w:w="4260" w:type="dxa"/>
            <w:vAlign w:val="bottom"/>
            <w:gridSpan w:val="11"/>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9" w:name="page60"/>
    <w:bookmarkEnd w:id="59"/>
    <w:tbl>
      <w:tblPr>
        <w:tblLayout w:type="fixed"/>
        <w:tblInd w:w="460" w:type="dxa"/>
        <w:tblCellMar>
          <w:top w:w="0" w:type="dxa"/>
          <w:left w:w="0" w:type="dxa"/>
          <w:bottom w:w="0" w:type="dxa"/>
          <w:right w:w="0" w:type="dxa"/>
        </w:tblCellMar>
      </w:tblPr>
      <w:tr>
        <w:trPr>
          <w:trHeight w:val="234"/>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5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05"/>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05"/>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52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Inline XBRL Taxonomy Extension Presentation Linkbase Document</w:t>
            </w:r>
          </w:p>
        </w:tc>
      </w:tr>
    </w:tbl>
    <w:p>
      <w:pPr>
        <w:spacing w:after="0" w:line="171" w:lineRule="exact"/>
        <w:rPr>
          <w:sz w:val="20"/>
          <w:szCs w:val="20"/>
          <w:color w:val="auto"/>
        </w:rPr>
      </w:pPr>
    </w:p>
    <w:p>
      <w:pPr>
        <w:ind w:left="1760" w:hanging="1097"/>
        <w:spacing w:after="0"/>
        <w:tabs>
          <w:tab w:leader="none" w:pos="17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2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*Filed herewith.</w:t>
      </w:r>
    </w:p>
    <w:p>
      <w:pPr>
        <w:spacing w:after="0" w:line="1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4" w:right="1440"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tc>
      </w:tr>
      <w:tr>
        <w:trPr>
          <w:trHeight w:val="364"/>
        </w:trPr>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November 3, 2022</w:t>
            </w:r>
          </w:p>
        </w:tc>
        <w:tc>
          <w:tcPr>
            <w:tcW w:w="1940" w:type="dxa"/>
            <w:vAlign w:val="bottom"/>
          </w:tcPr>
          <w:p>
            <w:pPr>
              <w:spacing w:after="0"/>
              <w:rPr>
                <w:sz w:val="24"/>
                <w:szCs w:val="24"/>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EDWARD H. ROSS</w:t>
            </w:r>
          </w:p>
        </w:tc>
      </w:tr>
      <w:tr>
        <w:trPr>
          <w:trHeight w:val="205"/>
        </w:trPr>
        <w:tc>
          <w:tcPr>
            <w:tcW w:w="36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7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Edward H. Ross</w:t>
            </w:r>
          </w:p>
        </w:tc>
        <w:tc>
          <w:tcPr>
            <w:tcW w:w="3920" w:type="dxa"/>
            <w:vAlign w:val="bottom"/>
            <w:gridSpan w:val="2"/>
          </w:tcPr>
          <w:p>
            <w:pPr>
              <w:spacing w:after="0"/>
              <w:rPr>
                <w:sz w:val="17"/>
                <w:szCs w:val="17"/>
                <w:color w:val="auto"/>
              </w:rPr>
            </w:pPr>
          </w:p>
        </w:tc>
      </w:tr>
      <w:tr>
        <w:trPr>
          <w:trHeight w:val="203"/>
        </w:trPr>
        <w:tc>
          <w:tcPr>
            <w:tcW w:w="36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62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36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64"/>
        </w:trPr>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November 3, 2022</w:t>
            </w:r>
          </w:p>
        </w:tc>
        <w:tc>
          <w:tcPr>
            <w:tcW w:w="1940" w:type="dxa"/>
            <w:vAlign w:val="bottom"/>
          </w:tcPr>
          <w:p>
            <w:pPr>
              <w:spacing w:after="0"/>
              <w:rPr>
                <w:sz w:val="24"/>
                <w:szCs w:val="24"/>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SHELBY E. SHERARD</w:t>
            </w:r>
          </w:p>
        </w:tc>
      </w:tr>
      <w:tr>
        <w:trPr>
          <w:trHeight w:val="191"/>
        </w:trPr>
        <w:tc>
          <w:tcPr>
            <w:tcW w:w="3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0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Shelby E. Sherard</w:t>
            </w:r>
          </w:p>
        </w:tc>
        <w:tc>
          <w:tcPr>
            <w:tcW w:w="3620" w:type="dxa"/>
            <w:vAlign w:val="bottom"/>
          </w:tcPr>
          <w:p>
            <w:pPr>
              <w:spacing w:after="0"/>
              <w:rPr>
                <w:sz w:val="16"/>
                <w:szCs w:val="16"/>
                <w:color w:val="auto"/>
              </w:rPr>
            </w:pPr>
          </w:p>
        </w:tc>
      </w:tr>
      <w:tr>
        <w:trPr>
          <w:trHeight w:val="180"/>
        </w:trPr>
        <w:tc>
          <w:tcPr>
            <w:tcW w:w="36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62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6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00"/>
        </w:trPr>
        <w:tc>
          <w:tcPr>
            <w:tcW w:w="3680" w:type="dxa"/>
            <w:vAlign w:val="bottom"/>
          </w:tcPr>
          <w:p>
            <w:pPr>
              <w:spacing w:after="0"/>
              <w:rPr>
                <w:sz w:val="24"/>
                <w:szCs w:val="24"/>
                <w:color w:val="auto"/>
              </w:rPr>
            </w:pPr>
          </w:p>
        </w:tc>
        <w:tc>
          <w:tcPr>
            <w:tcW w:w="3640" w:type="dxa"/>
            <w:vAlign w:val="bottom"/>
            <w:gridSpan w:val="2"/>
          </w:tcPr>
          <w:p>
            <w:pPr>
              <w:jc w:val="right"/>
              <w:ind w:right="1510"/>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115"/>
        </w:trPr>
        <w:tc>
          <w:tcPr>
            <w:tcW w:w="368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 Chief Executive Officer Certification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 of the Securities Exchange Act of 1934,</w:t>
      </w:r>
    </w:p>
    <w:p>
      <w:pPr>
        <w:spacing w:after="0" w:line="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H. Ross, as Chief Executive Officer of Fidus Investment Corporation, certify that:</w:t>
      </w:r>
    </w:p>
    <w:p>
      <w:pPr>
        <w:spacing w:after="0" w:line="212" w:lineRule="exact"/>
        <w:rPr>
          <w:sz w:val="20"/>
          <w:szCs w:val="20"/>
          <w:color w:val="auto"/>
        </w:rPr>
      </w:pPr>
    </w:p>
    <w:p>
      <w:pPr>
        <w:ind w:left="360" w:hanging="352"/>
        <w:spacing w:after="0"/>
        <w:tabs>
          <w:tab w:leader="none" w:pos="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Fidus Investment Corporation;</w:t>
      </w:r>
    </w:p>
    <w:p>
      <w:pPr>
        <w:spacing w:after="0" w:line="198" w:lineRule="exact"/>
        <w:rPr>
          <w:rFonts w:ascii="Times New Roman" w:cs="Times New Roman" w:eastAsia="Times New Roman" w:hAnsi="Times New Roman"/>
          <w:sz w:val="18"/>
          <w:szCs w:val="18"/>
          <w:color w:val="auto"/>
        </w:rPr>
      </w:pPr>
    </w:p>
    <w:p>
      <w:pPr>
        <w:ind w:left="300" w:right="400" w:hanging="292"/>
        <w:spacing w:after="0" w:line="258" w:lineRule="auto"/>
        <w:tabs>
          <w:tab w:leader="none" w:pos="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300" w:right="360" w:hanging="292"/>
        <w:spacing w:after="0" w:line="266" w:lineRule="auto"/>
        <w:tabs>
          <w:tab w:leader="none" w:pos="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300" w:right="40" w:hanging="292"/>
        <w:spacing w:after="0" w:line="250" w:lineRule="auto"/>
        <w:tabs>
          <w:tab w:leader="none" w:pos="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600" w:right="360" w:hanging="284"/>
        <w:spacing w:after="0" w:line="258" w:lineRule="auto"/>
        <w:tabs>
          <w:tab w:leader="none" w:pos="66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Times New Roman" w:cs="Times New Roman" w:eastAsia="Times New Roman" w:hAnsi="Times New Roman"/>
          <w:sz w:val="18"/>
          <w:szCs w:val="18"/>
          <w:color w:val="auto"/>
        </w:rPr>
      </w:pPr>
    </w:p>
    <w:p>
      <w:pPr>
        <w:ind w:left="600" w:right="120" w:hanging="284"/>
        <w:spacing w:after="0" w:line="258" w:lineRule="auto"/>
        <w:tabs>
          <w:tab w:leader="none" w:pos="66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Times New Roman" w:cs="Times New Roman" w:eastAsia="Times New Roman" w:hAnsi="Times New Roman"/>
          <w:sz w:val="18"/>
          <w:szCs w:val="18"/>
          <w:color w:val="auto"/>
        </w:rPr>
      </w:pPr>
    </w:p>
    <w:p>
      <w:pPr>
        <w:jc w:val="both"/>
        <w:ind w:left="600" w:right="860" w:hanging="284"/>
        <w:spacing w:after="0" w:line="312" w:lineRule="auto"/>
        <w:tabs>
          <w:tab w:leader="none" w:pos="669"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600" w:right="140" w:hanging="284"/>
        <w:spacing w:after="0" w:line="258" w:lineRule="auto"/>
        <w:tabs>
          <w:tab w:leader="none" w:pos="66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300" w:right="100" w:hanging="292"/>
        <w:spacing w:after="0" w:line="266" w:lineRule="auto"/>
        <w:tabs>
          <w:tab w:leader="none" w:pos="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600" w:right="260" w:hanging="284"/>
        <w:spacing w:after="0" w:line="266" w:lineRule="auto"/>
        <w:tabs>
          <w:tab w:leader="none" w:pos="66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600" w:right="220" w:hanging="284"/>
        <w:spacing w:after="0" w:line="282" w:lineRule="auto"/>
        <w:tabs>
          <w:tab w:leader="none" w:pos="66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82816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6">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Edward H. Ross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 Chief Financial Officer Certification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 of the Securities Exchange Act of 1934,</w:t>
      </w:r>
    </w:p>
    <w:p>
      <w:pPr>
        <w:spacing w:after="0" w:line="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Shelby E. Sherard, as Chief Financial Officer of Fidus Investment Corporation, certify that:</w:t>
      </w:r>
    </w:p>
    <w:p>
      <w:pPr>
        <w:spacing w:after="0" w:line="212" w:lineRule="exact"/>
        <w:rPr>
          <w:sz w:val="20"/>
          <w:szCs w:val="20"/>
          <w:color w:val="auto"/>
        </w:rPr>
      </w:pPr>
    </w:p>
    <w:p>
      <w:pPr>
        <w:ind w:left="360" w:hanging="352"/>
        <w:spacing w:after="0"/>
        <w:tabs>
          <w:tab w:leader="none" w:pos="3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Fidus Investment Corporation;</w:t>
      </w:r>
    </w:p>
    <w:p>
      <w:pPr>
        <w:spacing w:after="0" w:line="198" w:lineRule="exact"/>
        <w:rPr>
          <w:rFonts w:ascii="Times New Roman" w:cs="Times New Roman" w:eastAsia="Times New Roman" w:hAnsi="Times New Roman"/>
          <w:sz w:val="18"/>
          <w:szCs w:val="18"/>
          <w:color w:val="auto"/>
        </w:rPr>
      </w:pPr>
    </w:p>
    <w:p>
      <w:pPr>
        <w:ind w:left="300" w:right="400" w:hanging="292"/>
        <w:spacing w:after="0" w:line="258" w:lineRule="auto"/>
        <w:tabs>
          <w:tab w:leader="none" w:pos="3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300" w:right="360" w:hanging="292"/>
        <w:spacing w:after="0" w:line="266" w:lineRule="auto"/>
        <w:tabs>
          <w:tab w:leader="none" w:pos="3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300" w:right="40" w:hanging="292"/>
        <w:spacing w:after="0" w:line="250" w:lineRule="auto"/>
        <w:tabs>
          <w:tab w:leader="none" w:pos="3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600" w:right="360" w:hanging="284"/>
        <w:spacing w:after="0" w:line="258" w:lineRule="auto"/>
        <w:tabs>
          <w:tab w:leader="none" w:pos="66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Times New Roman" w:cs="Times New Roman" w:eastAsia="Times New Roman" w:hAnsi="Times New Roman"/>
          <w:sz w:val="18"/>
          <w:szCs w:val="18"/>
          <w:color w:val="auto"/>
        </w:rPr>
      </w:pPr>
    </w:p>
    <w:p>
      <w:pPr>
        <w:ind w:left="600" w:right="120" w:hanging="284"/>
        <w:spacing w:after="0" w:line="258" w:lineRule="auto"/>
        <w:tabs>
          <w:tab w:leader="none" w:pos="66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Times New Roman" w:cs="Times New Roman" w:eastAsia="Times New Roman" w:hAnsi="Times New Roman"/>
          <w:sz w:val="18"/>
          <w:szCs w:val="18"/>
          <w:color w:val="auto"/>
        </w:rPr>
      </w:pPr>
    </w:p>
    <w:p>
      <w:pPr>
        <w:jc w:val="both"/>
        <w:ind w:left="600" w:right="860" w:hanging="284"/>
        <w:spacing w:after="0" w:line="312" w:lineRule="auto"/>
        <w:tabs>
          <w:tab w:leader="none" w:pos="669"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600" w:right="140" w:hanging="284"/>
        <w:spacing w:after="0" w:line="258" w:lineRule="auto"/>
        <w:tabs>
          <w:tab w:leader="none" w:pos="66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300" w:right="100" w:hanging="292"/>
        <w:spacing w:after="0" w:line="266" w:lineRule="auto"/>
        <w:tabs>
          <w:tab w:leader="none" w:pos="3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600" w:right="260" w:hanging="284"/>
        <w:spacing w:after="0" w:line="266" w:lineRule="auto"/>
        <w:tabs>
          <w:tab w:leader="none" w:pos="66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600" w:right="220" w:hanging="284"/>
        <w:spacing w:after="0" w:line="282" w:lineRule="auto"/>
        <w:tabs>
          <w:tab w:leader="none" w:pos="66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05676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8">
                      <a:extLst>
                        <a:ext uri="{28A0092B-C50C-407E-A947-70E740481C1C}"/>
                      </a:extLst>
                    </a:blip>
                    <a:srcRect/>
                    <a:stretch>
                      <a:fillRect/>
                    </a:stretch>
                  </pic:blipFill>
                  <pic:spPr bwMode="auto">
                    <a:xfrm>
                      <a:off x="0" y="0"/>
                      <a:ext cx="205676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Shelby E. Sherard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92"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on Form 10-Q of Fidus Investment Corporation (the “Company”) for the quarterly period ended September 30, 2022, as filed with the Securities and Exchange Commission on the date hereof (the “Report”), I, Edward H. Ross, Chief Executive Officer of the Company, and I, Shelby E. Sherard, Chief Financial Officer of the Company, each certify, pursuant to 18 U.S.C. Section 1350, as adopted pursuant to Section 906 of the Sarbanes-Oxley Act of 2002, that to my knowledge:</w:t>
      </w:r>
    </w:p>
    <w:p>
      <w:pPr>
        <w:spacing w:after="0" w:line="164" w:lineRule="exact"/>
        <w:rPr>
          <w:sz w:val="20"/>
          <w:szCs w:val="20"/>
          <w:color w:val="auto"/>
        </w:rPr>
      </w:pPr>
    </w:p>
    <w:p>
      <w:pPr>
        <w:ind w:left="680" w:hanging="364"/>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680" w:hanging="364"/>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ind w:left="5400" w:right="4140" w:hanging="5345"/>
        <w:spacing w:after="0" w:line="254" w:lineRule="auto"/>
        <w:tabs>
          <w:tab w:leader="none" w:pos="5380" w:val="left"/>
        </w:tabs>
        <w:rPr>
          <w:sz w:val="20"/>
          <w:szCs w:val="20"/>
          <w:color w:val="auto"/>
        </w:rPr>
      </w:pPr>
      <w:r>
        <w:rPr>
          <w:rFonts w:ascii="Times New Roman" w:cs="Times New Roman" w:eastAsia="Times New Roman" w:hAnsi="Times New Roman"/>
          <w:sz w:val="18"/>
          <w:szCs w:val="18"/>
          <w:color w:val="auto"/>
        </w:rPr>
        <w:t>Date: November 3, 2022</w:t>
      </w:r>
      <w:r>
        <w:rPr>
          <w:sz w:val="20"/>
          <w:szCs w:val="20"/>
          <w:color w:val="auto"/>
        </w:rPr>
        <w:tab/>
      </w:r>
      <w:r>
        <w:rPr>
          <w:rFonts w:ascii="Times New Roman" w:cs="Times New Roman" w:eastAsia="Times New Roman" w:hAnsi="Times New Roman"/>
          <w:sz w:val="18"/>
          <w:szCs w:val="18"/>
          <w:u w:val="single" w:color="auto"/>
          <w:color w:val="auto"/>
        </w:rPr>
        <w:t xml:space="preserve">/s/ EDWARD H. ROSS </w:t>
      </w:r>
      <w:r>
        <w:rPr>
          <w:rFonts w:ascii="Times New Roman" w:cs="Times New Roman" w:eastAsia="Times New Roman" w:hAnsi="Times New Roman"/>
          <w:sz w:val="18"/>
          <w:szCs w:val="18"/>
          <w:color w:val="auto"/>
        </w:rPr>
        <w:t>Edward H. Ross</w:t>
      </w:r>
    </w:p>
    <w:p>
      <w:pPr>
        <w:ind w:left="5400"/>
        <w:spacing w:after="0" w:line="235" w:lineRule="auto"/>
        <w:rPr>
          <w:sz w:val="20"/>
          <w:szCs w:val="20"/>
          <w:color w:val="auto"/>
        </w:rPr>
      </w:pPr>
      <w:r>
        <w:rPr>
          <w:rFonts w:ascii="Times New Roman" w:cs="Times New Roman" w:eastAsia="Times New Roman" w:hAnsi="Times New Roman"/>
          <w:sz w:val="18"/>
          <w:szCs w:val="18"/>
          <w:color w:val="auto"/>
        </w:rPr>
        <w:t>Chairman and Chief Executive Officer</w:t>
      </w:r>
    </w:p>
    <w:p>
      <w:pPr>
        <w:ind w:left="54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7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u w:val="single" w:color="auto"/>
          <w:color w:val="auto"/>
        </w:rPr>
        <w:t>/s/ SHELBY E. SHERARD</w:t>
      </w:r>
    </w:p>
    <w:p>
      <w:pPr>
        <w:spacing w:after="0" w:line="1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Shelby E. Sherard</w:t>
      </w:r>
    </w:p>
    <w:p>
      <w:pPr>
        <w:ind w:left="5400"/>
        <w:spacing w:after="0" w:line="234" w:lineRule="auto"/>
        <w:rPr>
          <w:sz w:val="20"/>
          <w:szCs w:val="20"/>
          <w:color w:val="auto"/>
        </w:rPr>
      </w:pPr>
      <w:r>
        <w:rPr>
          <w:rFonts w:ascii="Times New Roman" w:cs="Times New Roman" w:eastAsia="Times New Roman" w:hAnsi="Times New Roman"/>
          <w:sz w:val="18"/>
          <w:szCs w:val="18"/>
          <w:color w:val="auto"/>
        </w:rPr>
        <w:t>Chief Financial Officer</w:t>
      </w:r>
    </w:p>
    <w:p>
      <w:pPr>
        <w:spacing w:after="0" w:line="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4" w:name="page65"/>
    <w:bookmarkEnd w:id="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lowerLetter"/>
      <w:start w:val="1"/>
    </w:lvl>
  </w:abstractNum>
  <w:abstractNum w:abstractNumId="3">
    <w:nsid w:val="54E49EB4"/>
    <w:multiLevelType w:val="hybridMultilevel"/>
    <w:lvl w:ilvl="0">
      <w:lvlJc w:val="left"/>
      <w:lvlText w:val="(%1)"/>
      <w:numFmt w:val="lowerLetter"/>
      <w:start w:val="1"/>
    </w:lvl>
  </w:abstractNum>
  <w:abstractNum w:abstractNumId="4">
    <w:nsid w:val="71F32454"/>
    <w:multiLevelType w:val="hybridMultilevel"/>
    <w:lvl w:ilvl="0">
      <w:lvlJc w:val="left"/>
      <w:lvlText w:val="(%1)"/>
      <w:numFmt w:val="lowerLetter"/>
      <w:start w:val="12"/>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1)"/>
      <w:numFmt w:val="decimal"/>
      <w:start w:val="1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decimal"/>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1)"/>
      <w:numFmt w:val="decimal"/>
      <w:start w:val="1"/>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1)"/>
      <w:numFmt w:val="decimal"/>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1)"/>
      <w:numFmt w:val="decimal"/>
      <w:start w:val="2"/>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1"/>
      <w:numFmt w:val="decimal"/>
      <w:start w:val="104"/>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501" Type="http://schemas.openxmlformats.org/officeDocument/2006/relationships/image" Target="media/image486.png"/><Relationship Id="rId502" Type="http://schemas.openxmlformats.org/officeDocument/2006/relationships/image" Target="media/image487.png"/><Relationship Id="rId503" Type="http://schemas.openxmlformats.org/officeDocument/2006/relationships/image" Target="media/image488.png"/><Relationship Id="rId504" Type="http://schemas.openxmlformats.org/officeDocument/2006/relationships/image" Target="media/image489.png"/><Relationship Id="rId505" Type="http://schemas.openxmlformats.org/officeDocument/2006/relationships/image" Target="media/image490.png"/><Relationship Id="rId506" Type="http://schemas.openxmlformats.org/officeDocument/2006/relationships/image" Target="media/image491.png"/><Relationship Id="rId507" Type="http://schemas.openxmlformats.org/officeDocument/2006/relationships/image" Target="media/image492.png"/><Relationship Id="rId508" Type="http://schemas.openxmlformats.org/officeDocument/2006/relationships/image" Target="media/image493.png"/><Relationship Id="rId509" Type="http://schemas.openxmlformats.org/officeDocument/2006/relationships/image" Target="media/image494.png"/><Relationship Id="rId510" Type="http://schemas.openxmlformats.org/officeDocument/2006/relationships/image" Target="media/image495.png"/><Relationship Id="rId493" Type="http://schemas.openxmlformats.org/officeDocument/2006/relationships/hyperlink" Target="https://www.sec.gov/Archives/edgar/data/1513363/000095012311041885/w81466a2exv99wxayx1y.htm" TargetMode="External"/><Relationship Id="rId494" Type="http://schemas.openxmlformats.org/officeDocument/2006/relationships/hyperlink" Target="https://www.sec.gov/Archives/edgar/data/1513363/000095012311041885/w81466a2exv99wxbyx1y.htm" TargetMode="External"/><Relationship Id="rId495" Type="http://schemas.openxmlformats.org/officeDocument/2006/relationships/hyperlink" Target="https://www.sec.gov/Archives/edgar/data/1513363/000095012311041885/w81466a2exv99wxdy.htm" TargetMode="External"/><Relationship Id="rId496" Type="http://schemas.openxmlformats.org/officeDocument/2006/relationships/hyperlink" Target="https://www.sec.gov/Archives/edgar/data/1513363/000095012311054001/w81466a3exv99wxfyx2y.htm" TargetMode="External"/><Relationship Id="rId497" Type="http://schemas.openxmlformats.org/officeDocument/2006/relationships/hyperlink" Target="https://www.sec.gov/Archives/edgar/data/1513363/000119312516569246/d141023dex99d5.htm" TargetMode="External"/><Relationship Id="rId498" Type="http://schemas.openxmlformats.org/officeDocument/2006/relationships/hyperlink" Target="https://www.sec.gov/Archives/edgar/data/1513363/000119312520325989/d97521dex41.htm" TargetMode="External"/><Relationship Id="rId499" Type="http://schemas.openxmlformats.org/officeDocument/2006/relationships/hyperlink" Target="https://www.sec.gov/Archives/edgar/data/0001513363/000119312521295460/d193806dex41.htm" TargetMode="External"/><Relationship Id="rId500" Type="http://schemas.openxmlformats.org/officeDocument/2006/relationships/hyperlink" Target="https://www.sec.gov/Archives/edgar/data/1513363/000119312522227509/d29274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2022-11-09T19:39:18Z</dcterms:created>
  <dcterms:modified xsi:type="dcterms:W3CDTF">2022-11-09T19:39:18Z</dcterms:modified>
</cp:coreProperties>
</file>